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606CD">
      <w:pPr>
        <w:spacing w:line="259" w:lineRule="auto"/>
        <w:rPr>
          <w:rFonts w:ascii="Arial"/>
          <w:sz w:val="21"/>
        </w:rPr>
      </w:pPr>
    </w:p>
    <w:p w14:paraId="0006CBD9">
      <w:pPr>
        <w:spacing w:line="259" w:lineRule="auto"/>
        <w:rPr>
          <w:rFonts w:ascii="Arial"/>
          <w:sz w:val="21"/>
        </w:rPr>
      </w:pPr>
    </w:p>
    <w:p w14:paraId="01CCC1B3">
      <w:pPr>
        <w:spacing w:line="259" w:lineRule="auto"/>
        <w:rPr>
          <w:rFonts w:ascii="Arial"/>
          <w:sz w:val="21"/>
        </w:rPr>
      </w:pPr>
    </w:p>
    <w:p w14:paraId="1C0CE61A">
      <w:pPr>
        <w:spacing w:line="259" w:lineRule="auto"/>
        <w:rPr>
          <w:rFonts w:ascii="Arial"/>
          <w:sz w:val="21"/>
        </w:rPr>
      </w:pPr>
    </w:p>
    <w:p w14:paraId="55D86DE2">
      <w:pPr>
        <w:spacing w:line="259" w:lineRule="auto"/>
        <w:rPr>
          <w:rFonts w:ascii="Arial"/>
          <w:sz w:val="21"/>
        </w:rPr>
      </w:pPr>
    </w:p>
    <w:p w14:paraId="359BA218">
      <w:pPr>
        <w:spacing w:line="260" w:lineRule="auto"/>
        <w:rPr>
          <w:rFonts w:ascii="Arial"/>
          <w:sz w:val="21"/>
        </w:rPr>
      </w:pPr>
    </w:p>
    <w:p w14:paraId="47C79490">
      <w:pPr>
        <w:spacing w:line="260" w:lineRule="auto"/>
        <w:rPr>
          <w:rFonts w:ascii="Arial"/>
          <w:sz w:val="21"/>
        </w:rPr>
      </w:pPr>
    </w:p>
    <w:p w14:paraId="5B606020">
      <w:pPr>
        <w:spacing w:line="260" w:lineRule="auto"/>
        <w:rPr>
          <w:rFonts w:ascii="Arial"/>
          <w:sz w:val="21"/>
        </w:rPr>
      </w:pPr>
    </w:p>
    <w:p w14:paraId="78E1CEC2">
      <w:pPr>
        <w:spacing w:line="260" w:lineRule="auto"/>
        <w:rPr>
          <w:rFonts w:ascii="Arial"/>
          <w:sz w:val="21"/>
        </w:rPr>
      </w:pPr>
    </w:p>
    <w:p w14:paraId="27A4CF89">
      <w:pPr>
        <w:pStyle w:val="2"/>
        <w:spacing w:before="309" w:line="193" w:lineRule="auto"/>
        <w:ind w:left="218"/>
        <w:rPr>
          <w:sz w:val="72"/>
          <w:szCs w:val="72"/>
        </w:rPr>
      </w:pPr>
      <w:r>
        <w:rPr>
          <w:spacing w:val="-1"/>
          <w:sz w:val="72"/>
          <w:szCs w:val="72"/>
        </w:rPr>
        <w:t>建设项目环境影响报告表</w:t>
      </w:r>
    </w:p>
    <w:p w14:paraId="5A20B15D">
      <w:pPr>
        <w:pStyle w:val="2"/>
        <w:spacing w:before="328" w:line="189" w:lineRule="auto"/>
        <w:ind w:left="2560"/>
        <w:rPr>
          <w:sz w:val="48"/>
          <w:szCs w:val="48"/>
        </w:rPr>
      </w:pPr>
      <w:r>
        <w:rPr>
          <w:spacing w:val="-18"/>
          <w:sz w:val="48"/>
          <w:szCs w:val="48"/>
        </w:rPr>
        <w:t>（污染影响类）</w:t>
      </w:r>
    </w:p>
    <w:p w14:paraId="4CC179FA">
      <w:pPr>
        <w:pStyle w:val="2"/>
        <w:spacing w:before="139" w:line="193" w:lineRule="auto"/>
        <w:ind w:left="3232"/>
        <w:rPr>
          <w:sz w:val="39"/>
          <w:szCs w:val="39"/>
        </w:rPr>
      </w:pPr>
      <w:r>
        <w:rPr>
          <w:spacing w:val="-6"/>
          <w:sz w:val="39"/>
          <w:szCs w:val="39"/>
        </w:rPr>
        <w:t>（</w:t>
      </w:r>
      <w:r>
        <w:rPr>
          <w:rFonts w:hint="eastAsia"/>
          <w:spacing w:val="-6"/>
          <w:sz w:val="39"/>
          <w:szCs w:val="39"/>
          <w:lang w:val="en-US" w:eastAsia="zh-CN"/>
        </w:rPr>
        <w:t>公示</w:t>
      </w:r>
      <w:r>
        <w:rPr>
          <w:spacing w:val="-6"/>
          <w:sz w:val="39"/>
          <w:szCs w:val="39"/>
        </w:rPr>
        <w:t>本）</w:t>
      </w:r>
    </w:p>
    <w:p w14:paraId="7B62E192">
      <w:pPr>
        <w:spacing w:line="242" w:lineRule="auto"/>
        <w:rPr>
          <w:rFonts w:ascii="Arial"/>
          <w:sz w:val="21"/>
        </w:rPr>
      </w:pPr>
    </w:p>
    <w:p w14:paraId="7A4EBD7A">
      <w:pPr>
        <w:spacing w:line="242" w:lineRule="auto"/>
        <w:rPr>
          <w:rFonts w:ascii="Arial"/>
          <w:sz w:val="21"/>
        </w:rPr>
      </w:pPr>
    </w:p>
    <w:p w14:paraId="3034C652">
      <w:pPr>
        <w:spacing w:line="242" w:lineRule="auto"/>
        <w:rPr>
          <w:rFonts w:ascii="Arial"/>
          <w:sz w:val="21"/>
        </w:rPr>
      </w:pPr>
    </w:p>
    <w:p w14:paraId="46A78DDD">
      <w:pPr>
        <w:spacing w:line="242" w:lineRule="auto"/>
        <w:rPr>
          <w:rFonts w:ascii="Arial"/>
          <w:sz w:val="21"/>
        </w:rPr>
      </w:pPr>
    </w:p>
    <w:p w14:paraId="6AC31541">
      <w:pPr>
        <w:spacing w:line="242" w:lineRule="auto"/>
        <w:rPr>
          <w:rFonts w:ascii="Arial"/>
          <w:sz w:val="21"/>
        </w:rPr>
      </w:pPr>
    </w:p>
    <w:p w14:paraId="47AFB4EC">
      <w:pPr>
        <w:spacing w:line="242" w:lineRule="auto"/>
        <w:rPr>
          <w:rFonts w:ascii="Arial"/>
          <w:sz w:val="21"/>
        </w:rPr>
      </w:pPr>
    </w:p>
    <w:p w14:paraId="10BC0530">
      <w:pPr>
        <w:spacing w:line="242" w:lineRule="auto"/>
        <w:rPr>
          <w:rFonts w:ascii="Arial"/>
          <w:sz w:val="21"/>
        </w:rPr>
      </w:pPr>
    </w:p>
    <w:p w14:paraId="6C21F0CB">
      <w:pPr>
        <w:spacing w:line="242" w:lineRule="auto"/>
        <w:rPr>
          <w:rFonts w:ascii="Arial"/>
          <w:sz w:val="21"/>
        </w:rPr>
      </w:pPr>
    </w:p>
    <w:p w14:paraId="5036B369">
      <w:pPr>
        <w:spacing w:line="243" w:lineRule="auto"/>
        <w:rPr>
          <w:rFonts w:ascii="Arial"/>
          <w:sz w:val="21"/>
        </w:rPr>
      </w:pPr>
    </w:p>
    <w:p w14:paraId="6DF426E6">
      <w:pPr>
        <w:spacing w:line="243" w:lineRule="auto"/>
        <w:rPr>
          <w:rFonts w:ascii="Arial"/>
          <w:sz w:val="21"/>
        </w:rPr>
      </w:pPr>
    </w:p>
    <w:p w14:paraId="787EF170">
      <w:pPr>
        <w:spacing w:line="243" w:lineRule="auto"/>
        <w:rPr>
          <w:rFonts w:ascii="Arial"/>
          <w:sz w:val="21"/>
        </w:rPr>
      </w:pPr>
    </w:p>
    <w:p w14:paraId="6945476F">
      <w:pPr>
        <w:spacing w:line="243" w:lineRule="auto"/>
        <w:rPr>
          <w:rFonts w:ascii="Arial"/>
          <w:sz w:val="21"/>
        </w:rPr>
      </w:pPr>
    </w:p>
    <w:p w14:paraId="17080714">
      <w:pPr>
        <w:pStyle w:val="2"/>
        <w:spacing w:before="115" w:line="502" w:lineRule="auto"/>
        <w:ind w:left="326" w:right="296" w:hanging="2"/>
      </w:pPr>
      <w:r>
        <w:rPr>
          <w:spacing w:val="11"/>
        </w:rPr>
        <w:t>项</w:t>
      </w:r>
      <w:r>
        <w:rPr>
          <w:spacing w:val="26"/>
        </w:rPr>
        <w:t xml:space="preserve">   </w:t>
      </w:r>
      <w:r>
        <w:rPr>
          <w:spacing w:val="11"/>
        </w:rPr>
        <w:t xml:space="preserve">目   名   称    </w:t>
      </w:r>
      <w:r>
        <w:rPr>
          <w:rFonts w:ascii="Times New Roman" w:hAnsi="Times New Roman" w:eastAsia="Times New Roman" w:cs="Times New Roman"/>
          <w:spacing w:val="11"/>
        </w:rPr>
        <w:t>:</w:t>
      </w:r>
      <w:r>
        <w:rPr>
          <w:rFonts w:ascii="Times New Roman" w:hAnsi="Times New Roman" w:eastAsia="Times New Roman" w:cs="Times New Roman"/>
          <w:spacing w:val="41"/>
          <w:w w:val="101"/>
        </w:rPr>
        <w:t xml:space="preserve"> </w:t>
      </w:r>
      <w:r>
        <w:rPr>
          <w:spacing w:val="32"/>
          <w:u w:val="single" w:color="auto"/>
        </w:rPr>
        <w:t xml:space="preserve"> </w:t>
      </w:r>
      <w:r>
        <w:rPr>
          <w:spacing w:val="11"/>
          <w:u w:val="single" w:color="auto"/>
        </w:rPr>
        <w:t>绿科新能源生物质成型燃料生产</w:t>
      </w:r>
      <w:r>
        <w:rPr>
          <w:spacing w:val="10"/>
          <w:u w:val="single" w:color="auto"/>
        </w:rPr>
        <w:t>建设项目</w:t>
      </w:r>
      <w:r>
        <w:t xml:space="preserve"> </w:t>
      </w:r>
      <w:r>
        <w:rPr>
          <w:spacing w:val="5"/>
        </w:rPr>
        <w:t>建</w:t>
      </w:r>
      <w:r>
        <w:rPr>
          <w:spacing w:val="-15"/>
        </w:rPr>
        <w:t xml:space="preserve"> </w:t>
      </w:r>
      <w:r>
        <w:rPr>
          <w:spacing w:val="5"/>
        </w:rPr>
        <w:t>设</w:t>
      </w:r>
      <w:r>
        <w:rPr>
          <w:spacing w:val="-33"/>
        </w:rPr>
        <w:t xml:space="preserve"> </w:t>
      </w:r>
      <w:r>
        <w:rPr>
          <w:spacing w:val="5"/>
        </w:rPr>
        <w:t>单</w:t>
      </w:r>
      <w:r>
        <w:rPr>
          <w:spacing w:val="-33"/>
        </w:rPr>
        <w:t xml:space="preserve"> </w:t>
      </w:r>
      <w:r>
        <w:rPr>
          <w:spacing w:val="5"/>
        </w:rPr>
        <w:t>位</w:t>
      </w:r>
      <w:r>
        <w:rPr>
          <w:spacing w:val="-26"/>
        </w:rPr>
        <w:t xml:space="preserve"> </w:t>
      </w:r>
      <w:r>
        <w:rPr>
          <w:rFonts w:ascii="Times New Roman" w:hAnsi="Times New Roman" w:eastAsia="Times New Roman" w:cs="Times New Roman"/>
          <w:spacing w:val="5"/>
        </w:rPr>
        <w:t xml:space="preserve">( </w:t>
      </w:r>
      <w:r>
        <w:rPr>
          <w:spacing w:val="5"/>
        </w:rPr>
        <w:t>盖章</w:t>
      </w:r>
      <w:r>
        <w:rPr>
          <w:spacing w:val="-30"/>
        </w:rPr>
        <w:t xml:space="preserve"> </w:t>
      </w:r>
      <w:r>
        <w:rPr>
          <w:rFonts w:ascii="Times New Roman" w:hAnsi="Times New Roman" w:eastAsia="Times New Roman" w:cs="Times New Roman"/>
          <w:spacing w:val="5"/>
        </w:rPr>
        <w:t>)</w:t>
      </w:r>
      <w:r>
        <w:rPr>
          <w:rFonts w:ascii="Times New Roman" w:hAnsi="Times New Roman" w:eastAsia="Times New Roman" w:cs="Times New Roman"/>
          <w:spacing w:val="21"/>
          <w:w w:val="101"/>
        </w:rPr>
        <w:t xml:space="preserve"> </w:t>
      </w:r>
      <w:r>
        <w:rPr>
          <w:rFonts w:ascii="Times New Roman" w:hAnsi="Times New Roman" w:eastAsia="Times New Roman" w:cs="Times New Roman"/>
          <w:spacing w:val="5"/>
        </w:rPr>
        <w:t xml:space="preserve">: </w:t>
      </w:r>
      <w:r>
        <w:rPr>
          <w:spacing w:val="32"/>
          <w:u w:val="single" w:color="auto"/>
        </w:rPr>
        <w:t xml:space="preserve"> </w:t>
      </w:r>
      <w:r>
        <w:rPr>
          <w:spacing w:val="5"/>
          <w:u w:val="single" w:color="auto"/>
        </w:rPr>
        <w:t>达 州 绿 科 新</w:t>
      </w:r>
      <w:r>
        <w:rPr>
          <w:spacing w:val="10"/>
          <w:u w:val="single" w:color="auto"/>
        </w:rPr>
        <w:t xml:space="preserve"> </w:t>
      </w:r>
      <w:r>
        <w:rPr>
          <w:spacing w:val="5"/>
          <w:u w:val="single" w:color="auto"/>
        </w:rPr>
        <w:t>能</w:t>
      </w:r>
      <w:r>
        <w:rPr>
          <w:spacing w:val="9"/>
          <w:u w:val="single" w:color="auto"/>
        </w:rPr>
        <w:t xml:space="preserve"> </w:t>
      </w:r>
      <w:r>
        <w:rPr>
          <w:spacing w:val="5"/>
          <w:u w:val="single" w:color="auto"/>
        </w:rPr>
        <w:t>源</w:t>
      </w:r>
      <w:r>
        <w:rPr>
          <w:spacing w:val="9"/>
          <w:u w:val="single" w:color="auto"/>
        </w:rPr>
        <w:t xml:space="preserve"> </w:t>
      </w:r>
      <w:r>
        <w:rPr>
          <w:spacing w:val="5"/>
          <w:u w:val="single" w:color="auto"/>
        </w:rPr>
        <w:t>科</w:t>
      </w:r>
      <w:r>
        <w:rPr>
          <w:spacing w:val="9"/>
          <w:u w:val="single" w:color="auto"/>
        </w:rPr>
        <w:t xml:space="preserve"> </w:t>
      </w:r>
      <w:r>
        <w:rPr>
          <w:spacing w:val="5"/>
          <w:u w:val="single" w:color="auto"/>
        </w:rPr>
        <w:t>技</w:t>
      </w:r>
      <w:r>
        <w:rPr>
          <w:spacing w:val="8"/>
          <w:u w:val="single" w:color="auto"/>
        </w:rPr>
        <w:t xml:space="preserve"> </w:t>
      </w:r>
      <w:r>
        <w:rPr>
          <w:spacing w:val="5"/>
          <w:u w:val="single" w:color="auto"/>
        </w:rPr>
        <w:t>有</w:t>
      </w:r>
      <w:r>
        <w:rPr>
          <w:spacing w:val="23"/>
          <w:u w:val="single" w:color="auto"/>
        </w:rPr>
        <w:t xml:space="preserve"> </w:t>
      </w:r>
      <w:r>
        <w:rPr>
          <w:spacing w:val="5"/>
          <w:u w:val="single" w:color="auto"/>
        </w:rPr>
        <w:t>限</w:t>
      </w:r>
      <w:r>
        <w:rPr>
          <w:spacing w:val="8"/>
          <w:u w:val="single" w:color="auto"/>
        </w:rPr>
        <w:t xml:space="preserve"> </w:t>
      </w:r>
      <w:r>
        <w:rPr>
          <w:spacing w:val="5"/>
          <w:u w:val="single" w:color="auto"/>
        </w:rPr>
        <w:t>公</w:t>
      </w:r>
      <w:r>
        <w:rPr>
          <w:spacing w:val="13"/>
          <w:u w:val="single" w:color="auto"/>
        </w:rPr>
        <w:t xml:space="preserve"> </w:t>
      </w:r>
      <w:r>
        <w:rPr>
          <w:spacing w:val="5"/>
          <w:u w:val="single" w:color="auto"/>
        </w:rPr>
        <w:t>司</w:t>
      </w:r>
    </w:p>
    <w:p w14:paraId="0E597644">
      <w:pPr>
        <w:pStyle w:val="2"/>
        <w:spacing w:line="202" w:lineRule="auto"/>
        <w:ind w:left="326"/>
      </w:pPr>
      <w:r>
        <w:rPr>
          <w:spacing w:val="-3"/>
        </w:rPr>
        <w:t>编</w:t>
      </w:r>
      <w:r>
        <w:rPr>
          <w:spacing w:val="15"/>
        </w:rPr>
        <w:t xml:space="preserve">   </w:t>
      </w:r>
      <w:r>
        <w:rPr>
          <w:spacing w:val="-3"/>
        </w:rPr>
        <w:t>制    日</w:t>
      </w:r>
      <w:r>
        <w:rPr>
          <w:spacing w:val="14"/>
        </w:rPr>
        <w:t xml:space="preserve">   </w:t>
      </w:r>
      <w:r>
        <w:rPr>
          <w:spacing w:val="-3"/>
        </w:rPr>
        <w:t>期</w:t>
      </w:r>
      <w:r>
        <w:rPr>
          <w:spacing w:val="20"/>
        </w:rPr>
        <w:t xml:space="preserve">   </w:t>
      </w:r>
      <w:r>
        <w:rPr>
          <w:rFonts w:ascii="Times New Roman" w:hAnsi="Times New Roman" w:eastAsia="Times New Roman" w:cs="Times New Roman"/>
          <w:spacing w:val="-3"/>
        </w:rPr>
        <w:t>:</w:t>
      </w:r>
      <w:r>
        <w:rPr>
          <w:rFonts w:ascii="Times New Roman" w:hAnsi="Times New Roman" w:eastAsia="Times New Roman" w:cs="Times New Roman"/>
          <w:spacing w:val="28"/>
        </w:rPr>
        <w:t xml:space="preserve"> </w:t>
      </w:r>
      <w:r>
        <w:rPr>
          <w:spacing w:val="2"/>
          <w:u w:val="single" w:color="auto"/>
        </w:rPr>
        <w:t xml:space="preserve">              </w:t>
      </w:r>
      <w:r>
        <w:rPr>
          <w:spacing w:val="-3"/>
          <w:u w:val="single" w:color="auto"/>
        </w:rPr>
        <w:t>二</w:t>
      </w:r>
      <w:r>
        <w:rPr>
          <w:spacing w:val="59"/>
          <w:w w:val="101"/>
          <w:u w:val="single" w:color="auto"/>
        </w:rPr>
        <w:t xml:space="preserve"> </w:t>
      </w:r>
      <w:r>
        <w:rPr>
          <w:spacing w:val="-3"/>
          <w:u w:val="single" w:color="auto"/>
        </w:rPr>
        <w:t>〇 二</w:t>
      </w:r>
      <w:r>
        <w:rPr>
          <w:spacing w:val="16"/>
          <w:u w:val="single" w:color="auto"/>
        </w:rPr>
        <w:t xml:space="preserve"> </w:t>
      </w:r>
      <w:r>
        <w:rPr>
          <w:spacing w:val="-3"/>
          <w:u w:val="single" w:color="auto"/>
        </w:rPr>
        <w:t>五</w:t>
      </w:r>
      <w:r>
        <w:rPr>
          <w:spacing w:val="16"/>
          <w:u w:val="single" w:color="auto"/>
        </w:rPr>
        <w:t xml:space="preserve"> </w:t>
      </w:r>
      <w:r>
        <w:rPr>
          <w:spacing w:val="-3"/>
          <w:u w:val="single" w:color="auto"/>
        </w:rPr>
        <w:t>年</w:t>
      </w:r>
      <w:r>
        <w:rPr>
          <w:spacing w:val="18"/>
          <w:u w:val="single" w:color="auto"/>
        </w:rPr>
        <w:t xml:space="preserve"> </w:t>
      </w:r>
      <w:r>
        <w:rPr>
          <w:spacing w:val="-3"/>
          <w:u w:val="single" w:color="auto"/>
        </w:rPr>
        <w:t>七</w:t>
      </w:r>
      <w:r>
        <w:rPr>
          <w:spacing w:val="20"/>
          <w:u w:val="single" w:color="auto"/>
        </w:rPr>
        <w:t xml:space="preserve"> </w:t>
      </w:r>
      <w:r>
        <w:rPr>
          <w:spacing w:val="-3"/>
          <w:u w:val="single" w:color="auto"/>
        </w:rPr>
        <w:t xml:space="preserve">月                </w:t>
      </w:r>
    </w:p>
    <w:p w14:paraId="7181F59F">
      <w:pPr>
        <w:spacing w:line="260" w:lineRule="auto"/>
        <w:rPr>
          <w:rFonts w:ascii="Arial"/>
          <w:sz w:val="21"/>
        </w:rPr>
      </w:pPr>
    </w:p>
    <w:p w14:paraId="518978A2">
      <w:pPr>
        <w:spacing w:line="261" w:lineRule="auto"/>
        <w:rPr>
          <w:rFonts w:ascii="Arial"/>
          <w:sz w:val="21"/>
        </w:rPr>
      </w:pPr>
    </w:p>
    <w:p w14:paraId="50B202AD">
      <w:pPr>
        <w:spacing w:line="261" w:lineRule="auto"/>
        <w:rPr>
          <w:rFonts w:ascii="Arial"/>
          <w:sz w:val="21"/>
        </w:rPr>
      </w:pPr>
    </w:p>
    <w:p w14:paraId="5416289B">
      <w:pPr>
        <w:spacing w:line="261" w:lineRule="auto"/>
        <w:rPr>
          <w:rFonts w:ascii="Arial"/>
          <w:sz w:val="21"/>
        </w:rPr>
      </w:pPr>
    </w:p>
    <w:p w14:paraId="759ED318">
      <w:pPr>
        <w:spacing w:line="261" w:lineRule="auto"/>
        <w:rPr>
          <w:rFonts w:ascii="Arial"/>
          <w:sz w:val="21"/>
        </w:rPr>
      </w:pPr>
    </w:p>
    <w:p w14:paraId="6D4A806D">
      <w:pPr>
        <w:spacing w:line="261" w:lineRule="auto"/>
        <w:rPr>
          <w:rFonts w:ascii="Arial"/>
          <w:sz w:val="21"/>
        </w:rPr>
      </w:pPr>
    </w:p>
    <w:p w14:paraId="66FE9B07">
      <w:pPr>
        <w:pStyle w:val="2"/>
        <w:spacing w:before="156" w:line="194" w:lineRule="auto"/>
        <w:ind w:left="1677"/>
        <w:rPr>
          <w:sz w:val="36"/>
          <w:szCs w:val="36"/>
        </w:rPr>
      </w:pPr>
      <w:r>
        <w:rPr>
          <w:spacing w:val="-3"/>
          <w:sz w:val="36"/>
          <w:szCs w:val="36"/>
        </w:rPr>
        <w:t>中华人民共和国生态环境部</w:t>
      </w:r>
      <w:r>
        <w:rPr>
          <w:spacing w:val="18"/>
          <w:sz w:val="36"/>
          <w:szCs w:val="36"/>
        </w:rPr>
        <w:t xml:space="preserve">   </w:t>
      </w:r>
      <w:r>
        <w:rPr>
          <w:spacing w:val="-3"/>
          <w:sz w:val="36"/>
          <w:szCs w:val="36"/>
        </w:rPr>
        <w:t>制</w:t>
      </w:r>
    </w:p>
    <w:p w14:paraId="5EF69E97">
      <w:pPr>
        <w:spacing w:line="194" w:lineRule="auto"/>
        <w:rPr>
          <w:sz w:val="36"/>
          <w:szCs w:val="36"/>
        </w:rPr>
        <w:sectPr>
          <w:pgSz w:w="11907" w:h="16839"/>
          <w:pgMar w:top="1431" w:right="1785" w:bottom="0" w:left="1785" w:header="0" w:footer="0" w:gutter="0"/>
          <w:cols w:space="720" w:num="1"/>
        </w:sectPr>
      </w:pPr>
    </w:p>
    <w:p w14:paraId="7AC05DC2">
      <w:pPr>
        <w:spacing w:line="247" w:lineRule="auto"/>
        <w:rPr>
          <w:rFonts w:ascii="Arial"/>
          <w:sz w:val="21"/>
        </w:rPr>
      </w:pPr>
    </w:p>
    <w:p w14:paraId="75858A56">
      <w:pPr>
        <w:spacing w:line="247" w:lineRule="auto"/>
        <w:rPr>
          <w:rFonts w:ascii="Arial"/>
          <w:sz w:val="21"/>
        </w:rPr>
      </w:pPr>
    </w:p>
    <w:p w14:paraId="49910DF4">
      <w:pPr>
        <w:spacing w:before="98" w:line="219" w:lineRule="auto"/>
        <w:ind w:left="2961"/>
        <w:rPr>
          <w:rFonts w:ascii="黑体" w:hAnsi="黑体" w:eastAsia="黑体" w:cs="黑体"/>
          <w:sz w:val="30"/>
          <w:szCs w:val="30"/>
        </w:rPr>
      </w:pPr>
      <w:r>
        <w:rPr>
          <w:rFonts w:ascii="黑体" w:hAnsi="黑体" w:eastAsia="黑体" w:cs="黑体"/>
          <w:spacing w:val="-3"/>
          <w:sz w:val="30"/>
          <w:szCs w:val="30"/>
        </w:rPr>
        <w:t>一、建设项目基本情况</w:t>
      </w:r>
    </w:p>
    <w:p w14:paraId="64FDE665">
      <w:pPr>
        <w:spacing w:before="25"/>
      </w:pPr>
    </w:p>
    <w:tbl>
      <w:tblPr>
        <w:tblStyle w:val="5"/>
        <w:tblW w:w="887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4"/>
        <w:gridCol w:w="99"/>
        <w:gridCol w:w="909"/>
        <w:gridCol w:w="1319"/>
        <w:gridCol w:w="947"/>
        <w:gridCol w:w="945"/>
        <w:gridCol w:w="1886"/>
        <w:gridCol w:w="946"/>
        <w:gridCol w:w="110"/>
      </w:tblGrid>
      <w:tr w14:paraId="69D0C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714" w:type="dxa"/>
            <w:tcBorders>
              <w:top w:val="single" w:color="000000" w:sz="6" w:space="0"/>
              <w:left w:val="single" w:color="000000" w:sz="6" w:space="0"/>
            </w:tcBorders>
            <w:vAlign w:val="top"/>
          </w:tcPr>
          <w:p w14:paraId="7C2F52A5">
            <w:pPr>
              <w:pStyle w:val="6"/>
              <w:spacing w:before="122" w:line="220" w:lineRule="auto"/>
              <w:ind w:left="227"/>
            </w:pPr>
            <w:r>
              <w:rPr>
                <w:spacing w:val="-2"/>
              </w:rPr>
              <w:t>建设项目名称</w:t>
            </w:r>
          </w:p>
        </w:tc>
        <w:tc>
          <w:tcPr>
            <w:tcW w:w="7161" w:type="dxa"/>
            <w:gridSpan w:val="8"/>
            <w:tcBorders>
              <w:top w:val="single" w:color="000000" w:sz="6" w:space="0"/>
              <w:right w:val="single" w:color="000000" w:sz="6" w:space="0"/>
            </w:tcBorders>
            <w:vAlign w:val="top"/>
          </w:tcPr>
          <w:p w14:paraId="3645B968">
            <w:pPr>
              <w:pStyle w:val="6"/>
              <w:spacing w:before="122" w:line="219" w:lineRule="auto"/>
              <w:ind w:left="1691"/>
            </w:pPr>
            <w:r>
              <w:rPr>
                <w:spacing w:val="-1"/>
              </w:rPr>
              <w:t>绿科新能源生物质成型燃料生产建设项目</w:t>
            </w:r>
          </w:p>
        </w:tc>
      </w:tr>
      <w:tr w14:paraId="39FFC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714" w:type="dxa"/>
            <w:tcBorders>
              <w:left w:val="single" w:color="000000" w:sz="6" w:space="0"/>
            </w:tcBorders>
            <w:vAlign w:val="top"/>
          </w:tcPr>
          <w:p w14:paraId="702E32C7">
            <w:pPr>
              <w:pStyle w:val="6"/>
              <w:spacing w:before="127" w:line="220" w:lineRule="auto"/>
              <w:ind w:left="438"/>
            </w:pPr>
            <w:r>
              <w:rPr>
                <w:spacing w:val="-3"/>
              </w:rPr>
              <w:t>项目代码</w:t>
            </w:r>
          </w:p>
        </w:tc>
        <w:tc>
          <w:tcPr>
            <w:tcW w:w="7161" w:type="dxa"/>
            <w:gridSpan w:val="8"/>
            <w:tcBorders>
              <w:right w:val="single" w:color="000000" w:sz="6" w:space="0"/>
            </w:tcBorders>
            <w:vAlign w:val="top"/>
          </w:tcPr>
          <w:p w14:paraId="5A0E372F">
            <w:pPr>
              <w:spacing w:before="161" w:line="232" w:lineRule="auto"/>
              <w:ind w:left="239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2506-511702-04-01-873140</w:t>
            </w:r>
          </w:p>
        </w:tc>
      </w:tr>
      <w:tr w14:paraId="7C708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714" w:type="dxa"/>
            <w:tcBorders>
              <w:left w:val="single" w:color="000000" w:sz="6" w:space="0"/>
            </w:tcBorders>
            <w:vAlign w:val="top"/>
          </w:tcPr>
          <w:p w14:paraId="439D41A7">
            <w:pPr>
              <w:pStyle w:val="6"/>
              <w:spacing w:before="121" w:line="220" w:lineRule="auto"/>
              <w:ind w:left="123"/>
            </w:pPr>
            <w:r>
              <w:rPr>
                <w:spacing w:val="-2"/>
              </w:rPr>
              <w:t>建设单位联系人</w:t>
            </w:r>
          </w:p>
        </w:tc>
        <w:tc>
          <w:tcPr>
            <w:tcW w:w="2327" w:type="dxa"/>
            <w:gridSpan w:val="3"/>
            <w:vAlign w:val="top"/>
          </w:tcPr>
          <w:p w14:paraId="69878C23">
            <w:pPr>
              <w:pStyle w:val="6"/>
              <w:spacing w:before="120" w:line="220" w:lineRule="auto"/>
              <w:ind w:left="951"/>
              <w:rPr>
                <w:rFonts w:hint="eastAsia" w:eastAsia="宋体"/>
                <w:lang w:eastAsia="zh-CN"/>
              </w:rPr>
            </w:pPr>
            <w:r>
              <w:rPr>
                <w:spacing w:val="-4"/>
              </w:rPr>
              <w:t>郭</w:t>
            </w:r>
            <w:r>
              <w:rPr>
                <w:rFonts w:hint="eastAsia"/>
                <w:spacing w:val="-4"/>
                <w:lang w:val="en-US" w:eastAsia="zh-CN"/>
              </w:rPr>
              <w:t>*</w:t>
            </w:r>
          </w:p>
        </w:tc>
        <w:tc>
          <w:tcPr>
            <w:tcW w:w="1892" w:type="dxa"/>
            <w:gridSpan w:val="2"/>
            <w:vAlign w:val="top"/>
          </w:tcPr>
          <w:p w14:paraId="4BC43DE9">
            <w:pPr>
              <w:pStyle w:val="6"/>
              <w:spacing w:before="120" w:line="221" w:lineRule="auto"/>
              <w:ind w:left="542"/>
            </w:pPr>
            <w:r>
              <w:rPr>
                <w:spacing w:val="-2"/>
              </w:rPr>
              <w:t>联系方式</w:t>
            </w:r>
          </w:p>
        </w:tc>
        <w:tc>
          <w:tcPr>
            <w:tcW w:w="2942" w:type="dxa"/>
            <w:gridSpan w:val="3"/>
            <w:tcBorders>
              <w:right w:val="single" w:color="000000" w:sz="6" w:space="0"/>
            </w:tcBorders>
            <w:vAlign w:val="top"/>
          </w:tcPr>
          <w:p w14:paraId="541C1C0B">
            <w:pPr>
              <w:spacing w:before="155" w:line="232" w:lineRule="auto"/>
              <w:ind w:left="968"/>
              <w:rPr>
                <w:rFonts w:ascii="Times New Roman" w:hAnsi="Times New Roman" w:eastAsia="Times New Roman" w:cs="Times New Roman"/>
                <w:sz w:val="21"/>
                <w:szCs w:val="21"/>
              </w:rPr>
            </w:pPr>
            <w:r>
              <w:rPr>
                <w:rFonts w:ascii="Times New Roman" w:hAnsi="Times New Roman" w:eastAsia="Times New Roman" w:cs="Times New Roman"/>
                <w:spacing w:val="-11"/>
                <w:sz w:val="21"/>
                <w:szCs w:val="21"/>
              </w:rPr>
              <w:t>186</w:t>
            </w:r>
            <w:r>
              <w:rPr>
                <w:rFonts w:hint="eastAsia" w:ascii="Times New Roman" w:hAnsi="Times New Roman" w:eastAsia="宋体" w:cs="Times New Roman"/>
                <w:spacing w:val="-11"/>
                <w:sz w:val="21"/>
                <w:szCs w:val="21"/>
                <w:lang w:val="en-US" w:eastAsia="zh-CN"/>
              </w:rPr>
              <w:t>****</w:t>
            </w:r>
            <w:r>
              <w:rPr>
                <w:rFonts w:ascii="Times New Roman" w:hAnsi="Times New Roman" w:eastAsia="Times New Roman" w:cs="Times New Roman"/>
                <w:spacing w:val="-11"/>
                <w:sz w:val="21"/>
                <w:szCs w:val="21"/>
              </w:rPr>
              <w:t>8962</w:t>
            </w:r>
          </w:p>
        </w:tc>
      </w:tr>
      <w:tr w14:paraId="5FBF8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714" w:type="dxa"/>
            <w:tcBorders>
              <w:left w:val="single" w:color="000000" w:sz="6" w:space="0"/>
            </w:tcBorders>
            <w:vAlign w:val="top"/>
          </w:tcPr>
          <w:p w14:paraId="30DBFE84">
            <w:pPr>
              <w:pStyle w:val="6"/>
              <w:spacing w:before="131" w:line="221" w:lineRule="auto"/>
              <w:ind w:left="437"/>
            </w:pPr>
            <w:r>
              <w:rPr>
                <w:spacing w:val="-3"/>
              </w:rPr>
              <w:t>建设地点</w:t>
            </w:r>
          </w:p>
        </w:tc>
        <w:tc>
          <w:tcPr>
            <w:tcW w:w="7161" w:type="dxa"/>
            <w:gridSpan w:val="8"/>
            <w:tcBorders>
              <w:right w:val="single" w:color="000000" w:sz="6" w:space="0"/>
            </w:tcBorders>
            <w:vAlign w:val="top"/>
          </w:tcPr>
          <w:p w14:paraId="30CD8544">
            <w:pPr>
              <w:pStyle w:val="6"/>
              <w:spacing w:before="131" w:line="219" w:lineRule="auto"/>
              <w:ind w:left="658"/>
            </w:pPr>
            <w:r>
              <w:rPr>
                <w:spacing w:val="-1"/>
                <w:u w:val="single" w:color="auto"/>
              </w:rPr>
              <w:t>四川</w:t>
            </w:r>
            <w:r>
              <w:rPr>
                <w:spacing w:val="-1"/>
              </w:rPr>
              <w:t>省</w:t>
            </w:r>
            <w:r>
              <w:rPr>
                <w:spacing w:val="-1"/>
                <w:u w:val="single" w:color="auto"/>
              </w:rPr>
              <w:t>达州</w:t>
            </w:r>
            <w:r>
              <w:rPr>
                <w:spacing w:val="-1"/>
              </w:rPr>
              <w:t>市</w:t>
            </w:r>
            <w:r>
              <w:rPr>
                <w:spacing w:val="-1"/>
                <w:u w:val="single" w:color="auto"/>
              </w:rPr>
              <w:t>通川</w:t>
            </w:r>
            <w:r>
              <w:rPr>
                <w:spacing w:val="-1"/>
              </w:rPr>
              <w:t>区</w:t>
            </w:r>
            <w:r>
              <w:rPr>
                <w:spacing w:val="-1"/>
                <w:u w:val="single" w:color="auto"/>
              </w:rPr>
              <w:t>东岳新型工业集聚区（亚飞钢化玻璃厂区）</w:t>
            </w:r>
          </w:p>
        </w:tc>
      </w:tr>
      <w:tr w14:paraId="7DBDF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14" w:type="dxa"/>
            <w:tcBorders>
              <w:left w:val="single" w:color="000000" w:sz="6" w:space="0"/>
            </w:tcBorders>
            <w:vAlign w:val="top"/>
          </w:tcPr>
          <w:p w14:paraId="57659D02">
            <w:pPr>
              <w:pStyle w:val="6"/>
              <w:spacing w:before="132" w:line="220" w:lineRule="auto"/>
              <w:ind w:left="435"/>
            </w:pPr>
            <w:r>
              <w:rPr>
                <w:spacing w:val="-2"/>
              </w:rPr>
              <w:t>地理坐标</w:t>
            </w:r>
          </w:p>
        </w:tc>
        <w:tc>
          <w:tcPr>
            <w:tcW w:w="7161" w:type="dxa"/>
            <w:gridSpan w:val="8"/>
            <w:tcBorders>
              <w:right w:val="single" w:color="000000" w:sz="6" w:space="0"/>
            </w:tcBorders>
            <w:vAlign w:val="top"/>
          </w:tcPr>
          <w:p w14:paraId="4E412462">
            <w:pPr>
              <w:pStyle w:val="6"/>
              <w:spacing w:before="132" w:line="234" w:lineRule="auto"/>
              <w:ind w:left="961"/>
            </w:pPr>
            <w:r>
              <w:rPr>
                <w:spacing w:val="-4"/>
              </w:rPr>
              <w:t>（</w:t>
            </w:r>
            <w:r>
              <w:rPr>
                <w:rFonts w:ascii="Times New Roman" w:hAnsi="Times New Roman" w:eastAsia="Times New Roman" w:cs="Times New Roman"/>
                <w:spacing w:val="14"/>
                <w:u w:val="single" w:color="auto"/>
              </w:rPr>
              <w:t xml:space="preserve">  </w:t>
            </w:r>
            <w:r>
              <w:rPr>
                <w:rFonts w:ascii="Times New Roman" w:hAnsi="Times New Roman" w:eastAsia="Times New Roman" w:cs="Times New Roman"/>
                <w:spacing w:val="-4"/>
                <w:u w:val="single" w:color="auto"/>
              </w:rPr>
              <w:t xml:space="preserve">107  </w:t>
            </w:r>
            <w:r>
              <w:rPr>
                <w:spacing w:val="-4"/>
              </w:rPr>
              <w:t>度</w:t>
            </w:r>
            <w:r>
              <w:rPr>
                <w:rFonts w:ascii="Times New Roman" w:hAnsi="Times New Roman" w:eastAsia="Times New Roman" w:cs="Times New Roman"/>
                <w:spacing w:val="-4"/>
                <w:u w:val="single" w:color="auto"/>
              </w:rPr>
              <w:t xml:space="preserve">  29  </w:t>
            </w:r>
            <w:r>
              <w:rPr>
                <w:spacing w:val="-4"/>
              </w:rPr>
              <w:t>分</w:t>
            </w:r>
            <w:r>
              <w:rPr>
                <w:rFonts w:ascii="Times New Roman" w:hAnsi="Times New Roman" w:eastAsia="Times New Roman" w:cs="Times New Roman"/>
                <w:spacing w:val="-4"/>
                <w:u w:val="single" w:color="auto"/>
              </w:rPr>
              <w:t xml:space="preserve">   19.342  </w:t>
            </w:r>
            <w:r>
              <w:rPr>
                <w:spacing w:val="-4"/>
              </w:rPr>
              <w:t>秒，</w:t>
            </w:r>
            <w:r>
              <w:rPr>
                <w:rFonts w:ascii="Times New Roman" w:hAnsi="Times New Roman" w:eastAsia="Times New Roman" w:cs="Times New Roman"/>
                <w:spacing w:val="-4"/>
                <w:u w:val="single" w:color="auto"/>
              </w:rPr>
              <w:t xml:space="preserve">  31</w:t>
            </w:r>
            <w:r>
              <w:rPr>
                <w:rFonts w:ascii="Times New Roman" w:hAnsi="Times New Roman" w:eastAsia="Times New Roman" w:cs="Times New Roman"/>
                <w:spacing w:val="3"/>
                <w:u w:val="single" w:color="auto"/>
              </w:rPr>
              <w:t xml:space="preserve">  </w:t>
            </w:r>
            <w:r>
              <w:rPr>
                <w:spacing w:val="-4"/>
              </w:rPr>
              <w:t>度</w:t>
            </w:r>
            <w:r>
              <w:rPr>
                <w:rFonts w:ascii="Times New Roman" w:hAnsi="Times New Roman" w:eastAsia="Times New Roman" w:cs="Times New Roman"/>
                <w:spacing w:val="-4"/>
                <w:u w:val="single" w:color="auto"/>
              </w:rPr>
              <w:t xml:space="preserve">   19  </w:t>
            </w:r>
            <w:r>
              <w:rPr>
                <w:spacing w:val="-4"/>
              </w:rPr>
              <w:t>分</w:t>
            </w:r>
            <w:r>
              <w:rPr>
                <w:rFonts w:ascii="Times New Roman" w:hAnsi="Times New Roman" w:eastAsia="Times New Roman" w:cs="Times New Roman"/>
                <w:spacing w:val="-4"/>
                <w:u w:val="single" w:color="auto"/>
              </w:rPr>
              <w:t xml:space="preserve">   17.468  </w:t>
            </w:r>
            <w:r>
              <w:rPr>
                <w:spacing w:val="-4"/>
              </w:rPr>
              <w:t>秒）</w:t>
            </w:r>
          </w:p>
        </w:tc>
      </w:tr>
      <w:tr w14:paraId="47778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1714" w:type="dxa"/>
            <w:tcBorders>
              <w:left w:val="single" w:color="000000" w:sz="6" w:space="0"/>
            </w:tcBorders>
            <w:vAlign w:val="top"/>
          </w:tcPr>
          <w:p w14:paraId="355A6B75">
            <w:pPr>
              <w:pStyle w:val="6"/>
              <w:spacing w:before="184" w:line="220" w:lineRule="auto"/>
              <w:ind w:left="455"/>
            </w:pPr>
            <w:r>
              <w:rPr>
                <w:spacing w:val="-6"/>
              </w:rPr>
              <w:t>国民经济</w:t>
            </w:r>
          </w:p>
          <w:p w14:paraId="5163F6BE">
            <w:pPr>
              <w:pStyle w:val="6"/>
              <w:spacing w:before="21" w:line="220" w:lineRule="auto"/>
              <w:ind w:left="438"/>
            </w:pPr>
            <w:r>
              <w:rPr>
                <w:spacing w:val="-3"/>
              </w:rPr>
              <w:t>行业类别</w:t>
            </w:r>
          </w:p>
        </w:tc>
        <w:tc>
          <w:tcPr>
            <w:tcW w:w="2327" w:type="dxa"/>
            <w:gridSpan w:val="3"/>
            <w:vAlign w:val="top"/>
          </w:tcPr>
          <w:p w14:paraId="7002B31A">
            <w:pPr>
              <w:pStyle w:val="6"/>
              <w:spacing w:before="183" w:line="234" w:lineRule="auto"/>
              <w:ind w:left="50"/>
            </w:pPr>
            <w:r>
              <w:rPr>
                <w:rFonts w:ascii="Times New Roman" w:hAnsi="Times New Roman" w:eastAsia="Times New Roman" w:cs="Times New Roman"/>
                <w:spacing w:val="-1"/>
              </w:rPr>
              <w:t xml:space="preserve">2542  </w:t>
            </w:r>
            <w:r>
              <w:rPr>
                <w:spacing w:val="-1"/>
              </w:rPr>
              <w:t>生物质致密成型燃</w:t>
            </w:r>
          </w:p>
          <w:p w14:paraId="450F9C3C">
            <w:pPr>
              <w:pStyle w:val="6"/>
              <w:spacing w:before="6" w:line="220" w:lineRule="auto"/>
              <w:ind w:left="841"/>
            </w:pPr>
            <w:r>
              <w:rPr>
                <w:spacing w:val="-2"/>
              </w:rPr>
              <w:t>料加工</w:t>
            </w:r>
          </w:p>
        </w:tc>
        <w:tc>
          <w:tcPr>
            <w:tcW w:w="1892" w:type="dxa"/>
            <w:gridSpan w:val="2"/>
            <w:vAlign w:val="top"/>
          </w:tcPr>
          <w:p w14:paraId="3CFC81E8">
            <w:pPr>
              <w:pStyle w:val="6"/>
              <w:spacing w:before="184" w:line="220" w:lineRule="auto"/>
              <w:ind w:left="544"/>
            </w:pPr>
            <w:r>
              <w:rPr>
                <w:spacing w:val="-3"/>
              </w:rPr>
              <w:t>建设项目</w:t>
            </w:r>
          </w:p>
          <w:p w14:paraId="07BFBAC3">
            <w:pPr>
              <w:pStyle w:val="6"/>
              <w:spacing w:before="21" w:line="220" w:lineRule="auto"/>
              <w:ind w:left="545"/>
            </w:pPr>
            <w:r>
              <w:rPr>
                <w:spacing w:val="-3"/>
              </w:rPr>
              <w:t>行业类别</w:t>
            </w:r>
          </w:p>
        </w:tc>
        <w:tc>
          <w:tcPr>
            <w:tcW w:w="2942" w:type="dxa"/>
            <w:gridSpan w:val="3"/>
            <w:tcBorders>
              <w:right w:val="single" w:color="000000" w:sz="6" w:space="0"/>
            </w:tcBorders>
            <w:vAlign w:val="top"/>
          </w:tcPr>
          <w:p w14:paraId="71F6D322">
            <w:pPr>
              <w:pStyle w:val="6"/>
              <w:spacing w:before="48" w:line="220" w:lineRule="auto"/>
              <w:ind w:left="60"/>
            </w:pPr>
            <w:r>
              <w:rPr>
                <w:spacing w:val="-2"/>
              </w:rPr>
              <w:t>二十二 石油、煤炭及其他燃料</w:t>
            </w:r>
          </w:p>
          <w:p w14:paraId="198C0866">
            <w:pPr>
              <w:pStyle w:val="6"/>
              <w:spacing w:before="22" w:line="233" w:lineRule="auto"/>
              <w:ind w:left="31"/>
            </w:pPr>
            <w:r>
              <w:rPr>
                <w:spacing w:val="-2"/>
              </w:rPr>
              <w:t xml:space="preserve">加工业  </w:t>
            </w:r>
            <w:r>
              <w:rPr>
                <w:rFonts w:ascii="Times New Roman" w:hAnsi="Times New Roman" w:eastAsia="Times New Roman" w:cs="Times New Roman"/>
                <w:spacing w:val="-2"/>
              </w:rPr>
              <w:t xml:space="preserve">43 </w:t>
            </w:r>
            <w:r>
              <w:rPr>
                <w:spacing w:val="-2"/>
              </w:rPr>
              <w:t>条</w:t>
            </w:r>
            <w:r>
              <w:rPr>
                <w:spacing w:val="23"/>
              </w:rPr>
              <w:t xml:space="preserve"> </w:t>
            </w:r>
            <w:r>
              <w:rPr>
                <w:spacing w:val="-2"/>
              </w:rPr>
              <w:t>生物质致密成型</w:t>
            </w:r>
          </w:p>
          <w:p w14:paraId="45006944">
            <w:pPr>
              <w:pStyle w:val="6"/>
              <w:spacing w:before="6" w:line="207" w:lineRule="auto"/>
              <w:ind w:left="872"/>
              <w:rPr>
                <w:rFonts w:ascii="Times New Roman" w:hAnsi="Times New Roman" w:eastAsia="Times New Roman" w:cs="Times New Roman"/>
              </w:rPr>
            </w:pPr>
            <w:r>
              <w:rPr>
                <w:spacing w:val="-2"/>
              </w:rPr>
              <w:t>燃料加工</w:t>
            </w:r>
            <w:r>
              <w:rPr>
                <w:spacing w:val="-47"/>
              </w:rPr>
              <w:t xml:space="preserve"> </w:t>
            </w:r>
            <w:r>
              <w:rPr>
                <w:rFonts w:ascii="Times New Roman" w:hAnsi="Times New Roman" w:eastAsia="Times New Roman" w:cs="Times New Roman"/>
                <w:spacing w:val="-2"/>
              </w:rPr>
              <w:t>254</w:t>
            </w:r>
          </w:p>
        </w:tc>
      </w:tr>
      <w:tr w14:paraId="705E4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5" w:hRule="atLeast"/>
        </w:trPr>
        <w:tc>
          <w:tcPr>
            <w:tcW w:w="1714" w:type="dxa"/>
            <w:tcBorders>
              <w:left w:val="single" w:color="000000" w:sz="6" w:space="0"/>
            </w:tcBorders>
            <w:vAlign w:val="top"/>
          </w:tcPr>
          <w:p w14:paraId="54EE612A">
            <w:pPr>
              <w:spacing w:line="409" w:lineRule="auto"/>
              <w:rPr>
                <w:rFonts w:ascii="Arial"/>
                <w:sz w:val="21"/>
              </w:rPr>
            </w:pPr>
          </w:p>
          <w:p w14:paraId="5D967253">
            <w:pPr>
              <w:pStyle w:val="6"/>
              <w:spacing w:before="68" w:line="220" w:lineRule="auto"/>
              <w:ind w:left="437"/>
            </w:pPr>
            <w:r>
              <w:rPr>
                <w:spacing w:val="-3"/>
              </w:rPr>
              <w:t>建设性质</w:t>
            </w:r>
          </w:p>
        </w:tc>
        <w:tc>
          <w:tcPr>
            <w:tcW w:w="2327" w:type="dxa"/>
            <w:gridSpan w:val="3"/>
            <w:vAlign w:val="top"/>
          </w:tcPr>
          <w:p w14:paraId="6251420C">
            <w:pPr>
              <w:pStyle w:val="6"/>
              <w:spacing w:before="71" w:line="239" w:lineRule="auto"/>
              <w:ind w:left="14" w:right="784"/>
              <w:rPr>
                <w:spacing w:val="-9"/>
              </w:rPr>
            </w:pPr>
            <w:r>
              <w:rPr>
                <w:rFonts w:hint="eastAsia" w:ascii="MS Gothic" w:hAnsi="MS Gothic" w:cs="MS Gothic"/>
                <w:spacing w:val="-14"/>
                <w:lang w:eastAsia="zh-CN"/>
              </w:rPr>
              <w:t>☑</w:t>
            </w:r>
            <w:r>
              <w:rPr>
                <w:rFonts w:ascii="MS Gothic" w:hAnsi="MS Gothic" w:eastAsia="MS Gothic" w:cs="MS Gothic"/>
                <w:spacing w:val="-9"/>
              </w:rPr>
              <w:t xml:space="preserve"> </w:t>
            </w:r>
            <w:r>
              <w:rPr>
                <w:spacing w:val="-9"/>
              </w:rPr>
              <w:t>新建（迁建）</w:t>
            </w:r>
          </w:p>
          <w:p w14:paraId="3DCDAB9C">
            <w:pPr>
              <w:pStyle w:val="6"/>
              <w:spacing w:before="71" w:line="239" w:lineRule="auto"/>
              <w:ind w:left="14" w:right="784"/>
            </w:pPr>
            <w:r>
              <w:rPr>
                <w:rFonts w:hint="eastAsia" w:ascii="MS Gothic" w:hAnsi="MS Gothic" w:cs="MS Gothic"/>
                <w:spacing w:val="-14"/>
                <w:lang w:eastAsia="zh-CN"/>
              </w:rPr>
              <w:t>□</w:t>
            </w:r>
            <w:r>
              <w:rPr>
                <w:spacing w:val="-14"/>
              </w:rPr>
              <w:t>改建</w:t>
            </w:r>
          </w:p>
          <w:p w14:paraId="5F3C5AEC">
            <w:pPr>
              <w:pStyle w:val="6"/>
              <w:spacing w:line="220" w:lineRule="auto"/>
              <w:ind w:left="14"/>
            </w:pPr>
            <w:r>
              <w:rPr>
                <w:rFonts w:ascii="MS Gothic" w:hAnsi="MS Gothic" w:eastAsia="MS Gothic" w:cs="MS Gothic"/>
                <w:spacing w:val="-14"/>
              </w:rPr>
              <w:t>□</w:t>
            </w:r>
            <w:r>
              <w:rPr>
                <w:spacing w:val="-14"/>
              </w:rPr>
              <w:t>扩建</w:t>
            </w:r>
          </w:p>
          <w:p w14:paraId="6DD379DB">
            <w:pPr>
              <w:pStyle w:val="6"/>
              <w:spacing w:before="21" w:line="220" w:lineRule="auto"/>
              <w:ind w:left="14"/>
            </w:pPr>
            <w:r>
              <w:rPr>
                <w:rFonts w:ascii="MS Gothic" w:hAnsi="MS Gothic" w:eastAsia="MS Gothic" w:cs="MS Gothic"/>
                <w:spacing w:val="-9"/>
              </w:rPr>
              <w:t>□</w:t>
            </w:r>
            <w:r>
              <w:rPr>
                <w:spacing w:val="-9"/>
              </w:rPr>
              <w:t>技术改造</w:t>
            </w:r>
          </w:p>
        </w:tc>
        <w:tc>
          <w:tcPr>
            <w:tcW w:w="1892" w:type="dxa"/>
            <w:gridSpan w:val="2"/>
            <w:vAlign w:val="top"/>
          </w:tcPr>
          <w:p w14:paraId="7033A9FB">
            <w:pPr>
              <w:spacing w:line="273" w:lineRule="auto"/>
              <w:rPr>
                <w:rFonts w:ascii="Arial"/>
                <w:sz w:val="21"/>
              </w:rPr>
            </w:pPr>
          </w:p>
          <w:p w14:paraId="7B2F0D08">
            <w:pPr>
              <w:pStyle w:val="6"/>
              <w:spacing w:before="68" w:line="220" w:lineRule="auto"/>
              <w:ind w:left="544"/>
            </w:pPr>
            <w:r>
              <w:rPr>
                <w:spacing w:val="-3"/>
              </w:rPr>
              <w:t>建设项目</w:t>
            </w:r>
          </w:p>
          <w:p w14:paraId="49769764">
            <w:pPr>
              <w:pStyle w:val="6"/>
              <w:spacing w:before="21" w:line="220" w:lineRule="auto"/>
              <w:ind w:left="568"/>
            </w:pPr>
            <w:r>
              <w:rPr>
                <w:spacing w:val="-7"/>
              </w:rPr>
              <w:t>申报情形</w:t>
            </w:r>
          </w:p>
        </w:tc>
        <w:tc>
          <w:tcPr>
            <w:tcW w:w="2942" w:type="dxa"/>
            <w:gridSpan w:val="3"/>
            <w:tcBorders>
              <w:right w:val="single" w:color="000000" w:sz="6" w:space="0"/>
            </w:tcBorders>
            <w:vAlign w:val="top"/>
          </w:tcPr>
          <w:p w14:paraId="491097F5">
            <w:pPr>
              <w:pStyle w:val="6"/>
              <w:spacing w:before="48" w:line="220" w:lineRule="auto"/>
              <w:ind w:left="22"/>
            </w:pPr>
            <w:r>
              <w:rPr>
                <w:rFonts w:hint="eastAsia" w:ascii="Segoe UI Symbol" w:hAnsi="Segoe UI Symbol" w:cs="Segoe UI Symbol"/>
                <w:spacing w:val="-2"/>
                <w:lang w:eastAsia="zh-CN"/>
              </w:rPr>
              <w:t>☑</w:t>
            </w:r>
            <w:r>
              <w:rPr>
                <w:spacing w:val="-6"/>
              </w:rPr>
              <w:t>首次申报项目</w:t>
            </w:r>
          </w:p>
          <w:p w14:paraId="207B21CD">
            <w:pPr>
              <w:pStyle w:val="6"/>
              <w:spacing w:before="38" w:line="220" w:lineRule="auto"/>
              <w:ind w:left="22"/>
            </w:pPr>
            <w:r>
              <w:rPr>
                <w:rFonts w:hint="eastAsia" w:ascii="Segoe UI Symbol" w:hAnsi="Segoe UI Symbol" w:cs="Segoe UI Symbol"/>
                <w:spacing w:val="-2"/>
                <w:lang w:eastAsia="zh-CN"/>
              </w:rPr>
              <w:t>□</w:t>
            </w:r>
            <w:r>
              <w:rPr>
                <w:spacing w:val="-2"/>
              </w:rPr>
              <w:t>不予批准后再次申报项目</w:t>
            </w:r>
          </w:p>
          <w:p w14:paraId="533DB7DC">
            <w:pPr>
              <w:pStyle w:val="6"/>
              <w:spacing w:before="22" w:line="220" w:lineRule="auto"/>
              <w:ind w:left="22"/>
            </w:pPr>
            <w:r>
              <w:rPr>
                <w:rFonts w:ascii="Segoe UI Symbol" w:hAnsi="Segoe UI Symbol" w:eastAsia="Segoe UI Symbol" w:cs="Segoe UI Symbol"/>
                <w:spacing w:val="-2"/>
              </w:rPr>
              <w:t>□</w:t>
            </w:r>
            <w:r>
              <w:rPr>
                <w:spacing w:val="-2"/>
              </w:rPr>
              <w:t>超五年重新审核项目</w:t>
            </w:r>
          </w:p>
          <w:p w14:paraId="726F99AE">
            <w:pPr>
              <w:pStyle w:val="6"/>
              <w:spacing w:before="24" w:line="193" w:lineRule="auto"/>
              <w:ind w:left="22"/>
            </w:pPr>
            <w:r>
              <w:rPr>
                <w:rFonts w:ascii="Segoe UI Symbol" w:hAnsi="Segoe UI Symbol" w:eastAsia="Segoe UI Symbol" w:cs="Segoe UI Symbol"/>
                <w:spacing w:val="-2"/>
              </w:rPr>
              <w:t>□</w:t>
            </w:r>
            <w:r>
              <w:rPr>
                <w:spacing w:val="-2"/>
              </w:rPr>
              <w:t>重大变动重新报批项目</w:t>
            </w:r>
          </w:p>
        </w:tc>
      </w:tr>
      <w:tr w14:paraId="6F6C6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1714" w:type="dxa"/>
            <w:tcBorders>
              <w:left w:val="single" w:color="000000" w:sz="6" w:space="0"/>
            </w:tcBorders>
            <w:vAlign w:val="top"/>
          </w:tcPr>
          <w:p w14:paraId="0F401472">
            <w:pPr>
              <w:pStyle w:val="6"/>
              <w:spacing w:before="186" w:line="234" w:lineRule="auto"/>
              <w:ind w:left="21" w:firstLine="69"/>
            </w:pPr>
            <w:r>
              <w:rPr>
                <w:spacing w:val="-10"/>
              </w:rPr>
              <w:t>项目审批（核准</w:t>
            </w:r>
            <w:r>
              <w:rPr>
                <w:rFonts w:ascii="Times New Roman" w:hAnsi="Times New Roman" w:eastAsia="Times New Roman" w:cs="Times New Roman"/>
                <w:spacing w:val="-10"/>
              </w:rPr>
              <w:t>/</w:t>
            </w:r>
            <w:r>
              <w:rPr>
                <w:rFonts w:ascii="Times New Roman" w:hAnsi="Times New Roman" w:eastAsia="Times New Roman" w:cs="Times New Roman"/>
                <w:spacing w:val="1"/>
              </w:rPr>
              <w:t xml:space="preserve">    </w:t>
            </w:r>
            <w:r>
              <w:rPr>
                <w:spacing w:val="-24"/>
              </w:rPr>
              <w:t>备案）部门（选填）</w:t>
            </w:r>
          </w:p>
        </w:tc>
        <w:tc>
          <w:tcPr>
            <w:tcW w:w="2327" w:type="dxa"/>
            <w:gridSpan w:val="3"/>
            <w:vAlign w:val="top"/>
          </w:tcPr>
          <w:p w14:paraId="51F8B054">
            <w:pPr>
              <w:spacing w:line="251" w:lineRule="auto"/>
              <w:rPr>
                <w:rFonts w:ascii="Arial"/>
                <w:sz w:val="21"/>
              </w:rPr>
            </w:pPr>
          </w:p>
          <w:p w14:paraId="4292A972">
            <w:pPr>
              <w:pStyle w:val="6"/>
              <w:spacing w:before="68" w:line="220" w:lineRule="auto"/>
              <w:ind w:left="211"/>
            </w:pPr>
            <w:r>
              <w:rPr>
                <w:spacing w:val="-1"/>
              </w:rPr>
              <w:t>通川区发展和改革局</w:t>
            </w:r>
          </w:p>
        </w:tc>
        <w:tc>
          <w:tcPr>
            <w:tcW w:w="1892" w:type="dxa"/>
            <w:gridSpan w:val="2"/>
            <w:vAlign w:val="top"/>
          </w:tcPr>
          <w:p w14:paraId="5DC513E1">
            <w:pPr>
              <w:pStyle w:val="6"/>
              <w:spacing w:before="185" w:line="235" w:lineRule="auto"/>
              <w:ind w:left="18" w:right="21" w:firstLine="182"/>
            </w:pPr>
            <w:r>
              <w:rPr>
                <w:spacing w:val="-2"/>
              </w:rPr>
              <w:t>项目审批（核准</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spacing w:val="-3"/>
              </w:rPr>
              <w:t>备案）文号（选填）</w:t>
            </w:r>
          </w:p>
        </w:tc>
        <w:tc>
          <w:tcPr>
            <w:tcW w:w="2942" w:type="dxa"/>
            <w:gridSpan w:val="3"/>
            <w:tcBorders>
              <w:right w:val="single" w:color="000000" w:sz="6" w:space="0"/>
            </w:tcBorders>
            <w:vAlign w:val="top"/>
          </w:tcPr>
          <w:p w14:paraId="73DBAD3B">
            <w:pPr>
              <w:pStyle w:val="6"/>
              <w:spacing w:before="48" w:line="220" w:lineRule="auto"/>
              <w:ind w:left="1060"/>
            </w:pPr>
            <w:r>
              <w:rPr>
                <w:spacing w:val="-3"/>
              </w:rPr>
              <w:t>川投资备</w:t>
            </w:r>
          </w:p>
          <w:p w14:paraId="5236ADCC">
            <w:pPr>
              <w:pStyle w:val="6"/>
              <w:spacing w:before="21" w:line="223" w:lineRule="auto"/>
              <w:ind w:left="813" w:right="69" w:hanging="744"/>
            </w:pPr>
            <w:r>
              <w:rPr>
                <w:spacing w:val="-1"/>
              </w:rPr>
              <w:t>【</w:t>
            </w:r>
            <w:r>
              <w:rPr>
                <w:rFonts w:ascii="Times New Roman" w:hAnsi="Times New Roman" w:eastAsia="Times New Roman" w:cs="Times New Roman"/>
                <w:spacing w:val="-1"/>
              </w:rPr>
              <w:t>2506-511702-04-01-873140</w:t>
            </w:r>
            <w:r>
              <w:rPr>
                <w:spacing w:val="-1"/>
              </w:rPr>
              <w:t>】</w:t>
            </w:r>
            <w:r>
              <w:rPr>
                <w:spacing w:val="18"/>
              </w:rPr>
              <w:t xml:space="preserve"> </w:t>
            </w:r>
            <w:r>
              <w:rPr>
                <w:rFonts w:ascii="Times New Roman" w:hAnsi="Times New Roman" w:eastAsia="Times New Roman" w:cs="Times New Roman"/>
                <w:spacing w:val="-1"/>
              </w:rPr>
              <w:t>FGQB-0613</w:t>
            </w:r>
            <w:r>
              <w:rPr>
                <w:rFonts w:ascii="Times New Roman" w:hAnsi="Times New Roman" w:eastAsia="Times New Roman" w:cs="Times New Roman"/>
                <w:spacing w:val="19"/>
              </w:rPr>
              <w:t xml:space="preserve"> </w:t>
            </w:r>
            <w:r>
              <w:rPr>
                <w:spacing w:val="-1"/>
              </w:rPr>
              <w:t>号</w:t>
            </w:r>
          </w:p>
        </w:tc>
      </w:tr>
      <w:tr w14:paraId="290AF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714" w:type="dxa"/>
            <w:tcBorders>
              <w:left w:val="single" w:color="000000" w:sz="6" w:space="0"/>
            </w:tcBorders>
            <w:vAlign w:val="top"/>
          </w:tcPr>
          <w:p w14:paraId="1DA55231">
            <w:pPr>
              <w:pStyle w:val="6"/>
              <w:spacing w:before="161" w:line="220" w:lineRule="auto"/>
              <w:ind w:left="126"/>
            </w:pPr>
            <w:r>
              <w:rPr>
                <w:spacing w:val="-4"/>
              </w:rPr>
              <w:t>总投资（万元）</w:t>
            </w:r>
          </w:p>
        </w:tc>
        <w:tc>
          <w:tcPr>
            <w:tcW w:w="2327" w:type="dxa"/>
            <w:gridSpan w:val="3"/>
            <w:vAlign w:val="top"/>
          </w:tcPr>
          <w:p w14:paraId="2014ECA0">
            <w:pPr>
              <w:spacing w:before="196" w:line="232" w:lineRule="auto"/>
              <w:ind w:left="811"/>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2000.00</w:t>
            </w:r>
          </w:p>
        </w:tc>
        <w:tc>
          <w:tcPr>
            <w:tcW w:w="1892" w:type="dxa"/>
            <w:gridSpan w:val="2"/>
            <w:vAlign w:val="top"/>
          </w:tcPr>
          <w:p w14:paraId="776F211F">
            <w:pPr>
              <w:pStyle w:val="6"/>
              <w:spacing w:before="161" w:line="220" w:lineRule="auto"/>
              <w:ind w:left="122"/>
            </w:pPr>
            <w:r>
              <w:rPr>
                <w:spacing w:val="-3"/>
              </w:rPr>
              <w:t>环保投资（万元）</w:t>
            </w:r>
          </w:p>
        </w:tc>
        <w:tc>
          <w:tcPr>
            <w:tcW w:w="2942" w:type="dxa"/>
            <w:gridSpan w:val="3"/>
            <w:tcBorders>
              <w:right w:val="single" w:color="000000" w:sz="6" w:space="0"/>
            </w:tcBorders>
            <w:vAlign w:val="top"/>
          </w:tcPr>
          <w:p w14:paraId="53FCD3B1">
            <w:pPr>
              <w:spacing w:before="196" w:line="232" w:lineRule="auto"/>
              <w:ind w:left="123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93.50</w:t>
            </w:r>
          </w:p>
        </w:tc>
      </w:tr>
      <w:tr w14:paraId="08527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714" w:type="dxa"/>
            <w:tcBorders>
              <w:left w:val="single" w:color="000000" w:sz="6" w:space="0"/>
            </w:tcBorders>
            <w:vAlign w:val="top"/>
          </w:tcPr>
          <w:p w14:paraId="001E5735">
            <w:pPr>
              <w:pStyle w:val="6"/>
              <w:spacing w:before="162" w:line="234" w:lineRule="auto"/>
              <w:jc w:val="right"/>
            </w:pPr>
            <w:r>
              <w:rPr>
                <w:spacing w:val="-19"/>
              </w:rPr>
              <w:t>环保投资占比（</w:t>
            </w:r>
            <w:r>
              <w:rPr>
                <w:rFonts w:ascii="Times New Roman" w:hAnsi="Times New Roman" w:eastAsia="Times New Roman" w:cs="Times New Roman"/>
                <w:spacing w:val="-19"/>
              </w:rPr>
              <w:t>%</w:t>
            </w:r>
            <w:r>
              <w:rPr>
                <w:spacing w:val="-19"/>
              </w:rPr>
              <w:t>）</w:t>
            </w:r>
          </w:p>
        </w:tc>
        <w:tc>
          <w:tcPr>
            <w:tcW w:w="2327" w:type="dxa"/>
            <w:gridSpan w:val="3"/>
            <w:vAlign w:val="top"/>
          </w:tcPr>
          <w:p w14:paraId="515527A6">
            <w:pPr>
              <w:spacing w:before="197" w:line="229" w:lineRule="auto"/>
              <w:ind w:left="88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4.67%</w:t>
            </w:r>
          </w:p>
        </w:tc>
        <w:tc>
          <w:tcPr>
            <w:tcW w:w="1892" w:type="dxa"/>
            <w:gridSpan w:val="2"/>
            <w:vAlign w:val="top"/>
          </w:tcPr>
          <w:p w14:paraId="1DF2227D">
            <w:pPr>
              <w:pStyle w:val="6"/>
              <w:spacing w:before="162" w:line="220" w:lineRule="auto"/>
              <w:ind w:left="542"/>
            </w:pPr>
            <w:r>
              <w:rPr>
                <w:spacing w:val="-2"/>
              </w:rPr>
              <w:t>施工工期</w:t>
            </w:r>
          </w:p>
        </w:tc>
        <w:tc>
          <w:tcPr>
            <w:tcW w:w="2942" w:type="dxa"/>
            <w:gridSpan w:val="3"/>
            <w:tcBorders>
              <w:right w:val="single" w:color="000000" w:sz="6" w:space="0"/>
            </w:tcBorders>
            <w:vAlign w:val="top"/>
          </w:tcPr>
          <w:p w14:paraId="5EF81DD2">
            <w:pPr>
              <w:pStyle w:val="6"/>
              <w:spacing w:before="162" w:line="233" w:lineRule="auto"/>
              <w:ind w:left="1182"/>
            </w:pPr>
            <w:r>
              <w:rPr>
                <w:rFonts w:ascii="Times New Roman" w:hAnsi="Times New Roman" w:eastAsia="Times New Roman" w:cs="Times New Roman"/>
                <w:spacing w:val="-3"/>
              </w:rPr>
              <w:t>2</w:t>
            </w:r>
            <w:r>
              <w:rPr>
                <w:rFonts w:ascii="Times New Roman" w:hAnsi="Times New Roman" w:eastAsia="Times New Roman" w:cs="Times New Roman"/>
                <w:spacing w:val="9"/>
              </w:rPr>
              <w:t xml:space="preserve"> </w:t>
            </w:r>
            <w:r>
              <w:rPr>
                <w:spacing w:val="-3"/>
              </w:rPr>
              <w:t>个月</w:t>
            </w:r>
          </w:p>
        </w:tc>
      </w:tr>
      <w:tr w14:paraId="1DC31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714" w:type="dxa"/>
            <w:tcBorders>
              <w:left w:val="single" w:color="000000" w:sz="6" w:space="0"/>
            </w:tcBorders>
            <w:vAlign w:val="top"/>
          </w:tcPr>
          <w:p w14:paraId="57B6FF94">
            <w:pPr>
              <w:pStyle w:val="6"/>
              <w:spacing w:before="186" w:line="220" w:lineRule="auto"/>
              <w:ind w:left="228"/>
            </w:pPr>
            <w:r>
              <w:rPr>
                <w:spacing w:val="-2"/>
              </w:rPr>
              <w:t>是否开工建设</w:t>
            </w:r>
          </w:p>
        </w:tc>
        <w:tc>
          <w:tcPr>
            <w:tcW w:w="2327" w:type="dxa"/>
            <w:gridSpan w:val="3"/>
            <w:vAlign w:val="top"/>
          </w:tcPr>
          <w:p w14:paraId="1A8FFF50">
            <w:pPr>
              <w:pStyle w:val="6"/>
              <w:spacing w:before="49" w:line="220" w:lineRule="auto"/>
              <w:ind w:left="224"/>
            </w:pPr>
            <w:r>
              <w:rPr>
                <w:rFonts w:hint="eastAsia" w:ascii="MS Gothic" w:hAnsi="MS Gothic" w:cs="MS Gothic"/>
                <w:spacing w:val="-21"/>
                <w:lang w:eastAsia="zh-CN"/>
              </w:rPr>
              <w:t>☑</w:t>
            </w:r>
            <w:r>
              <w:rPr>
                <w:spacing w:val="-21"/>
              </w:rPr>
              <w:t>否</w:t>
            </w:r>
          </w:p>
          <w:p w14:paraId="1FEBBCD0">
            <w:pPr>
              <w:pStyle w:val="6"/>
              <w:spacing w:before="21" w:line="205" w:lineRule="auto"/>
              <w:ind w:left="224"/>
            </w:pPr>
            <w:r>
              <w:rPr>
                <w:rFonts w:ascii="MS Gothic" w:hAnsi="MS Gothic" w:eastAsia="MS Gothic" w:cs="MS Gothic"/>
                <w:spacing w:val="-21"/>
              </w:rPr>
              <w:t>□</w:t>
            </w:r>
            <w:r>
              <w:rPr>
                <w:spacing w:val="-21"/>
              </w:rPr>
              <w:t>是</w:t>
            </w:r>
          </w:p>
        </w:tc>
        <w:tc>
          <w:tcPr>
            <w:tcW w:w="1892" w:type="dxa"/>
            <w:gridSpan w:val="2"/>
            <w:vAlign w:val="top"/>
          </w:tcPr>
          <w:p w14:paraId="594AD020">
            <w:pPr>
              <w:pStyle w:val="6"/>
              <w:spacing w:before="49" w:line="221" w:lineRule="auto"/>
              <w:ind w:left="370"/>
            </w:pPr>
            <w:r>
              <w:rPr>
                <w:spacing w:val="-12"/>
              </w:rPr>
              <w:t>用地（用海）</w:t>
            </w:r>
          </w:p>
          <w:p w14:paraId="018707ED">
            <w:pPr>
              <w:pStyle w:val="6"/>
              <w:spacing w:before="21" w:line="205" w:lineRule="auto"/>
              <w:ind w:left="457"/>
            </w:pPr>
            <w:r>
              <w:rPr>
                <w:spacing w:val="-9"/>
              </w:rPr>
              <w:t>面积（</w:t>
            </w:r>
            <w:r>
              <w:rPr>
                <w:rFonts w:ascii="Times New Roman" w:hAnsi="Times New Roman" w:eastAsia="Times New Roman" w:cs="Times New Roman"/>
                <w:spacing w:val="-9"/>
              </w:rPr>
              <w:t>m</w:t>
            </w:r>
            <w:r>
              <w:rPr>
                <w:rFonts w:ascii="Times New Roman" w:hAnsi="Times New Roman" w:eastAsia="Times New Roman" w:cs="Times New Roman"/>
                <w:spacing w:val="-9"/>
                <w:position w:val="7"/>
                <w:sz w:val="14"/>
                <w:szCs w:val="14"/>
              </w:rPr>
              <w:t>2</w:t>
            </w:r>
            <w:r>
              <w:rPr>
                <w:spacing w:val="-9"/>
              </w:rPr>
              <w:t>）</w:t>
            </w:r>
          </w:p>
        </w:tc>
        <w:tc>
          <w:tcPr>
            <w:tcW w:w="2942" w:type="dxa"/>
            <w:gridSpan w:val="3"/>
            <w:tcBorders>
              <w:right w:val="single" w:color="000000" w:sz="6" w:space="0"/>
            </w:tcBorders>
            <w:vAlign w:val="top"/>
          </w:tcPr>
          <w:p w14:paraId="3B619555">
            <w:pPr>
              <w:spacing w:before="221" w:line="232" w:lineRule="auto"/>
              <w:ind w:left="126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7400</w:t>
            </w:r>
          </w:p>
        </w:tc>
      </w:tr>
      <w:tr w14:paraId="17280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1714" w:type="dxa"/>
            <w:vMerge w:val="restart"/>
            <w:tcBorders>
              <w:left w:val="single" w:color="000000" w:sz="6" w:space="0"/>
              <w:bottom w:val="nil"/>
            </w:tcBorders>
            <w:vAlign w:val="top"/>
          </w:tcPr>
          <w:p w14:paraId="0D310CF0">
            <w:pPr>
              <w:spacing w:line="246" w:lineRule="auto"/>
              <w:rPr>
                <w:rFonts w:ascii="Arial"/>
                <w:sz w:val="21"/>
              </w:rPr>
            </w:pPr>
          </w:p>
          <w:p w14:paraId="35874AFC">
            <w:pPr>
              <w:spacing w:line="246" w:lineRule="auto"/>
              <w:rPr>
                <w:rFonts w:ascii="Arial"/>
                <w:sz w:val="21"/>
              </w:rPr>
            </w:pPr>
          </w:p>
          <w:p w14:paraId="2472C46B">
            <w:pPr>
              <w:spacing w:line="246" w:lineRule="auto"/>
              <w:rPr>
                <w:rFonts w:ascii="Arial"/>
                <w:sz w:val="21"/>
              </w:rPr>
            </w:pPr>
          </w:p>
          <w:p w14:paraId="5AE44923">
            <w:pPr>
              <w:spacing w:line="246" w:lineRule="auto"/>
              <w:rPr>
                <w:rFonts w:ascii="Arial"/>
                <w:sz w:val="21"/>
              </w:rPr>
            </w:pPr>
          </w:p>
          <w:p w14:paraId="2A35CFB2">
            <w:pPr>
              <w:spacing w:line="247" w:lineRule="auto"/>
              <w:rPr>
                <w:rFonts w:ascii="Arial"/>
                <w:sz w:val="21"/>
              </w:rPr>
            </w:pPr>
          </w:p>
          <w:p w14:paraId="510896AE">
            <w:pPr>
              <w:spacing w:line="247" w:lineRule="auto"/>
              <w:rPr>
                <w:rFonts w:ascii="Arial"/>
                <w:sz w:val="21"/>
              </w:rPr>
            </w:pPr>
          </w:p>
          <w:p w14:paraId="0235CA3A">
            <w:pPr>
              <w:spacing w:line="247" w:lineRule="auto"/>
              <w:rPr>
                <w:rFonts w:ascii="Arial"/>
                <w:sz w:val="21"/>
              </w:rPr>
            </w:pPr>
          </w:p>
          <w:p w14:paraId="76788F49">
            <w:pPr>
              <w:spacing w:line="247" w:lineRule="auto"/>
              <w:rPr>
                <w:rFonts w:ascii="Arial"/>
                <w:sz w:val="21"/>
              </w:rPr>
            </w:pPr>
          </w:p>
          <w:p w14:paraId="2E2EA90A">
            <w:pPr>
              <w:spacing w:line="247" w:lineRule="auto"/>
              <w:rPr>
                <w:rFonts w:ascii="Arial"/>
                <w:sz w:val="21"/>
              </w:rPr>
            </w:pPr>
          </w:p>
          <w:p w14:paraId="35F7CFBE">
            <w:pPr>
              <w:spacing w:line="247" w:lineRule="auto"/>
              <w:rPr>
                <w:rFonts w:ascii="Arial"/>
                <w:sz w:val="21"/>
              </w:rPr>
            </w:pPr>
          </w:p>
          <w:p w14:paraId="5479919E">
            <w:pPr>
              <w:pStyle w:val="6"/>
              <w:spacing w:before="69" w:line="218" w:lineRule="auto"/>
              <w:ind w:left="437"/>
            </w:pPr>
            <w:r>
              <w:rPr>
                <w:spacing w:val="-2"/>
              </w:rPr>
              <w:t>专项评价</w:t>
            </w:r>
          </w:p>
          <w:p w14:paraId="265037C6">
            <w:pPr>
              <w:pStyle w:val="6"/>
              <w:spacing w:before="71" w:line="220" w:lineRule="auto"/>
              <w:ind w:left="439"/>
            </w:pPr>
            <w:r>
              <w:rPr>
                <w:spacing w:val="-3"/>
              </w:rPr>
              <w:t>设置情况</w:t>
            </w:r>
          </w:p>
        </w:tc>
        <w:tc>
          <w:tcPr>
            <w:tcW w:w="7161" w:type="dxa"/>
            <w:gridSpan w:val="8"/>
            <w:tcBorders>
              <w:right w:val="single" w:color="000000" w:sz="6" w:space="0"/>
            </w:tcBorders>
            <w:vAlign w:val="top"/>
          </w:tcPr>
          <w:p w14:paraId="2DA22F73">
            <w:pPr>
              <w:pStyle w:val="6"/>
              <w:spacing w:before="144" w:line="323" w:lineRule="auto"/>
              <w:ind w:left="109" w:right="152" w:firstLine="419"/>
            </w:pPr>
            <w:r>
              <w:t>根据建设项目环境影响报告表编制技术指南（污</w:t>
            </w:r>
            <w:r>
              <w:rPr>
                <w:spacing w:val="-1"/>
              </w:rPr>
              <w:t>染影响类</w:t>
            </w:r>
            <w:r>
              <w:rPr>
                <w:spacing w:val="-9"/>
              </w:rPr>
              <w:t>）（</w:t>
            </w:r>
            <w:r>
              <w:rPr>
                <w:spacing w:val="-1"/>
              </w:rPr>
              <w:t>试行</w:t>
            </w:r>
            <w:r>
              <w:rPr>
                <w:spacing w:val="-9"/>
              </w:rPr>
              <w:t>），</w:t>
            </w:r>
            <w:r>
              <w:t xml:space="preserve"> </w:t>
            </w:r>
            <w:r>
              <w:rPr>
                <w:spacing w:val="-3"/>
              </w:rPr>
              <w:t>本项目专项评价对照情况见下表。</w:t>
            </w:r>
          </w:p>
          <w:p w14:paraId="3F74C562">
            <w:pPr>
              <w:pStyle w:val="6"/>
              <w:spacing w:line="206" w:lineRule="auto"/>
              <w:ind w:left="2128"/>
            </w:pPr>
            <w:r>
              <w:rPr>
                <w:spacing w:val="-1"/>
              </w:rPr>
              <w:t>表</w:t>
            </w:r>
            <w:r>
              <w:rPr>
                <w:rFonts w:ascii="Times New Roman" w:hAnsi="Times New Roman" w:eastAsia="Times New Roman" w:cs="Times New Roman"/>
                <w:spacing w:val="-1"/>
              </w:rPr>
              <w:t xml:space="preserve">1-1  </w:t>
            </w:r>
            <w:r>
              <w:rPr>
                <w:spacing w:val="-1"/>
              </w:rPr>
              <w:t>专项评价设置原则对照表</w:t>
            </w:r>
          </w:p>
        </w:tc>
      </w:tr>
      <w:tr w14:paraId="5E269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714" w:type="dxa"/>
            <w:vMerge w:val="continue"/>
            <w:tcBorders>
              <w:top w:val="nil"/>
              <w:left w:val="single" w:color="000000" w:sz="6" w:space="0"/>
              <w:bottom w:val="nil"/>
            </w:tcBorders>
            <w:vAlign w:val="top"/>
          </w:tcPr>
          <w:p w14:paraId="4FEF089B">
            <w:pPr>
              <w:rPr>
                <w:rFonts w:ascii="Arial"/>
                <w:sz w:val="21"/>
              </w:rPr>
            </w:pPr>
          </w:p>
        </w:tc>
        <w:tc>
          <w:tcPr>
            <w:tcW w:w="99" w:type="dxa"/>
            <w:tcBorders>
              <w:top w:val="nil"/>
              <w:bottom w:val="nil"/>
            </w:tcBorders>
            <w:vAlign w:val="top"/>
          </w:tcPr>
          <w:p w14:paraId="352410E4">
            <w:pPr>
              <w:rPr>
                <w:rFonts w:ascii="Arial"/>
                <w:sz w:val="21"/>
              </w:rPr>
            </w:pPr>
          </w:p>
        </w:tc>
        <w:tc>
          <w:tcPr>
            <w:tcW w:w="909" w:type="dxa"/>
            <w:vAlign w:val="top"/>
          </w:tcPr>
          <w:p w14:paraId="6FD5ED39">
            <w:pPr>
              <w:pStyle w:val="6"/>
              <w:spacing w:before="40" w:line="219" w:lineRule="auto"/>
              <w:ind w:left="56" w:right="55"/>
              <w:rPr>
                <w:sz w:val="20"/>
                <w:szCs w:val="20"/>
              </w:rPr>
            </w:pPr>
            <w:r>
              <w:rPr>
                <w:b/>
                <w:bCs/>
                <w:spacing w:val="-11"/>
                <w:sz w:val="20"/>
                <w:szCs w:val="20"/>
              </w:rPr>
              <w:t>专</w:t>
            </w:r>
            <w:r>
              <w:rPr>
                <w:spacing w:val="10"/>
                <w:sz w:val="20"/>
                <w:szCs w:val="20"/>
              </w:rPr>
              <w:t xml:space="preserve"> </w:t>
            </w:r>
            <w:r>
              <w:rPr>
                <w:b/>
                <w:bCs/>
                <w:spacing w:val="-11"/>
                <w:sz w:val="20"/>
                <w:szCs w:val="20"/>
              </w:rPr>
              <w:t>项</w:t>
            </w:r>
            <w:r>
              <w:rPr>
                <w:spacing w:val="7"/>
                <w:sz w:val="20"/>
                <w:szCs w:val="20"/>
              </w:rPr>
              <w:t xml:space="preserve"> </w:t>
            </w:r>
            <w:r>
              <w:rPr>
                <w:b/>
                <w:bCs/>
                <w:spacing w:val="-11"/>
                <w:sz w:val="20"/>
                <w:szCs w:val="20"/>
              </w:rPr>
              <w:t>评</w:t>
            </w:r>
            <w:r>
              <w:rPr>
                <w:sz w:val="20"/>
                <w:szCs w:val="20"/>
              </w:rPr>
              <w:t xml:space="preserve"> </w:t>
            </w:r>
            <w:r>
              <w:rPr>
                <w:b/>
                <w:bCs/>
                <w:spacing w:val="-5"/>
                <w:sz w:val="20"/>
                <w:szCs w:val="20"/>
              </w:rPr>
              <w:t>价类别</w:t>
            </w:r>
          </w:p>
        </w:tc>
        <w:tc>
          <w:tcPr>
            <w:tcW w:w="2266" w:type="dxa"/>
            <w:gridSpan w:val="2"/>
            <w:vAlign w:val="top"/>
          </w:tcPr>
          <w:p w14:paraId="0485F3BD">
            <w:pPr>
              <w:pStyle w:val="6"/>
              <w:spacing w:before="169" w:line="221" w:lineRule="auto"/>
              <w:ind w:left="738"/>
              <w:rPr>
                <w:sz w:val="20"/>
                <w:szCs w:val="20"/>
              </w:rPr>
            </w:pPr>
            <w:r>
              <w:rPr>
                <w:b/>
                <w:bCs/>
                <w:spacing w:val="-5"/>
                <w:sz w:val="20"/>
                <w:szCs w:val="20"/>
              </w:rPr>
              <w:t>设置原则</w:t>
            </w:r>
          </w:p>
        </w:tc>
        <w:tc>
          <w:tcPr>
            <w:tcW w:w="2831" w:type="dxa"/>
            <w:gridSpan w:val="2"/>
            <w:vAlign w:val="top"/>
          </w:tcPr>
          <w:p w14:paraId="0B8FC20B">
            <w:pPr>
              <w:pStyle w:val="6"/>
              <w:spacing w:before="169" w:line="219" w:lineRule="auto"/>
              <w:ind w:left="922"/>
              <w:rPr>
                <w:sz w:val="20"/>
                <w:szCs w:val="20"/>
              </w:rPr>
            </w:pPr>
            <w:r>
              <w:rPr>
                <w:b/>
                <w:bCs/>
                <w:spacing w:val="-4"/>
                <w:sz w:val="20"/>
                <w:szCs w:val="20"/>
              </w:rPr>
              <w:t>本项目情况</w:t>
            </w:r>
          </w:p>
        </w:tc>
        <w:tc>
          <w:tcPr>
            <w:tcW w:w="946" w:type="dxa"/>
            <w:vAlign w:val="top"/>
          </w:tcPr>
          <w:p w14:paraId="088FDD57">
            <w:pPr>
              <w:pStyle w:val="6"/>
              <w:spacing w:before="169" w:line="221" w:lineRule="auto"/>
              <w:ind w:left="85"/>
              <w:rPr>
                <w:sz w:val="20"/>
                <w:szCs w:val="20"/>
              </w:rPr>
            </w:pPr>
            <w:r>
              <w:rPr>
                <w:b/>
                <w:bCs/>
                <w:spacing w:val="-5"/>
                <w:sz w:val="20"/>
                <w:szCs w:val="20"/>
              </w:rPr>
              <w:t>设置情况</w:t>
            </w:r>
          </w:p>
        </w:tc>
        <w:tc>
          <w:tcPr>
            <w:tcW w:w="110" w:type="dxa"/>
            <w:tcBorders>
              <w:top w:val="nil"/>
              <w:bottom w:val="nil"/>
              <w:right w:val="single" w:color="000000" w:sz="6" w:space="0"/>
            </w:tcBorders>
            <w:vAlign w:val="top"/>
          </w:tcPr>
          <w:p w14:paraId="1602DEFA">
            <w:pPr>
              <w:rPr>
                <w:rFonts w:ascii="Arial"/>
                <w:sz w:val="21"/>
              </w:rPr>
            </w:pPr>
          </w:p>
        </w:tc>
      </w:tr>
      <w:tr w14:paraId="6D88D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1714" w:type="dxa"/>
            <w:vMerge w:val="continue"/>
            <w:tcBorders>
              <w:top w:val="nil"/>
              <w:left w:val="single" w:color="000000" w:sz="6" w:space="0"/>
              <w:bottom w:val="nil"/>
            </w:tcBorders>
            <w:vAlign w:val="top"/>
          </w:tcPr>
          <w:p w14:paraId="2F014418">
            <w:pPr>
              <w:rPr>
                <w:rFonts w:ascii="Arial"/>
                <w:sz w:val="21"/>
              </w:rPr>
            </w:pPr>
          </w:p>
        </w:tc>
        <w:tc>
          <w:tcPr>
            <w:tcW w:w="99" w:type="dxa"/>
            <w:tcBorders>
              <w:top w:val="nil"/>
              <w:bottom w:val="nil"/>
            </w:tcBorders>
            <w:vAlign w:val="top"/>
          </w:tcPr>
          <w:p w14:paraId="71A2933E">
            <w:pPr>
              <w:rPr>
                <w:rFonts w:ascii="Arial"/>
                <w:sz w:val="21"/>
              </w:rPr>
            </w:pPr>
          </w:p>
        </w:tc>
        <w:tc>
          <w:tcPr>
            <w:tcW w:w="909" w:type="dxa"/>
            <w:vAlign w:val="top"/>
          </w:tcPr>
          <w:p w14:paraId="711352C7">
            <w:pPr>
              <w:spacing w:line="245" w:lineRule="auto"/>
              <w:rPr>
                <w:rFonts w:ascii="Arial"/>
                <w:sz w:val="21"/>
              </w:rPr>
            </w:pPr>
          </w:p>
          <w:p w14:paraId="3DC6737B">
            <w:pPr>
              <w:spacing w:line="246" w:lineRule="auto"/>
              <w:rPr>
                <w:rFonts w:ascii="Arial"/>
                <w:sz w:val="21"/>
              </w:rPr>
            </w:pPr>
          </w:p>
          <w:p w14:paraId="64EFF746">
            <w:pPr>
              <w:pStyle w:val="6"/>
              <w:spacing w:before="65" w:line="221" w:lineRule="auto"/>
              <w:ind w:left="257"/>
              <w:rPr>
                <w:sz w:val="20"/>
                <w:szCs w:val="20"/>
              </w:rPr>
            </w:pPr>
            <w:r>
              <w:rPr>
                <w:spacing w:val="-3"/>
                <w:sz w:val="20"/>
                <w:szCs w:val="20"/>
              </w:rPr>
              <w:t>大气</w:t>
            </w:r>
          </w:p>
        </w:tc>
        <w:tc>
          <w:tcPr>
            <w:tcW w:w="2266" w:type="dxa"/>
            <w:gridSpan w:val="2"/>
            <w:vAlign w:val="top"/>
          </w:tcPr>
          <w:p w14:paraId="74D28DAA">
            <w:pPr>
              <w:pStyle w:val="6"/>
              <w:spacing w:before="42" w:line="231" w:lineRule="auto"/>
              <w:ind w:left="56" w:right="51"/>
              <w:jc w:val="both"/>
              <w:rPr>
                <w:sz w:val="20"/>
                <w:szCs w:val="20"/>
              </w:rPr>
            </w:pPr>
            <w:r>
              <w:rPr>
                <w:spacing w:val="15"/>
                <w:sz w:val="20"/>
                <w:szCs w:val="20"/>
              </w:rPr>
              <w:t>排放废气含有毒有害污</w:t>
            </w:r>
            <w:r>
              <w:rPr>
                <w:sz w:val="20"/>
                <w:szCs w:val="20"/>
              </w:rPr>
              <w:t xml:space="preserve"> </w:t>
            </w:r>
            <w:r>
              <w:rPr>
                <w:spacing w:val="5"/>
                <w:sz w:val="20"/>
                <w:szCs w:val="20"/>
              </w:rPr>
              <w:t>染物</w:t>
            </w:r>
            <w:r>
              <w:rPr>
                <w:rFonts w:ascii="Times New Roman" w:hAnsi="Times New Roman" w:eastAsia="Times New Roman" w:cs="Times New Roman"/>
                <w:spacing w:val="5"/>
                <w:position w:val="6"/>
                <w:sz w:val="12"/>
                <w:szCs w:val="12"/>
              </w:rPr>
              <w:t>1</w:t>
            </w:r>
            <w:r>
              <w:rPr>
                <w:spacing w:val="5"/>
                <w:sz w:val="20"/>
                <w:szCs w:val="20"/>
              </w:rPr>
              <w:t>、二噁英、苯并</w:t>
            </w:r>
            <w:r>
              <w:rPr>
                <w:rFonts w:ascii="Times New Roman" w:hAnsi="Times New Roman" w:eastAsia="Times New Roman" w:cs="Times New Roman"/>
                <w:spacing w:val="5"/>
                <w:sz w:val="20"/>
                <w:szCs w:val="20"/>
              </w:rPr>
              <w:t>[a]</w:t>
            </w:r>
            <w:r>
              <w:rPr>
                <w:rFonts w:ascii="Times New Roman" w:hAnsi="Times New Roman" w:eastAsia="Times New Roman" w:cs="Times New Roman"/>
                <w:spacing w:val="4"/>
                <w:sz w:val="20"/>
                <w:szCs w:val="20"/>
              </w:rPr>
              <w:t xml:space="preserve"> </w:t>
            </w:r>
            <w:r>
              <w:rPr>
                <w:spacing w:val="-5"/>
                <w:sz w:val="20"/>
                <w:szCs w:val="20"/>
              </w:rPr>
              <w:t>芘、氰化物、氯气且厂界</w:t>
            </w:r>
            <w:r>
              <w:rPr>
                <w:spacing w:val="6"/>
                <w:sz w:val="20"/>
                <w:szCs w:val="20"/>
              </w:rPr>
              <w:t xml:space="preserve"> </w:t>
            </w:r>
            <w:r>
              <w:rPr>
                <w:spacing w:val="4"/>
                <w:sz w:val="20"/>
                <w:szCs w:val="20"/>
              </w:rPr>
              <w:t>外</w:t>
            </w:r>
            <w:r>
              <w:rPr>
                <w:rFonts w:ascii="Times New Roman" w:hAnsi="Times New Roman" w:eastAsia="Times New Roman" w:cs="Times New Roman"/>
                <w:spacing w:val="4"/>
                <w:sz w:val="20"/>
                <w:szCs w:val="20"/>
              </w:rPr>
              <w:t>500</w:t>
            </w:r>
            <w:r>
              <w:rPr>
                <w:spacing w:val="4"/>
                <w:sz w:val="20"/>
                <w:szCs w:val="20"/>
              </w:rPr>
              <w:t>米范围内有环境空</w:t>
            </w:r>
            <w:r>
              <w:rPr>
                <w:spacing w:val="2"/>
                <w:sz w:val="20"/>
                <w:szCs w:val="20"/>
              </w:rPr>
              <w:t xml:space="preserve"> </w:t>
            </w:r>
            <w:r>
              <w:rPr>
                <w:spacing w:val="-3"/>
                <w:sz w:val="20"/>
                <w:szCs w:val="20"/>
              </w:rPr>
              <w:t>气保护目标</w:t>
            </w:r>
            <w:r>
              <w:rPr>
                <w:rFonts w:ascii="Times New Roman" w:hAnsi="Times New Roman" w:eastAsia="Times New Roman" w:cs="Times New Roman"/>
                <w:spacing w:val="-3"/>
                <w:position w:val="6"/>
                <w:sz w:val="12"/>
                <w:szCs w:val="12"/>
              </w:rPr>
              <w:t>2</w:t>
            </w:r>
            <w:r>
              <w:rPr>
                <w:rFonts w:ascii="Times New Roman" w:hAnsi="Times New Roman" w:eastAsia="Times New Roman" w:cs="Times New Roman"/>
                <w:spacing w:val="-1"/>
                <w:position w:val="6"/>
                <w:sz w:val="12"/>
                <w:szCs w:val="12"/>
              </w:rPr>
              <w:t xml:space="preserve"> </w:t>
            </w:r>
            <w:r>
              <w:rPr>
                <w:spacing w:val="-3"/>
                <w:sz w:val="20"/>
                <w:szCs w:val="20"/>
              </w:rPr>
              <w:t>的建设项目</w:t>
            </w:r>
          </w:p>
        </w:tc>
        <w:tc>
          <w:tcPr>
            <w:tcW w:w="2831" w:type="dxa"/>
            <w:gridSpan w:val="2"/>
            <w:vAlign w:val="top"/>
          </w:tcPr>
          <w:p w14:paraId="6C7C6A5B">
            <w:pPr>
              <w:pStyle w:val="6"/>
              <w:spacing w:before="169" w:line="239" w:lineRule="auto"/>
              <w:ind w:left="61" w:right="46" w:firstLine="3"/>
              <w:jc w:val="both"/>
              <w:rPr>
                <w:sz w:val="20"/>
                <w:szCs w:val="20"/>
              </w:rPr>
            </w:pPr>
            <w:r>
              <w:rPr>
                <w:spacing w:val="8"/>
                <w:sz w:val="20"/>
                <w:szCs w:val="20"/>
              </w:rPr>
              <w:t xml:space="preserve">项目运营期废气污染物因子为 </w:t>
            </w:r>
            <w:r>
              <w:rPr>
                <w:rFonts w:ascii="Times New Roman" w:hAnsi="Times New Roman" w:eastAsia="Times New Roman" w:cs="Times New Roman"/>
                <w:spacing w:val="-1"/>
                <w:sz w:val="20"/>
                <w:szCs w:val="20"/>
              </w:rPr>
              <w:t>SO</w:t>
            </w:r>
            <w:r>
              <w:rPr>
                <w:rFonts w:ascii="Times New Roman" w:hAnsi="Times New Roman" w:eastAsia="Times New Roman" w:cs="Times New Roman"/>
                <w:spacing w:val="-1"/>
                <w:position w:val="-1"/>
                <w:sz w:val="12"/>
                <w:szCs w:val="12"/>
              </w:rPr>
              <w:t>2</w:t>
            </w:r>
            <w:r>
              <w:rPr>
                <w:spacing w:val="-6"/>
                <w:sz w:val="20"/>
                <w:szCs w:val="20"/>
              </w:rPr>
              <w:t>、</w:t>
            </w:r>
            <w:r>
              <w:rPr>
                <w:rFonts w:ascii="Times New Roman" w:hAnsi="Times New Roman" w:eastAsia="Times New Roman" w:cs="Times New Roman"/>
                <w:spacing w:val="-6"/>
                <w:sz w:val="20"/>
                <w:szCs w:val="20"/>
              </w:rPr>
              <w:t>NO</w:t>
            </w:r>
            <w:r>
              <w:rPr>
                <w:rFonts w:ascii="Times New Roman" w:hAnsi="Times New Roman" w:eastAsia="Times New Roman" w:cs="Times New Roman"/>
                <w:spacing w:val="-6"/>
                <w:position w:val="-1"/>
                <w:sz w:val="12"/>
                <w:szCs w:val="12"/>
              </w:rPr>
              <w:t>x</w:t>
            </w:r>
            <w:r>
              <w:rPr>
                <w:spacing w:val="-6"/>
                <w:sz w:val="20"/>
                <w:szCs w:val="20"/>
              </w:rPr>
              <w:t>、</w:t>
            </w:r>
            <w:r>
              <w:rPr>
                <w:rFonts w:ascii="Times New Roman" w:hAnsi="Times New Roman" w:eastAsia="Times New Roman" w:cs="Times New Roman"/>
                <w:spacing w:val="-6"/>
                <w:sz w:val="20"/>
                <w:szCs w:val="20"/>
              </w:rPr>
              <w:t>TSP</w:t>
            </w:r>
            <w:r>
              <w:rPr>
                <w:spacing w:val="-6"/>
                <w:sz w:val="20"/>
                <w:szCs w:val="20"/>
              </w:rPr>
              <w:t>等，不涉及有毒</w:t>
            </w:r>
            <w:r>
              <w:rPr>
                <w:spacing w:val="1"/>
                <w:sz w:val="20"/>
                <w:szCs w:val="20"/>
              </w:rPr>
              <w:t xml:space="preserve"> </w:t>
            </w:r>
            <w:r>
              <w:rPr>
                <w:spacing w:val="8"/>
                <w:sz w:val="20"/>
                <w:szCs w:val="20"/>
              </w:rPr>
              <w:t>有害大气污染物名录中的污染</w:t>
            </w:r>
            <w:r>
              <w:rPr>
                <w:spacing w:val="11"/>
                <w:sz w:val="20"/>
                <w:szCs w:val="20"/>
              </w:rPr>
              <w:t xml:space="preserve"> </w:t>
            </w:r>
            <w:r>
              <w:rPr>
                <w:spacing w:val="-1"/>
                <w:sz w:val="20"/>
                <w:szCs w:val="20"/>
              </w:rPr>
              <w:t>物，不需设置大气专项评价。</w:t>
            </w:r>
          </w:p>
        </w:tc>
        <w:tc>
          <w:tcPr>
            <w:tcW w:w="946" w:type="dxa"/>
            <w:vAlign w:val="top"/>
          </w:tcPr>
          <w:p w14:paraId="3F34A839">
            <w:pPr>
              <w:spacing w:line="246" w:lineRule="auto"/>
              <w:rPr>
                <w:rFonts w:ascii="Arial"/>
                <w:sz w:val="21"/>
              </w:rPr>
            </w:pPr>
          </w:p>
          <w:p w14:paraId="7CE30502">
            <w:pPr>
              <w:spacing w:line="246" w:lineRule="auto"/>
              <w:rPr>
                <w:rFonts w:ascii="Arial"/>
                <w:sz w:val="21"/>
              </w:rPr>
            </w:pPr>
          </w:p>
          <w:p w14:paraId="0D1DA430">
            <w:pPr>
              <w:pStyle w:val="6"/>
              <w:spacing w:before="65" w:line="221" w:lineRule="auto"/>
              <w:ind w:left="187"/>
              <w:rPr>
                <w:sz w:val="20"/>
                <w:szCs w:val="20"/>
              </w:rPr>
            </w:pPr>
            <w:r>
              <w:rPr>
                <w:spacing w:val="-3"/>
                <w:sz w:val="20"/>
                <w:szCs w:val="20"/>
              </w:rPr>
              <w:t>不设置</w:t>
            </w:r>
          </w:p>
        </w:tc>
        <w:tc>
          <w:tcPr>
            <w:tcW w:w="110" w:type="dxa"/>
            <w:tcBorders>
              <w:top w:val="nil"/>
              <w:bottom w:val="nil"/>
              <w:right w:val="single" w:color="000000" w:sz="6" w:space="0"/>
            </w:tcBorders>
            <w:vAlign w:val="top"/>
          </w:tcPr>
          <w:p w14:paraId="0B981D80">
            <w:pPr>
              <w:rPr>
                <w:rFonts w:ascii="Arial"/>
                <w:sz w:val="21"/>
              </w:rPr>
            </w:pPr>
          </w:p>
        </w:tc>
      </w:tr>
      <w:tr w14:paraId="477CD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5" w:hRule="atLeast"/>
        </w:trPr>
        <w:tc>
          <w:tcPr>
            <w:tcW w:w="1714" w:type="dxa"/>
            <w:vMerge w:val="continue"/>
            <w:tcBorders>
              <w:top w:val="nil"/>
              <w:left w:val="single" w:color="000000" w:sz="6" w:space="0"/>
              <w:bottom w:val="nil"/>
            </w:tcBorders>
            <w:vAlign w:val="top"/>
          </w:tcPr>
          <w:p w14:paraId="540D5B97">
            <w:pPr>
              <w:rPr>
                <w:rFonts w:ascii="Arial"/>
                <w:sz w:val="21"/>
              </w:rPr>
            </w:pPr>
          </w:p>
        </w:tc>
        <w:tc>
          <w:tcPr>
            <w:tcW w:w="99" w:type="dxa"/>
            <w:tcBorders>
              <w:top w:val="nil"/>
              <w:bottom w:val="nil"/>
            </w:tcBorders>
            <w:vAlign w:val="top"/>
          </w:tcPr>
          <w:p w14:paraId="661F3EE5">
            <w:pPr>
              <w:rPr>
                <w:rFonts w:ascii="Arial"/>
                <w:sz w:val="21"/>
              </w:rPr>
            </w:pPr>
          </w:p>
        </w:tc>
        <w:tc>
          <w:tcPr>
            <w:tcW w:w="909" w:type="dxa"/>
            <w:vAlign w:val="top"/>
          </w:tcPr>
          <w:p w14:paraId="4A94D099">
            <w:pPr>
              <w:spacing w:line="293" w:lineRule="auto"/>
              <w:rPr>
                <w:rFonts w:ascii="Arial"/>
                <w:sz w:val="21"/>
              </w:rPr>
            </w:pPr>
          </w:p>
          <w:p w14:paraId="7FC4F268">
            <w:pPr>
              <w:spacing w:line="293" w:lineRule="auto"/>
              <w:rPr>
                <w:rFonts w:ascii="Arial"/>
                <w:sz w:val="21"/>
              </w:rPr>
            </w:pPr>
          </w:p>
          <w:p w14:paraId="153FEA54">
            <w:pPr>
              <w:spacing w:line="294" w:lineRule="auto"/>
              <w:rPr>
                <w:rFonts w:ascii="Arial"/>
                <w:sz w:val="21"/>
              </w:rPr>
            </w:pPr>
          </w:p>
          <w:p w14:paraId="2332CDDA">
            <w:pPr>
              <w:pStyle w:val="6"/>
              <w:spacing w:before="65" w:line="220" w:lineRule="auto"/>
              <w:ind w:left="155"/>
              <w:rPr>
                <w:sz w:val="20"/>
                <w:szCs w:val="20"/>
              </w:rPr>
            </w:pPr>
            <w:r>
              <w:rPr>
                <w:spacing w:val="-2"/>
                <w:sz w:val="20"/>
                <w:szCs w:val="20"/>
              </w:rPr>
              <w:t>地表水</w:t>
            </w:r>
          </w:p>
        </w:tc>
        <w:tc>
          <w:tcPr>
            <w:tcW w:w="2266" w:type="dxa"/>
            <w:gridSpan w:val="2"/>
            <w:vAlign w:val="top"/>
          </w:tcPr>
          <w:p w14:paraId="2207DE9F">
            <w:pPr>
              <w:spacing w:line="247" w:lineRule="auto"/>
              <w:rPr>
                <w:rFonts w:ascii="Arial"/>
                <w:sz w:val="21"/>
              </w:rPr>
            </w:pPr>
          </w:p>
          <w:p w14:paraId="00558BA5">
            <w:pPr>
              <w:spacing w:line="247" w:lineRule="auto"/>
              <w:rPr>
                <w:rFonts w:ascii="Arial"/>
                <w:sz w:val="21"/>
              </w:rPr>
            </w:pPr>
          </w:p>
          <w:p w14:paraId="2484F590">
            <w:pPr>
              <w:pStyle w:val="6"/>
              <w:spacing w:before="65" w:line="241" w:lineRule="auto"/>
              <w:ind w:left="57" w:right="51"/>
              <w:jc w:val="both"/>
              <w:rPr>
                <w:sz w:val="20"/>
                <w:szCs w:val="20"/>
              </w:rPr>
            </w:pPr>
            <w:r>
              <w:rPr>
                <w:spacing w:val="15"/>
                <w:sz w:val="20"/>
                <w:szCs w:val="20"/>
              </w:rPr>
              <w:t>新增工业废水直排建设</w:t>
            </w:r>
            <w:r>
              <w:rPr>
                <w:sz w:val="20"/>
                <w:szCs w:val="20"/>
              </w:rPr>
              <w:t xml:space="preserve"> </w:t>
            </w:r>
            <w:r>
              <w:rPr>
                <w:spacing w:val="-5"/>
                <w:sz w:val="20"/>
                <w:szCs w:val="20"/>
              </w:rPr>
              <w:t>项目（槽罐车外送污水处</w:t>
            </w:r>
            <w:r>
              <w:rPr>
                <w:spacing w:val="5"/>
                <w:sz w:val="20"/>
                <w:szCs w:val="20"/>
              </w:rPr>
              <w:t xml:space="preserve"> </w:t>
            </w:r>
            <w:r>
              <w:rPr>
                <w:spacing w:val="-2"/>
                <w:sz w:val="20"/>
                <w:szCs w:val="20"/>
              </w:rPr>
              <w:t>理厂的除外</w:t>
            </w:r>
            <w:r>
              <w:rPr>
                <w:spacing w:val="-16"/>
                <w:sz w:val="20"/>
                <w:szCs w:val="20"/>
              </w:rPr>
              <w:t>）；</w:t>
            </w:r>
            <w:r>
              <w:rPr>
                <w:spacing w:val="-2"/>
                <w:sz w:val="20"/>
                <w:szCs w:val="20"/>
              </w:rPr>
              <w:t>新增废水</w:t>
            </w:r>
            <w:r>
              <w:rPr>
                <w:sz w:val="20"/>
                <w:szCs w:val="20"/>
              </w:rPr>
              <w:t xml:space="preserve"> </w:t>
            </w:r>
            <w:r>
              <w:rPr>
                <w:spacing w:val="-1"/>
                <w:sz w:val="20"/>
                <w:szCs w:val="20"/>
              </w:rPr>
              <w:t>直排的污水集中处理厂</w:t>
            </w:r>
          </w:p>
        </w:tc>
        <w:tc>
          <w:tcPr>
            <w:tcW w:w="2831" w:type="dxa"/>
            <w:gridSpan w:val="2"/>
            <w:vAlign w:val="top"/>
          </w:tcPr>
          <w:p w14:paraId="43248A14">
            <w:pPr>
              <w:pStyle w:val="6"/>
              <w:spacing w:before="38" w:line="235" w:lineRule="auto"/>
              <w:ind w:left="60" w:right="45" w:firstLine="1"/>
              <w:jc w:val="both"/>
              <w:rPr>
                <w:sz w:val="20"/>
                <w:szCs w:val="20"/>
              </w:rPr>
            </w:pPr>
            <w:r>
              <w:rPr>
                <w:spacing w:val="-6"/>
                <w:sz w:val="20"/>
                <w:szCs w:val="20"/>
              </w:rPr>
              <w:t>本项目为新建项目，生产废水能</w:t>
            </w:r>
            <w:r>
              <w:rPr>
                <w:sz w:val="20"/>
                <w:szCs w:val="20"/>
              </w:rPr>
              <w:t xml:space="preserve"> </w:t>
            </w:r>
            <w:r>
              <w:rPr>
                <w:spacing w:val="-6"/>
                <w:sz w:val="20"/>
                <w:szCs w:val="20"/>
              </w:rPr>
              <w:t>够实现回用不外排，少量生活污</w:t>
            </w:r>
            <w:r>
              <w:rPr>
                <w:spacing w:val="1"/>
                <w:sz w:val="20"/>
                <w:szCs w:val="20"/>
              </w:rPr>
              <w:t xml:space="preserve"> </w:t>
            </w:r>
            <w:r>
              <w:rPr>
                <w:spacing w:val="9"/>
                <w:sz w:val="20"/>
                <w:szCs w:val="20"/>
              </w:rPr>
              <w:t>水进入亚飞钢化玻璃厂区已建</w:t>
            </w:r>
            <w:r>
              <w:rPr>
                <w:spacing w:val="1"/>
                <w:sz w:val="20"/>
                <w:szCs w:val="20"/>
              </w:rPr>
              <w:t xml:space="preserve"> </w:t>
            </w:r>
            <w:r>
              <w:rPr>
                <w:spacing w:val="-6"/>
                <w:sz w:val="20"/>
                <w:szCs w:val="20"/>
              </w:rPr>
              <w:t>的化粪池，经场镇污水管网进入</w:t>
            </w:r>
            <w:r>
              <w:rPr>
                <w:spacing w:val="1"/>
                <w:sz w:val="20"/>
                <w:szCs w:val="20"/>
              </w:rPr>
              <w:t xml:space="preserve"> </w:t>
            </w:r>
            <w:r>
              <w:rPr>
                <w:spacing w:val="9"/>
                <w:sz w:val="20"/>
                <w:szCs w:val="20"/>
              </w:rPr>
              <w:t>东岳场镇污水处理厂处理后达</w:t>
            </w:r>
            <w:r>
              <w:rPr>
                <w:sz w:val="20"/>
                <w:szCs w:val="20"/>
              </w:rPr>
              <w:t xml:space="preserve"> </w:t>
            </w:r>
            <w:r>
              <w:rPr>
                <w:spacing w:val="-6"/>
                <w:sz w:val="20"/>
                <w:szCs w:val="20"/>
              </w:rPr>
              <w:t>标排放。项目不涉及新增工业废</w:t>
            </w:r>
            <w:r>
              <w:rPr>
                <w:spacing w:val="1"/>
                <w:sz w:val="20"/>
                <w:szCs w:val="20"/>
              </w:rPr>
              <w:t xml:space="preserve"> </w:t>
            </w:r>
            <w:r>
              <w:rPr>
                <w:spacing w:val="-6"/>
                <w:sz w:val="20"/>
                <w:szCs w:val="20"/>
              </w:rPr>
              <w:t>水直排，无需开展地表水专项评</w:t>
            </w:r>
            <w:r>
              <w:rPr>
                <w:spacing w:val="1"/>
                <w:sz w:val="20"/>
                <w:szCs w:val="20"/>
              </w:rPr>
              <w:t xml:space="preserve"> </w:t>
            </w:r>
            <w:r>
              <w:rPr>
                <w:spacing w:val="-9"/>
                <w:sz w:val="20"/>
                <w:szCs w:val="20"/>
              </w:rPr>
              <w:t>价。</w:t>
            </w:r>
          </w:p>
        </w:tc>
        <w:tc>
          <w:tcPr>
            <w:tcW w:w="946" w:type="dxa"/>
            <w:vAlign w:val="top"/>
          </w:tcPr>
          <w:p w14:paraId="0DF4D07F">
            <w:pPr>
              <w:spacing w:line="293" w:lineRule="auto"/>
              <w:rPr>
                <w:rFonts w:ascii="Arial"/>
                <w:sz w:val="21"/>
              </w:rPr>
            </w:pPr>
          </w:p>
          <w:p w14:paraId="243827EE">
            <w:pPr>
              <w:spacing w:line="294" w:lineRule="auto"/>
              <w:rPr>
                <w:rFonts w:ascii="Arial"/>
                <w:sz w:val="21"/>
              </w:rPr>
            </w:pPr>
          </w:p>
          <w:p w14:paraId="1B60F7B1">
            <w:pPr>
              <w:spacing w:line="294" w:lineRule="auto"/>
              <w:rPr>
                <w:rFonts w:ascii="Arial"/>
                <w:sz w:val="21"/>
              </w:rPr>
            </w:pPr>
          </w:p>
          <w:p w14:paraId="4480BCEC">
            <w:pPr>
              <w:pStyle w:val="6"/>
              <w:spacing w:before="65" w:line="221" w:lineRule="auto"/>
              <w:ind w:left="187"/>
              <w:rPr>
                <w:sz w:val="20"/>
                <w:szCs w:val="20"/>
              </w:rPr>
            </w:pPr>
            <w:r>
              <w:rPr>
                <w:spacing w:val="-3"/>
                <w:sz w:val="20"/>
                <w:szCs w:val="20"/>
              </w:rPr>
              <w:t>不设置</w:t>
            </w:r>
          </w:p>
        </w:tc>
        <w:tc>
          <w:tcPr>
            <w:tcW w:w="110" w:type="dxa"/>
            <w:tcBorders>
              <w:top w:val="nil"/>
              <w:bottom w:val="nil"/>
              <w:right w:val="single" w:color="000000" w:sz="6" w:space="0"/>
            </w:tcBorders>
            <w:vAlign w:val="top"/>
          </w:tcPr>
          <w:p w14:paraId="2826B68B">
            <w:pPr>
              <w:rPr>
                <w:rFonts w:ascii="Arial"/>
                <w:sz w:val="21"/>
              </w:rPr>
            </w:pPr>
          </w:p>
        </w:tc>
      </w:tr>
      <w:tr w14:paraId="708E6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714" w:type="dxa"/>
            <w:vMerge w:val="continue"/>
            <w:tcBorders>
              <w:top w:val="nil"/>
              <w:left w:val="single" w:color="000000" w:sz="6" w:space="0"/>
            </w:tcBorders>
            <w:vAlign w:val="top"/>
          </w:tcPr>
          <w:p w14:paraId="2B7F4E26">
            <w:pPr>
              <w:rPr>
                <w:rFonts w:ascii="Arial"/>
                <w:sz w:val="21"/>
              </w:rPr>
            </w:pPr>
          </w:p>
        </w:tc>
        <w:tc>
          <w:tcPr>
            <w:tcW w:w="99" w:type="dxa"/>
            <w:tcBorders>
              <w:top w:val="nil"/>
            </w:tcBorders>
            <w:vAlign w:val="top"/>
          </w:tcPr>
          <w:p w14:paraId="2B47056F">
            <w:pPr>
              <w:rPr>
                <w:rFonts w:ascii="Arial"/>
                <w:sz w:val="21"/>
              </w:rPr>
            </w:pPr>
          </w:p>
        </w:tc>
        <w:tc>
          <w:tcPr>
            <w:tcW w:w="909" w:type="dxa"/>
            <w:vAlign w:val="top"/>
          </w:tcPr>
          <w:p w14:paraId="11623B33">
            <w:pPr>
              <w:pStyle w:val="6"/>
              <w:spacing w:before="41" w:line="221" w:lineRule="auto"/>
              <w:ind w:left="255"/>
              <w:rPr>
                <w:sz w:val="20"/>
                <w:szCs w:val="20"/>
              </w:rPr>
            </w:pPr>
            <w:r>
              <w:rPr>
                <w:spacing w:val="-2"/>
                <w:sz w:val="20"/>
                <w:szCs w:val="20"/>
              </w:rPr>
              <w:t>环境</w:t>
            </w:r>
          </w:p>
          <w:p w14:paraId="35BED1C4">
            <w:pPr>
              <w:pStyle w:val="6"/>
              <w:spacing w:before="21" w:line="201" w:lineRule="auto"/>
              <w:ind w:left="256"/>
              <w:rPr>
                <w:sz w:val="20"/>
                <w:szCs w:val="20"/>
              </w:rPr>
            </w:pPr>
            <w:r>
              <w:rPr>
                <w:spacing w:val="-2"/>
                <w:sz w:val="20"/>
                <w:szCs w:val="20"/>
              </w:rPr>
              <w:t>风险</w:t>
            </w:r>
          </w:p>
        </w:tc>
        <w:tc>
          <w:tcPr>
            <w:tcW w:w="2266" w:type="dxa"/>
            <w:gridSpan w:val="2"/>
            <w:vAlign w:val="top"/>
          </w:tcPr>
          <w:p w14:paraId="40B3824B">
            <w:pPr>
              <w:pStyle w:val="6"/>
              <w:spacing w:before="41" w:line="221" w:lineRule="auto"/>
              <w:ind w:left="67" w:right="52" w:hanging="10"/>
              <w:rPr>
                <w:sz w:val="20"/>
                <w:szCs w:val="20"/>
              </w:rPr>
            </w:pPr>
            <w:r>
              <w:rPr>
                <w:spacing w:val="15"/>
                <w:sz w:val="20"/>
                <w:szCs w:val="20"/>
              </w:rPr>
              <w:t>有毒有害和易燃易爆危</w:t>
            </w:r>
            <w:r>
              <w:rPr>
                <w:sz w:val="20"/>
                <w:szCs w:val="20"/>
              </w:rPr>
              <w:t xml:space="preserve"> </w:t>
            </w:r>
            <w:r>
              <w:rPr>
                <w:spacing w:val="14"/>
                <w:sz w:val="20"/>
                <w:szCs w:val="20"/>
              </w:rPr>
              <w:t>险物质存储量超过临界</w:t>
            </w:r>
          </w:p>
        </w:tc>
        <w:tc>
          <w:tcPr>
            <w:tcW w:w="2831" w:type="dxa"/>
            <w:gridSpan w:val="2"/>
            <w:vAlign w:val="top"/>
          </w:tcPr>
          <w:p w14:paraId="18B46851">
            <w:pPr>
              <w:pStyle w:val="6"/>
              <w:spacing w:before="41" w:line="221" w:lineRule="auto"/>
              <w:ind w:left="63" w:right="45" w:firstLine="1"/>
              <w:rPr>
                <w:sz w:val="20"/>
                <w:szCs w:val="20"/>
              </w:rPr>
            </w:pPr>
            <w:r>
              <w:rPr>
                <w:spacing w:val="8"/>
                <w:sz w:val="20"/>
                <w:szCs w:val="20"/>
              </w:rPr>
              <w:t>项目暂存的废矿物油等属于有</w:t>
            </w:r>
            <w:r>
              <w:rPr>
                <w:spacing w:val="10"/>
                <w:sz w:val="20"/>
                <w:szCs w:val="20"/>
              </w:rPr>
              <w:t xml:space="preserve"> </w:t>
            </w:r>
            <w:r>
              <w:rPr>
                <w:spacing w:val="-6"/>
                <w:sz w:val="20"/>
                <w:szCs w:val="20"/>
              </w:rPr>
              <w:t>毒有害和易燃易爆危险物质，但</w:t>
            </w:r>
          </w:p>
        </w:tc>
        <w:tc>
          <w:tcPr>
            <w:tcW w:w="946" w:type="dxa"/>
            <w:vAlign w:val="top"/>
          </w:tcPr>
          <w:p w14:paraId="6B20A91B">
            <w:pPr>
              <w:pStyle w:val="6"/>
              <w:spacing w:before="171" w:line="221" w:lineRule="auto"/>
              <w:ind w:left="187"/>
              <w:rPr>
                <w:sz w:val="20"/>
                <w:szCs w:val="20"/>
              </w:rPr>
            </w:pPr>
            <w:r>
              <w:rPr>
                <w:spacing w:val="-3"/>
                <w:sz w:val="20"/>
                <w:szCs w:val="20"/>
              </w:rPr>
              <w:t>不设置</w:t>
            </w:r>
          </w:p>
        </w:tc>
        <w:tc>
          <w:tcPr>
            <w:tcW w:w="110" w:type="dxa"/>
            <w:tcBorders>
              <w:top w:val="nil"/>
              <w:right w:val="single" w:color="000000" w:sz="6" w:space="0"/>
            </w:tcBorders>
            <w:vAlign w:val="top"/>
          </w:tcPr>
          <w:p w14:paraId="622C1196">
            <w:pPr>
              <w:rPr>
                <w:rFonts w:ascii="Arial"/>
                <w:sz w:val="21"/>
              </w:rPr>
            </w:pPr>
          </w:p>
        </w:tc>
      </w:tr>
    </w:tbl>
    <w:p w14:paraId="26AB0680">
      <w:pPr>
        <w:rPr>
          <w:rFonts w:ascii="Arial"/>
          <w:sz w:val="21"/>
        </w:rPr>
      </w:pPr>
    </w:p>
    <w:p w14:paraId="73C945F3">
      <w:pPr>
        <w:rPr>
          <w:rFonts w:ascii="Arial" w:hAnsi="Arial" w:eastAsia="Arial" w:cs="Arial"/>
          <w:sz w:val="21"/>
          <w:szCs w:val="21"/>
        </w:rPr>
        <w:sectPr>
          <w:footerReference r:id="rId5" w:type="default"/>
          <w:pgSz w:w="11907" w:h="16839"/>
          <w:pgMar w:top="1431" w:right="1507" w:bottom="1280" w:left="1508" w:header="0" w:footer="1026" w:gutter="0"/>
          <w:cols w:space="720" w:num="1"/>
        </w:sectPr>
      </w:pPr>
    </w:p>
    <w:p w14:paraId="16ECA302">
      <w:pPr>
        <w:spacing w:before="28"/>
      </w:pPr>
    </w:p>
    <w:tbl>
      <w:tblPr>
        <w:tblStyle w:val="5"/>
        <w:tblW w:w="887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4"/>
        <w:gridCol w:w="99"/>
        <w:gridCol w:w="909"/>
        <w:gridCol w:w="2266"/>
        <w:gridCol w:w="2831"/>
        <w:gridCol w:w="946"/>
        <w:gridCol w:w="110"/>
      </w:tblGrid>
      <w:tr w14:paraId="0F5CB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714" w:type="dxa"/>
            <w:vMerge w:val="restart"/>
            <w:tcBorders>
              <w:left w:val="single" w:color="000000" w:sz="6" w:space="0"/>
              <w:bottom w:val="nil"/>
            </w:tcBorders>
            <w:vAlign w:val="top"/>
          </w:tcPr>
          <w:p w14:paraId="00265F9C">
            <w:pPr>
              <w:rPr>
                <w:rFonts w:ascii="Arial"/>
                <w:sz w:val="21"/>
              </w:rPr>
            </w:pPr>
          </w:p>
        </w:tc>
        <w:tc>
          <w:tcPr>
            <w:tcW w:w="99" w:type="dxa"/>
            <w:tcBorders>
              <w:bottom w:val="nil"/>
            </w:tcBorders>
            <w:vAlign w:val="top"/>
          </w:tcPr>
          <w:p w14:paraId="40E4C31E">
            <w:pPr>
              <w:rPr>
                <w:rFonts w:ascii="Arial"/>
                <w:sz w:val="21"/>
              </w:rPr>
            </w:pPr>
          </w:p>
        </w:tc>
        <w:tc>
          <w:tcPr>
            <w:tcW w:w="909" w:type="dxa"/>
            <w:vAlign w:val="top"/>
          </w:tcPr>
          <w:p w14:paraId="33CFE3CA">
            <w:pPr>
              <w:rPr>
                <w:rFonts w:ascii="Arial"/>
                <w:sz w:val="21"/>
              </w:rPr>
            </w:pPr>
          </w:p>
        </w:tc>
        <w:tc>
          <w:tcPr>
            <w:tcW w:w="2266" w:type="dxa"/>
            <w:vAlign w:val="top"/>
          </w:tcPr>
          <w:p w14:paraId="4B9A6C0F">
            <w:pPr>
              <w:pStyle w:val="6"/>
              <w:spacing w:before="50" w:line="221" w:lineRule="auto"/>
              <w:ind w:left="56"/>
              <w:rPr>
                <w:sz w:val="20"/>
                <w:szCs w:val="20"/>
              </w:rPr>
            </w:pPr>
            <w:r>
              <w:rPr>
                <w:spacing w:val="-4"/>
                <w:sz w:val="20"/>
                <w:szCs w:val="20"/>
              </w:rPr>
              <w:t>量</w:t>
            </w:r>
            <w:r>
              <w:rPr>
                <w:rFonts w:ascii="Times New Roman" w:hAnsi="Times New Roman" w:eastAsia="Times New Roman" w:cs="Times New Roman"/>
                <w:spacing w:val="-4"/>
                <w:position w:val="6"/>
                <w:sz w:val="12"/>
                <w:szCs w:val="12"/>
              </w:rPr>
              <w:t>3</w:t>
            </w:r>
            <w:r>
              <w:rPr>
                <w:rFonts w:ascii="Times New Roman" w:hAnsi="Times New Roman" w:eastAsia="Times New Roman" w:cs="Times New Roman"/>
                <w:spacing w:val="-6"/>
                <w:position w:val="6"/>
                <w:sz w:val="12"/>
                <w:szCs w:val="12"/>
              </w:rPr>
              <w:t xml:space="preserve"> </w:t>
            </w:r>
            <w:r>
              <w:rPr>
                <w:spacing w:val="-4"/>
                <w:sz w:val="20"/>
                <w:szCs w:val="20"/>
              </w:rPr>
              <w:t>的建设项目</w:t>
            </w:r>
          </w:p>
        </w:tc>
        <w:tc>
          <w:tcPr>
            <w:tcW w:w="2831" w:type="dxa"/>
            <w:vAlign w:val="top"/>
          </w:tcPr>
          <w:p w14:paraId="6AADEFE3">
            <w:pPr>
              <w:pStyle w:val="6"/>
              <w:spacing w:before="50" w:line="221" w:lineRule="auto"/>
              <w:ind w:left="62" w:right="46" w:firstLine="2"/>
              <w:rPr>
                <w:sz w:val="20"/>
                <w:szCs w:val="20"/>
              </w:rPr>
            </w:pPr>
            <w:r>
              <w:rPr>
                <w:spacing w:val="-7"/>
                <w:sz w:val="20"/>
                <w:szCs w:val="20"/>
              </w:rPr>
              <w:t>未超过危险物质的临界量，无需</w:t>
            </w:r>
            <w:r>
              <w:rPr>
                <w:spacing w:val="11"/>
                <w:sz w:val="20"/>
                <w:szCs w:val="20"/>
              </w:rPr>
              <w:t xml:space="preserve"> </w:t>
            </w:r>
            <w:r>
              <w:rPr>
                <w:spacing w:val="-1"/>
                <w:sz w:val="20"/>
                <w:szCs w:val="20"/>
              </w:rPr>
              <w:t>开展环境风险专项评价。</w:t>
            </w:r>
          </w:p>
        </w:tc>
        <w:tc>
          <w:tcPr>
            <w:tcW w:w="946" w:type="dxa"/>
            <w:vAlign w:val="top"/>
          </w:tcPr>
          <w:p w14:paraId="230CD341">
            <w:pPr>
              <w:rPr>
                <w:rFonts w:ascii="Arial"/>
                <w:sz w:val="21"/>
              </w:rPr>
            </w:pPr>
          </w:p>
        </w:tc>
        <w:tc>
          <w:tcPr>
            <w:tcW w:w="110" w:type="dxa"/>
            <w:vMerge w:val="restart"/>
            <w:tcBorders>
              <w:bottom w:val="nil"/>
              <w:right w:val="single" w:color="000000" w:sz="6" w:space="0"/>
            </w:tcBorders>
            <w:vAlign w:val="top"/>
          </w:tcPr>
          <w:p w14:paraId="3894D559">
            <w:pPr>
              <w:rPr>
                <w:rFonts w:ascii="Arial"/>
                <w:sz w:val="21"/>
              </w:rPr>
            </w:pPr>
          </w:p>
        </w:tc>
      </w:tr>
      <w:tr w14:paraId="3EE59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1714" w:type="dxa"/>
            <w:vMerge w:val="continue"/>
            <w:tcBorders>
              <w:top w:val="nil"/>
              <w:left w:val="single" w:color="000000" w:sz="6" w:space="0"/>
              <w:bottom w:val="nil"/>
            </w:tcBorders>
            <w:vAlign w:val="top"/>
          </w:tcPr>
          <w:p w14:paraId="0B797E85">
            <w:pPr>
              <w:rPr>
                <w:rFonts w:ascii="Arial"/>
                <w:sz w:val="21"/>
              </w:rPr>
            </w:pPr>
          </w:p>
        </w:tc>
        <w:tc>
          <w:tcPr>
            <w:tcW w:w="99" w:type="dxa"/>
            <w:tcBorders>
              <w:top w:val="nil"/>
              <w:bottom w:val="nil"/>
            </w:tcBorders>
            <w:vAlign w:val="top"/>
          </w:tcPr>
          <w:p w14:paraId="231F5785">
            <w:pPr>
              <w:rPr>
                <w:rFonts w:ascii="Arial"/>
                <w:sz w:val="21"/>
              </w:rPr>
            </w:pPr>
          </w:p>
        </w:tc>
        <w:tc>
          <w:tcPr>
            <w:tcW w:w="909" w:type="dxa"/>
            <w:vAlign w:val="top"/>
          </w:tcPr>
          <w:p w14:paraId="70123F30">
            <w:pPr>
              <w:spacing w:line="244" w:lineRule="auto"/>
              <w:rPr>
                <w:rFonts w:ascii="Arial"/>
                <w:sz w:val="21"/>
              </w:rPr>
            </w:pPr>
          </w:p>
          <w:p w14:paraId="0250499C">
            <w:pPr>
              <w:spacing w:line="245" w:lineRule="auto"/>
              <w:rPr>
                <w:rFonts w:ascii="Arial"/>
                <w:sz w:val="21"/>
              </w:rPr>
            </w:pPr>
          </w:p>
          <w:p w14:paraId="0DC4B8EE">
            <w:pPr>
              <w:pStyle w:val="6"/>
              <w:spacing w:before="65" w:line="225" w:lineRule="auto"/>
              <w:ind w:left="256"/>
              <w:rPr>
                <w:sz w:val="20"/>
                <w:szCs w:val="20"/>
              </w:rPr>
            </w:pPr>
            <w:r>
              <w:rPr>
                <w:spacing w:val="-3"/>
                <w:sz w:val="20"/>
                <w:szCs w:val="20"/>
              </w:rPr>
              <w:t>生态</w:t>
            </w:r>
          </w:p>
        </w:tc>
        <w:tc>
          <w:tcPr>
            <w:tcW w:w="2266" w:type="dxa"/>
            <w:vAlign w:val="top"/>
          </w:tcPr>
          <w:p w14:paraId="75A78FF8">
            <w:pPr>
              <w:pStyle w:val="6"/>
              <w:spacing w:before="37" w:line="232" w:lineRule="auto"/>
              <w:ind w:left="56" w:right="51" w:firstLine="2"/>
              <w:jc w:val="both"/>
              <w:rPr>
                <w:sz w:val="20"/>
                <w:szCs w:val="20"/>
              </w:rPr>
            </w:pPr>
            <w:r>
              <w:rPr>
                <w:spacing w:val="4"/>
                <w:sz w:val="20"/>
                <w:szCs w:val="20"/>
              </w:rPr>
              <w:t>取水口下游</w:t>
            </w:r>
            <w:r>
              <w:rPr>
                <w:rFonts w:ascii="Times New Roman" w:hAnsi="Times New Roman" w:eastAsia="Times New Roman" w:cs="Times New Roman"/>
                <w:spacing w:val="4"/>
                <w:sz w:val="20"/>
                <w:szCs w:val="20"/>
              </w:rPr>
              <w:t>500</w:t>
            </w:r>
            <w:r>
              <w:rPr>
                <w:spacing w:val="4"/>
                <w:sz w:val="20"/>
                <w:szCs w:val="20"/>
              </w:rPr>
              <w:t>米范围内</w:t>
            </w:r>
            <w:r>
              <w:rPr>
                <w:spacing w:val="1"/>
                <w:sz w:val="20"/>
                <w:szCs w:val="20"/>
              </w:rPr>
              <w:t xml:space="preserve"> </w:t>
            </w:r>
            <w:r>
              <w:rPr>
                <w:spacing w:val="15"/>
                <w:sz w:val="20"/>
                <w:szCs w:val="20"/>
              </w:rPr>
              <w:t>有重要水生生物的自然</w:t>
            </w:r>
            <w:r>
              <w:rPr>
                <w:sz w:val="20"/>
                <w:szCs w:val="20"/>
              </w:rPr>
              <w:t xml:space="preserve"> </w:t>
            </w:r>
            <w:r>
              <w:rPr>
                <w:spacing w:val="-5"/>
                <w:sz w:val="20"/>
                <w:szCs w:val="20"/>
              </w:rPr>
              <w:t>产卵场、索饵场、越冬场</w:t>
            </w:r>
            <w:r>
              <w:rPr>
                <w:spacing w:val="7"/>
                <w:sz w:val="20"/>
                <w:szCs w:val="20"/>
              </w:rPr>
              <w:t xml:space="preserve"> </w:t>
            </w:r>
            <w:r>
              <w:rPr>
                <w:spacing w:val="15"/>
                <w:sz w:val="20"/>
                <w:szCs w:val="20"/>
              </w:rPr>
              <w:t>和洄游通道的新增河道</w:t>
            </w:r>
            <w:r>
              <w:rPr>
                <w:sz w:val="20"/>
                <w:szCs w:val="20"/>
              </w:rPr>
              <w:t xml:space="preserve"> </w:t>
            </w:r>
            <w:r>
              <w:rPr>
                <w:spacing w:val="-1"/>
                <w:sz w:val="20"/>
                <w:szCs w:val="20"/>
              </w:rPr>
              <w:t>取水的污染类建设项目</w:t>
            </w:r>
          </w:p>
        </w:tc>
        <w:tc>
          <w:tcPr>
            <w:tcW w:w="2831" w:type="dxa"/>
            <w:vAlign w:val="top"/>
          </w:tcPr>
          <w:p w14:paraId="1A0693E6">
            <w:pPr>
              <w:pStyle w:val="6"/>
              <w:spacing w:before="297" w:line="241" w:lineRule="auto"/>
              <w:ind w:left="62" w:right="45" w:firstLine="2"/>
              <w:jc w:val="both"/>
              <w:rPr>
                <w:sz w:val="20"/>
                <w:szCs w:val="20"/>
              </w:rPr>
            </w:pPr>
            <w:r>
              <w:rPr>
                <w:spacing w:val="8"/>
                <w:sz w:val="20"/>
                <w:szCs w:val="20"/>
              </w:rPr>
              <w:t xml:space="preserve">项目生产用水来自城市自来水 </w:t>
            </w:r>
            <w:r>
              <w:rPr>
                <w:spacing w:val="-6"/>
                <w:sz w:val="20"/>
                <w:szCs w:val="20"/>
              </w:rPr>
              <w:t>管网，不涉及河道取水。故无需</w:t>
            </w:r>
            <w:r>
              <w:rPr>
                <w:spacing w:val="1"/>
                <w:sz w:val="20"/>
                <w:szCs w:val="20"/>
              </w:rPr>
              <w:t xml:space="preserve"> </w:t>
            </w:r>
            <w:r>
              <w:rPr>
                <w:spacing w:val="-3"/>
                <w:sz w:val="20"/>
                <w:szCs w:val="20"/>
              </w:rPr>
              <w:t>开展生态专项评价。</w:t>
            </w:r>
          </w:p>
        </w:tc>
        <w:tc>
          <w:tcPr>
            <w:tcW w:w="946" w:type="dxa"/>
            <w:vAlign w:val="top"/>
          </w:tcPr>
          <w:p w14:paraId="19BB04E7">
            <w:pPr>
              <w:spacing w:line="244" w:lineRule="auto"/>
              <w:rPr>
                <w:rFonts w:ascii="Arial"/>
                <w:sz w:val="21"/>
              </w:rPr>
            </w:pPr>
          </w:p>
          <w:p w14:paraId="4C365011">
            <w:pPr>
              <w:spacing w:line="245" w:lineRule="auto"/>
              <w:rPr>
                <w:rFonts w:ascii="Arial"/>
                <w:sz w:val="21"/>
              </w:rPr>
            </w:pPr>
          </w:p>
          <w:p w14:paraId="1844EEC9">
            <w:pPr>
              <w:pStyle w:val="6"/>
              <w:spacing w:before="65" w:line="221" w:lineRule="auto"/>
              <w:ind w:left="187"/>
              <w:rPr>
                <w:sz w:val="20"/>
                <w:szCs w:val="20"/>
              </w:rPr>
            </w:pPr>
            <w:r>
              <w:rPr>
                <w:spacing w:val="-3"/>
                <w:sz w:val="20"/>
                <w:szCs w:val="20"/>
              </w:rPr>
              <w:t>不设置</w:t>
            </w:r>
          </w:p>
        </w:tc>
        <w:tc>
          <w:tcPr>
            <w:tcW w:w="110" w:type="dxa"/>
            <w:vMerge w:val="continue"/>
            <w:tcBorders>
              <w:top w:val="nil"/>
              <w:bottom w:val="nil"/>
              <w:right w:val="single" w:color="000000" w:sz="6" w:space="0"/>
            </w:tcBorders>
            <w:vAlign w:val="top"/>
          </w:tcPr>
          <w:p w14:paraId="1C871A34">
            <w:pPr>
              <w:rPr>
                <w:rFonts w:ascii="Arial"/>
                <w:sz w:val="21"/>
              </w:rPr>
            </w:pPr>
          </w:p>
        </w:tc>
      </w:tr>
      <w:tr w14:paraId="4BC4B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714" w:type="dxa"/>
            <w:vMerge w:val="continue"/>
            <w:tcBorders>
              <w:top w:val="nil"/>
              <w:left w:val="single" w:color="000000" w:sz="6" w:space="0"/>
              <w:bottom w:val="nil"/>
            </w:tcBorders>
            <w:vAlign w:val="top"/>
          </w:tcPr>
          <w:p w14:paraId="346F0D76">
            <w:pPr>
              <w:rPr>
                <w:rFonts w:ascii="Arial"/>
                <w:sz w:val="21"/>
              </w:rPr>
            </w:pPr>
          </w:p>
        </w:tc>
        <w:tc>
          <w:tcPr>
            <w:tcW w:w="99" w:type="dxa"/>
            <w:tcBorders>
              <w:top w:val="nil"/>
              <w:bottom w:val="nil"/>
            </w:tcBorders>
            <w:vAlign w:val="top"/>
          </w:tcPr>
          <w:p w14:paraId="540E1176">
            <w:pPr>
              <w:rPr>
                <w:rFonts w:ascii="Arial"/>
                <w:sz w:val="21"/>
              </w:rPr>
            </w:pPr>
          </w:p>
        </w:tc>
        <w:tc>
          <w:tcPr>
            <w:tcW w:w="909" w:type="dxa"/>
            <w:vAlign w:val="top"/>
          </w:tcPr>
          <w:p w14:paraId="2EC55969">
            <w:pPr>
              <w:pStyle w:val="6"/>
              <w:spacing w:before="168" w:line="221" w:lineRule="auto"/>
              <w:ind w:left="254"/>
              <w:rPr>
                <w:sz w:val="20"/>
                <w:szCs w:val="20"/>
              </w:rPr>
            </w:pPr>
            <w:r>
              <w:rPr>
                <w:spacing w:val="-2"/>
                <w:sz w:val="20"/>
                <w:szCs w:val="20"/>
              </w:rPr>
              <w:t>海洋</w:t>
            </w:r>
          </w:p>
        </w:tc>
        <w:tc>
          <w:tcPr>
            <w:tcW w:w="2266" w:type="dxa"/>
            <w:vAlign w:val="top"/>
          </w:tcPr>
          <w:p w14:paraId="08BC2106">
            <w:pPr>
              <w:pStyle w:val="6"/>
              <w:spacing w:before="38" w:line="220" w:lineRule="auto"/>
              <w:ind w:left="55" w:right="52" w:firstLine="2"/>
              <w:rPr>
                <w:sz w:val="20"/>
                <w:szCs w:val="20"/>
              </w:rPr>
            </w:pPr>
            <w:r>
              <w:rPr>
                <w:spacing w:val="15"/>
                <w:sz w:val="20"/>
                <w:szCs w:val="20"/>
              </w:rPr>
              <w:t>直接向海排放污染物的</w:t>
            </w:r>
            <w:r>
              <w:rPr>
                <w:sz w:val="20"/>
                <w:szCs w:val="20"/>
              </w:rPr>
              <w:t xml:space="preserve"> </w:t>
            </w:r>
            <w:r>
              <w:rPr>
                <w:spacing w:val="-1"/>
                <w:sz w:val="20"/>
                <w:szCs w:val="20"/>
              </w:rPr>
              <w:t>海洋工程建设项目</w:t>
            </w:r>
          </w:p>
        </w:tc>
        <w:tc>
          <w:tcPr>
            <w:tcW w:w="2831" w:type="dxa"/>
            <w:vAlign w:val="top"/>
          </w:tcPr>
          <w:p w14:paraId="75C39330">
            <w:pPr>
              <w:pStyle w:val="6"/>
              <w:spacing w:before="38" w:line="220" w:lineRule="auto"/>
              <w:ind w:left="64" w:right="16"/>
              <w:rPr>
                <w:sz w:val="20"/>
                <w:szCs w:val="20"/>
              </w:rPr>
            </w:pPr>
            <w:r>
              <w:rPr>
                <w:spacing w:val="-4"/>
                <w:sz w:val="20"/>
                <w:szCs w:val="20"/>
              </w:rPr>
              <w:t>项目不属于海洋工程建设项目，</w:t>
            </w:r>
            <w:r>
              <w:rPr>
                <w:sz w:val="20"/>
                <w:szCs w:val="20"/>
              </w:rPr>
              <w:t xml:space="preserve"> </w:t>
            </w:r>
            <w:r>
              <w:rPr>
                <w:spacing w:val="-3"/>
                <w:sz w:val="20"/>
                <w:szCs w:val="20"/>
              </w:rPr>
              <w:t>故无需开展海洋专项评价。</w:t>
            </w:r>
          </w:p>
        </w:tc>
        <w:tc>
          <w:tcPr>
            <w:tcW w:w="946" w:type="dxa"/>
            <w:vAlign w:val="top"/>
          </w:tcPr>
          <w:p w14:paraId="25E07F28">
            <w:pPr>
              <w:pStyle w:val="6"/>
              <w:spacing w:before="169" w:line="221" w:lineRule="auto"/>
              <w:ind w:left="187"/>
              <w:rPr>
                <w:sz w:val="20"/>
                <w:szCs w:val="20"/>
              </w:rPr>
            </w:pPr>
            <w:r>
              <w:rPr>
                <w:spacing w:val="-3"/>
                <w:sz w:val="20"/>
                <w:szCs w:val="20"/>
              </w:rPr>
              <w:t>不设置</w:t>
            </w:r>
          </w:p>
        </w:tc>
        <w:tc>
          <w:tcPr>
            <w:tcW w:w="110" w:type="dxa"/>
            <w:vMerge w:val="continue"/>
            <w:tcBorders>
              <w:top w:val="nil"/>
              <w:bottom w:val="nil"/>
              <w:right w:val="single" w:color="000000" w:sz="6" w:space="0"/>
            </w:tcBorders>
            <w:vAlign w:val="top"/>
          </w:tcPr>
          <w:p w14:paraId="7EF83C27">
            <w:pPr>
              <w:rPr>
                <w:rFonts w:ascii="Arial"/>
                <w:sz w:val="21"/>
              </w:rPr>
            </w:pPr>
          </w:p>
        </w:tc>
      </w:tr>
      <w:tr w14:paraId="62367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1714" w:type="dxa"/>
            <w:vMerge w:val="continue"/>
            <w:tcBorders>
              <w:top w:val="nil"/>
              <w:left w:val="single" w:color="000000" w:sz="6" w:space="0"/>
              <w:bottom w:val="nil"/>
            </w:tcBorders>
            <w:vAlign w:val="top"/>
          </w:tcPr>
          <w:p w14:paraId="69E9E9A6">
            <w:pPr>
              <w:rPr>
                <w:rFonts w:ascii="Arial"/>
                <w:sz w:val="21"/>
              </w:rPr>
            </w:pPr>
          </w:p>
        </w:tc>
        <w:tc>
          <w:tcPr>
            <w:tcW w:w="99" w:type="dxa"/>
            <w:tcBorders>
              <w:top w:val="nil"/>
              <w:bottom w:val="nil"/>
            </w:tcBorders>
            <w:vAlign w:val="top"/>
          </w:tcPr>
          <w:p w14:paraId="2B664057">
            <w:pPr>
              <w:rPr>
                <w:rFonts w:ascii="Arial"/>
                <w:sz w:val="21"/>
              </w:rPr>
            </w:pPr>
          </w:p>
        </w:tc>
        <w:tc>
          <w:tcPr>
            <w:tcW w:w="909" w:type="dxa"/>
            <w:vAlign w:val="top"/>
          </w:tcPr>
          <w:p w14:paraId="371422E0">
            <w:pPr>
              <w:spacing w:line="360" w:lineRule="auto"/>
              <w:rPr>
                <w:rFonts w:ascii="Arial"/>
                <w:sz w:val="21"/>
              </w:rPr>
            </w:pPr>
          </w:p>
          <w:p w14:paraId="29E84941">
            <w:pPr>
              <w:pStyle w:val="6"/>
              <w:spacing w:before="65" w:line="220" w:lineRule="auto"/>
              <w:ind w:left="155"/>
              <w:rPr>
                <w:sz w:val="20"/>
                <w:szCs w:val="20"/>
              </w:rPr>
            </w:pPr>
            <w:r>
              <w:rPr>
                <w:spacing w:val="-2"/>
                <w:sz w:val="20"/>
                <w:szCs w:val="20"/>
              </w:rPr>
              <w:t>地下水</w:t>
            </w:r>
          </w:p>
        </w:tc>
        <w:tc>
          <w:tcPr>
            <w:tcW w:w="2266" w:type="dxa"/>
            <w:vAlign w:val="top"/>
          </w:tcPr>
          <w:p w14:paraId="65797404">
            <w:pPr>
              <w:pStyle w:val="6"/>
              <w:spacing w:before="166" w:line="242" w:lineRule="auto"/>
              <w:ind w:left="56" w:right="51" w:firstLine="1"/>
              <w:jc w:val="both"/>
              <w:rPr>
                <w:sz w:val="20"/>
                <w:szCs w:val="20"/>
              </w:rPr>
            </w:pPr>
            <w:r>
              <w:rPr>
                <w:spacing w:val="15"/>
                <w:sz w:val="20"/>
                <w:szCs w:val="20"/>
              </w:rPr>
              <w:t>涉及集中式饮用水水源</w:t>
            </w:r>
            <w:r>
              <w:rPr>
                <w:sz w:val="20"/>
                <w:szCs w:val="20"/>
              </w:rPr>
              <w:t xml:space="preserve"> </w:t>
            </w:r>
            <w:r>
              <w:rPr>
                <w:spacing w:val="-5"/>
                <w:sz w:val="20"/>
                <w:szCs w:val="20"/>
              </w:rPr>
              <w:t>和热水、矿泉水、温泉等</w:t>
            </w:r>
            <w:r>
              <w:rPr>
                <w:spacing w:val="7"/>
                <w:sz w:val="20"/>
                <w:szCs w:val="20"/>
              </w:rPr>
              <w:t xml:space="preserve"> </w:t>
            </w:r>
            <w:r>
              <w:rPr>
                <w:spacing w:val="-1"/>
                <w:sz w:val="20"/>
                <w:szCs w:val="20"/>
              </w:rPr>
              <w:t>特殊地下水资源保护区</w:t>
            </w:r>
          </w:p>
        </w:tc>
        <w:tc>
          <w:tcPr>
            <w:tcW w:w="2831" w:type="dxa"/>
            <w:vAlign w:val="top"/>
          </w:tcPr>
          <w:p w14:paraId="7CAD02C3">
            <w:pPr>
              <w:pStyle w:val="6"/>
              <w:spacing w:before="38" w:line="230" w:lineRule="auto"/>
              <w:ind w:left="62" w:right="46" w:firstLine="2"/>
              <w:jc w:val="both"/>
              <w:rPr>
                <w:sz w:val="20"/>
                <w:szCs w:val="20"/>
              </w:rPr>
            </w:pPr>
            <w:r>
              <w:rPr>
                <w:spacing w:val="8"/>
                <w:sz w:val="20"/>
                <w:szCs w:val="20"/>
              </w:rPr>
              <w:t xml:space="preserve">项目不涉及集中式饮用水水源 </w:t>
            </w:r>
            <w:r>
              <w:rPr>
                <w:spacing w:val="-6"/>
                <w:sz w:val="20"/>
                <w:szCs w:val="20"/>
              </w:rPr>
              <w:t>和热水、矿泉水、温泉等特殊地</w:t>
            </w:r>
            <w:r>
              <w:rPr>
                <w:sz w:val="20"/>
                <w:szCs w:val="20"/>
              </w:rPr>
              <w:t xml:space="preserve"> </w:t>
            </w:r>
            <w:r>
              <w:rPr>
                <w:spacing w:val="-6"/>
                <w:sz w:val="20"/>
                <w:szCs w:val="20"/>
              </w:rPr>
              <w:t>下水资源保护区，故无需开展地</w:t>
            </w:r>
            <w:r>
              <w:rPr>
                <w:sz w:val="20"/>
                <w:szCs w:val="20"/>
              </w:rPr>
              <w:t xml:space="preserve"> </w:t>
            </w:r>
            <w:r>
              <w:rPr>
                <w:spacing w:val="-2"/>
                <w:sz w:val="20"/>
                <w:szCs w:val="20"/>
              </w:rPr>
              <w:t>下水专项评价。</w:t>
            </w:r>
          </w:p>
        </w:tc>
        <w:tc>
          <w:tcPr>
            <w:tcW w:w="946" w:type="dxa"/>
            <w:vAlign w:val="top"/>
          </w:tcPr>
          <w:p w14:paraId="228CC89E">
            <w:pPr>
              <w:spacing w:line="361" w:lineRule="auto"/>
              <w:rPr>
                <w:rFonts w:ascii="Arial"/>
                <w:sz w:val="21"/>
              </w:rPr>
            </w:pPr>
          </w:p>
          <w:p w14:paraId="7E968E4D">
            <w:pPr>
              <w:pStyle w:val="6"/>
              <w:spacing w:before="65" w:line="221" w:lineRule="auto"/>
              <w:ind w:left="187"/>
              <w:rPr>
                <w:sz w:val="20"/>
                <w:szCs w:val="20"/>
              </w:rPr>
            </w:pPr>
            <w:r>
              <w:rPr>
                <w:spacing w:val="-3"/>
                <w:sz w:val="20"/>
                <w:szCs w:val="20"/>
              </w:rPr>
              <w:t>不设置</w:t>
            </w:r>
          </w:p>
        </w:tc>
        <w:tc>
          <w:tcPr>
            <w:tcW w:w="110" w:type="dxa"/>
            <w:vMerge w:val="continue"/>
            <w:tcBorders>
              <w:top w:val="nil"/>
              <w:bottom w:val="nil"/>
              <w:right w:val="single" w:color="000000" w:sz="6" w:space="0"/>
            </w:tcBorders>
            <w:vAlign w:val="top"/>
          </w:tcPr>
          <w:p w14:paraId="0C147277">
            <w:pPr>
              <w:rPr>
                <w:rFonts w:ascii="Arial"/>
                <w:sz w:val="21"/>
              </w:rPr>
            </w:pPr>
          </w:p>
        </w:tc>
      </w:tr>
      <w:tr w14:paraId="73D9B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6" w:hRule="atLeast"/>
        </w:trPr>
        <w:tc>
          <w:tcPr>
            <w:tcW w:w="1714" w:type="dxa"/>
            <w:vMerge w:val="continue"/>
            <w:tcBorders>
              <w:top w:val="nil"/>
              <w:left w:val="single" w:color="000000" w:sz="6" w:space="0"/>
            </w:tcBorders>
            <w:vAlign w:val="top"/>
          </w:tcPr>
          <w:p w14:paraId="46B88684">
            <w:pPr>
              <w:rPr>
                <w:rFonts w:ascii="Arial"/>
                <w:sz w:val="21"/>
              </w:rPr>
            </w:pPr>
          </w:p>
        </w:tc>
        <w:tc>
          <w:tcPr>
            <w:tcW w:w="99" w:type="dxa"/>
            <w:tcBorders>
              <w:top w:val="nil"/>
            </w:tcBorders>
            <w:vAlign w:val="top"/>
          </w:tcPr>
          <w:p w14:paraId="2E3C7F32">
            <w:pPr>
              <w:rPr>
                <w:rFonts w:ascii="Arial"/>
                <w:sz w:val="21"/>
              </w:rPr>
            </w:pPr>
          </w:p>
        </w:tc>
        <w:tc>
          <w:tcPr>
            <w:tcW w:w="6952" w:type="dxa"/>
            <w:gridSpan w:val="4"/>
            <w:vAlign w:val="top"/>
          </w:tcPr>
          <w:p w14:paraId="6BCE2E71">
            <w:pPr>
              <w:pStyle w:val="6"/>
              <w:spacing w:before="57" w:line="251" w:lineRule="auto"/>
              <w:ind w:left="55" w:right="44"/>
              <w:jc w:val="both"/>
              <w:rPr>
                <w:sz w:val="18"/>
                <w:szCs w:val="18"/>
              </w:rPr>
            </w:pPr>
            <w:r>
              <w:rPr>
                <w:spacing w:val="-1"/>
                <w:sz w:val="18"/>
                <w:szCs w:val="18"/>
              </w:rPr>
              <w:t>注</w:t>
            </w:r>
            <w:r>
              <w:rPr>
                <w:rFonts w:hint="eastAsia"/>
                <w:spacing w:val="-1"/>
                <w:sz w:val="18"/>
                <w:szCs w:val="18"/>
                <w:lang w:eastAsia="zh-CN"/>
              </w:rPr>
              <w:t>：</w:t>
            </w:r>
            <w:r>
              <w:rPr>
                <w:rFonts w:ascii="Times New Roman" w:hAnsi="Times New Roman" w:eastAsia="Times New Roman" w:cs="Times New Roman"/>
                <w:spacing w:val="-1"/>
                <w:sz w:val="18"/>
                <w:szCs w:val="18"/>
              </w:rPr>
              <w:t>1.</w:t>
            </w:r>
            <w:r>
              <w:rPr>
                <w:spacing w:val="-1"/>
                <w:sz w:val="18"/>
                <w:szCs w:val="18"/>
              </w:rPr>
              <w:t>废气中有毒有害污染物指纳入《有毒有</w:t>
            </w:r>
            <w:r>
              <w:rPr>
                <w:spacing w:val="-2"/>
                <w:sz w:val="18"/>
                <w:szCs w:val="18"/>
              </w:rPr>
              <w:t>害大气污染物名录》的污染物</w:t>
            </w:r>
            <w:r>
              <w:rPr>
                <w:rFonts w:hint="eastAsia"/>
                <w:spacing w:val="-2"/>
                <w:sz w:val="18"/>
                <w:szCs w:val="18"/>
                <w:lang w:eastAsia="zh-CN"/>
              </w:rPr>
              <w:t>（</w:t>
            </w:r>
            <w:r>
              <w:rPr>
                <w:spacing w:val="-2"/>
                <w:sz w:val="18"/>
                <w:szCs w:val="18"/>
              </w:rPr>
              <w:t>不包括无排放</w:t>
            </w:r>
            <w:r>
              <w:rPr>
                <w:sz w:val="18"/>
                <w:szCs w:val="18"/>
              </w:rPr>
              <w:t xml:space="preserve"> </w:t>
            </w:r>
            <w:r>
              <w:rPr>
                <w:spacing w:val="-1"/>
                <w:sz w:val="18"/>
                <w:szCs w:val="18"/>
              </w:rPr>
              <w:t>标准的污染物</w:t>
            </w:r>
            <w:r>
              <w:rPr>
                <w:rFonts w:hint="eastAsia"/>
                <w:spacing w:val="-1"/>
                <w:sz w:val="18"/>
                <w:szCs w:val="18"/>
                <w:lang w:eastAsia="zh-CN"/>
              </w:rPr>
              <w:t>）</w:t>
            </w:r>
            <w:r>
              <w:rPr>
                <w:rFonts w:ascii="Times New Roman" w:hAnsi="Times New Roman" w:eastAsia="Times New Roman" w:cs="Times New Roman"/>
                <w:spacing w:val="-14"/>
                <w:sz w:val="18"/>
                <w:szCs w:val="18"/>
              </w:rPr>
              <w:t xml:space="preserve"> </w:t>
            </w:r>
            <w:r>
              <w:rPr>
                <w:spacing w:val="-1"/>
                <w:sz w:val="18"/>
                <w:szCs w:val="18"/>
              </w:rPr>
              <w:t>。</w:t>
            </w:r>
            <w:r>
              <w:rPr>
                <w:rFonts w:ascii="Times New Roman" w:hAnsi="Times New Roman" w:eastAsia="Times New Roman" w:cs="Times New Roman"/>
                <w:spacing w:val="-1"/>
                <w:sz w:val="18"/>
                <w:szCs w:val="18"/>
              </w:rPr>
              <w:t>2.</w:t>
            </w:r>
            <w:r>
              <w:rPr>
                <w:spacing w:val="-1"/>
                <w:sz w:val="18"/>
                <w:szCs w:val="18"/>
              </w:rPr>
              <w:t>环境空气保护目标指自然保护区、风景名胜区、居住区、文化区和农</w:t>
            </w:r>
            <w:r>
              <w:rPr>
                <w:sz w:val="18"/>
                <w:szCs w:val="18"/>
              </w:rPr>
              <w:t xml:space="preserve"> 村地区中人群较集中的区域。</w:t>
            </w:r>
            <w:r>
              <w:rPr>
                <w:rFonts w:ascii="Times New Roman" w:hAnsi="Times New Roman" w:eastAsia="Times New Roman" w:cs="Times New Roman"/>
                <w:sz w:val="18"/>
                <w:szCs w:val="18"/>
              </w:rPr>
              <w:t>3.</w:t>
            </w:r>
            <w:r>
              <w:rPr>
                <w:sz w:val="18"/>
                <w:szCs w:val="18"/>
              </w:rPr>
              <w:t>临界量及其计算方法可参考《建设</w:t>
            </w:r>
            <w:r>
              <w:rPr>
                <w:spacing w:val="-1"/>
                <w:sz w:val="18"/>
                <w:szCs w:val="18"/>
              </w:rPr>
              <w:t>项目环境风险评价技</w:t>
            </w:r>
            <w:r>
              <w:rPr>
                <w:sz w:val="18"/>
                <w:szCs w:val="18"/>
              </w:rPr>
              <w:t xml:space="preserve"> </w:t>
            </w:r>
            <w:r>
              <w:rPr>
                <w:spacing w:val="-2"/>
                <w:sz w:val="18"/>
                <w:szCs w:val="18"/>
              </w:rPr>
              <w:t>术导则》</w:t>
            </w:r>
            <w:r>
              <w:rPr>
                <w:rFonts w:hint="eastAsia"/>
                <w:spacing w:val="-2"/>
                <w:sz w:val="18"/>
                <w:szCs w:val="18"/>
                <w:lang w:eastAsia="zh-CN"/>
              </w:rPr>
              <w:t>（</w:t>
            </w:r>
            <w:r>
              <w:rPr>
                <w:rFonts w:ascii="Times New Roman" w:hAnsi="Times New Roman" w:eastAsia="Times New Roman" w:cs="Times New Roman"/>
                <w:spacing w:val="-2"/>
                <w:sz w:val="18"/>
                <w:szCs w:val="18"/>
              </w:rPr>
              <w:t>HJ</w:t>
            </w:r>
            <w:r>
              <w:rPr>
                <w:rFonts w:ascii="Times New Roman" w:hAnsi="Times New Roman" w:eastAsia="Times New Roman" w:cs="Times New Roman"/>
                <w:spacing w:val="31"/>
                <w:w w:val="101"/>
                <w:sz w:val="18"/>
                <w:szCs w:val="18"/>
              </w:rPr>
              <w:t xml:space="preserve"> </w:t>
            </w:r>
            <w:r>
              <w:rPr>
                <w:rFonts w:ascii="Times New Roman" w:hAnsi="Times New Roman" w:eastAsia="Times New Roman" w:cs="Times New Roman"/>
                <w:spacing w:val="-2"/>
                <w:sz w:val="18"/>
                <w:szCs w:val="18"/>
              </w:rPr>
              <w:t>169</w:t>
            </w:r>
            <w:r>
              <w:rPr>
                <w:rFonts w:hint="eastAsia" w:ascii="Times New Roman" w:hAnsi="Times New Roman" w:eastAsia="宋体" w:cs="Times New Roman"/>
                <w:spacing w:val="-2"/>
                <w:sz w:val="18"/>
                <w:szCs w:val="18"/>
                <w:lang w:eastAsia="zh-CN"/>
              </w:rPr>
              <w:t>）</w:t>
            </w:r>
            <w:r>
              <w:rPr>
                <w:spacing w:val="-2"/>
                <w:sz w:val="18"/>
                <w:szCs w:val="18"/>
              </w:rPr>
              <w:t xml:space="preserve">附录 </w:t>
            </w:r>
            <w:r>
              <w:rPr>
                <w:rFonts w:ascii="Times New Roman" w:hAnsi="Times New Roman" w:eastAsia="Times New Roman" w:cs="Times New Roman"/>
                <w:spacing w:val="-2"/>
                <w:sz w:val="18"/>
                <w:szCs w:val="18"/>
              </w:rPr>
              <w:t>B</w:t>
            </w:r>
            <w:r>
              <w:rPr>
                <w:spacing w:val="-2"/>
                <w:sz w:val="18"/>
                <w:szCs w:val="18"/>
              </w:rPr>
              <w:t>、附录</w:t>
            </w:r>
            <w:r>
              <w:rPr>
                <w:rFonts w:ascii="Times New Roman" w:hAnsi="Times New Roman" w:eastAsia="Times New Roman" w:cs="Times New Roman"/>
                <w:spacing w:val="-2"/>
                <w:sz w:val="18"/>
                <w:szCs w:val="18"/>
              </w:rPr>
              <w:t>C</w:t>
            </w:r>
            <w:r>
              <w:rPr>
                <w:spacing w:val="-2"/>
                <w:sz w:val="18"/>
                <w:szCs w:val="18"/>
              </w:rPr>
              <w:t>。</w:t>
            </w:r>
          </w:p>
        </w:tc>
        <w:tc>
          <w:tcPr>
            <w:tcW w:w="110" w:type="dxa"/>
            <w:vMerge w:val="continue"/>
            <w:tcBorders>
              <w:top w:val="nil"/>
              <w:right w:val="single" w:color="000000" w:sz="6" w:space="0"/>
            </w:tcBorders>
            <w:vAlign w:val="top"/>
          </w:tcPr>
          <w:p w14:paraId="21E6074C">
            <w:pPr>
              <w:rPr>
                <w:rFonts w:ascii="Arial"/>
                <w:sz w:val="21"/>
              </w:rPr>
            </w:pPr>
          </w:p>
        </w:tc>
      </w:tr>
      <w:tr w14:paraId="45245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3" w:hRule="atLeast"/>
        </w:trPr>
        <w:tc>
          <w:tcPr>
            <w:tcW w:w="1714" w:type="dxa"/>
            <w:tcBorders>
              <w:left w:val="single" w:color="000000" w:sz="6" w:space="0"/>
            </w:tcBorders>
            <w:vAlign w:val="top"/>
          </w:tcPr>
          <w:p w14:paraId="030CE954">
            <w:pPr>
              <w:spacing w:line="263" w:lineRule="auto"/>
              <w:rPr>
                <w:rFonts w:ascii="Arial"/>
                <w:sz w:val="21"/>
              </w:rPr>
            </w:pPr>
          </w:p>
          <w:p w14:paraId="730C47CB">
            <w:pPr>
              <w:spacing w:line="263" w:lineRule="auto"/>
              <w:rPr>
                <w:rFonts w:ascii="Arial"/>
                <w:sz w:val="21"/>
              </w:rPr>
            </w:pPr>
          </w:p>
          <w:p w14:paraId="55F95420">
            <w:pPr>
              <w:spacing w:line="263" w:lineRule="auto"/>
              <w:rPr>
                <w:rFonts w:ascii="Arial"/>
                <w:sz w:val="21"/>
              </w:rPr>
            </w:pPr>
          </w:p>
          <w:p w14:paraId="753C7C5A">
            <w:pPr>
              <w:spacing w:line="263" w:lineRule="auto"/>
              <w:rPr>
                <w:rFonts w:ascii="Arial"/>
                <w:sz w:val="21"/>
              </w:rPr>
            </w:pPr>
          </w:p>
          <w:p w14:paraId="2CEC78D5">
            <w:pPr>
              <w:pStyle w:val="6"/>
              <w:spacing w:before="68" w:line="220" w:lineRule="auto"/>
              <w:ind w:left="437"/>
            </w:pPr>
            <w:r>
              <w:rPr>
                <w:spacing w:val="-2"/>
              </w:rPr>
              <w:t>规划情况</w:t>
            </w:r>
          </w:p>
        </w:tc>
        <w:tc>
          <w:tcPr>
            <w:tcW w:w="7161" w:type="dxa"/>
            <w:gridSpan w:val="6"/>
            <w:tcBorders>
              <w:right w:val="single" w:color="000000" w:sz="6" w:space="0"/>
            </w:tcBorders>
            <w:vAlign w:val="top"/>
          </w:tcPr>
          <w:p w14:paraId="6B85E22A">
            <w:pPr>
              <w:pStyle w:val="6"/>
              <w:spacing w:before="151" w:line="219" w:lineRule="auto"/>
              <w:ind w:left="109"/>
            </w:pPr>
            <w:r>
              <w:rPr>
                <w:b/>
                <w:bCs/>
                <w:spacing w:val="-2"/>
              </w:rPr>
              <w:t>规划名称</w:t>
            </w:r>
            <w:r>
              <w:rPr>
                <w:spacing w:val="-2"/>
              </w:rPr>
              <w:t>：达州市通川区东岳新型工业集聚区规划</w:t>
            </w:r>
          </w:p>
          <w:p w14:paraId="3CFCF31D">
            <w:pPr>
              <w:pStyle w:val="6"/>
              <w:spacing w:before="150" w:line="352" w:lineRule="auto"/>
              <w:ind w:left="110" w:right="113" w:hanging="1"/>
            </w:pPr>
            <w:r>
              <w:rPr>
                <w:b/>
                <w:bCs/>
                <w:spacing w:val="-1"/>
              </w:rPr>
              <w:t>规划区范围</w:t>
            </w:r>
            <w:r>
              <w:rPr>
                <w:spacing w:val="-1"/>
              </w:rPr>
              <w:t>：东以达州市环城高速为界，北至魏兴接壤处，西至襄渝铁路复</w:t>
            </w:r>
            <w:r>
              <w:rPr>
                <w:spacing w:val="18"/>
              </w:rPr>
              <w:t xml:space="preserve"> </w:t>
            </w:r>
            <w:r>
              <w:rPr>
                <w:spacing w:val="-1"/>
              </w:rPr>
              <w:t>线以东，南至双龙镇接壤处，规划面积</w:t>
            </w:r>
            <w:r>
              <w:rPr>
                <w:rFonts w:ascii="Times New Roman" w:hAnsi="Times New Roman" w:eastAsia="Times New Roman" w:cs="Times New Roman"/>
                <w:spacing w:val="-1"/>
              </w:rPr>
              <w:t>7.34km</w:t>
            </w:r>
            <w:r>
              <w:rPr>
                <w:rFonts w:ascii="Times New Roman" w:hAnsi="Times New Roman" w:eastAsia="Times New Roman" w:cs="Times New Roman"/>
                <w:spacing w:val="-1"/>
                <w:position w:val="7"/>
                <w:sz w:val="14"/>
                <w:szCs w:val="14"/>
              </w:rPr>
              <w:t>2</w:t>
            </w:r>
            <w:r>
              <w:rPr>
                <w:spacing w:val="-1"/>
              </w:rPr>
              <w:t>。</w:t>
            </w:r>
          </w:p>
          <w:p w14:paraId="3A7AB7E2">
            <w:pPr>
              <w:pStyle w:val="6"/>
              <w:spacing w:line="308" w:lineRule="auto"/>
              <w:ind w:left="108" w:right="106" w:firstLine="3"/>
            </w:pPr>
            <w:r>
              <w:rPr>
                <w:b/>
                <w:bCs/>
              </w:rPr>
              <w:t>功能定位</w:t>
            </w:r>
            <w:r>
              <w:t>：达州市通川区东岳新型工业集聚区</w:t>
            </w:r>
            <w:r>
              <w:rPr>
                <w:spacing w:val="-1"/>
              </w:rPr>
              <w:t>定位发展成以轻工电子、新材</w:t>
            </w:r>
            <w:r>
              <w:t xml:space="preserve"> 料、节能环保、机械制造产业为主导，同时承接部分传统产业退城进郊的新</w:t>
            </w:r>
            <w:r>
              <w:rPr>
                <w:spacing w:val="4"/>
              </w:rPr>
              <w:t xml:space="preserve"> </w:t>
            </w:r>
            <w:r>
              <w:rPr>
                <w:spacing w:val="-5"/>
              </w:rPr>
              <w:t>型工业集聚区。</w:t>
            </w:r>
          </w:p>
        </w:tc>
      </w:tr>
      <w:tr w14:paraId="65339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714" w:type="dxa"/>
            <w:tcBorders>
              <w:left w:val="single" w:color="000000" w:sz="6" w:space="0"/>
            </w:tcBorders>
            <w:vAlign w:val="top"/>
          </w:tcPr>
          <w:p w14:paraId="39B4CC2F">
            <w:pPr>
              <w:spacing w:line="244" w:lineRule="auto"/>
              <w:rPr>
                <w:rFonts w:ascii="Arial"/>
                <w:sz w:val="21"/>
              </w:rPr>
            </w:pPr>
          </w:p>
          <w:p w14:paraId="2D5AD7EF">
            <w:pPr>
              <w:spacing w:line="244" w:lineRule="auto"/>
              <w:rPr>
                <w:rFonts w:ascii="Arial"/>
                <w:sz w:val="21"/>
              </w:rPr>
            </w:pPr>
          </w:p>
          <w:p w14:paraId="7F888C0D">
            <w:pPr>
              <w:pStyle w:val="6"/>
              <w:spacing w:before="68" w:line="282" w:lineRule="auto"/>
              <w:ind w:left="435" w:right="225" w:hanging="208"/>
            </w:pPr>
            <w:r>
              <w:rPr>
                <w:spacing w:val="-2"/>
              </w:rPr>
              <w:t>规划环境影响</w:t>
            </w:r>
            <w:r>
              <w:rPr>
                <w:spacing w:val="1"/>
              </w:rPr>
              <w:t xml:space="preserve"> </w:t>
            </w:r>
            <w:r>
              <w:rPr>
                <w:spacing w:val="-2"/>
              </w:rPr>
              <w:t>评价情况</w:t>
            </w:r>
          </w:p>
        </w:tc>
        <w:tc>
          <w:tcPr>
            <w:tcW w:w="7161" w:type="dxa"/>
            <w:gridSpan w:val="6"/>
            <w:tcBorders>
              <w:right w:val="single" w:color="000000" w:sz="6" w:space="0"/>
            </w:tcBorders>
            <w:vAlign w:val="top"/>
          </w:tcPr>
          <w:p w14:paraId="37FB56A0">
            <w:pPr>
              <w:pStyle w:val="6"/>
              <w:spacing w:before="143" w:line="218" w:lineRule="auto"/>
              <w:ind w:left="109"/>
            </w:pPr>
            <w:r>
              <w:rPr>
                <w:b/>
                <w:bCs/>
                <w:spacing w:val="-1"/>
              </w:rPr>
              <w:t>规划环评名称</w:t>
            </w:r>
            <w:r>
              <w:rPr>
                <w:spacing w:val="-1"/>
              </w:rPr>
              <w:t>：《达州市通川区东岳新型工业集聚区规划环境影响报告书》</w:t>
            </w:r>
          </w:p>
          <w:p w14:paraId="74A9FA01">
            <w:pPr>
              <w:pStyle w:val="6"/>
              <w:spacing w:before="151" w:line="219" w:lineRule="auto"/>
              <w:ind w:left="116"/>
            </w:pPr>
            <w:r>
              <w:rPr>
                <w:b/>
                <w:bCs/>
                <w:spacing w:val="-1"/>
              </w:rPr>
              <w:t>召集审查机关</w:t>
            </w:r>
            <w:r>
              <w:rPr>
                <w:spacing w:val="-1"/>
              </w:rPr>
              <w:t>：达州市通川生态环境局（原达州市</w:t>
            </w:r>
            <w:r>
              <w:rPr>
                <w:spacing w:val="-2"/>
              </w:rPr>
              <w:t>通川区环境保护局）</w:t>
            </w:r>
          </w:p>
          <w:p w14:paraId="186DDA95">
            <w:pPr>
              <w:pStyle w:val="6"/>
              <w:spacing w:before="151" w:line="286" w:lineRule="auto"/>
              <w:ind w:left="119" w:right="114"/>
            </w:pPr>
            <w:r>
              <w:rPr>
                <w:b/>
                <w:bCs/>
                <w:spacing w:val="-1"/>
              </w:rPr>
              <w:t>审查文件名称及文号</w:t>
            </w:r>
            <w:r>
              <w:rPr>
                <w:spacing w:val="-1"/>
              </w:rPr>
              <w:t>：关于《达州市通川区东岳新型工业集聚区规划环境影</w:t>
            </w:r>
            <w:r>
              <w:t xml:space="preserve"> </w:t>
            </w:r>
            <w:r>
              <w:rPr>
                <w:spacing w:val="-1"/>
              </w:rPr>
              <w:t>响报告书》审查意见的函（通区环函〔</w:t>
            </w:r>
            <w:r>
              <w:rPr>
                <w:rFonts w:ascii="Times New Roman" w:hAnsi="Times New Roman" w:eastAsia="Times New Roman" w:cs="Times New Roman"/>
                <w:spacing w:val="-1"/>
              </w:rPr>
              <w:t>2015</w:t>
            </w:r>
            <w:r>
              <w:rPr>
                <w:spacing w:val="-1"/>
              </w:rPr>
              <w:t>〕</w:t>
            </w:r>
            <w:r>
              <w:rPr>
                <w:rFonts w:ascii="Times New Roman" w:hAnsi="Times New Roman" w:eastAsia="Times New Roman" w:cs="Times New Roman"/>
                <w:spacing w:val="-1"/>
              </w:rPr>
              <w:t>122</w:t>
            </w:r>
            <w:r>
              <w:rPr>
                <w:spacing w:val="-1"/>
              </w:rPr>
              <w:t>号）</w:t>
            </w:r>
          </w:p>
        </w:tc>
      </w:tr>
      <w:tr w14:paraId="7BB28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9" w:hRule="atLeast"/>
        </w:trPr>
        <w:tc>
          <w:tcPr>
            <w:tcW w:w="1714" w:type="dxa"/>
            <w:tcBorders>
              <w:left w:val="single" w:color="000000" w:sz="6" w:space="0"/>
            </w:tcBorders>
            <w:vAlign w:val="top"/>
          </w:tcPr>
          <w:p w14:paraId="402B6B03">
            <w:pPr>
              <w:spacing w:line="267" w:lineRule="auto"/>
              <w:rPr>
                <w:rFonts w:ascii="Arial"/>
                <w:sz w:val="21"/>
              </w:rPr>
            </w:pPr>
          </w:p>
          <w:p w14:paraId="174F4BE9">
            <w:pPr>
              <w:spacing w:line="267" w:lineRule="auto"/>
              <w:rPr>
                <w:rFonts w:ascii="Arial"/>
                <w:sz w:val="21"/>
              </w:rPr>
            </w:pPr>
          </w:p>
          <w:p w14:paraId="5539522A">
            <w:pPr>
              <w:spacing w:line="267" w:lineRule="auto"/>
              <w:rPr>
                <w:rFonts w:ascii="Arial"/>
                <w:sz w:val="21"/>
              </w:rPr>
            </w:pPr>
          </w:p>
          <w:p w14:paraId="73F17279">
            <w:pPr>
              <w:spacing w:line="267" w:lineRule="auto"/>
              <w:rPr>
                <w:rFonts w:ascii="Arial"/>
                <w:sz w:val="21"/>
              </w:rPr>
            </w:pPr>
          </w:p>
          <w:p w14:paraId="461FB551">
            <w:pPr>
              <w:spacing w:line="267" w:lineRule="auto"/>
              <w:rPr>
                <w:rFonts w:ascii="Arial"/>
                <w:sz w:val="21"/>
              </w:rPr>
            </w:pPr>
          </w:p>
          <w:p w14:paraId="72F71980">
            <w:pPr>
              <w:spacing w:line="267" w:lineRule="auto"/>
              <w:rPr>
                <w:rFonts w:ascii="Arial"/>
                <w:sz w:val="21"/>
              </w:rPr>
            </w:pPr>
          </w:p>
          <w:p w14:paraId="1F840516">
            <w:pPr>
              <w:pStyle w:val="6"/>
              <w:spacing w:before="69" w:line="220" w:lineRule="auto"/>
              <w:ind w:left="121"/>
            </w:pPr>
            <w:r>
              <w:rPr>
                <w:spacing w:val="-2"/>
              </w:rPr>
              <w:t>规划及规划环境</w:t>
            </w:r>
          </w:p>
          <w:p w14:paraId="28F99809">
            <w:pPr>
              <w:pStyle w:val="6"/>
              <w:spacing w:before="68" w:line="218" w:lineRule="auto"/>
              <w:ind w:left="120"/>
            </w:pPr>
            <w:r>
              <w:rPr>
                <w:spacing w:val="-2"/>
              </w:rPr>
              <w:t>影响评价符合性</w:t>
            </w:r>
          </w:p>
          <w:p w14:paraId="37BB95E0">
            <w:pPr>
              <w:pStyle w:val="6"/>
              <w:spacing w:before="72" w:line="220" w:lineRule="auto"/>
              <w:ind w:left="648"/>
            </w:pPr>
            <w:r>
              <w:rPr>
                <w:spacing w:val="-3"/>
              </w:rPr>
              <w:t>分析</w:t>
            </w:r>
          </w:p>
        </w:tc>
        <w:tc>
          <w:tcPr>
            <w:tcW w:w="7161" w:type="dxa"/>
            <w:gridSpan w:val="6"/>
            <w:tcBorders>
              <w:right w:val="single" w:color="000000" w:sz="6" w:space="0"/>
            </w:tcBorders>
            <w:vAlign w:val="top"/>
          </w:tcPr>
          <w:p w14:paraId="66C7E7B9">
            <w:pPr>
              <w:spacing w:before="196" w:line="242" w:lineRule="auto"/>
              <w:ind w:left="126"/>
              <w:rPr>
                <w:rFonts w:ascii="黑体" w:hAnsi="黑体" w:eastAsia="黑体" w:cs="黑体"/>
                <w:sz w:val="21"/>
                <w:szCs w:val="21"/>
              </w:rPr>
            </w:pPr>
            <w:r>
              <w:rPr>
                <w:rFonts w:ascii="Times New Roman" w:hAnsi="Times New Roman" w:eastAsia="Times New Roman" w:cs="Times New Roman"/>
                <w:spacing w:val="6"/>
                <w:sz w:val="21"/>
                <w:szCs w:val="21"/>
              </w:rPr>
              <w:t>1</w:t>
            </w:r>
            <w:r>
              <w:rPr>
                <w:rFonts w:ascii="黑体" w:hAnsi="黑体" w:eastAsia="黑体" w:cs="黑体"/>
                <w:spacing w:val="6"/>
                <w:sz w:val="21"/>
                <w:szCs w:val="21"/>
              </w:rPr>
              <w:t>、与园区产业定位的符合性</w:t>
            </w:r>
          </w:p>
          <w:p w14:paraId="486372B0">
            <w:pPr>
              <w:pStyle w:val="6"/>
              <w:spacing w:before="131" w:line="352" w:lineRule="auto"/>
              <w:ind w:left="108" w:right="105" w:firstLine="420"/>
              <w:jc w:val="both"/>
            </w:pPr>
            <w:r>
              <w:t>根据园区规划环评资料，达州市通川区东岳新型工业集聚区定位为以轻</w:t>
            </w:r>
            <w:r>
              <w:rPr>
                <w:spacing w:val="5"/>
              </w:rPr>
              <w:t xml:space="preserve"> </w:t>
            </w:r>
            <w:r>
              <w:t>工电子、新材料节能环保、机械制造产业为主导，同时承接部分传统产业退</w:t>
            </w:r>
            <w:r>
              <w:rPr>
                <w:spacing w:val="4"/>
              </w:rPr>
              <w:t xml:space="preserve"> </w:t>
            </w:r>
            <w:r>
              <w:rPr>
                <w:spacing w:val="-3"/>
              </w:rPr>
              <w:t>城进郊的新型工业集聚区。</w:t>
            </w:r>
          </w:p>
          <w:p w14:paraId="14046FDC">
            <w:pPr>
              <w:pStyle w:val="6"/>
              <w:spacing w:line="349" w:lineRule="auto"/>
              <w:ind w:left="109" w:right="104" w:firstLine="420"/>
              <w:jc w:val="both"/>
            </w:pPr>
            <w:r>
              <w:t>本项目为生物质成型燃料生产项目，原料主要是各类废弃木材，可充分</w:t>
            </w:r>
            <w:r>
              <w:rPr>
                <w:spacing w:val="4"/>
              </w:rPr>
              <w:t xml:space="preserve"> </w:t>
            </w:r>
            <w:r>
              <w:t>利用东岳新型工业集聚区内家居集聚园项目的木材边角废料做原料，因此本</w:t>
            </w:r>
            <w:r>
              <w:rPr>
                <w:spacing w:val="6"/>
              </w:rPr>
              <w:t xml:space="preserve"> </w:t>
            </w:r>
            <w:r>
              <w:rPr>
                <w:spacing w:val="-1"/>
              </w:rPr>
              <w:t>项目也属于生态保护和环境治理业类环保产业，与园区产业</w:t>
            </w:r>
            <w:r>
              <w:rPr>
                <w:spacing w:val="-2"/>
              </w:rPr>
              <w:t>定位是相符的。</w:t>
            </w:r>
          </w:p>
          <w:p w14:paraId="0BFD0BB6">
            <w:pPr>
              <w:spacing w:line="241" w:lineRule="auto"/>
              <w:ind w:left="105"/>
              <w:rPr>
                <w:rFonts w:ascii="黑体" w:hAnsi="黑体" w:eastAsia="黑体" w:cs="黑体"/>
                <w:sz w:val="21"/>
                <w:szCs w:val="21"/>
              </w:rPr>
            </w:pPr>
            <w:r>
              <w:rPr>
                <w:rFonts w:ascii="Times New Roman" w:hAnsi="Times New Roman" w:eastAsia="Times New Roman" w:cs="Times New Roman"/>
                <w:spacing w:val="8"/>
                <w:sz w:val="21"/>
                <w:szCs w:val="21"/>
              </w:rPr>
              <w:t>2</w:t>
            </w:r>
            <w:r>
              <w:rPr>
                <w:rFonts w:ascii="黑体" w:hAnsi="黑体" w:eastAsia="黑体" w:cs="黑体"/>
                <w:spacing w:val="8"/>
                <w:sz w:val="21"/>
                <w:szCs w:val="21"/>
              </w:rPr>
              <w:t>、与园区环境准入要求的符合性</w:t>
            </w:r>
          </w:p>
          <w:p w14:paraId="22E53965">
            <w:pPr>
              <w:pStyle w:val="6"/>
              <w:spacing w:before="132" w:line="355" w:lineRule="auto"/>
              <w:ind w:left="123" w:right="105" w:firstLine="405"/>
            </w:pPr>
            <w:r>
              <w:t>根据园区规划环评资料及审查意见，东岳新型工业集聚区鼓励、禁止及</w:t>
            </w:r>
            <w:r>
              <w:rPr>
                <w:spacing w:val="5"/>
              </w:rPr>
              <w:t xml:space="preserve"> </w:t>
            </w:r>
            <w:r>
              <w:rPr>
                <w:spacing w:val="-5"/>
              </w:rPr>
              <w:t>限制入驻企业类型见下表。</w:t>
            </w:r>
          </w:p>
        </w:tc>
      </w:tr>
    </w:tbl>
    <w:p w14:paraId="3C9DDC64">
      <w:pPr>
        <w:rPr>
          <w:rFonts w:ascii="Arial"/>
          <w:sz w:val="21"/>
        </w:rPr>
      </w:pPr>
    </w:p>
    <w:p w14:paraId="692B0795">
      <w:pPr>
        <w:rPr>
          <w:rFonts w:ascii="Arial" w:hAnsi="Arial" w:eastAsia="Arial" w:cs="Arial"/>
          <w:sz w:val="21"/>
          <w:szCs w:val="21"/>
        </w:rPr>
        <w:sectPr>
          <w:footerReference r:id="rId6" w:type="default"/>
          <w:pgSz w:w="11907" w:h="16839"/>
          <w:pgMar w:top="1431" w:right="1507" w:bottom="1280" w:left="1508" w:header="0" w:footer="1026" w:gutter="0"/>
          <w:cols w:space="720" w:num="1"/>
        </w:sectPr>
      </w:pPr>
    </w:p>
    <w:p w14:paraId="4DF3F0C2">
      <w:pPr>
        <w:spacing w:before="28"/>
      </w:pPr>
    </w:p>
    <w:tbl>
      <w:tblPr>
        <w:tblStyle w:val="5"/>
        <w:tblW w:w="887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3"/>
        <w:gridCol w:w="7162"/>
      </w:tblGrid>
      <w:tr w14:paraId="03ABC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53" w:hRule="atLeast"/>
        </w:trPr>
        <w:tc>
          <w:tcPr>
            <w:tcW w:w="1713" w:type="dxa"/>
            <w:tcBorders>
              <w:left w:val="single" w:color="000000" w:sz="6" w:space="0"/>
            </w:tcBorders>
            <w:vAlign w:val="top"/>
          </w:tcPr>
          <w:p w14:paraId="7FB4DD97">
            <w:pPr>
              <w:rPr>
                <w:rFonts w:ascii="Arial"/>
                <w:sz w:val="21"/>
              </w:rPr>
            </w:pPr>
          </w:p>
          <w:p w14:paraId="76C62C9F">
            <w:pPr>
              <w:rPr>
                <w:rFonts w:ascii="Arial"/>
                <w:sz w:val="21"/>
              </w:rPr>
            </w:pPr>
          </w:p>
          <w:p w14:paraId="1009E1A4">
            <w:pPr>
              <w:rPr>
                <w:rFonts w:ascii="Arial"/>
                <w:sz w:val="21"/>
              </w:rPr>
            </w:pPr>
          </w:p>
          <w:p w14:paraId="5DCD6E87">
            <w:pPr>
              <w:rPr>
                <w:rFonts w:ascii="Arial"/>
                <w:sz w:val="21"/>
              </w:rPr>
            </w:pPr>
          </w:p>
          <w:p w14:paraId="4E0D07C8">
            <w:pPr>
              <w:rPr>
                <w:rFonts w:ascii="Arial"/>
                <w:sz w:val="21"/>
              </w:rPr>
            </w:pPr>
          </w:p>
          <w:p w14:paraId="53E86E31">
            <w:pPr>
              <w:rPr>
                <w:rFonts w:ascii="Arial"/>
                <w:sz w:val="21"/>
              </w:rPr>
            </w:pPr>
          </w:p>
          <w:p w14:paraId="06EFFE31">
            <w:pPr>
              <w:rPr>
                <w:rFonts w:ascii="Arial"/>
                <w:sz w:val="21"/>
              </w:rPr>
            </w:pPr>
          </w:p>
          <w:p w14:paraId="5290D33B">
            <w:pPr>
              <w:rPr>
                <w:rFonts w:ascii="Arial"/>
                <w:sz w:val="21"/>
              </w:rPr>
            </w:pPr>
          </w:p>
          <w:p w14:paraId="65B788BB">
            <w:pPr>
              <w:rPr>
                <w:rFonts w:ascii="Arial"/>
                <w:sz w:val="21"/>
              </w:rPr>
            </w:pPr>
          </w:p>
          <w:p w14:paraId="41313AEC">
            <w:pPr>
              <w:rPr>
                <w:rFonts w:ascii="Arial"/>
                <w:sz w:val="21"/>
              </w:rPr>
            </w:pPr>
          </w:p>
          <w:p w14:paraId="45971835">
            <w:pPr>
              <w:rPr>
                <w:rFonts w:ascii="Arial"/>
                <w:sz w:val="21"/>
              </w:rPr>
            </w:pPr>
          </w:p>
          <w:p w14:paraId="6F0B91C6">
            <w:pPr>
              <w:rPr>
                <w:rFonts w:ascii="Arial"/>
                <w:sz w:val="21"/>
              </w:rPr>
            </w:pPr>
          </w:p>
          <w:p w14:paraId="5609FDAB">
            <w:pPr>
              <w:rPr>
                <w:rFonts w:ascii="Arial"/>
                <w:sz w:val="21"/>
              </w:rPr>
            </w:pPr>
          </w:p>
          <w:p w14:paraId="731989CC">
            <w:pPr>
              <w:rPr>
                <w:rFonts w:ascii="Arial"/>
                <w:sz w:val="21"/>
              </w:rPr>
            </w:pPr>
          </w:p>
          <w:p w14:paraId="4CD0B312">
            <w:pPr>
              <w:rPr>
                <w:rFonts w:ascii="Arial"/>
                <w:sz w:val="21"/>
              </w:rPr>
            </w:pPr>
          </w:p>
          <w:p w14:paraId="797AE036">
            <w:pPr>
              <w:rPr>
                <w:rFonts w:ascii="Arial"/>
                <w:sz w:val="21"/>
              </w:rPr>
            </w:pPr>
          </w:p>
          <w:p w14:paraId="4BEA5AD1">
            <w:pPr>
              <w:rPr>
                <w:rFonts w:ascii="Arial"/>
                <w:sz w:val="21"/>
              </w:rPr>
            </w:pPr>
          </w:p>
          <w:p w14:paraId="254F7206">
            <w:pPr>
              <w:rPr>
                <w:rFonts w:ascii="Arial"/>
                <w:sz w:val="21"/>
              </w:rPr>
            </w:pPr>
          </w:p>
          <w:p w14:paraId="17C37907">
            <w:pPr>
              <w:rPr>
                <w:rFonts w:ascii="Arial"/>
                <w:sz w:val="21"/>
              </w:rPr>
            </w:pPr>
          </w:p>
          <w:p w14:paraId="78EE13BD">
            <w:pPr>
              <w:rPr>
                <w:rFonts w:ascii="Arial"/>
                <w:sz w:val="21"/>
              </w:rPr>
            </w:pPr>
          </w:p>
          <w:p w14:paraId="361B0593">
            <w:pPr>
              <w:rPr>
                <w:rFonts w:ascii="Arial"/>
                <w:sz w:val="21"/>
              </w:rPr>
            </w:pPr>
          </w:p>
          <w:p w14:paraId="45E9C82E">
            <w:pPr>
              <w:spacing w:line="241" w:lineRule="auto"/>
              <w:rPr>
                <w:rFonts w:ascii="Arial"/>
                <w:sz w:val="21"/>
              </w:rPr>
            </w:pPr>
          </w:p>
          <w:p w14:paraId="1BDF2696">
            <w:pPr>
              <w:spacing w:line="241" w:lineRule="auto"/>
              <w:rPr>
                <w:rFonts w:ascii="Arial"/>
                <w:sz w:val="21"/>
              </w:rPr>
            </w:pPr>
          </w:p>
          <w:p w14:paraId="6E5E847D">
            <w:pPr>
              <w:spacing w:line="241" w:lineRule="auto"/>
              <w:rPr>
                <w:rFonts w:ascii="Arial"/>
                <w:sz w:val="21"/>
              </w:rPr>
            </w:pPr>
          </w:p>
          <w:p w14:paraId="398AB08D">
            <w:pPr>
              <w:spacing w:line="241" w:lineRule="auto"/>
              <w:rPr>
                <w:rFonts w:ascii="Arial"/>
                <w:sz w:val="21"/>
              </w:rPr>
            </w:pPr>
          </w:p>
          <w:p w14:paraId="7C330D6B">
            <w:pPr>
              <w:spacing w:line="241" w:lineRule="auto"/>
              <w:rPr>
                <w:rFonts w:ascii="Arial"/>
                <w:sz w:val="21"/>
              </w:rPr>
            </w:pPr>
          </w:p>
          <w:p w14:paraId="1539134A">
            <w:pPr>
              <w:pStyle w:val="6"/>
              <w:spacing w:before="68" w:line="220" w:lineRule="auto"/>
              <w:ind w:left="121"/>
            </w:pPr>
            <w:r>
              <w:rPr>
                <w:spacing w:val="-2"/>
              </w:rPr>
              <w:t>规划及规划环境</w:t>
            </w:r>
          </w:p>
          <w:p w14:paraId="639D4548">
            <w:pPr>
              <w:pStyle w:val="6"/>
              <w:spacing w:before="68" w:line="218" w:lineRule="auto"/>
              <w:ind w:left="120"/>
            </w:pPr>
            <w:r>
              <w:rPr>
                <w:spacing w:val="-2"/>
              </w:rPr>
              <w:t>影响评价符合性</w:t>
            </w:r>
          </w:p>
          <w:p w14:paraId="160000CE">
            <w:pPr>
              <w:pStyle w:val="6"/>
              <w:spacing w:before="72" w:line="220" w:lineRule="auto"/>
              <w:ind w:left="648"/>
            </w:pPr>
            <w:r>
              <w:rPr>
                <w:spacing w:val="-3"/>
              </w:rPr>
              <w:t>分析</w:t>
            </w:r>
          </w:p>
        </w:tc>
        <w:tc>
          <w:tcPr>
            <w:tcW w:w="7162" w:type="dxa"/>
            <w:tcBorders>
              <w:right w:val="single" w:color="000000" w:sz="6" w:space="0"/>
            </w:tcBorders>
            <w:vAlign w:val="top"/>
          </w:tcPr>
          <w:p w14:paraId="0273E08D">
            <w:pPr>
              <w:spacing w:before="104" w:line="221" w:lineRule="auto"/>
              <w:ind w:left="1953"/>
              <w:rPr>
                <w:rFonts w:ascii="黑体" w:hAnsi="黑体" w:eastAsia="黑体" w:cs="黑体"/>
                <w:sz w:val="20"/>
                <w:szCs w:val="20"/>
              </w:rPr>
            </w:pPr>
            <w:r>
              <w:rPr>
                <w:rFonts w:ascii="黑体" w:hAnsi="黑体" w:eastAsia="黑体" w:cs="黑体"/>
                <w:spacing w:val="-1"/>
                <w:sz w:val="20"/>
                <w:szCs w:val="20"/>
              </w:rPr>
              <w:t>表</w:t>
            </w:r>
            <w:r>
              <w:rPr>
                <w:rFonts w:ascii="Times New Roman" w:hAnsi="Times New Roman" w:eastAsia="Times New Roman" w:cs="Times New Roman"/>
                <w:spacing w:val="-1"/>
                <w:sz w:val="20"/>
                <w:szCs w:val="20"/>
              </w:rPr>
              <w:t xml:space="preserve">1-2    </w:t>
            </w:r>
            <w:r>
              <w:rPr>
                <w:rFonts w:ascii="黑体" w:hAnsi="黑体" w:eastAsia="黑体" w:cs="黑体"/>
                <w:spacing w:val="-1"/>
                <w:sz w:val="20"/>
                <w:szCs w:val="20"/>
              </w:rPr>
              <w:t>园区功能划分及入园企业要求</w:t>
            </w:r>
          </w:p>
          <w:tbl>
            <w:tblPr>
              <w:tblStyle w:val="5"/>
              <w:tblW w:w="6841" w:type="dxa"/>
              <w:tblInd w:w="1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4"/>
              <w:gridCol w:w="5627"/>
            </w:tblGrid>
            <w:tr w14:paraId="4A3B3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1214" w:type="dxa"/>
                  <w:vAlign w:val="top"/>
                </w:tcPr>
                <w:p w14:paraId="06F5D60E">
                  <w:pPr>
                    <w:pStyle w:val="6"/>
                    <w:spacing w:before="59" w:line="205" w:lineRule="auto"/>
                    <w:ind w:left="384"/>
                    <w:rPr>
                      <w:sz w:val="18"/>
                      <w:szCs w:val="18"/>
                    </w:rPr>
                  </w:pPr>
                  <w:r>
                    <w:rPr>
                      <w:b/>
                      <w:bCs/>
                      <w:spacing w:val="-6"/>
                      <w:sz w:val="18"/>
                      <w:szCs w:val="18"/>
                    </w:rPr>
                    <w:t>类</w:t>
                  </w:r>
                  <w:r>
                    <w:rPr>
                      <w:spacing w:val="10"/>
                      <w:sz w:val="18"/>
                      <w:szCs w:val="18"/>
                    </w:rPr>
                    <w:t xml:space="preserve"> </w:t>
                  </w:r>
                  <w:r>
                    <w:rPr>
                      <w:b/>
                      <w:bCs/>
                      <w:spacing w:val="-6"/>
                      <w:sz w:val="18"/>
                      <w:szCs w:val="18"/>
                    </w:rPr>
                    <w:t>别</w:t>
                  </w:r>
                </w:p>
              </w:tc>
              <w:tc>
                <w:tcPr>
                  <w:tcW w:w="5627" w:type="dxa"/>
                  <w:vAlign w:val="top"/>
                </w:tcPr>
                <w:p w14:paraId="4AF263B2">
                  <w:pPr>
                    <w:pStyle w:val="6"/>
                    <w:spacing w:before="59" w:line="205" w:lineRule="auto"/>
                    <w:ind w:left="2094"/>
                    <w:rPr>
                      <w:sz w:val="18"/>
                      <w:szCs w:val="18"/>
                    </w:rPr>
                  </w:pPr>
                  <w:r>
                    <w:rPr>
                      <w:b/>
                      <w:bCs/>
                      <w:spacing w:val="-3"/>
                      <w:sz w:val="18"/>
                      <w:szCs w:val="18"/>
                    </w:rPr>
                    <w:t>禁止入驻企业类型</w:t>
                  </w:r>
                </w:p>
              </w:tc>
            </w:tr>
            <w:tr w14:paraId="428F3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7" w:hRule="atLeast"/>
              </w:trPr>
              <w:tc>
                <w:tcPr>
                  <w:tcW w:w="1214" w:type="dxa"/>
                  <w:vAlign w:val="top"/>
                </w:tcPr>
                <w:p w14:paraId="237C00E9">
                  <w:pPr>
                    <w:spacing w:line="304" w:lineRule="auto"/>
                    <w:rPr>
                      <w:rFonts w:ascii="Arial"/>
                      <w:sz w:val="21"/>
                    </w:rPr>
                  </w:pPr>
                </w:p>
                <w:p w14:paraId="2B69FF73">
                  <w:pPr>
                    <w:spacing w:line="305" w:lineRule="auto"/>
                    <w:rPr>
                      <w:rFonts w:ascii="Arial"/>
                      <w:sz w:val="21"/>
                    </w:rPr>
                  </w:pPr>
                </w:p>
                <w:p w14:paraId="0292D41C">
                  <w:pPr>
                    <w:pStyle w:val="6"/>
                    <w:spacing w:before="58" w:line="220" w:lineRule="auto"/>
                    <w:ind w:left="161"/>
                    <w:rPr>
                      <w:sz w:val="18"/>
                      <w:szCs w:val="18"/>
                    </w:rPr>
                  </w:pPr>
                  <w:r>
                    <w:rPr>
                      <w:spacing w:val="-2"/>
                      <w:sz w:val="18"/>
                      <w:szCs w:val="18"/>
                    </w:rPr>
                    <w:t>鼓励类企业</w:t>
                  </w:r>
                </w:p>
              </w:tc>
              <w:tc>
                <w:tcPr>
                  <w:tcW w:w="5627" w:type="dxa"/>
                  <w:vAlign w:val="top"/>
                </w:tcPr>
                <w:p w14:paraId="3A1D4048">
                  <w:pPr>
                    <w:pStyle w:val="6"/>
                    <w:spacing w:before="151" w:line="243" w:lineRule="auto"/>
                    <w:ind w:left="113" w:right="114" w:firstLine="3"/>
                    <w:rPr>
                      <w:sz w:val="18"/>
                      <w:szCs w:val="18"/>
                    </w:rPr>
                  </w:pPr>
                  <w:r>
                    <w:rPr>
                      <w:spacing w:val="-6"/>
                      <w:sz w:val="18"/>
                      <w:szCs w:val="18"/>
                    </w:rPr>
                    <w:t>（</w:t>
                  </w:r>
                  <w:r>
                    <w:rPr>
                      <w:rFonts w:ascii="Times New Roman" w:hAnsi="Times New Roman" w:eastAsia="Times New Roman" w:cs="Times New Roman"/>
                      <w:spacing w:val="-6"/>
                      <w:sz w:val="18"/>
                      <w:szCs w:val="18"/>
                    </w:rPr>
                    <w:t>1</w:t>
                  </w:r>
                  <w:r>
                    <w:rPr>
                      <w:spacing w:val="-6"/>
                      <w:sz w:val="18"/>
                      <w:szCs w:val="18"/>
                    </w:rPr>
                    <w:t>）在用水、节水、排水设计等方面达到国内先进水平； 清洁生产标</w:t>
                  </w:r>
                  <w:r>
                    <w:rPr>
                      <w:spacing w:val="2"/>
                      <w:sz w:val="18"/>
                      <w:szCs w:val="18"/>
                    </w:rPr>
                    <w:t xml:space="preserve"> </w:t>
                  </w:r>
                  <w:r>
                    <w:rPr>
                      <w:spacing w:val="-3"/>
                      <w:sz w:val="18"/>
                      <w:szCs w:val="18"/>
                    </w:rPr>
                    <w:t>准达到</w:t>
                  </w:r>
                  <w:r>
                    <w:rPr>
                      <w:rFonts w:hint="eastAsia"/>
                      <w:spacing w:val="-3"/>
                      <w:sz w:val="18"/>
                      <w:szCs w:val="18"/>
                      <w:lang w:eastAsia="zh-CN"/>
                    </w:rPr>
                    <w:t>或</w:t>
                  </w:r>
                  <w:r>
                    <w:rPr>
                      <w:spacing w:val="-3"/>
                      <w:sz w:val="18"/>
                      <w:szCs w:val="18"/>
                    </w:rPr>
                    <w:t>优于国家先进水平的项目；</w:t>
                  </w:r>
                </w:p>
                <w:p w14:paraId="4933EA4C">
                  <w:pPr>
                    <w:pStyle w:val="6"/>
                    <w:spacing w:before="45" w:line="251" w:lineRule="auto"/>
                    <w:ind w:left="110" w:right="108" w:firstLine="5"/>
                    <w:rPr>
                      <w:sz w:val="18"/>
                      <w:szCs w:val="18"/>
                    </w:rPr>
                  </w:pPr>
                  <w:r>
                    <w:rPr>
                      <w:spacing w:val="-3"/>
                      <w:sz w:val="18"/>
                      <w:szCs w:val="18"/>
                    </w:rPr>
                    <w:t>（</w:t>
                  </w:r>
                  <w:r>
                    <w:rPr>
                      <w:rFonts w:ascii="Times New Roman" w:hAnsi="Times New Roman" w:eastAsia="Times New Roman" w:cs="Times New Roman"/>
                      <w:spacing w:val="-3"/>
                      <w:sz w:val="18"/>
                      <w:szCs w:val="18"/>
                    </w:rPr>
                    <w:t>2</w:t>
                  </w:r>
                  <w:r>
                    <w:rPr>
                      <w:spacing w:val="-3"/>
                      <w:sz w:val="18"/>
                      <w:szCs w:val="18"/>
                    </w:rPr>
                    <w:t>）轻工电子、新材料、节能环保、机械制造等产业符合现行国</w:t>
                  </w:r>
                  <w:r>
                    <w:rPr>
                      <w:spacing w:val="-4"/>
                      <w:sz w:val="18"/>
                      <w:szCs w:val="18"/>
                    </w:rPr>
                    <w:t>家产</w:t>
                  </w:r>
                  <w:r>
                    <w:rPr>
                      <w:sz w:val="18"/>
                      <w:szCs w:val="18"/>
                    </w:rPr>
                    <w:t xml:space="preserve"> 业政策行业，符合规划区规划产业，企业效益明显，对区域不造成明</w:t>
                  </w:r>
                  <w:r>
                    <w:rPr>
                      <w:spacing w:val="1"/>
                      <w:sz w:val="18"/>
                      <w:szCs w:val="18"/>
                    </w:rPr>
                    <w:t xml:space="preserve"> </w:t>
                  </w:r>
                  <w:r>
                    <w:rPr>
                      <w:spacing w:val="-1"/>
                      <w:sz w:val="18"/>
                      <w:szCs w:val="18"/>
                    </w:rPr>
                    <w:t>显污染，遵循清洁生产及循环经济的项目</w:t>
                  </w:r>
                </w:p>
              </w:tc>
            </w:tr>
            <w:tr w14:paraId="0A4AC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5" w:hRule="atLeast"/>
              </w:trPr>
              <w:tc>
                <w:tcPr>
                  <w:tcW w:w="1214" w:type="dxa"/>
                  <w:vAlign w:val="top"/>
                </w:tcPr>
                <w:p w14:paraId="7B51D621">
                  <w:pPr>
                    <w:spacing w:line="271" w:lineRule="auto"/>
                    <w:rPr>
                      <w:rFonts w:ascii="Arial"/>
                      <w:sz w:val="21"/>
                    </w:rPr>
                  </w:pPr>
                </w:p>
                <w:p w14:paraId="7F6AC49D">
                  <w:pPr>
                    <w:spacing w:line="271" w:lineRule="auto"/>
                    <w:rPr>
                      <w:rFonts w:ascii="Arial"/>
                      <w:sz w:val="21"/>
                    </w:rPr>
                  </w:pPr>
                </w:p>
                <w:p w14:paraId="7A555B4D">
                  <w:pPr>
                    <w:spacing w:line="272" w:lineRule="auto"/>
                    <w:rPr>
                      <w:rFonts w:ascii="Arial"/>
                      <w:sz w:val="21"/>
                    </w:rPr>
                  </w:pPr>
                </w:p>
                <w:p w14:paraId="4FD8E437">
                  <w:pPr>
                    <w:pStyle w:val="6"/>
                    <w:spacing w:before="58" w:line="269" w:lineRule="auto"/>
                    <w:ind w:left="340" w:right="155" w:hanging="180"/>
                    <w:rPr>
                      <w:sz w:val="18"/>
                      <w:szCs w:val="18"/>
                    </w:rPr>
                  </w:pPr>
                  <w:r>
                    <w:rPr>
                      <w:spacing w:val="-2"/>
                      <w:sz w:val="18"/>
                      <w:szCs w:val="18"/>
                    </w:rPr>
                    <w:t>禁止及限制</w:t>
                  </w:r>
                  <w:r>
                    <w:rPr>
                      <w:spacing w:val="1"/>
                      <w:sz w:val="18"/>
                      <w:szCs w:val="18"/>
                    </w:rPr>
                    <w:t xml:space="preserve"> </w:t>
                  </w:r>
                  <w:r>
                    <w:rPr>
                      <w:spacing w:val="-2"/>
                      <w:sz w:val="18"/>
                      <w:szCs w:val="18"/>
                    </w:rPr>
                    <w:t>类企业</w:t>
                  </w:r>
                </w:p>
              </w:tc>
              <w:tc>
                <w:tcPr>
                  <w:tcW w:w="5627" w:type="dxa"/>
                  <w:vAlign w:val="top"/>
                </w:tcPr>
                <w:p w14:paraId="32DF5EDE">
                  <w:pPr>
                    <w:pStyle w:val="6"/>
                    <w:spacing w:before="97" w:line="233" w:lineRule="auto"/>
                    <w:ind w:left="116"/>
                    <w:rPr>
                      <w:sz w:val="18"/>
                      <w:szCs w:val="18"/>
                    </w:rPr>
                  </w:pPr>
                  <w:r>
                    <w:rPr>
                      <w:spacing w:val="-2"/>
                      <w:sz w:val="18"/>
                      <w:szCs w:val="18"/>
                    </w:rPr>
                    <w:t>（</w:t>
                  </w:r>
                  <w:r>
                    <w:rPr>
                      <w:rFonts w:ascii="Times New Roman" w:hAnsi="Times New Roman" w:eastAsia="Times New Roman" w:cs="Times New Roman"/>
                      <w:spacing w:val="-2"/>
                      <w:sz w:val="18"/>
                      <w:szCs w:val="18"/>
                    </w:rPr>
                    <w:t>1</w:t>
                  </w:r>
                  <w:r>
                    <w:rPr>
                      <w:spacing w:val="-2"/>
                      <w:sz w:val="18"/>
                      <w:szCs w:val="18"/>
                    </w:rPr>
                    <w:t>）不符合国家产业政策、不满足行业准入条件的项目。</w:t>
                  </w:r>
                </w:p>
                <w:p w14:paraId="7BCB76FD">
                  <w:pPr>
                    <w:pStyle w:val="6"/>
                    <w:spacing w:before="32" w:line="255" w:lineRule="auto"/>
                    <w:ind w:left="110" w:right="42" w:firstLine="5"/>
                    <w:rPr>
                      <w:sz w:val="18"/>
                      <w:szCs w:val="18"/>
                    </w:rPr>
                  </w:pPr>
                  <w:r>
                    <w:rPr>
                      <w:spacing w:val="-7"/>
                      <w:sz w:val="18"/>
                      <w:szCs w:val="18"/>
                    </w:rPr>
                    <w:t>（</w:t>
                  </w:r>
                  <w:r>
                    <w:rPr>
                      <w:rFonts w:ascii="Times New Roman" w:hAnsi="Times New Roman" w:eastAsia="Times New Roman" w:cs="Times New Roman"/>
                      <w:spacing w:val="-7"/>
                      <w:sz w:val="18"/>
                      <w:szCs w:val="18"/>
                    </w:rPr>
                    <w:t>2</w:t>
                  </w:r>
                  <w:r>
                    <w:rPr>
                      <w:spacing w:val="-7"/>
                      <w:sz w:val="18"/>
                      <w:szCs w:val="18"/>
                    </w:rPr>
                    <w:t>）禁止引进对水环境影响严重的工业企业，如：屠宰、电镀、制革、</w:t>
                  </w:r>
                  <w:r>
                    <w:rPr>
                      <w:spacing w:val="16"/>
                      <w:sz w:val="18"/>
                      <w:szCs w:val="18"/>
                    </w:rPr>
                    <w:t xml:space="preserve"> </w:t>
                  </w:r>
                  <w:r>
                    <w:rPr>
                      <w:sz w:val="18"/>
                      <w:szCs w:val="18"/>
                    </w:rPr>
                    <w:t>洗选、印染、含发酵工艺的生物制药等对水环境污染重的企业；禁止</w:t>
                  </w:r>
                  <w:r>
                    <w:rPr>
                      <w:spacing w:val="1"/>
                      <w:sz w:val="18"/>
                      <w:szCs w:val="18"/>
                    </w:rPr>
                    <w:t xml:space="preserve"> </w:t>
                  </w:r>
                  <w:r>
                    <w:rPr>
                      <w:spacing w:val="-1"/>
                      <w:sz w:val="18"/>
                      <w:szCs w:val="18"/>
                    </w:rPr>
                    <w:t>引进对大气环境影响严重的工业企业：电石、冶炼、焦化、煤化工、</w:t>
                  </w:r>
                  <w:r>
                    <w:rPr>
                      <w:spacing w:val="2"/>
                      <w:sz w:val="18"/>
                      <w:szCs w:val="18"/>
                    </w:rPr>
                    <w:t xml:space="preserve">  </w:t>
                  </w:r>
                  <w:r>
                    <w:rPr>
                      <w:spacing w:val="-1"/>
                      <w:sz w:val="18"/>
                      <w:szCs w:val="18"/>
                    </w:rPr>
                    <w:t>黄磷等对大气环境污染重的企业；以及其他重污</w:t>
                  </w:r>
                  <w:r>
                    <w:rPr>
                      <w:spacing w:val="-2"/>
                      <w:sz w:val="18"/>
                      <w:szCs w:val="18"/>
                    </w:rPr>
                    <w:t>染工业企业。</w:t>
                  </w:r>
                </w:p>
                <w:p w14:paraId="3C572CDF">
                  <w:pPr>
                    <w:pStyle w:val="6"/>
                    <w:spacing w:before="45" w:line="243" w:lineRule="auto"/>
                    <w:ind w:left="113" w:right="113" w:firstLine="3"/>
                    <w:rPr>
                      <w:sz w:val="18"/>
                      <w:szCs w:val="18"/>
                    </w:rPr>
                  </w:pPr>
                  <w:r>
                    <w:rPr>
                      <w:spacing w:val="-3"/>
                      <w:sz w:val="18"/>
                      <w:szCs w:val="18"/>
                    </w:rPr>
                    <w:t>（</w:t>
                  </w:r>
                  <w:r>
                    <w:rPr>
                      <w:rFonts w:ascii="Times New Roman" w:hAnsi="Times New Roman" w:eastAsia="Times New Roman" w:cs="Times New Roman"/>
                      <w:spacing w:val="-3"/>
                      <w:sz w:val="18"/>
                      <w:szCs w:val="18"/>
                    </w:rPr>
                    <w:t>3</w:t>
                  </w:r>
                  <w:r>
                    <w:rPr>
                      <w:spacing w:val="-3"/>
                      <w:sz w:val="18"/>
                      <w:szCs w:val="18"/>
                    </w:rPr>
                    <w:t>）禁止引进技术落后，项目清洁生产水平不能达到行</w:t>
                  </w:r>
                  <w:r>
                    <w:rPr>
                      <w:spacing w:val="-4"/>
                      <w:sz w:val="18"/>
                      <w:szCs w:val="18"/>
                    </w:rPr>
                    <w:t>业清洁生产标</w:t>
                  </w:r>
                  <w:r>
                    <w:rPr>
                      <w:sz w:val="18"/>
                      <w:szCs w:val="18"/>
                    </w:rPr>
                    <w:t xml:space="preserve"> </w:t>
                  </w:r>
                  <w:r>
                    <w:rPr>
                      <w:spacing w:val="-1"/>
                      <w:sz w:val="18"/>
                      <w:szCs w:val="18"/>
                    </w:rPr>
                    <w:t>准二级标准要求或低于全国同类企业平均</w:t>
                  </w:r>
                  <w:r>
                    <w:rPr>
                      <w:rFonts w:hint="eastAsia"/>
                      <w:spacing w:val="-1"/>
                      <w:sz w:val="18"/>
                      <w:szCs w:val="18"/>
                      <w:lang w:eastAsia="zh-CN"/>
                    </w:rPr>
                    <w:t>污染</w:t>
                  </w:r>
                  <w:r>
                    <w:rPr>
                      <w:spacing w:val="-1"/>
                      <w:sz w:val="18"/>
                      <w:szCs w:val="18"/>
                    </w:rPr>
                    <w:t>生</w:t>
                  </w:r>
                  <w:r>
                    <w:rPr>
                      <w:spacing w:val="-2"/>
                      <w:sz w:val="18"/>
                      <w:szCs w:val="18"/>
                    </w:rPr>
                    <w:t>产水平的项目。</w:t>
                  </w:r>
                </w:p>
                <w:p w14:paraId="39500692">
                  <w:pPr>
                    <w:pStyle w:val="6"/>
                    <w:spacing w:before="46" w:line="233" w:lineRule="auto"/>
                    <w:ind w:left="116"/>
                    <w:rPr>
                      <w:sz w:val="18"/>
                      <w:szCs w:val="18"/>
                    </w:rPr>
                  </w:pPr>
                  <w:r>
                    <w:rPr>
                      <w:spacing w:val="-2"/>
                      <w:sz w:val="18"/>
                      <w:szCs w:val="18"/>
                    </w:rPr>
                    <w:t>（</w:t>
                  </w:r>
                  <w:r>
                    <w:rPr>
                      <w:rFonts w:ascii="Times New Roman" w:hAnsi="Times New Roman" w:eastAsia="Times New Roman" w:cs="Times New Roman"/>
                      <w:spacing w:val="-2"/>
                      <w:sz w:val="18"/>
                      <w:szCs w:val="18"/>
                    </w:rPr>
                    <w:t>4</w:t>
                  </w:r>
                  <w:r>
                    <w:rPr>
                      <w:spacing w:val="-2"/>
                      <w:sz w:val="18"/>
                      <w:szCs w:val="18"/>
                    </w:rPr>
                    <w:t>）禁止引进与园区主导产业不相容的项目。</w:t>
                  </w:r>
                </w:p>
              </w:tc>
            </w:tr>
            <w:tr w14:paraId="4B5C8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214" w:type="dxa"/>
                  <w:vAlign w:val="top"/>
                </w:tcPr>
                <w:p w14:paraId="2C4C6630">
                  <w:pPr>
                    <w:pStyle w:val="6"/>
                    <w:spacing w:before="251" w:line="220" w:lineRule="auto"/>
                    <w:ind w:left="166"/>
                    <w:rPr>
                      <w:sz w:val="18"/>
                      <w:szCs w:val="18"/>
                    </w:rPr>
                  </w:pPr>
                  <w:r>
                    <w:rPr>
                      <w:spacing w:val="-3"/>
                      <w:sz w:val="18"/>
                      <w:szCs w:val="18"/>
                    </w:rPr>
                    <w:t>允许类企业</w:t>
                  </w:r>
                </w:p>
              </w:tc>
              <w:tc>
                <w:tcPr>
                  <w:tcW w:w="5627" w:type="dxa"/>
                  <w:vAlign w:val="top"/>
                </w:tcPr>
                <w:p w14:paraId="1D4EACD9">
                  <w:pPr>
                    <w:pStyle w:val="6"/>
                    <w:spacing w:before="122" w:line="266" w:lineRule="auto"/>
                    <w:ind w:left="112" w:right="108" w:firstLine="2"/>
                    <w:rPr>
                      <w:sz w:val="18"/>
                      <w:szCs w:val="18"/>
                    </w:rPr>
                  </w:pPr>
                  <w:r>
                    <w:rPr>
                      <w:sz w:val="18"/>
                      <w:szCs w:val="18"/>
                    </w:rPr>
                    <w:t>不排斥与区域或各产业片区主业不相禁忌和不形成交叉影响的</w:t>
                  </w:r>
                  <w:r>
                    <w:rPr>
                      <w:spacing w:val="-1"/>
                      <w:sz w:val="18"/>
                      <w:szCs w:val="18"/>
                    </w:rPr>
                    <w:t>企业入</w:t>
                  </w:r>
                  <w:r>
                    <w:rPr>
                      <w:sz w:val="18"/>
                      <w:szCs w:val="18"/>
                    </w:rPr>
                    <w:t xml:space="preserve"> </w:t>
                  </w:r>
                  <w:r>
                    <w:rPr>
                      <w:spacing w:val="-9"/>
                      <w:sz w:val="18"/>
                      <w:szCs w:val="18"/>
                    </w:rPr>
                    <w:t>驻。</w:t>
                  </w:r>
                </w:p>
              </w:tc>
            </w:tr>
            <w:tr w14:paraId="4CF3F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1214" w:type="dxa"/>
                  <w:vAlign w:val="top"/>
                </w:tcPr>
                <w:p w14:paraId="34FCD12F">
                  <w:pPr>
                    <w:pStyle w:val="6"/>
                    <w:spacing w:before="189" w:line="220" w:lineRule="auto"/>
                    <w:ind w:left="160"/>
                    <w:rPr>
                      <w:sz w:val="18"/>
                      <w:szCs w:val="18"/>
                    </w:rPr>
                  </w:pPr>
                  <w:r>
                    <w:rPr>
                      <w:spacing w:val="-2"/>
                      <w:sz w:val="18"/>
                      <w:szCs w:val="18"/>
                    </w:rPr>
                    <w:t>清洁生产门</w:t>
                  </w:r>
                </w:p>
                <w:p w14:paraId="761362B3">
                  <w:pPr>
                    <w:pStyle w:val="6"/>
                    <w:spacing w:before="44" w:line="222" w:lineRule="auto"/>
                    <w:ind w:left="519"/>
                    <w:rPr>
                      <w:sz w:val="18"/>
                      <w:szCs w:val="18"/>
                    </w:rPr>
                  </w:pPr>
                  <w:r>
                    <w:rPr>
                      <w:sz w:val="18"/>
                      <w:szCs w:val="18"/>
                    </w:rPr>
                    <w:t>槛</w:t>
                  </w:r>
                </w:p>
              </w:tc>
              <w:tc>
                <w:tcPr>
                  <w:tcW w:w="5627" w:type="dxa"/>
                  <w:vAlign w:val="top"/>
                </w:tcPr>
                <w:p w14:paraId="76649098">
                  <w:pPr>
                    <w:pStyle w:val="6"/>
                    <w:spacing w:before="60" w:line="246" w:lineRule="auto"/>
                    <w:ind w:left="111" w:right="108" w:hanging="1"/>
                    <w:jc w:val="both"/>
                    <w:rPr>
                      <w:sz w:val="18"/>
                      <w:szCs w:val="18"/>
                    </w:rPr>
                  </w:pPr>
                  <w:r>
                    <w:rPr>
                      <w:sz w:val="18"/>
                      <w:szCs w:val="18"/>
                    </w:rPr>
                    <w:t>入园企业必须采用国际、国内先进水平的生产工艺、设备及污染治理</w:t>
                  </w:r>
                  <w:r>
                    <w:rPr>
                      <w:spacing w:val="1"/>
                      <w:sz w:val="18"/>
                      <w:szCs w:val="18"/>
                    </w:rPr>
                    <w:t xml:space="preserve"> </w:t>
                  </w:r>
                  <w:r>
                    <w:rPr>
                      <w:sz w:val="18"/>
                      <w:szCs w:val="18"/>
                    </w:rPr>
                    <w:t xml:space="preserve">技术，物耗、能耗、水耗等至少应达到相应行业的清洁生产水平二级 </w:t>
                  </w:r>
                  <w:r>
                    <w:rPr>
                      <w:spacing w:val="-4"/>
                      <w:sz w:val="18"/>
                      <w:szCs w:val="18"/>
                    </w:rPr>
                    <w:t>或国内先进水平。</w:t>
                  </w:r>
                </w:p>
              </w:tc>
            </w:tr>
          </w:tbl>
          <w:p w14:paraId="30107BD3">
            <w:pPr>
              <w:pStyle w:val="6"/>
              <w:spacing w:before="139" w:line="350" w:lineRule="auto"/>
              <w:ind w:left="109" w:right="43" w:firstLine="420"/>
              <w:jc w:val="both"/>
            </w:pPr>
            <w:r>
              <w:rPr>
                <w:spacing w:val="-2"/>
              </w:rPr>
              <w:t>本项目为利用废旧木材等生产致密生物质成型燃料（不涉及</w:t>
            </w:r>
            <w:r>
              <w:rPr>
                <w:spacing w:val="-3"/>
              </w:rPr>
              <w:t>有害物质</w:t>
            </w:r>
            <w:r>
              <w:rPr>
                <w:spacing w:val="-40"/>
              </w:rPr>
              <w:t>），</w:t>
            </w:r>
            <w:r>
              <w:rPr>
                <w:spacing w:val="1"/>
              </w:rPr>
              <w:t xml:space="preserve"> </w:t>
            </w:r>
            <w:r>
              <w:rPr>
                <w:spacing w:val="4"/>
              </w:rPr>
              <w:t>属于规划环评</w:t>
            </w:r>
            <w:r>
              <w:rPr>
                <w:rFonts w:ascii="Times New Roman" w:hAnsi="Times New Roman" w:eastAsia="Times New Roman" w:cs="Times New Roman"/>
                <w:spacing w:val="4"/>
              </w:rPr>
              <w:t>“</w:t>
            </w:r>
            <w:r>
              <w:rPr>
                <w:spacing w:val="4"/>
              </w:rPr>
              <w:t>表</w:t>
            </w:r>
            <w:r>
              <w:rPr>
                <w:rFonts w:ascii="Times New Roman" w:hAnsi="Times New Roman" w:eastAsia="Times New Roman" w:cs="Times New Roman"/>
                <w:spacing w:val="4"/>
              </w:rPr>
              <w:t xml:space="preserve">7-3  </w:t>
            </w:r>
            <w:r>
              <w:rPr>
                <w:spacing w:val="4"/>
              </w:rPr>
              <w:t>规划区发展项目类型限定表</w:t>
            </w:r>
            <w:r>
              <w:rPr>
                <w:rFonts w:ascii="Times New Roman" w:hAnsi="Times New Roman" w:eastAsia="Times New Roman" w:cs="Times New Roman"/>
                <w:spacing w:val="4"/>
              </w:rPr>
              <w:t>”</w:t>
            </w:r>
            <w:r>
              <w:rPr>
                <w:spacing w:val="4"/>
              </w:rPr>
              <w:t>中</w:t>
            </w:r>
            <w:r>
              <w:rPr>
                <w:rFonts w:ascii="Times New Roman" w:hAnsi="Times New Roman" w:eastAsia="Times New Roman" w:cs="Times New Roman"/>
                <w:spacing w:val="3"/>
              </w:rPr>
              <w:t xml:space="preserve">“C42  </w:t>
            </w:r>
            <w:r>
              <w:rPr>
                <w:spacing w:val="3"/>
              </w:rPr>
              <w:t>废弃资源综合利</w:t>
            </w:r>
            <w:r>
              <w:t xml:space="preserve"> </w:t>
            </w:r>
            <w:r>
              <w:rPr>
                <w:spacing w:val="-3"/>
              </w:rPr>
              <w:t>用业</w:t>
            </w:r>
            <w:r>
              <w:rPr>
                <w:rFonts w:ascii="Times New Roman" w:hAnsi="Times New Roman" w:eastAsia="Times New Roman" w:cs="Times New Roman"/>
                <w:spacing w:val="-3"/>
              </w:rPr>
              <w:t>”</w:t>
            </w:r>
            <w:r>
              <w:rPr>
                <w:spacing w:val="-3"/>
              </w:rPr>
              <w:t>类别，为允许发展项目。项目生产线采用先进的机械设备实现规模化生</w:t>
            </w:r>
            <w:r>
              <w:rPr>
                <w:spacing w:val="18"/>
              </w:rPr>
              <w:t xml:space="preserve"> </w:t>
            </w:r>
            <w:r>
              <w:rPr>
                <w:spacing w:val="-1"/>
              </w:rPr>
              <w:t>产，配套治污设施均属于国内较先进的可行技术，能够达到国内先进水</w:t>
            </w:r>
            <w:r>
              <w:rPr>
                <w:spacing w:val="-2"/>
              </w:rPr>
              <w:t>平。</w:t>
            </w:r>
          </w:p>
          <w:p w14:paraId="09CCFEBE">
            <w:pPr>
              <w:spacing w:line="241" w:lineRule="auto"/>
              <w:ind w:left="106"/>
              <w:rPr>
                <w:rFonts w:ascii="黑体" w:hAnsi="黑体" w:eastAsia="黑体" w:cs="黑体"/>
                <w:sz w:val="21"/>
                <w:szCs w:val="21"/>
              </w:rPr>
            </w:pPr>
            <w:r>
              <w:rPr>
                <w:rFonts w:ascii="Times New Roman" w:hAnsi="Times New Roman" w:eastAsia="Times New Roman" w:cs="Times New Roman"/>
                <w:spacing w:val="8"/>
                <w:sz w:val="21"/>
                <w:szCs w:val="21"/>
              </w:rPr>
              <w:t>2</w:t>
            </w:r>
            <w:r>
              <w:rPr>
                <w:rFonts w:ascii="黑体" w:hAnsi="黑体" w:eastAsia="黑体" w:cs="黑体"/>
                <w:spacing w:val="8"/>
                <w:sz w:val="21"/>
                <w:szCs w:val="21"/>
              </w:rPr>
              <w:t>、功能分区符合性分析</w:t>
            </w:r>
          </w:p>
          <w:p w14:paraId="48508086">
            <w:pPr>
              <w:pStyle w:val="6"/>
              <w:spacing w:before="134" w:line="351" w:lineRule="auto"/>
              <w:ind w:left="110" w:right="45" w:firstLine="422"/>
              <w:jc w:val="both"/>
            </w:pPr>
            <w:r>
              <w:rPr>
                <w:spacing w:val="-4"/>
              </w:rPr>
              <w:t>功能分区布局：规划形成</w:t>
            </w:r>
            <w:r>
              <w:rPr>
                <w:rFonts w:ascii="Times New Roman" w:hAnsi="Times New Roman" w:eastAsia="Times New Roman" w:cs="Times New Roman"/>
                <w:spacing w:val="-4"/>
              </w:rPr>
              <w:t>“</w:t>
            </w:r>
            <w:r>
              <w:rPr>
                <w:spacing w:val="-4"/>
              </w:rPr>
              <w:t>一轴、一心、两片区</w:t>
            </w:r>
            <w:r>
              <w:rPr>
                <w:rFonts w:ascii="Times New Roman" w:hAnsi="Times New Roman" w:eastAsia="Times New Roman" w:cs="Times New Roman"/>
                <w:spacing w:val="-4"/>
              </w:rPr>
              <w:t>”</w:t>
            </w:r>
            <w:r>
              <w:rPr>
                <w:spacing w:val="-4"/>
              </w:rPr>
              <w:t>的总体布局结构。一轴：</w:t>
            </w:r>
            <w:r>
              <w:rPr>
                <w:spacing w:val="7"/>
              </w:rPr>
              <w:t xml:space="preserve"> </w:t>
            </w:r>
            <w:r>
              <w:rPr>
                <w:spacing w:val="-3"/>
              </w:rPr>
              <w:t>沿</w:t>
            </w:r>
            <w:r>
              <w:rPr>
                <w:rFonts w:ascii="Times New Roman" w:hAnsi="Times New Roman" w:eastAsia="Times New Roman" w:cs="Times New Roman"/>
                <w:spacing w:val="-3"/>
              </w:rPr>
              <w:t>210</w:t>
            </w:r>
            <w:r>
              <w:rPr>
                <w:spacing w:val="-3"/>
              </w:rPr>
              <w:t>国道的城镇产业发展轴；一心：东岳场镇生活服务中心；两片区：北部</w:t>
            </w:r>
            <w:r>
              <w:rPr>
                <w:spacing w:val="7"/>
              </w:rPr>
              <w:t xml:space="preserve"> </w:t>
            </w:r>
            <w:r>
              <w:t>综合工业区、南部新型工业区。北部加工贸易区：主要包括机械制造产业区</w:t>
            </w:r>
            <w:r>
              <w:rPr>
                <w:spacing w:val="3"/>
              </w:rPr>
              <w:t xml:space="preserve"> </w:t>
            </w:r>
            <w:r>
              <w:t>和轻工电子产业区；南部新型工业集中区：主要包括新材料产业区和节能环</w:t>
            </w:r>
            <w:r>
              <w:rPr>
                <w:spacing w:val="3"/>
              </w:rPr>
              <w:t xml:space="preserve"> </w:t>
            </w:r>
            <w:r>
              <w:rPr>
                <w:spacing w:val="-5"/>
              </w:rPr>
              <w:t>保产业区。</w:t>
            </w:r>
          </w:p>
          <w:p w14:paraId="09EF77FA">
            <w:pPr>
              <w:pStyle w:val="6"/>
              <w:spacing w:before="1" w:line="352" w:lineRule="auto"/>
              <w:ind w:left="108" w:right="27" w:firstLine="424"/>
              <w:jc w:val="both"/>
            </w:pPr>
            <w:r>
              <w:t>项目位于北部新型工业集聚区，该区主要包括机械制造产业区和轻工电</w:t>
            </w:r>
            <w:r>
              <w:rPr>
                <w:spacing w:val="2"/>
              </w:rPr>
              <w:t xml:space="preserve"> </w:t>
            </w:r>
            <w:r>
              <w:t>子产业区。本项目租用达州通川区亚飞钢化玻璃有限公司（以下简称“亚飞</w:t>
            </w:r>
            <w:r>
              <w:rPr>
                <w:spacing w:val="5"/>
              </w:rPr>
              <w:t xml:space="preserve"> </w:t>
            </w:r>
            <w:r>
              <w:rPr>
                <w:spacing w:val="-4"/>
              </w:rPr>
              <w:t>公司”）的“钢化玻璃门窗不锈钢管加工生产线建设”项目的空置厂房建设。</w:t>
            </w:r>
            <w:r>
              <w:rPr>
                <w:spacing w:val="10"/>
              </w:rPr>
              <w:t xml:space="preserve"> </w:t>
            </w:r>
            <w:r>
              <w:rPr>
                <w:spacing w:val="-12"/>
              </w:rPr>
              <w:t>根</w:t>
            </w:r>
            <w:r>
              <w:rPr>
                <w:spacing w:val="-13"/>
              </w:rPr>
              <w:t xml:space="preserve"> </w:t>
            </w:r>
            <w:r>
              <w:rPr>
                <w:spacing w:val="-12"/>
              </w:rPr>
              <w:t>据</w:t>
            </w:r>
            <w:r>
              <w:rPr>
                <w:spacing w:val="-24"/>
              </w:rPr>
              <w:t xml:space="preserve"> </w:t>
            </w:r>
            <w:r>
              <w:rPr>
                <w:spacing w:val="-12"/>
              </w:rPr>
              <w:t>亚 飞 公</w:t>
            </w:r>
            <w:r>
              <w:rPr>
                <w:spacing w:val="-18"/>
              </w:rPr>
              <w:t xml:space="preserve"> </w:t>
            </w:r>
            <w:r>
              <w:rPr>
                <w:spacing w:val="-12"/>
              </w:rPr>
              <w:t>司 已</w:t>
            </w:r>
            <w:r>
              <w:rPr>
                <w:spacing w:val="-23"/>
              </w:rPr>
              <w:t xml:space="preserve"> </w:t>
            </w:r>
            <w:r>
              <w:rPr>
                <w:spacing w:val="-12"/>
              </w:rPr>
              <w:t>取</w:t>
            </w:r>
            <w:r>
              <w:rPr>
                <w:spacing w:val="-25"/>
              </w:rPr>
              <w:t xml:space="preserve"> </w:t>
            </w:r>
            <w:r>
              <w:rPr>
                <w:spacing w:val="-12"/>
              </w:rPr>
              <w:t>得 的</w:t>
            </w:r>
            <w:r>
              <w:rPr>
                <w:spacing w:val="-35"/>
              </w:rPr>
              <w:t xml:space="preserve"> </w:t>
            </w:r>
            <w:r>
              <w:rPr>
                <w:spacing w:val="-12"/>
              </w:rPr>
              <w:t>《 建</w:t>
            </w:r>
            <w:r>
              <w:rPr>
                <w:spacing w:val="-22"/>
              </w:rPr>
              <w:t xml:space="preserve"> </w:t>
            </w:r>
            <w:r>
              <w:rPr>
                <w:spacing w:val="-12"/>
              </w:rPr>
              <w:t>设</w:t>
            </w:r>
            <w:r>
              <w:rPr>
                <w:spacing w:val="-25"/>
              </w:rPr>
              <w:t xml:space="preserve"> </w:t>
            </w:r>
            <w:r>
              <w:rPr>
                <w:spacing w:val="-12"/>
              </w:rPr>
              <w:t>用</w:t>
            </w:r>
            <w:r>
              <w:rPr>
                <w:spacing w:val="-26"/>
              </w:rPr>
              <w:t xml:space="preserve"> </w:t>
            </w:r>
            <w:r>
              <w:rPr>
                <w:spacing w:val="-12"/>
              </w:rPr>
              <w:t>地</w:t>
            </w:r>
            <w:r>
              <w:rPr>
                <w:spacing w:val="-25"/>
              </w:rPr>
              <w:t xml:space="preserve"> </w:t>
            </w:r>
            <w:r>
              <w:rPr>
                <w:spacing w:val="-12"/>
              </w:rPr>
              <w:t>规</w:t>
            </w:r>
            <w:r>
              <w:rPr>
                <w:spacing w:val="-27"/>
              </w:rPr>
              <w:t xml:space="preserve"> </w:t>
            </w:r>
            <w:r>
              <w:rPr>
                <w:spacing w:val="-12"/>
              </w:rPr>
              <w:t>划</w:t>
            </w:r>
            <w:r>
              <w:rPr>
                <w:spacing w:val="-25"/>
              </w:rPr>
              <w:t xml:space="preserve"> </w:t>
            </w:r>
            <w:r>
              <w:rPr>
                <w:spacing w:val="-12"/>
              </w:rPr>
              <w:t>许</w:t>
            </w:r>
            <w:r>
              <w:rPr>
                <w:spacing w:val="-24"/>
              </w:rPr>
              <w:t xml:space="preserve"> </w:t>
            </w:r>
            <w:r>
              <w:rPr>
                <w:spacing w:val="-12"/>
              </w:rPr>
              <w:t>可</w:t>
            </w:r>
            <w:r>
              <w:rPr>
                <w:spacing w:val="-26"/>
              </w:rPr>
              <w:t xml:space="preserve"> </w:t>
            </w:r>
            <w:r>
              <w:rPr>
                <w:spacing w:val="-12"/>
              </w:rPr>
              <w:t>证 》</w:t>
            </w:r>
            <w:r>
              <w:rPr>
                <w:spacing w:val="28"/>
              </w:rPr>
              <w:t xml:space="preserve"> </w:t>
            </w:r>
            <w:r>
              <w:rPr>
                <w:spacing w:val="-12"/>
              </w:rPr>
              <w:t>（地</w:t>
            </w:r>
            <w:r>
              <w:rPr>
                <w:spacing w:val="-17"/>
              </w:rPr>
              <w:t xml:space="preserve"> </w:t>
            </w:r>
            <w:r>
              <w:rPr>
                <w:spacing w:val="-12"/>
              </w:rPr>
              <w:t>字</w:t>
            </w:r>
            <w:r>
              <w:rPr>
                <w:spacing w:val="-26"/>
              </w:rPr>
              <w:t xml:space="preserve"> </w:t>
            </w:r>
            <w:r>
              <w:rPr>
                <w:spacing w:val="-12"/>
              </w:rPr>
              <w:t>第</w:t>
            </w:r>
            <w:r>
              <w:t xml:space="preserve"> </w:t>
            </w:r>
            <w:r>
              <w:rPr>
                <w:rFonts w:ascii="Times New Roman" w:hAnsi="Times New Roman" w:eastAsia="Times New Roman" w:cs="Times New Roman"/>
              </w:rPr>
              <w:t>5117022025YG0011576</w:t>
            </w:r>
            <w:r>
              <w:t>号</w:t>
            </w:r>
            <w:r>
              <w:rPr>
                <w:spacing w:val="8"/>
              </w:rPr>
              <w:t>），</w:t>
            </w:r>
            <w:r>
              <w:t>该批准用地地块土地用途为工业用地。项目周</w:t>
            </w:r>
            <w:r>
              <w:rPr>
                <w:spacing w:val="1"/>
              </w:rPr>
              <w:t xml:space="preserve"> </w:t>
            </w:r>
            <w:r>
              <w:t>边的企业主要为家具厂、石材厂、金属门窗栏杆厂、金属结构件涂装厂以及</w:t>
            </w:r>
            <w:r>
              <w:rPr>
                <w:spacing w:val="7"/>
              </w:rPr>
              <w:t xml:space="preserve"> </w:t>
            </w:r>
            <w:r>
              <w:rPr>
                <w:spacing w:val="-6"/>
              </w:rPr>
              <w:t>东岳电厂等。</w:t>
            </w:r>
          </w:p>
          <w:p w14:paraId="0C1777F7">
            <w:pPr>
              <w:pStyle w:val="6"/>
              <w:spacing w:before="2" w:line="287" w:lineRule="auto"/>
              <w:ind w:left="116" w:right="103" w:firstLine="413"/>
            </w:pPr>
            <w:r>
              <w:t>本项目为生产致密生物质成型燃料，属于轻工业。项目与达州市通川区</w:t>
            </w:r>
            <w:r>
              <w:rPr>
                <w:spacing w:val="6"/>
              </w:rPr>
              <w:t xml:space="preserve"> </w:t>
            </w:r>
            <w:r>
              <w:rPr>
                <w:spacing w:val="-2"/>
              </w:rPr>
              <w:t>东岳新型工业集聚区功能分区以及周边环境总体是相容的。</w:t>
            </w:r>
          </w:p>
        </w:tc>
      </w:tr>
    </w:tbl>
    <w:p w14:paraId="3B4F2109">
      <w:pPr>
        <w:rPr>
          <w:rFonts w:ascii="Arial"/>
          <w:sz w:val="21"/>
        </w:rPr>
      </w:pPr>
    </w:p>
    <w:p w14:paraId="359DA292">
      <w:pPr>
        <w:rPr>
          <w:rFonts w:ascii="Arial" w:hAnsi="Arial" w:eastAsia="Arial" w:cs="Arial"/>
          <w:sz w:val="21"/>
          <w:szCs w:val="21"/>
        </w:rPr>
        <w:sectPr>
          <w:footerReference r:id="rId7" w:type="default"/>
          <w:pgSz w:w="11907" w:h="16839"/>
          <w:pgMar w:top="1431" w:right="1507" w:bottom="1280" w:left="1508" w:header="0" w:footer="1028" w:gutter="0"/>
          <w:cols w:space="720" w:num="1"/>
        </w:sectPr>
      </w:pPr>
    </w:p>
    <w:p w14:paraId="62563022">
      <w:pPr>
        <w:spacing w:before="28"/>
      </w:pPr>
    </w:p>
    <w:tbl>
      <w:tblPr>
        <w:tblStyle w:val="5"/>
        <w:tblW w:w="887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13"/>
        <w:gridCol w:w="7162"/>
      </w:tblGrid>
      <w:tr w14:paraId="67681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450" w:hRule="atLeast"/>
        </w:trPr>
        <w:tc>
          <w:tcPr>
            <w:tcW w:w="1713" w:type="dxa"/>
            <w:vMerge w:val="restart"/>
            <w:tcBorders>
              <w:top w:val="single" w:color="000000" w:sz="2" w:space="0"/>
              <w:bottom w:val="nil"/>
              <w:right w:val="single" w:color="000000" w:sz="2" w:space="0"/>
            </w:tcBorders>
            <w:vAlign w:val="top"/>
          </w:tcPr>
          <w:p w14:paraId="66C2279D">
            <w:pPr>
              <w:spacing w:line="247" w:lineRule="auto"/>
              <w:rPr>
                <w:rFonts w:ascii="Arial"/>
                <w:sz w:val="21"/>
              </w:rPr>
            </w:pPr>
          </w:p>
          <w:p w14:paraId="65E8E7C3">
            <w:pPr>
              <w:spacing w:line="247" w:lineRule="auto"/>
              <w:rPr>
                <w:rFonts w:ascii="Arial"/>
                <w:sz w:val="21"/>
              </w:rPr>
            </w:pPr>
          </w:p>
          <w:p w14:paraId="27F714AE">
            <w:pPr>
              <w:spacing w:line="247" w:lineRule="auto"/>
              <w:rPr>
                <w:rFonts w:ascii="Arial"/>
                <w:sz w:val="21"/>
              </w:rPr>
            </w:pPr>
          </w:p>
          <w:p w14:paraId="2834265A">
            <w:pPr>
              <w:spacing w:line="247" w:lineRule="auto"/>
              <w:rPr>
                <w:rFonts w:ascii="Arial"/>
                <w:sz w:val="21"/>
              </w:rPr>
            </w:pPr>
          </w:p>
          <w:p w14:paraId="55C5AA20">
            <w:pPr>
              <w:spacing w:line="247" w:lineRule="auto"/>
              <w:rPr>
                <w:rFonts w:ascii="Arial"/>
                <w:sz w:val="21"/>
              </w:rPr>
            </w:pPr>
          </w:p>
          <w:p w14:paraId="6E36F02D">
            <w:pPr>
              <w:spacing w:line="247" w:lineRule="auto"/>
              <w:rPr>
                <w:rFonts w:ascii="Arial"/>
                <w:sz w:val="21"/>
              </w:rPr>
            </w:pPr>
          </w:p>
          <w:p w14:paraId="7985CA8C">
            <w:pPr>
              <w:spacing w:line="247" w:lineRule="auto"/>
              <w:rPr>
                <w:rFonts w:ascii="Arial"/>
                <w:sz w:val="21"/>
              </w:rPr>
            </w:pPr>
          </w:p>
          <w:p w14:paraId="25E395D4">
            <w:pPr>
              <w:spacing w:line="247" w:lineRule="auto"/>
              <w:rPr>
                <w:rFonts w:ascii="Arial"/>
                <w:sz w:val="21"/>
              </w:rPr>
            </w:pPr>
          </w:p>
          <w:p w14:paraId="73297D5F">
            <w:pPr>
              <w:spacing w:line="247" w:lineRule="auto"/>
              <w:rPr>
                <w:rFonts w:ascii="Arial"/>
                <w:sz w:val="21"/>
              </w:rPr>
            </w:pPr>
          </w:p>
          <w:p w14:paraId="489F17C4">
            <w:pPr>
              <w:spacing w:line="247" w:lineRule="auto"/>
              <w:rPr>
                <w:rFonts w:ascii="Arial"/>
                <w:sz w:val="21"/>
              </w:rPr>
            </w:pPr>
          </w:p>
          <w:p w14:paraId="517433E0">
            <w:pPr>
              <w:spacing w:line="247" w:lineRule="auto"/>
              <w:rPr>
                <w:rFonts w:ascii="Arial"/>
                <w:sz w:val="21"/>
              </w:rPr>
            </w:pPr>
          </w:p>
          <w:p w14:paraId="5EDA6AB4">
            <w:pPr>
              <w:spacing w:line="247" w:lineRule="auto"/>
              <w:rPr>
                <w:rFonts w:ascii="Arial"/>
                <w:sz w:val="21"/>
              </w:rPr>
            </w:pPr>
          </w:p>
          <w:p w14:paraId="3C400939">
            <w:pPr>
              <w:spacing w:line="247" w:lineRule="auto"/>
              <w:rPr>
                <w:rFonts w:ascii="Arial"/>
                <w:sz w:val="21"/>
              </w:rPr>
            </w:pPr>
          </w:p>
          <w:p w14:paraId="2F48D8A4">
            <w:pPr>
              <w:spacing w:line="247" w:lineRule="auto"/>
              <w:rPr>
                <w:rFonts w:ascii="Arial"/>
                <w:sz w:val="21"/>
              </w:rPr>
            </w:pPr>
          </w:p>
          <w:p w14:paraId="018B7BF7">
            <w:pPr>
              <w:spacing w:line="247" w:lineRule="auto"/>
              <w:rPr>
                <w:rFonts w:ascii="Arial"/>
                <w:sz w:val="21"/>
              </w:rPr>
            </w:pPr>
          </w:p>
          <w:p w14:paraId="6D82560C">
            <w:pPr>
              <w:spacing w:line="247" w:lineRule="auto"/>
              <w:rPr>
                <w:rFonts w:ascii="Arial"/>
                <w:sz w:val="21"/>
              </w:rPr>
            </w:pPr>
          </w:p>
          <w:p w14:paraId="7B72284A">
            <w:pPr>
              <w:spacing w:line="247" w:lineRule="auto"/>
              <w:rPr>
                <w:rFonts w:ascii="Arial"/>
                <w:sz w:val="21"/>
              </w:rPr>
            </w:pPr>
          </w:p>
          <w:p w14:paraId="7ABAC4C7">
            <w:pPr>
              <w:spacing w:line="247" w:lineRule="auto"/>
              <w:rPr>
                <w:rFonts w:ascii="Arial"/>
                <w:sz w:val="21"/>
              </w:rPr>
            </w:pPr>
          </w:p>
          <w:p w14:paraId="381FEFFA">
            <w:pPr>
              <w:spacing w:line="247" w:lineRule="auto"/>
              <w:rPr>
                <w:rFonts w:ascii="Arial"/>
                <w:sz w:val="21"/>
              </w:rPr>
            </w:pPr>
          </w:p>
          <w:p w14:paraId="27CE9F12">
            <w:pPr>
              <w:spacing w:line="247" w:lineRule="auto"/>
              <w:rPr>
                <w:rFonts w:ascii="Arial"/>
                <w:sz w:val="21"/>
              </w:rPr>
            </w:pPr>
          </w:p>
          <w:p w14:paraId="677E6876">
            <w:pPr>
              <w:spacing w:line="248" w:lineRule="auto"/>
              <w:rPr>
                <w:rFonts w:ascii="Arial"/>
                <w:sz w:val="21"/>
              </w:rPr>
            </w:pPr>
          </w:p>
          <w:p w14:paraId="20DA9891">
            <w:pPr>
              <w:spacing w:line="248" w:lineRule="auto"/>
              <w:rPr>
                <w:rFonts w:ascii="Arial"/>
                <w:sz w:val="21"/>
              </w:rPr>
            </w:pPr>
          </w:p>
          <w:p w14:paraId="57534EEE">
            <w:pPr>
              <w:pStyle w:val="6"/>
              <w:spacing w:before="68" w:line="220" w:lineRule="auto"/>
              <w:ind w:left="119"/>
            </w:pPr>
            <w:r>
              <w:rPr>
                <w:b/>
                <w:bCs/>
                <w:spacing w:val="-3"/>
              </w:rPr>
              <w:t>其他符合性分析</w:t>
            </w:r>
          </w:p>
        </w:tc>
        <w:tc>
          <w:tcPr>
            <w:tcW w:w="7162" w:type="dxa"/>
            <w:tcBorders>
              <w:top w:val="single" w:color="000000" w:sz="2" w:space="0"/>
              <w:left w:val="single" w:color="000000" w:sz="2" w:space="0"/>
              <w:bottom w:val="nil"/>
            </w:tcBorders>
            <w:vAlign w:val="top"/>
          </w:tcPr>
          <w:p w14:paraId="3977DB5D">
            <w:pPr>
              <w:spacing w:before="136" w:line="242" w:lineRule="auto"/>
              <w:ind w:left="127"/>
              <w:rPr>
                <w:rFonts w:ascii="黑体" w:hAnsi="黑体" w:eastAsia="黑体" w:cs="黑体"/>
                <w:sz w:val="21"/>
                <w:szCs w:val="21"/>
              </w:rPr>
            </w:pPr>
            <w:r>
              <w:rPr>
                <w:rFonts w:ascii="Times New Roman" w:hAnsi="Times New Roman" w:eastAsia="Times New Roman" w:cs="Times New Roman"/>
                <w:spacing w:val="3"/>
                <w:sz w:val="21"/>
                <w:szCs w:val="21"/>
              </w:rPr>
              <w:t>1</w:t>
            </w:r>
            <w:r>
              <w:rPr>
                <w:rFonts w:ascii="黑体" w:hAnsi="黑体" w:eastAsia="黑体" w:cs="黑体"/>
                <w:spacing w:val="3"/>
                <w:sz w:val="21"/>
                <w:szCs w:val="21"/>
              </w:rPr>
              <w:t>、产业政策</w:t>
            </w:r>
          </w:p>
          <w:p w14:paraId="5BBEE499">
            <w:pPr>
              <w:pStyle w:val="6"/>
              <w:spacing w:before="133" w:line="350" w:lineRule="auto"/>
              <w:ind w:left="109" w:right="103" w:firstLine="420"/>
              <w:jc w:val="both"/>
            </w:pPr>
            <w:r>
              <w:rPr>
                <w:spacing w:val="7"/>
              </w:rPr>
              <w:t>本项目为致密生物质成型燃料生产项目，根据《国民经济行业分类》</w:t>
            </w:r>
            <w:r>
              <w:t xml:space="preserve"> （</w:t>
            </w:r>
            <w:r>
              <w:rPr>
                <w:rFonts w:ascii="Times New Roman" w:hAnsi="Times New Roman" w:eastAsia="Times New Roman" w:cs="Times New Roman"/>
              </w:rPr>
              <w:t>GB/T4754-2017</w:t>
            </w:r>
            <w:r>
              <w:rPr>
                <w:spacing w:val="-13"/>
              </w:rPr>
              <w:t>）（</w:t>
            </w:r>
            <w:r>
              <w:rPr>
                <w:rFonts w:ascii="Times New Roman" w:hAnsi="Times New Roman" w:eastAsia="Times New Roman" w:cs="Times New Roman"/>
              </w:rPr>
              <w:t xml:space="preserve">2019  </w:t>
            </w:r>
            <w:r>
              <w:t>修改版</w:t>
            </w:r>
            <w:r>
              <w:rPr>
                <w:spacing w:val="-13"/>
              </w:rPr>
              <w:t>），</w:t>
            </w:r>
            <w:r>
              <w:t>项目属于“</w:t>
            </w:r>
            <w:r>
              <w:rPr>
                <w:rFonts w:ascii="Times New Roman" w:hAnsi="Times New Roman" w:eastAsia="Times New Roman" w:cs="Times New Roman"/>
              </w:rPr>
              <w:t xml:space="preserve">C2542  </w:t>
            </w:r>
            <w:r>
              <w:t>生物质致密成型燃</w:t>
            </w:r>
            <w:r>
              <w:rPr>
                <w:spacing w:val="2"/>
              </w:rPr>
              <w:t xml:space="preserve"> </w:t>
            </w:r>
            <w:r>
              <w:t>料加工”。根据《产业结构调整指导目录（</w:t>
            </w:r>
            <w:r>
              <w:rPr>
                <w:rFonts w:ascii="Times New Roman" w:hAnsi="Times New Roman" w:eastAsia="Times New Roman" w:cs="Times New Roman"/>
              </w:rPr>
              <w:t>2024</w:t>
            </w:r>
            <w:r>
              <w:t>年本）》，本项目产品、工</w:t>
            </w:r>
            <w:r>
              <w:rPr>
                <w:spacing w:val="7"/>
              </w:rPr>
              <w:t xml:space="preserve"> </w:t>
            </w:r>
            <w:r>
              <w:t>艺及设备均不属于鼓励类、淘汰类和限制类的产业，项目属于允许类建设项</w:t>
            </w:r>
            <w:r>
              <w:rPr>
                <w:spacing w:val="4"/>
              </w:rPr>
              <w:t xml:space="preserve"> </w:t>
            </w:r>
            <w:r>
              <w:rPr>
                <w:spacing w:val="-1"/>
              </w:rPr>
              <w:t>目。项目生产过程中不使用国家明令禁止的淘汰类和限制类的</w:t>
            </w:r>
            <w:r>
              <w:rPr>
                <w:spacing w:val="-2"/>
              </w:rPr>
              <w:t>设备和工艺。</w:t>
            </w:r>
          </w:p>
          <w:p w14:paraId="26E1B52F">
            <w:pPr>
              <w:pStyle w:val="6"/>
              <w:spacing w:before="8" w:line="349" w:lineRule="auto"/>
              <w:ind w:left="110" w:right="103" w:firstLine="421"/>
              <w:jc w:val="both"/>
            </w:pPr>
            <w:r>
              <w:t>建设单位已取得《四川省固体资产投资项目备案表》（备案号：川投资</w:t>
            </w:r>
            <w:r>
              <w:rPr>
                <w:spacing w:val="5"/>
              </w:rPr>
              <w:t xml:space="preserve"> </w:t>
            </w:r>
            <w:r>
              <w:rPr>
                <w:spacing w:val="-1"/>
              </w:rPr>
              <w:t>备【</w:t>
            </w:r>
            <w:r>
              <w:rPr>
                <w:rFonts w:ascii="Times New Roman" w:hAnsi="Times New Roman" w:eastAsia="Times New Roman" w:cs="Times New Roman"/>
                <w:spacing w:val="-1"/>
              </w:rPr>
              <w:t>2506-511702-04-01-87</w:t>
            </w:r>
            <w:r>
              <w:rPr>
                <w:rFonts w:ascii="Times New Roman" w:hAnsi="Times New Roman" w:eastAsia="Times New Roman" w:cs="Times New Roman"/>
                <w:spacing w:val="-2"/>
              </w:rPr>
              <w:t>3140</w:t>
            </w:r>
            <w:r>
              <w:rPr>
                <w:spacing w:val="-2"/>
              </w:rPr>
              <w:t>】</w:t>
            </w:r>
            <w:r>
              <w:rPr>
                <w:rFonts w:ascii="Times New Roman" w:hAnsi="Times New Roman" w:eastAsia="Times New Roman" w:cs="Times New Roman"/>
                <w:spacing w:val="-2"/>
              </w:rPr>
              <w:t>FGQB-0613</w:t>
            </w:r>
            <w:r>
              <w:rPr>
                <w:spacing w:val="-2"/>
              </w:rPr>
              <w:t>号</w:t>
            </w:r>
            <w:r>
              <w:rPr>
                <w:spacing w:val="5"/>
              </w:rPr>
              <w:t>），</w:t>
            </w:r>
            <w:r>
              <w:rPr>
                <w:spacing w:val="-2"/>
              </w:rPr>
              <w:t>项目已完成备案。因此，</w:t>
            </w:r>
            <w:r>
              <w:rPr>
                <w:spacing w:val="1"/>
              </w:rPr>
              <w:t xml:space="preserve"> </w:t>
            </w:r>
            <w:r>
              <w:rPr>
                <w:spacing w:val="-3"/>
              </w:rPr>
              <w:t>本项目符合现行相关产业政策。</w:t>
            </w:r>
          </w:p>
          <w:p w14:paraId="29DD5244">
            <w:pPr>
              <w:spacing w:before="1" w:line="242" w:lineRule="auto"/>
              <w:ind w:left="106"/>
              <w:rPr>
                <w:rFonts w:ascii="黑体" w:hAnsi="黑体" w:eastAsia="黑体" w:cs="黑体"/>
                <w:sz w:val="21"/>
                <w:szCs w:val="21"/>
              </w:rPr>
            </w:pPr>
            <w:r>
              <w:rPr>
                <w:rFonts w:ascii="Times New Roman" w:hAnsi="Times New Roman" w:eastAsia="Times New Roman" w:cs="Times New Roman"/>
                <w:spacing w:val="7"/>
                <w:sz w:val="21"/>
                <w:szCs w:val="21"/>
              </w:rPr>
              <w:t>2</w:t>
            </w:r>
            <w:r>
              <w:rPr>
                <w:rFonts w:ascii="Times New Roman" w:hAnsi="Times New Roman" w:eastAsia="Times New Roman" w:cs="Times New Roman"/>
                <w:spacing w:val="-18"/>
                <w:sz w:val="21"/>
                <w:szCs w:val="21"/>
              </w:rPr>
              <w:t xml:space="preserve"> </w:t>
            </w:r>
            <w:r>
              <w:rPr>
                <w:rFonts w:ascii="黑体" w:hAnsi="黑体" w:eastAsia="黑体" w:cs="黑体"/>
                <w:spacing w:val="7"/>
                <w:sz w:val="21"/>
                <w:szCs w:val="21"/>
              </w:rPr>
              <w:t>、生态环境分区管控的符合性分析</w:t>
            </w:r>
          </w:p>
          <w:p w14:paraId="62CCFEBF">
            <w:pPr>
              <w:pStyle w:val="6"/>
              <w:spacing w:before="132" w:line="233" w:lineRule="auto"/>
              <w:ind w:left="537"/>
            </w:pPr>
            <w:r>
              <w:rPr>
                <w:b/>
                <w:bCs/>
                <w:spacing w:val="-3"/>
              </w:rPr>
              <w:t>（</w:t>
            </w:r>
            <w:r>
              <w:rPr>
                <w:rFonts w:ascii="Times New Roman" w:hAnsi="Times New Roman" w:eastAsia="Times New Roman" w:cs="Times New Roman"/>
                <w:b/>
                <w:bCs/>
                <w:spacing w:val="-3"/>
              </w:rPr>
              <w:t>1</w:t>
            </w:r>
            <w:r>
              <w:rPr>
                <w:b/>
                <w:bCs/>
                <w:spacing w:val="-3"/>
              </w:rPr>
              <w:t>）达州市生态环境分区管控情况</w:t>
            </w:r>
          </w:p>
          <w:p w14:paraId="1D8A90E5">
            <w:pPr>
              <w:pStyle w:val="6"/>
              <w:spacing w:before="136" w:line="333" w:lineRule="auto"/>
              <w:ind w:left="109" w:right="100" w:firstLine="420"/>
              <w:jc w:val="both"/>
            </w:pPr>
            <w:r>
              <w:t>根据《达州市</w:t>
            </w:r>
            <w:r>
              <w:rPr>
                <w:rFonts w:ascii="Times New Roman" w:hAnsi="Times New Roman" w:eastAsia="Times New Roman" w:cs="Times New Roman"/>
              </w:rPr>
              <w:t>2023</w:t>
            </w:r>
            <w:r>
              <w:t>年生态环境分区管控成果动态更新情况说明》，达州</w:t>
            </w:r>
            <w:r>
              <w:rPr>
                <w:spacing w:val="10"/>
              </w:rPr>
              <w:t xml:space="preserve"> </w:t>
            </w:r>
            <w:r>
              <w:t>市生态空间管控</w:t>
            </w:r>
            <w:r>
              <w:rPr>
                <w:rFonts w:hint="eastAsia"/>
                <w:lang w:eastAsia="zh-CN"/>
              </w:rPr>
              <w:t>分</w:t>
            </w:r>
            <w:r>
              <w:t>区数量共计</w:t>
            </w:r>
            <w:r>
              <w:rPr>
                <w:rFonts w:ascii="Times New Roman" w:hAnsi="Times New Roman" w:eastAsia="Times New Roman" w:cs="Times New Roman"/>
              </w:rPr>
              <w:t>85</w:t>
            </w:r>
            <w:r>
              <w:t>个。其中生态保护红线管控区分区数量</w:t>
            </w:r>
            <w:r>
              <w:rPr>
                <w:rFonts w:ascii="Times New Roman" w:hAnsi="Times New Roman" w:eastAsia="Times New Roman" w:cs="Times New Roman"/>
              </w:rPr>
              <w:t>34</w:t>
            </w:r>
            <w:r>
              <w:rPr>
                <w:rFonts w:ascii="Times New Roman" w:hAnsi="Times New Roman" w:eastAsia="Times New Roman" w:cs="Times New Roman"/>
                <w:spacing w:val="7"/>
              </w:rPr>
              <w:t xml:space="preserve"> </w:t>
            </w:r>
            <w:r>
              <w:rPr>
                <w:spacing w:val="-3"/>
              </w:rPr>
              <w:t>个，生态保护红线面积</w:t>
            </w:r>
            <w:r>
              <w:rPr>
                <w:rFonts w:ascii="Times New Roman" w:hAnsi="Times New Roman" w:eastAsia="Times New Roman" w:cs="Times New Roman"/>
                <w:spacing w:val="-3"/>
              </w:rPr>
              <w:t>1202.83km</w:t>
            </w:r>
            <w:r>
              <w:rPr>
                <w:rFonts w:ascii="Times New Roman" w:hAnsi="Times New Roman" w:eastAsia="Times New Roman" w:cs="Times New Roman"/>
                <w:spacing w:val="-3"/>
                <w:position w:val="7"/>
                <w:sz w:val="14"/>
                <w:szCs w:val="14"/>
              </w:rPr>
              <w:t>2</w:t>
            </w:r>
            <w:r>
              <w:rPr>
                <w:rFonts w:ascii="Times New Roman" w:hAnsi="Times New Roman" w:eastAsia="Times New Roman" w:cs="Times New Roman"/>
                <w:spacing w:val="3"/>
                <w:position w:val="7"/>
                <w:sz w:val="14"/>
                <w:szCs w:val="14"/>
              </w:rPr>
              <w:t xml:space="preserve"> </w:t>
            </w:r>
            <w:r>
              <w:rPr>
                <w:spacing w:val="-3"/>
              </w:rPr>
              <w:t>，占达州市国土面积比例的</w:t>
            </w:r>
            <w:r>
              <w:rPr>
                <w:rFonts w:ascii="Times New Roman" w:hAnsi="Times New Roman" w:eastAsia="Times New Roman" w:cs="Times New Roman"/>
                <w:spacing w:val="-3"/>
              </w:rPr>
              <w:t>7.26%</w:t>
            </w:r>
            <w:r>
              <w:rPr>
                <w:spacing w:val="-3"/>
              </w:rPr>
              <w:t>；一般生</w:t>
            </w:r>
            <w:r>
              <w:t xml:space="preserve"> </w:t>
            </w:r>
            <w:r>
              <w:rPr>
                <w:spacing w:val="-2"/>
              </w:rPr>
              <w:t>态空间管控区分区数量</w:t>
            </w:r>
            <w:r>
              <w:rPr>
                <w:rFonts w:ascii="Times New Roman" w:hAnsi="Times New Roman" w:eastAsia="Times New Roman" w:cs="Times New Roman"/>
                <w:spacing w:val="-2"/>
              </w:rPr>
              <w:t>51</w:t>
            </w:r>
            <w:r>
              <w:rPr>
                <w:spacing w:val="-2"/>
              </w:rPr>
              <w:t>个，一般生态空间面积</w:t>
            </w:r>
            <w:r>
              <w:rPr>
                <w:rFonts w:ascii="Times New Roman" w:hAnsi="Times New Roman" w:eastAsia="Times New Roman" w:cs="Times New Roman"/>
                <w:spacing w:val="-2"/>
              </w:rPr>
              <w:t>3</w:t>
            </w:r>
            <w:r>
              <w:rPr>
                <w:rFonts w:ascii="Times New Roman" w:hAnsi="Times New Roman" w:eastAsia="Times New Roman" w:cs="Times New Roman"/>
                <w:spacing w:val="-3"/>
              </w:rPr>
              <w:t>125.7km</w:t>
            </w:r>
            <w:r>
              <w:rPr>
                <w:rFonts w:ascii="Times New Roman" w:hAnsi="Times New Roman" w:eastAsia="Times New Roman" w:cs="Times New Roman"/>
                <w:spacing w:val="-3"/>
                <w:position w:val="7"/>
                <w:sz w:val="14"/>
                <w:szCs w:val="14"/>
              </w:rPr>
              <w:t>2</w:t>
            </w:r>
            <w:r>
              <w:rPr>
                <w:rFonts w:ascii="Times New Roman" w:hAnsi="Times New Roman" w:eastAsia="Times New Roman" w:cs="Times New Roman"/>
                <w:spacing w:val="-9"/>
                <w:position w:val="7"/>
                <w:sz w:val="14"/>
                <w:szCs w:val="14"/>
              </w:rPr>
              <w:t xml:space="preserve"> </w:t>
            </w:r>
            <w:r>
              <w:rPr>
                <w:spacing w:val="-3"/>
              </w:rPr>
              <w:t>，占达州市国土面</w:t>
            </w:r>
            <w:r>
              <w:t xml:space="preserve"> </w:t>
            </w:r>
            <w:r>
              <w:rPr>
                <w:spacing w:val="-1"/>
              </w:rPr>
              <w:t>积比例的</w:t>
            </w:r>
            <w:r>
              <w:rPr>
                <w:rFonts w:ascii="Times New Roman" w:hAnsi="Times New Roman" w:eastAsia="Times New Roman" w:cs="Times New Roman"/>
                <w:spacing w:val="-1"/>
              </w:rPr>
              <w:t>18.87%</w:t>
            </w:r>
            <w:r>
              <w:rPr>
                <w:spacing w:val="-1"/>
              </w:rPr>
              <w:t>。</w:t>
            </w:r>
          </w:p>
        </w:tc>
      </w:tr>
      <w:tr w14:paraId="05FCA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89" w:hRule="atLeast"/>
        </w:trPr>
        <w:tc>
          <w:tcPr>
            <w:tcW w:w="1713" w:type="dxa"/>
            <w:vMerge w:val="continue"/>
            <w:tcBorders>
              <w:top w:val="nil"/>
              <w:right w:val="single" w:color="000000" w:sz="2" w:space="0"/>
            </w:tcBorders>
            <w:vAlign w:val="top"/>
          </w:tcPr>
          <w:p w14:paraId="04E1A906">
            <w:pPr>
              <w:rPr>
                <w:rFonts w:ascii="Arial"/>
                <w:sz w:val="21"/>
              </w:rPr>
            </w:pPr>
          </w:p>
        </w:tc>
        <w:tc>
          <w:tcPr>
            <w:tcW w:w="7162" w:type="dxa"/>
            <w:tcBorders>
              <w:top w:val="nil"/>
              <w:left w:val="single" w:color="000000" w:sz="2" w:space="0"/>
            </w:tcBorders>
            <w:vAlign w:val="top"/>
          </w:tcPr>
          <w:p w14:paraId="0D80C328">
            <w:pPr>
              <w:pStyle w:val="6"/>
              <w:spacing w:before="94" w:line="219" w:lineRule="auto"/>
              <w:ind w:left="528"/>
            </w:pPr>
            <w:r>
              <w:rPr>
                <w:spacing w:val="-1"/>
              </w:rPr>
              <w:t>达州市生态保护红线分布情况如下。</w:t>
            </w:r>
          </w:p>
          <w:p w14:paraId="361BCBB9">
            <w:pPr>
              <w:spacing w:before="7"/>
            </w:pPr>
          </w:p>
          <w:p w14:paraId="24AE1D6A">
            <w:pPr>
              <w:spacing w:before="7"/>
            </w:pPr>
          </w:p>
          <w:p w14:paraId="01A92FD5">
            <w:pPr>
              <w:spacing w:before="7"/>
            </w:pPr>
          </w:p>
          <w:p w14:paraId="2DD9D9F6">
            <w:pPr>
              <w:spacing w:before="7"/>
            </w:pPr>
          </w:p>
          <w:p w14:paraId="1C90CFA5">
            <w:pPr>
              <w:spacing w:before="7"/>
            </w:pPr>
          </w:p>
          <w:p w14:paraId="7F4CC6A6">
            <w:pPr>
              <w:spacing w:before="7"/>
            </w:pPr>
          </w:p>
          <w:p w14:paraId="25066EE8">
            <w:pPr>
              <w:spacing w:before="7"/>
            </w:pPr>
          </w:p>
          <w:p w14:paraId="0C1866AA">
            <w:pPr>
              <w:spacing w:before="6"/>
            </w:pPr>
          </w:p>
          <w:p w14:paraId="346EB43E">
            <w:pPr>
              <w:spacing w:before="6"/>
            </w:pPr>
          </w:p>
          <w:p w14:paraId="2FA8649C">
            <w:pPr>
              <w:spacing w:before="6"/>
            </w:pPr>
          </w:p>
          <w:p w14:paraId="482DA782">
            <w:pPr>
              <w:spacing w:before="6"/>
            </w:pPr>
          </w:p>
          <w:p w14:paraId="7D8C66F2">
            <w:pPr>
              <w:spacing w:before="6"/>
            </w:pPr>
          </w:p>
          <w:p w14:paraId="00B14620">
            <w:pPr>
              <w:spacing w:before="6"/>
            </w:pPr>
          </w:p>
          <w:p w14:paraId="0237A311">
            <w:pPr>
              <w:spacing w:before="6"/>
            </w:pPr>
          </w:p>
          <w:p w14:paraId="47B36D8D">
            <w:pPr>
              <w:spacing w:before="6"/>
            </w:pPr>
          </w:p>
          <w:p w14:paraId="71688758">
            <w:pPr>
              <w:spacing w:before="6"/>
            </w:pPr>
          </w:p>
          <w:tbl>
            <w:tblPr>
              <w:tblStyle w:val="5"/>
              <w:tblW w:w="1133" w:type="dxa"/>
              <w:tblInd w:w="4322" w:type="dxa"/>
              <w:tblBorders>
                <w:top w:val="single" w:color="FF0000" w:sz="6" w:space="0"/>
                <w:left w:val="single" w:color="FF0000" w:sz="6" w:space="0"/>
                <w:bottom w:val="single" w:color="FF0000" w:sz="6" w:space="0"/>
                <w:right w:val="single" w:color="FF0000" w:sz="6" w:space="0"/>
                <w:insideH w:val="none" w:color="auto" w:sz="0" w:space="0"/>
                <w:insideV w:val="none" w:color="auto" w:sz="0" w:space="0"/>
              </w:tblBorders>
              <w:tblLayout w:type="fixed"/>
              <w:tblCellMar>
                <w:top w:w="0" w:type="dxa"/>
                <w:left w:w="0" w:type="dxa"/>
                <w:bottom w:w="0" w:type="dxa"/>
                <w:right w:w="0" w:type="dxa"/>
              </w:tblCellMar>
            </w:tblPr>
            <w:tblGrid>
              <w:gridCol w:w="1133"/>
            </w:tblGrid>
            <w:tr w14:paraId="6E1D6E51">
              <w:tblPrEx>
                <w:tblBorders>
                  <w:top w:val="single" w:color="FF0000" w:sz="6" w:space="0"/>
                  <w:left w:val="single" w:color="FF0000" w:sz="6" w:space="0"/>
                  <w:bottom w:val="single" w:color="FF0000" w:sz="6" w:space="0"/>
                  <w:right w:val="single" w:color="FF0000" w:sz="6" w:space="0"/>
                  <w:insideH w:val="none" w:color="auto" w:sz="0" w:space="0"/>
                  <w:insideV w:val="none" w:color="auto" w:sz="0" w:space="0"/>
                </w:tblBorders>
                <w:tblCellMar>
                  <w:top w:w="0" w:type="dxa"/>
                  <w:left w:w="0" w:type="dxa"/>
                  <w:bottom w:w="0" w:type="dxa"/>
                  <w:right w:w="0" w:type="dxa"/>
                </w:tblCellMar>
              </w:tblPrEx>
              <w:trPr>
                <w:trHeight w:val="395" w:hRule="atLeast"/>
              </w:trPr>
              <w:tc>
                <w:tcPr>
                  <w:tcW w:w="1133" w:type="dxa"/>
                  <w:vAlign w:val="top"/>
                </w:tcPr>
                <w:p w14:paraId="05543855">
                  <w:pPr>
                    <w:pStyle w:val="6"/>
                    <w:spacing w:before="103" w:line="220" w:lineRule="auto"/>
                    <w:ind w:left="256"/>
                  </w:pPr>
                  <w:r>
                    <w:pict>
                      <v:group id="_x0000_s1026" o:spid="_x0000_s1026" o:spt="203" style="position:absolute;left:0pt;margin-left:-78.75pt;margin-top:-66.6pt;height:86.8pt;width:135.1pt;z-index:-251656192;mso-width-relative:page;mso-height-relative:page;" coordsize="2702,1736">
                        <o:lock v:ext="edit"/>
                        <v:shape id="_x0000_s1027" o:spid="_x0000_s1027" style="position:absolute;left:7;top:7;height:1728;width:2693;" fillcolor="#FFFFFF" filled="t" stroked="f" coordsize="2693,1728" path="m1560,1317l1560,1386,1560,1386,1560,1488,1560,1727,1748,1727,1748,1727,2032,1727,2693,1727,2693,1488,2693,1386,2693,1386,2693,1317,2032,1317,0,0,1748,1317,1560,1317xe">
                          <v:path/>
                          <v:fill on="t" focussize="0,0"/>
                          <v:stroke on="f"/>
                          <v:imagedata o:title=""/>
                          <o:lock v:ext="edit"/>
                        </v:shape>
                        <v:shape id="_x0000_s1028" o:spid="_x0000_s1028" style="position:absolute;left:0;top:0;height:1333;width:2048;" filled="f" stroked="t" coordsize="2048,1333" path="m2039,1325l7,7,1756,1325e">
                          <v:fill on="f" focussize="0,0"/>
                          <v:stroke color="#FF0000" miterlimit="10" joinstyle="miter" endcap="round"/>
                          <v:imagedata o:title=""/>
                          <o:lock v:ext="edit"/>
                        </v:shape>
                      </v:group>
                    </w:pict>
                  </w:r>
                  <w:r>
                    <w:drawing>
                      <wp:anchor distT="0" distB="0" distL="0" distR="0" simplePos="0" relativeHeight="251659264" behindDoc="1" locked="0" layoutInCell="1" allowOverlap="1">
                        <wp:simplePos x="0" y="0"/>
                        <wp:positionH relativeFrom="column">
                          <wp:posOffset>-2685415</wp:posOffset>
                        </wp:positionH>
                        <wp:positionV relativeFrom="paragraph">
                          <wp:posOffset>-2522220</wp:posOffset>
                        </wp:positionV>
                        <wp:extent cx="4437380" cy="313118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1"/>
                                <a:stretch>
                                  <a:fillRect/>
                                </a:stretch>
                              </pic:blipFill>
                              <pic:spPr>
                                <a:xfrm>
                                  <a:off x="0" y="0"/>
                                  <a:ext cx="4437379" cy="3131185"/>
                                </a:xfrm>
                                <a:prstGeom prst="rect">
                                  <a:avLst/>
                                </a:prstGeom>
                              </pic:spPr>
                            </pic:pic>
                          </a:graphicData>
                        </a:graphic>
                      </wp:anchor>
                    </w:drawing>
                  </w:r>
                  <w:r>
                    <w:pict>
                      <v:shape id="_x0000_s1029" o:spid="_x0000_s1029" style="position:absolute;left:0pt;margin-left:-0.35pt;margin-top:0pt;height:0.75pt;width:10.2pt;mso-position-horizontal-relative:page;mso-position-vertical-relative:page;z-index:251661312;mso-width-relative:page;mso-height-relative:page;" filled="f" stroked="t" coordsize="203,15" path="m196,7l7,7e">
                        <v:fill on="f" focussize="0,0"/>
                        <v:stroke color="#FF0000" miterlimit="10" joinstyle="miter" endcap="round"/>
                        <v:imagedata o:title=""/>
                        <o:lock v:ext="edit"/>
                      </v:shape>
                    </w:pict>
                  </w:r>
                  <w:r>
                    <w:rPr>
                      <w:b/>
                      <w:bCs/>
                      <w:color w:val="FF0000"/>
                      <w:spacing w:val="-5"/>
                    </w:rPr>
                    <w:t>项目区</w:t>
                  </w:r>
                </w:p>
              </w:tc>
            </w:tr>
          </w:tbl>
          <w:p w14:paraId="36558A43">
            <w:pPr>
              <w:spacing w:line="314" w:lineRule="auto"/>
              <w:rPr>
                <w:rFonts w:ascii="Arial"/>
                <w:sz w:val="21"/>
              </w:rPr>
            </w:pPr>
          </w:p>
          <w:p w14:paraId="15D3C690">
            <w:pPr>
              <w:spacing w:line="314" w:lineRule="auto"/>
              <w:rPr>
                <w:rFonts w:ascii="Arial"/>
                <w:sz w:val="21"/>
              </w:rPr>
            </w:pPr>
          </w:p>
          <w:p w14:paraId="7D915282">
            <w:pPr>
              <w:pStyle w:val="6"/>
              <w:spacing w:before="65" w:line="233" w:lineRule="auto"/>
              <w:ind w:left="2265"/>
              <w:rPr>
                <w:sz w:val="20"/>
                <w:szCs w:val="20"/>
              </w:rPr>
            </w:pPr>
            <w:r>
              <w:rPr>
                <w:b/>
                <w:bCs/>
                <w:spacing w:val="-4"/>
                <w:sz w:val="20"/>
                <w:szCs w:val="20"/>
              </w:rPr>
              <w:t>图</w:t>
            </w:r>
            <w:r>
              <w:rPr>
                <w:rFonts w:ascii="Times New Roman" w:hAnsi="Times New Roman" w:eastAsia="Times New Roman" w:cs="Times New Roman"/>
                <w:b/>
                <w:bCs/>
                <w:spacing w:val="-4"/>
                <w:sz w:val="20"/>
                <w:szCs w:val="20"/>
              </w:rPr>
              <w:t>1-1</w:t>
            </w:r>
            <w:r>
              <w:rPr>
                <w:b/>
                <w:bCs/>
                <w:spacing w:val="-4"/>
                <w:sz w:val="20"/>
                <w:szCs w:val="20"/>
              </w:rPr>
              <w:t>：达州市生态保护红线分布图</w:t>
            </w:r>
          </w:p>
          <w:p w14:paraId="44151300">
            <w:pPr>
              <w:pStyle w:val="6"/>
              <w:spacing w:before="141" w:line="351" w:lineRule="auto"/>
              <w:ind w:left="111" w:right="115" w:firstLine="418"/>
            </w:pPr>
            <w:r>
              <w:t>根据上图分析，本项目位于达州市通川区东岳新型工业集聚区</w:t>
            </w:r>
            <w:r>
              <w:rPr>
                <w:spacing w:val="-1"/>
              </w:rPr>
              <w:t>，占地不</w:t>
            </w:r>
            <w:r>
              <w:t xml:space="preserve"> </w:t>
            </w:r>
            <w:r>
              <w:rPr>
                <w:spacing w:val="-3"/>
              </w:rPr>
              <w:t>属于达州市生态保护红线范围。</w:t>
            </w:r>
          </w:p>
          <w:p w14:paraId="55300915">
            <w:pPr>
              <w:pStyle w:val="6"/>
              <w:spacing w:line="222" w:lineRule="auto"/>
              <w:ind w:left="537"/>
            </w:pPr>
            <w:r>
              <w:rPr>
                <w:b/>
                <w:bCs/>
                <w:spacing w:val="-3"/>
              </w:rPr>
              <w:t>（</w:t>
            </w:r>
            <w:r>
              <w:rPr>
                <w:rFonts w:ascii="Times New Roman" w:hAnsi="Times New Roman" w:eastAsia="Times New Roman" w:cs="Times New Roman"/>
                <w:b/>
                <w:bCs/>
                <w:spacing w:val="-3"/>
              </w:rPr>
              <w:t>2</w:t>
            </w:r>
            <w:r>
              <w:rPr>
                <w:b/>
                <w:bCs/>
                <w:spacing w:val="-3"/>
              </w:rPr>
              <w:t>）项目所属环境管控单元</w:t>
            </w:r>
          </w:p>
        </w:tc>
      </w:tr>
    </w:tbl>
    <w:p w14:paraId="40AA7C27">
      <w:pPr>
        <w:rPr>
          <w:rFonts w:ascii="Arial"/>
          <w:sz w:val="21"/>
        </w:rPr>
      </w:pPr>
    </w:p>
    <w:p w14:paraId="4AD6BC07">
      <w:pPr>
        <w:rPr>
          <w:rFonts w:ascii="Arial" w:hAnsi="Arial" w:eastAsia="Arial" w:cs="Arial"/>
          <w:sz w:val="21"/>
          <w:szCs w:val="21"/>
        </w:rPr>
        <w:sectPr>
          <w:footerReference r:id="rId8" w:type="default"/>
          <w:pgSz w:w="11907" w:h="16839"/>
          <w:pgMar w:top="1431" w:right="1507" w:bottom="1280" w:left="1508" w:header="0" w:footer="1027" w:gutter="0"/>
          <w:cols w:space="720" w:num="1"/>
        </w:sectPr>
      </w:pPr>
    </w:p>
    <w:p w14:paraId="2172CFAE">
      <w:pPr>
        <w:spacing w:before="28"/>
      </w:pPr>
    </w:p>
    <w:tbl>
      <w:tblPr>
        <w:tblStyle w:val="5"/>
        <w:tblW w:w="887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13"/>
        <w:gridCol w:w="7162"/>
      </w:tblGrid>
      <w:tr w14:paraId="5B10F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81" w:hRule="atLeast"/>
        </w:trPr>
        <w:tc>
          <w:tcPr>
            <w:tcW w:w="1713" w:type="dxa"/>
            <w:vMerge w:val="restart"/>
            <w:tcBorders>
              <w:top w:val="single" w:color="000000" w:sz="2" w:space="0"/>
              <w:bottom w:val="nil"/>
              <w:right w:val="single" w:color="000000" w:sz="2" w:space="0"/>
            </w:tcBorders>
            <w:vAlign w:val="top"/>
          </w:tcPr>
          <w:p w14:paraId="50DED9E3">
            <w:pPr>
              <w:spacing w:line="245" w:lineRule="auto"/>
              <w:rPr>
                <w:rFonts w:ascii="Arial"/>
                <w:sz w:val="21"/>
              </w:rPr>
            </w:pPr>
          </w:p>
          <w:p w14:paraId="12368FF3">
            <w:pPr>
              <w:spacing w:line="245" w:lineRule="auto"/>
              <w:rPr>
                <w:rFonts w:ascii="Arial"/>
                <w:sz w:val="21"/>
              </w:rPr>
            </w:pPr>
          </w:p>
          <w:p w14:paraId="7F8D90D2">
            <w:pPr>
              <w:spacing w:line="245" w:lineRule="auto"/>
              <w:rPr>
                <w:rFonts w:ascii="Arial"/>
                <w:sz w:val="21"/>
              </w:rPr>
            </w:pPr>
          </w:p>
          <w:p w14:paraId="15B86C19">
            <w:pPr>
              <w:spacing w:line="245" w:lineRule="auto"/>
              <w:rPr>
                <w:rFonts w:ascii="Arial"/>
                <w:sz w:val="21"/>
              </w:rPr>
            </w:pPr>
          </w:p>
          <w:p w14:paraId="20A31CEF">
            <w:pPr>
              <w:spacing w:line="245" w:lineRule="auto"/>
              <w:rPr>
                <w:rFonts w:ascii="Arial"/>
                <w:sz w:val="21"/>
              </w:rPr>
            </w:pPr>
          </w:p>
          <w:p w14:paraId="53F82618">
            <w:pPr>
              <w:spacing w:line="245" w:lineRule="auto"/>
              <w:rPr>
                <w:rFonts w:ascii="Arial"/>
                <w:sz w:val="21"/>
              </w:rPr>
            </w:pPr>
          </w:p>
          <w:p w14:paraId="116A1FA8">
            <w:pPr>
              <w:spacing w:line="245" w:lineRule="auto"/>
              <w:rPr>
                <w:rFonts w:ascii="Arial"/>
                <w:sz w:val="21"/>
              </w:rPr>
            </w:pPr>
          </w:p>
          <w:p w14:paraId="5290C5E1">
            <w:pPr>
              <w:spacing w:line="245" w:lineRule="auto"/>
              <w:rPr>
                <w:rFonts w:ascii="Arial"/>
                <w:sz w:val="21"/>
              </w:rPr>
            </w:pPr>
          </w:p>
          <w:p w14:paraId="59CDA65D">
            <w:pPr>
              <w:spacing w:line="245" w:lineRule="auto"/>
              <w:rPr>
                <w:rFonts w:ascii="Arial"/>
                <w:sz w:val="21"/>
              </w:rPr>
            </w:pPr>
          </w:p>
          <w:p w14:paraId="52553D26">
            <w:pPr>
              <w:spacing w:line="245" w:lineRule="auto"/>
              <w:rPr>
                <w:rFonts w:ascii="Arial"/>
                <w:sz w:val="21"/>
              </w:rPr>
            </w:pPr>
          </w:p>
          <w:p w14:paraId="0DA82246">
            <w:pPr>
              <w:spacing w:line="246" w:lineRule="auto"/>
              <w:rPr>
                <w:rFonts w:ascii="Arial"/>
                <w:sz w:val="21"/>
              </w:rPr>
            </w:pPr>
          </w:p>
          <w:p w14:paraId="5B8CE2BB">
            <w:pPr>
              <w:spacing w:line="246" w:lineRule="auto"/>
              <w:rPr>
                <w:rFonts w:ascii="Arial"/>
                <w:sz w:val="21"/>
              </w:rPr>
            </w:pPr>
          </w:p>
          <w:p w14:paraId="2FA382F1">
            <w:pPr>
              <w:spacing w:line="246" w:lineRule="auto"/>
              <w:rPr>
                <w:rFonts w:ascii="Arial"/>
                <w:sz w:val="21"/>
              </w:rPr>
            </w:pPr>
          </w:p>
          <w:p w14:paraId="5DB62F67">
            <w:pPr>
              <w:spacing w:line="246" w:lineRule="auto"/>
              <w:rPr>
                <w:rFonts w:ascii="Arial"/>
                <w:sz w:val="21"/>
              </w:rPr>
            </w:pPr>
          </w:p>
          <w:p w14:paraId="4D9E1BA7">
            <w:pPr>
              <w:spacing w:line="246" w:lineRule="auto"/>
              <w:rPr>
                <w:rFonts w:ascii="Arial"/>
                <w:sz w:val="21"/>
              </w:rPr>
            </w:pPr>
          </w:p>
          <w:p w14:paraId="59D746E1">
            <w:pPr>
              <w:spacing w:line="246" w:lineRule="auto"/>
              <w:rPr>
                <w:rFonts w:ascii="Arial"/>
                <w:sz w:val="21"/>
              </w:rPr>
            </w:pPr>
          </w:p>
          <w:p w14:paraId="23412F13">
            <w:pPr>
              <w:spacing w:line="246" w:lineRule="auto"/>
              <w:rPr>
                <w:rFonts w:ascii="Arial"/>
                <w:sz w:val="21"/>
              </w:rPr>
            </w:pPr>
          </w:p>
          <w:p w14:paraId="7516B34F">
            <w:pPr>
              <w:spacing w:line="246" w:lineRule="auto"/>
              <w:rPr>
                <w:rFonts w:ascii="Arial"/>
                <w:sz w:val="21"/>
              </w:rPr>
            </w:pPr>
          </w:p>
          <w:p w14:paraId="5FBA59C2">
            <w:pPr>
              <w:spacing w:line="246" w:lineRule="auto"/>
              <w:rPr>
                <w:rFonts w:ascii="Arial"/>
                <w:sz w:val="21"/>
              </w:rPr>
            </w:pPr>
          </w:p>
          <w:p w14:paraId="6CEE3074">
            <w:pPr>
              <w:spacing w:line="246" w:lineRule="auto"/>
              <w:rPr>
                <w:rFonts w:ascii="Arial"/>
                <w:sz w:val="21"/>
              </w:rPr>
            </w:pPr>
          </w:p>
          <w:p w14:paraId="5BBCF627">
            <w:pPr>
              <w:spacing w:line="246" w:lineRule="auto"/>
              <w:rPr>
                <w:rFonts w:ascii="Arial"/>
                <w:sz w:val="21"/>
              </w:rPr>
            </w:pPr>
          </w:p>
          <w:p w14:paraId="782FF451">
            <w:pPr>
              <w:pStyle w:val="6"/>
              <w:spacing w:before="68" w:line="220" w:lineRule="auto"/>
              <w:ind w:left="119"/>
            </w:pPr>
            <w:r>
              <w:rPr>
                <w:b/>
                <w:bCs/>
                <w:spacing w:val="-3"/>
              </w:rPr>
              <w:t>其他符合性分析</w:t>
            </w:r>
          </w:p>
        </w:tc>
        <w:tc>
          <w:tcPr>
            <w:tcW w:w="7162" w:type="dxa"/>
            <w:tcBorders>
              <w:top w:val="single" w:color="000000" w:sz="2" w:space="0"/>
              <w:left w:val="single" w:color="000000" w:sz="2" w:space="0"/>
              <w:bottom w:val="nil"/>
            </w:tcBorders>
            <w:vAlign w:val="top"/>
          </w:tcPr>
          <w:p w14:paraId="1EA88B27">
            <w:pPr>
              <w:pStyle w:val="6"/>
              <w:spacing w:before="142" w:line="352" w:lineRule="auto"/>
              <w:ind w:left="109" w:right="27" w:firstLine="420"/>
              <w:jc w:val="both"/>
            </w:pPr>
            <w:r>
              <w:t>根据达州市人民政府《关于加强生态环境分区管控的通知》（达市府办</w:t>
            </w:r>
            <w:r>
              <w:rPr>
                <w:spacing w:val="5"/>
              </w:rPr>
              <w:t xml:space="preserve"> </w:t>
            </w:r>
            <w:r>
              <w:t>函〔</w:t>
            </w:r>
            <w:r>
              <w:rPr>
                <w:rFonts w:ascii="Times New Roman" w:hAnsi="Times New Roman" w:eastAsia="Times New Roman" w:cs="Times New Roman"/>
              </w:rPr>
              <w:t>2024</w:t>
            </w:r>
            <w:r>
              <w:t>〕</w:t>
            </w:r>
            <w:r>
              <w:rPr>
                <w:rFonts w:ascii="Times New Roman" w:hAnsi="Times New Roman" w:eastAsia="Times New Roman" w:cs="Times New Roman"/>
              </w:rPr>
              <w:t>31</w:t>
            </w:r>
            <w:r>
              <w:t>号</w:t>
            </w:r>
            <w:r>
              <w:rPr>
                <w:spacing w:val="3"/>
              </w:rPr>
              <w:t>），</w:t>
            </w:r>
            <w:r>
              <w:t>达州市共划定</w:t>
            </w:r>
            <w:r>
              <w:rPr>
                <w:rFonts w:ascii="Times New Roman" w:hAnsi="Times New Roman" w:eastAsia="Times New Roman" w:cs="Times New Roman"/>
              </w:rPr>
              <w:t>47</w:t>
            </w:r>
            <w:r>
              <w:t xml:space="preserve">个综合环境管控单元，其中优先保护单 </w:t>
            </w:r>
            <w:r>
              <w:rPr>
                <w:spacing w:val="2"/>
              </w:rPr>
              <w:t>元</w:t>
            </w:r>
            <w:r>
              <w:rPr>
                <w:rFonts w:ascii="Times New Roman" w:hAnsi="Times New Roman" w:eastAsia="Times New Roman" w:cs="Times New Roman"/>
                <w:spacing w:val="2"/>
              </w:rPr>
              <w:t>18</w:t>
            </w:r>
            <w:r>
              <w:rPr>
                <w:spacing w:val="2"/>
              </w:rPr>
              <w:t>个，单元面积</w:t>
            </w:r>
            <w:r>
              <w:rPr>
                <w:rFonts w:ascii="Times New Roman" w:hAnsi="Times New Roman" w:eastAsia="Times New Roman" w:cs="Times New Roman"/>
                <w:spacing w:val="2"/>
              </w:rPr>
              <w:t>4334.97</w:t>
            </w:r>
            <w:r>
              <w:rPr>
                <w:rFonts w:ascii="Times New Roman" w:hAnsi="Times New Roman" w:eastAsia="Times New Roman" w:cs="Times New Roman"/>
              </w:rPr>
              <w:t>km</w:t>
            </w:r>
            <w:r>
              <w:rPr>
                <w:rFonts w:ascii="Times New Roman" w:hAnsi="Times New Roman" w:eastAsia="Times New Roman" w:cs="Times New Roman"/>
                <w:spacing w:val="2"/>
                <w:position w:val="7"/>
                <w:sz w:val="14"/>
                <w:szCs w:val="14"/>
              </w:rPr>
              <w:t xml:space="preserve">2 </w:t>
            </w:r>
            <w:r>
              <w:rPr>
                <w:spacing w:val="2"/>
              </w:rPr>
              <w:t>，占国土面积的</w:t>
            </w:r>
            <w:r>
              <w:rPr>
                <w:rFonts w:ascii="Times New Roman" w:hAnsi="Times New Roman" w:eastAsia="Times New Roman" w:cs="Times New Roman"/>
                <w:spacing w:val="2"/>
              </w:rPr>
              <w:t>26.15%</w:t>
            </w:r>
            <w:r>
              <w:rPr>
                <w:spacing w:val="2"/>
              </w:rPr>
              <w:t>；城镇重点管控单元</w:t>
            </w:r>
            <w:r>
              <w:rPr>
                <w:rFonts w:ascii="Times New Roman" w:hAnsi="Times New Roman" w:eastAsia="Times New Roman" w:cs="Times New Roman"/>
                <w:spacing w:val="2"/>
              </w:rPr>
              <w:t>7</w:t>
            </w:r>
            <w:r>
              <w:rPr>
                <w:rFonts w:ascii="Times New Roman" w:hAnsi="Times New Roman" w:eastAsia="Times New Roman" w:cs="Times New Roman"/>
                <w:spacing w:val="4"/>
              </w:rPr>
              <w:t xml:space="preserve">  </w:t>
            </w:r>
            <w:r>
              <w:rPr>
                <w:spacing w:val="-6"/>
              </w:rPr>
              <w:t>个</w:t>
            </w:r>
            <w:r>
              <w:rPr>
                <w:rFonts w:hint="eastAsia"/>
                <w:spacing w:val="-6"/>
                <w:lang w:eastAsia="zh-CN"/>
              </w:rPr>
              <w:t>（</w:t>
            </w:r>
            <w:r>
              <w:rPr>
                <w:spacing w:val="-6"/>
              </w:rPr>
              <w:t>包括达川区中心城区、通川区中心城区宣汉县中心城区、大竹县中心城区、</w:t>
            </w:r>
            <w:r>
              <w:rPr>
                <w:spacing w:val="14"/>
              </w:rPr>
              <w:t xml:space="preserve"> </w:t>
            </w:r>
            <w:r>
              <w:rPr>
                <w:spacing w:val="2"/>
              </w:rPr>
              <w:t>开江县中心城区、渠县中心城区、万源市中心城区</w:t>
            </w:r>
            <w:r>
              <w:rPr>
                <w:rFonts w:hint="eastAsia"/>
                <w:spacing w:val="2"/>
                <w:lang w:eastAsia="zh-CN"/>
              </w:rPr>
              <w:t>）</w:t>
            </w:r>
            <w:r>
              <w:rPr>
                <w:spacing w:val="2"/>
              </w:rPr>
              <w:t>，单元面积</w:t>
            </w:r>
            <w:r>
              <w:rPr>
                <w:rFonts w:ascii="Times New Roman" w:hAnsi="Times New Roman" w:eastAsia="Times New Roman" w:cs="Times New Roman"/>
                <w:spacing w:val="2"/>
              </w:rPr>
              <w:t>429.53</w:t>
            </w:r>
            <w:r>
              <w:rPr>
                <w:rFonts w:ascii="Times New Roman" w:hAnsi="Times New Roman" w:eastAsia="Times New Roman" w:cs="Times New Roman"/>
              </w:rPr>
              <w:t>km</w:t>
            </w:r>
            <w:r>
              <w:rPr>
                <w:rFonts w:ascii="Times New Roman" w:hAnsi="Times New Roman" w:eastAsia="Times New Roman" w:cs="Times New Roman"/>
                <w:spacing w:val="1"/>
                <w:position w:val="7"/>
                <w:sz w:val="14"/>
                <w:szCs w:val="14"/>
              </w:rPr>
              <w:t>2</w:t>
            </w:r>
            <w:r>
              <w:rPr>
                <w:rFonts w:ascii="Times New Roman" w:hAnsi="Times New Roman" w:eastAsia="Times New Roman" w:cs="Times New Roman"/>
                <w:spacing w:val="-6"/>
                <w:position w:val="7"/>
                <w:sz w:val="14"/>
                <w:szCs w:val="14"/>
              </w:rPr>
              <w:t xml:space="preserve"> </w:t>
            </w:r>
            <w:r>
              <w:rPr>
                <w:spacing w:val="1"/>
              </w:rPr>
              <w:t>，</w:t>
            </w:r>
            <w:r>
              <w:t xml:space="preserve"> </w:t>
            </w:r>
            <w:r>
              <w:rPr>
                <w:spacing w:val="-1"/>
              </w:rPr>
              <w:t>占国土面积的</w:t>
            </w:r>
            <w:r>
              <w:rPr>
                <w:rFonts w:ascii="Times New Roman" w:hAnsi="Times New Roman" w:eastAsia="Times New Roman" w:cs="Times New Roman"/>
                <w:spacing w:val="-1"/>
              </w:rPr>
              <w:t>2.58%</w:t>
            </w:r>
            <w:r>
              <w:rPr>
                <w:spacing w:val="-1"/>
              </w:rPr>
              <w:t>；工业重点管控单元</w:t>
            </w:r>
            <w:r>
              <w:rPr>
                <w:rFonts w:ascii="Times New Roman" w:hAnsi="Times New Roman" w:eastAsia="Times New Roman" w:cs="Times New Roman"/>
                <w:spacing w:val="-1"/>
              </w:rPr>
              <w:t>12</w:t>
            </w:r>
            <w:r>
              <w:rPr>
                <w:spacing w:val="-1"/>
              </w:rPr>
              <w:t>个，单元面积</w:t>
            </w:r>
            <w:r>
              <w:rPr>
                <w:rFonts w:ascii="Times New Roman" w:hAnsi="Times New Roman" w:eastAsia="Times New Roman" w:cs="Times New Roman"/>
                <w:spacing w:val="-1"/>
              </w:rPr>
              <w:t>116.9</w:t>
            </w:r>
            <w:r>
              <w:rPr>
                <w:rFonts w:ascii="Times New Roman" w:hAnsi="Times New Roman" w:eastAsia="Times New Roman" w:cs="Times New Roman"/>
                <w:spacing w:val="-2"/>
              </w:rPr>
              <w:t>2km</w:t>
            </w:r>
            <w:r>
              <w:rPr>
                <w:rFonts w:ascii="Times New Roman" w:hAnsi="Times New Roman" w:eastAsia="Times New Roman" w:cs="Times New Roman"/>
                <w:spacing w:val="-2"/>
                <w:position w:val="7"/>
                <w:sz w:val="14"/>
                <w:szCs w:val="14"/>
              </w:rPr>
              <w:t>2</w:t>
            </w:r>
            <w:r>
              <w:rPr>
                <w:rFonts w:ascii="Times New Roman" w:hAnsi="Times New Roman" w:eastAsia="Times New Roman" w:cs="Times New Roman"/>
                <w:spacing w:val="-8"/>
                <w:position w:val="7"/>
                <w:sz w:val="14"/>
                <w:szCs w:val="14"/>
              </w:rPr>
              <w:t xml:space="preserve"> </w:t>
            </w:r>
            <w:r>
              <w:rPr>
                <w:spacing w:val="-2"/>
              </w:rPr>
              <w:t>，</w:t>
            </w:r>
            <w:r>
              <w:rPr>
                <w:spacing w:val="-61"/>
              </w:rPr>
              <w:t xml:space="preserve"> </w:t>
            </w:r>
            <w:r>
              <w:rPr>
                <w:spacing w:val="-2"/>
              </w:rPr>
              <w:t>占国土</w:t>
            </w:r>
            <w:r>
              <w:t xml:space="preserve"> </w:t>
            </w:r>
            <w:r>
              <w:rPr>
                <w:spacing w:val="1"/>
              </w:rPr>
              <w:t>面积的</w:t>
            </w:r>
            <w:r>
              <w:rPr>
                <w:rFonts w:ascii="Times New Roman" w:hAnsi="Times New Roman" w:eastAsia="Times New Roman" w:cs="Times New Roman"/>
                <w:spacing w:val="1"/>
              </w:rPr>
              <w:t>0.71%</w:t>
            </w:r>
            <w:r>
              <w:rPr>
                <w:spacing w:val="1"/>
              </w:rPr>
              <w:t>；要素重点管控单元</w:t>
            </w:r>
            <w:r>
              <w:rPr>
                <w:rFonts w:ascii="Times New Roman" w:hAnsi="Times New Roman" w:eastAsia="Times New Roman" w:cs="Times New Roman"/>
                <w:spacing w:val="1"/>
              </w:rPr>
              <w:t>3</w:t>
            </w:r>
            <w:r>
              <w:rPr>
                <w:spacing w:val="1"/>
              </w:rPr>
              <w:t>个，单</w:t>
            </w:r>
            <w:r>
              <w:t>元面积</w:t>
            </w:r>
            <w:r>
              <w:rPr>
                <w:rFonts w:ascii="Times New Roman" w:hAnsi="Times New Roman" w:eastAsia="Times New Roman" w:cs="Times New Roman"/>
              </w:rPr>
              <w:t>2829.45km</w:t>
            </w:r>
            <w:r>
              <w:rPr>
                <w:rFonts w:ascii="Times New Roman" w:hAnsi="Times New Roman" w:eastAsia="Times New Roman" w:cs="Times New Roman"/>
                <w:position w:val="7"/>
                <w:sz w:val="14"/>
                <w:szCs w:val="14"/>
              </w:rPr>
              <w:t>2</w:t>
            </w:r>
            <w:r>
              <w:t xml:space="preserve">，占国土面积的 </w:t>
            </w:r>
            <w:r>
              <w:rPr>
                <w:rFonts w:ascii="Times New Roman" w:hAnsi="Times New Roman" w:eastAsia="Times New Roman" w:cs="Times New Roman"/>
              </w:rPr>
              <w:t>17.06%</w:t>
            </w:r>
            <w:r>
              <w:t>；一般管控单元</w:t>
            </w:r>
            <w:r>
              <w:rPr>
                <w:rFonts w:ascii="Times New Roman" w:hAnsi="Times New Roman" w:eastAsia="Times New Roman" w:cs="Times New Roman"/>
              </w:rPr>
              <w:t>7</w:t>
            </w:r>
            <w:r>
              <w:t>个，单元面积</w:t>
            </w:r>
            <w:r>
              <w:rPr>
                <w:rFonts w:ascii="Times New Roman" w:hAnsi="Times New Roman" w:eastAsia="Times New Roman" w:cs="Times New Roman"/>
              </w:rPr>
              <w:t>8867.6km</w:t>
            </w:r>
            <w:r>
              <w:rPr>
                <w:rFonts w:ascii="Times New Roman" w:hAnsi="Times New Roman" w:eastAsia="Times New Roman" w:cs="Times New Roman"/>
                <w:position w:val="7"/>
                <w:sz w:val="14"/>
                <w:szCs w:val="14"/>
              </w:rPr>
              <w:t>2</w:t>
            </w:r>
            <w:r>
              <w:t>，占国土</w:t>
            </w:r>
            <w:r>
              <w:rPr>
                <w:spacing w:val="-1"/>
              </w:rPr>
              <w:t>面积的</w:t>
            </w:r>
            <w:r>
              <w:rPr>
                <w:rFonts w:ascii="Times New Roman" w:hAnsi="Times New Roman" w:eastAsia="Times New Roman" w:cs="Times New Roman"/>
                <w:spacing w:val="-1"/>
              </w:rPr>
              <w:t>53.49%</w:t>
            </w:r>
            <w:r>
              <w:rPr>
                <w:spacing w:val="-1"/>
              </w:rPr>
              <w:t>。</w:t>
            </w:r>
          </w:p>
          <w:p w14:paraId="6205C978">
            <w:pPr>
              <w:pStyle w:val="6"/>
              <w:spacing w:line="343" w:lineRule="auto"/>
              <w:ind w:left="109" w:right="102" w:firstLine="419"/>
            </w:pPr>
            <w:r>
              <w:t>优先保护单元。以生态环境保护为主的区域，全市划分优先保护单元</w:t>
            </w:r>
            <w:r>
              <w:rPr>
                <w:rFonts w:ascii="Times New Roman" w:hAnsi="Times New Roman" w:eastAsia="Times New Roman" w:cs="Times New Roman"/>
              </w:rPr>
              <w:t>18</w:t>
            </w:r>
            <w:r>
              <w:rPr>
                <w:rFonts w:ascii="Times New Roman" w:hAnsi="Times New Roman" w:eastAsia="Times New Roman" w:cs="Times New Roman"/>
                <w:spacing w:val="9"/>
              </w:rPr>
              <w:t xml:space="preserve"> </w:t>
            </w:r>
            <w:r>
              <w:rPr>
                <w:spacing w:val="-1"/>
              </w:rPr>
              <w:t>个，主要包括生态保护红线、自然保护地、</w:t>
            </w:r>
            <w:r>
              <w:rPr>
                <w:spacing w:val="-2"/>
              </w:rPr>
              <w:t>饮用水水源保护区等。</w:t>
            </w:r>
          </w:p>
          <w:p w14:paraId="63E59A17">
            <w:pPr>
              <w:pStyle w:val="6"/>
              <w:spacing w:before="18" w:line="349" w:lineRule="auto"/>
              <w:ind w:left="108" w:right="104" w:firstLine="421"/>
              <w:jc w:val="both"/>
            </w:pPr>
            <w:r>
              <w:t>重点管控单元。涉及水、大气、土壤、自然资源等资源环境要素重点管</w:t>
            </w:r>
            <w:r>
              <w:rPr>
                <w:spacing w:val="4"/>
              </w:rPr>
              <w:t xml:space="preserve"> </w:t>
            </w:r>
            <w:r>
              <w:t>控的区域，全市划分重点管控单元</w:t>
            </w:r>
            <w:r>
              <w:rPr>
                <w:rFonts w:ascii="Times New Roman" w:hAnsi="Times New Roman" w:eastAsia="Times New Roman" w:cs="Times New Roman"/>
              </w:rPr>
              <w:t>22</w:t>
            </w:r>
            <w:r>
              <w:t>个，主要包括人口密集的城镇规划区和</w:t>
            </w:r>
            <w:r>
              <w:rPr>
                <w:spacing w:val="7"/>
              </w:rPr>
              <w:t xml:space="preserve"> </w:t>
            </w:r>
            <w:r>
              <w:rPr>
                <w:spacing w:val="-2"/>
              </w:rPr>
              <w:t>产业集聚的工业园区（工业集聚区）等。</w:t>
            </w:r>
          </w:p>
          <w:p w14:paraId="2A59E2E6">
            <w:pPr>
              <w:pStyle w:val="6"/>
              <w:spacing w:before="9" w:line="275" w:lineRule="auto"/>
              <w:ind w:left="108" w:right="105" w:firstLine="424"/>
            </w:pPr>
            <w:r>
              <w:t>一般管控单元。除优先保护单元和重点管控单元之外的其他区域，全市</w:t>
            </w:r>
            <w:r>
              <w:rPr>
                <w:spacing w:val="2"/>
              </w:rPr>
              <w:t xml:space="preserve"> </w:t>
            </w:r>
            <w:r>
              <w:rPr>
                <w:spacing w:val="-2"/>
              </w:rPr>
              <w:t>共划分一般管控单元</w:t>
            </w:r>
            <w:r>
              <w:rPr>
                <w:rFonts w:ascii="Times New Roman" w:hAnsi="Times New Roman" w:eastAsia="Times New Roman" w:cs="Times New Roman"/>
                <w:spacing w:val="-2"/>
              </w:rPr>
              <w:t>7</w:t>
            </w:r>
            <w:r>
              <w:rPr>
                <w:spacing w:val="-2"/>
              </w:rPr>
              <w:t>个。</w:t>
            </w:r>
          </w:p>
        </w:tc>
      </w:tr>
      <w:tr w14:paraId="48393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1" w:hRule="atLeast"/>
        </w:trPr>
        <w:tc>
          <w:tcPr>
            <w:tcW w:w="1713" w:type="dxa"/>
            <w:vMerge w:val="continue"/>
            <w:tcBorders>
              <w:top w:val="nil"/>
              <w:bottom w:val="nil"/>
              <w:right w:val="single" w:color="000000" w:sz="2" w:space="0"/>
            </w:tcBorders>
            <w:vAlign w:val="top"/>
          </w:tcPr>
          <w:p w14:paraId="0B3E2624">
            <w:pPr>
              <w:rPr>
                <w:rFonts w:ascii="Arial"/>
                <w:sz w:val="21"/>
              </w:rPr>
            </w:pPr>
          </w:p>
        </w:tc>
        <w:tc>
          <w:tcPr>
            <w:tcW w:w="7162" w:type="dxa"/>
            <w:tcBorders>
              <w:top w:val="nil"/>
              <w:left w:val="single" w:color="000000" w:sz="2" w:space="0"/>
              <w:bottom w:val="nil"/>
            </w:tcBorders>
            <w:vAlign w:val="top"/>
          </w:tcPr>
          <w:p w14:paraId="20BA898A">
            <w:pPr>
              <w:spacing w:before="14"/>
            </w:pPr>
          </w:p>
          <w:p w14:paraId="3DBBEB5F">
            <w:pPr>
              <w:spacing w:before="14"/>
            </w:pPr>
          </w:p>
          <w:p w14:paraId="4573AEA8">
            <w:pPr>
              <w:spacing w:before="14"/>
            </w:pPr>
          </w:p>
          <w:p w14:paraId="0CF5B7BC">
            <w:pPr>
              <w:spacing w:before="14"/>
            </w:pPr>
          </w:p>
          <w:p w14:paraId="0FF36711">
            <w:pPr>
              <w:spacing w:before="14"/>
            </w:pPr>
          </w:p>
          <w:p w14:paraId="1714900B">
            <w:pPr>
              <w:spacing w:before="14"/>
            </w:pPr>
          </w:p>
          <w:p w14:paraId="56BB0C26">
            <w:pPr>
              <w:spacing w:before="14"/>
            </w:pPr>
          </w:p>
          <w:p w14:paraId="4FEFE11F">
            <w:pPr>
              <w:spacing w:before="14"/>
            </w:pPr>
          </w:p>
          <w:p w14:paraId="7C2B21B8">
            <w:pPr>
              <w:spacing w:before="14"/>
            </w:pPr>
          </w:p>
          <w:p w14:paraId="60C5CC54">
            <w:pPr>
              <w:spacing w:before="13"/>
            </w:pPr>
          </w:p>
          <w:p w14:paraId="3B03AF0A">
            <w:pPr>
              <w:spacing w:before="13"/>
            </w:pPr>
          </w:p>
          <w:p w14:paraId="12EC7EC7">
            <w:pPr>
              <w:spacing w:before="13"/>
            </w:pPr>
          </w:p>
          <w:p w14:paraId="42C86314">
            <w:pPr>
              <w:spacing w:before="13"/>
            </w:pPr>
          </w:p>
          <w:p w14:paraId="42503C02">
            <w:pPr>
              <w:spacing w:before="13"/>
            </w:pPr>
          </w:p>
          <w:p w14:paraId="25673941">
            <w:pPr>
              <w:spacing w:before="13"/>
            </w:pPr>
          </w:p>
          <w:p w14:paraId="3EEF59CA">
            <w:pPr>
              <w:spacing w:before="13"/>
            </w:pPr>
          </w:p>
          <w:tbl>
            <w:tblPr>
              <w:tblStyle w:val="5"/>
              <w:tblW w:w="1134" w:type="dxa"/>
              <w:tblInd w:w="4354" w:type="dxa"/>
              <w:tblBorders>
                <w:top w:val="single" w:color="FF0000" w:sz="6" w:space="0"/>
                <w:left w:val="single" w:color="FF0000" w:sz="6" w:space="0"/>
                <w:bottom w:val="single" w:color="FF0000" w:sz="6" w:space="0"/>
                <w:right w:val="single" w:color="FF0000" w:sz="6" w:space="0"/>
                <w:insideH w:val="none" w:color="auto" w:sz="0" w:space="0"/>
                <w:insideV w:val="none" w:color="auto" w:sz="0" w:space="0"/>
              </w:tblBorders>
              <w:tblLayout w:type="fixed"/>
              <w:tblCellMar>
                <w:top w:w="0" w:type="dxa"/>
                <w:left w:w="0" w:type="dxa"/>
                <w:bottom w:w="0" w:type="dxa"/>
                <w:right w:w="0" w:type="dxa"/>
              </w:tblCellMar>
            </w:tblPr>
            <w:tblGrid>
              <w:gridCol w:w="1134"/>
            </w:tblGrid>
            <w:tr w14:paraId="4951C21C">
              <w:tblPrEx>
                <w:tblBorders>
                  <w:top w:val="single" w:color="FF0000" w:sz="6" w:space="0"/>
                  <w:left w:val="single" w:color="FF0000" w:sz="6" w:space="0"/>
                  <w:bottom w:val="single" w:color="FF0000" w:sz="6" w:space="0"/>
                  <w:right w:val="single" w:color="FF0000" w:sz="6" w:space="0"/>
                  <w:insideH w:val="none" w:color="auto" w:sz="0" w:space="0"/>
                  <w:insideV w:val="none" w:color="auto" w:sz="0" w:space="0"/>
                </w:tblBorders>
              </w:tblPrEx>
              <w:trPr>
                <w:trHeight w:val="395" w:hRule="atLeast"/>
              </w:trPr>
              <w:tc>
                <w:tcPr>
                  <w:tcW w:w="1134" w:type="dxa"/>
                  <w:vAlign w:val="top"/>
                </w:tcPr>
                <w:p w14:paraId="2D383ADF">
                  <w:pPr>
                    <w:pStyle w:val="6"/>
                    <w:spacing w:before="104" w:line="220" w:lineRule="auto"/>
                    <w:ind w:left="256"/>
                  </w:pPr>
                  <w:r>
                    <w:pict>
                      <v:group id="_x0000_s1030" o:spid="_x0000_s1030" o:spt="203" style="position:absolute;left:0pt;margin-left:-79.75pt;margin-top:-70.1pt;height:90.3pt;width:136.1pt;z-index:-251653120;mso-width-relative:page;mso-height-relative:page;" coordsize="2722,1806">
                        <o:lock v:ext="edit"/>
                        <v:shape id="_x0000_s1031" o:spid="_x0000_s1031" style="position:absolute;left:7;top:7;height:1798;width:2715;" fillcolor="#FFFFFF" filled="t" stroked="f" coordsize="2715,1798" path="m1580,1387l1580,1456,1580,1456,1580,1558,1580,1797,1769,1797,1769,1797,2052,1797,2714,1797,2714,1558,2714,1456,2714,1456,2714,1387,2052,1387,0,0,1769,1387,1580,1387xe">
                          <v:path/>
                          <v:fill on="t" focussize="0,0"/>
                          <v:stroke on="f"/>
                          <v:imagedata o:title=""/>
                          <o:lock v:ext="edit"/>
                        </v:shape>
                        <v:shape id="_x0000_s1032" o:spid="_x0000_s1032" style="position:absolute;left:0;top:0;height:1403;width:2068;" filled="f" stroked="t" coordsize="2068,1403" path="m2059,1395l7,7,1776,1395e">
                          <v:fill on="f" focussize="0,0"/>
                          <v:stroke color="#FF0000" miterlimit="10" joinstyle="miter" endcap="round"/>
                          <v:imagedata o:title=""/>
                          <o:lock v:ext="edit"/>
                        </v:shape>
                      </v:group>
                    </w:pict>
                  </w:r>
                  <w:r>
                    <w:drawing>
                      <wp:anchor distT="0" distB="0" distL="0" distR="0" simplePos="0" relativeHeight="251662336" behindDoc="1" locked="0" layoutInCell="1" allowOverlap="1">
                        <wp:simplePos x="0" y="0"/>
                        <wp:positionH relativeFrom="column">
                          <wp:posOffset>-2695575</wp:posOffset>
                        </wp:positionH>
                        <wp:positionV relativeFrom="paragraph">
                          <wp:posOffset>-2585720</wp:posOffset>
                        </wp:positionV>
                        <wp:extent cx="4392295" cy="312420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2"/>
                                <a:stretch>
                                  <a:fillRect/>
                                </a:stretch>
                              </pic:blipFill>
                              <pic:spPr>
                                <a:xfrm>
                                  <a:off x="0" y="0"/>
                                  <a:ext cx="4392295" cy="3124199"/>
                                </a:xfrm>
                                <a:prstGeom prst="rect">
                                  <a:avLst/>
                                </a:prstGeom>
                              </pic:spPr>
                            </pic:pic>
                          </a:graphicData>
                        </a:graphic>
                      </wp:anchor>
                    </w:drawing>
                  </w:r>
                  <w:r>
                    <w:pict>
                      <v:shape id="_x0000_s1033" o:spid="_x0000_s1033" style="position:absolute;left:0pt;margin-left:-0.35pt;margin-top:0pt;height:0.75pt;width:10.25pt;mso-position-horizontal-relative:page;mso-position-vertical-relative:page;z-index:251664384;mso-width-relative:page;mso-height-relative:page;" filled="f" stroked="t" coordsize="205,15" path="m196,7l7,7e">
                        <v:fill on="f" focussize="0,0"/>
                        <v:stroke color="#FF0000" miterlimit="10" joinstyle="miter" endcap="round"/>
                        <v:imagedata o:title=""/>
                        <o:lock v:ext="edit"/>
                      </v:shape>
                    </w:pict>
                  </w:r>
                  <w:r>
                    <w:rPr>
                      <w:b/>
                      <w:bCs/>
                      <w:color w:val="FF0000"/>
                      <w:spacing w:val="-5"/>
                    </w:rPr>
                    <w:t>项目区</w:t>
                  </w:r>
                </w:p>
              </w:tc>
            </w:tr>
          </w:tbl>
          <w:p w14:paraId="6660A424">
            <w:pPr>
              <w:rPr>
                <w:rFonts w:ascii="Arial"/>
                <w:sz w:val="21"/>
              </w:rPr>
            </w:pPr>
          </w:p>
        </w:tc>
      </w:tr>
      <w:tr w14:paraId="75002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7" w:hRule="atLeast"/>
        </w:trPr>
        <w:tc>
          <w:tcPr>
            <w:tcW w:w="1713" w:type="dxa"/>
            <w:vMerge w:val="continue"/>
            <w:tcBorders>
              <w:top w:val="nil"/>
              <w:right w:val="single" w:color="000000" w:sz="2" w:space="0"/>
            </w:tcBorders>
            <w:vAlign w:val="top"/>
          </w:tcPr>
          <w:p w14:paraId="489D0B40">
            <w:pPr>
              <w:rPr>
                <w:rFonts w:ascii="Arial"/>
                <w:sz w:val="21"/>
              </w:rPr>
            </w:pPr>
          </w:p>
        </w:tc>
        <w:tc>
          <w:tcPr>
            <w:tcW w:w="7162" w:type="dxa"/>
            <w:tcBorders>
              <w:top w:val="nil"/>
              <w:left w:val="single" w:color="000000" w:sz="2" w:space="0"/>
            </w:tcBorders>
            <w:vAlign w:val="top"/>
          </w:tcPr>
          <w:p w14:paraId="5B0E4ED5">
            <w:pPr>
              <w:pStyle w:val="6"/>
              <w:spacing w:before="83" w:line="233" w:lineRule="auto"/>
              <w:ind w:left="1989"/>
            </w:pPr>
            <w:r>
              <w:rPr>
                <w:b/>
                <w:bCs/>
                <w:spacing w:val="-3"/>
              </w:rPr>
              <w:t>图</w:t>
            </w:r>
            <w:r>
              <w:rPr>
                <w:rFonts w:ascii="Times New Roman" w:hAnsi="Times New Roman" w:eastAsia="Times New Roman" w:cs="Times New Roman"/>
                <w:b/>
                <w:bCs/>
                <w:spacing w:val="-3"/>
              </w:rPr>
              <w:t>1-2</w:t>
            </w:r>
            <w:r>
              <w:rPr>
                <w:b/>
                <w:bCs/>
                <w:spacing w:val="-3"/>
              </w:rPr>
              <w:t>：达州市生态环境管控单元分布图</w:t>
            </w:r>
          </w:p>
          <w:p w14:paraId="7E507486">
            <w:pPr>
              <w:pStyle w:val="6"/>
              <w:spacing w:before="134" w:line="326" w:lineRule="auto"/>
              <w:ind w:left="108" w:right="103" w:firstLine="421"/>
              <w:jc w:val="both"/>
            </w:pPr>
            <w:r>
              <w:t>本项目位于达州市通川区东岳新型工业集聚区，查询四川政务服务网—</w:t>
            </w:r>
            <w:r>
              <w:rPr>
                <w:spacing w:val="7"/>
              </w:rPr>
              <w:t xml:space="preserve"> </w:t>
            </w:r>
            <w:r>
              <w:t>四川省生态环境厅“生态环境分区管控符合性分析”应用平台，“绿科新能</w:t>
            </w:r>
            <w:r>
              <w:rPr>
                <w:spacing w:val="7"/>
              </w:rPr>
              <w:t xml:space="preserve"> </w:t>
            </w:r>
            <w:r>
              <w:t>源生物质成型燃料生产建设项目”位于达州市通川区环境综合管控单元工业</w:t>
            </w:r>
            <w:r>
              <w:rPr>
                <w:spacing w:val="6"/>
              </w:rPr>
              <w:t xml:space="preserve"> </w:t>
            </w:r>
            <w:r>
              <w:t>重点管控单元（管控单元名称：达州市通川区东岳新型工业集聚区，管控单</w:t>
            </w:r>
            <w:r>
              <w:rPr>
                <w:spacing w:val="5"/>
              </w:rPr>
              <w:t xml:space="preserve"> </w:t>
            </w:r>
            <w:r>
              <w:rPr>
                <w:spacing w:val="-2"/>
              </w:rPr>
              <w:t>元编号：</w:t>
            </w:r>
            <w:r>
              <w:rPr>
                <w:rFonts w:ascii="Times New Roman" w:hAnsi="Times New Roman" w:eastAsia="Times New Roman" w:cs="Times New Roman"/>
                <w:spacing w:val="-2"/>
              </w:rPr>
              <w:t>ZH51170220003</w:t>
            </w:r>
            <w:r>
              <w:rPr>
                <w:spacing w:val="-2"/>
              </w:rPr>
              <w:t>）。分析截图如下：</w:t>
            </w:r>
          </w:p>
        </w:tc>
      </w:tr>
    </w:tbl>
    <w:p w14:paraId="7EA1790C">
      <w:pPr>
        <w:rPr>
          <w:rFonts w:ascii="Arial"/>
          <w:sz w:val="21"/>
        </w:rPr>
      </w:pPr>
    </w:p>
    <w:p w14:paraId="294ACD23">
      <w:pPr>
        <w:rPr>
          <w:rFonts w:ascii="Arial" w:hAnsi="Arial" w:eastAsia="Arial" w:cs="Arial"/>
          <w:sz w:val="21"/>
          <w:szCs w:val="21"/>
        </w:rPr>
        <w:sectPr>
          <w:footerReference r:id="rId9" w:type="default"/>
          <w:pgSz w:w="11907" w:h="16839"/>
          <w:pgMar w:top="1431" w:right="1507" w:bottom="1280" w:left="1508" w:header="0" w:footer="1028" w:gutter="0"/>
          <w:cols w:space="720" w:num="1"/>
        </w:sectPr>
      </w:pPr>
    </w:p>
    <w:p w14:paraId="37C22A41">
      <w:pPr>
        <w:spacing w:before="28"/>
      </w:pPr>
    </w:p>
    <w:tbl>
      <w:tblPr>
        <w:tblStyle w:val="5"/>
        <w:tblW w:w="887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3"/>
        <w:gridCol w:w="113"/>
        <w:gridCol w:w="1052"/>
        <w:gridCol w:w="1383"/>
        <w:gridCol w:w="1042"/>
        <w:gridCol w:w="800"/>
        <w:gridCol w:w="1318"/>
        <w:gridCol w:w="1454"/>
      </w:tblGrid>
      <w:tr w14:paraId="289BE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5" w:hRule="atLeast"/>
        </w:trPr>
        <w:tc>
          <w:tcPr>
            <w:tcW w:w="1713" w:type="dxa"/>
            <w:vMerge w:val="restart"/>
            <w:tcBorders>
              <w:left w:val="single" w:color="000000" w:sz="6" w:space="0"/>
              <w:bottom w:val="nil"/>
            </w:tcBorders>
            <w:vAlign w:val="top"/>
          </w:tcPr>
          <w:p w14:paraId="20CF065B">
            <w:pPr>
              <w:spacing w:line="249" w:lineRule="auto"/>
              <w:rPr>
                <w:rFonts w:ascii="Arial"/>
                <w:sz w:val="21"/>
              </w:rPr>
            </w:pPr>
          </w:p>
          <w:p w14:paraId="6E6C79FE">
            <w:pPr>
              <w:spacing w:line="249" w:lineRule="auto"/>
              <w:rPr>
                <w:rFonts w:ascii="Arial"/>
                <w:sz w:val="21"/>
              </w:rPr>
            </w:pPr>
          </w:p>
          <w:p w14:paraId="21728DB4">
            <w:pPr>
              <w:spacing w:line="249" w:lineRule="auto"/>
              <w:rPr>
                <w:rFonts w:ascii="Arial"/>
                <w:sz w:val="21"/>
              </w:rPr>
            </w:pPr>
          </w:p>
          <w:p w14:paraId="5BF52005">
            <w:pPr>
              <w:spacing w:line="249" w:lineRule="auto"/>
              <w:rPr>
                <w:rFonts w:ascii="Arial"/>
                <w:sz w:val="21"/>
              </w:rPr>
            </w:pPr>
          </w:p>
          <w:p w14:paraId="7EACAA0A">
            <w:pPr>
              <w:spacing w:line="250" w:lineRule="auto"/>
              <w:rPr>
                <w:rFonts w:ascii="Arial"/>
                <w:sz w:val="21"/>
              </w:rPr>
            </w:pPr>
          </w:p>
          <w:p w14:paraId="72EDEA97">
            <w:pPr>
              <w:spacing w:line="250" w:lineRule="auto"/>
              <w:rPr>
                <w:rFonts w:ascii="Arial"/>
                <w:sz w:val="21"/>
              </w:rPr>
            </w:pPr>
          </w:p>
          <w:p w14:paraId="170E6BA9">
            <w:pPr>
              <w:spacing w:line="250" w:lineRule="auto"/>
              <w:rPr>
                <w:rFonts w:ascii="Arial"/>
                <w:sz w:val="21"/>
              </w:rPr>
            </w:pPr>
          </w:p>
          <w:p w14:paraId="0B9751F6">
            <w:pPr>
              <w:spacing w:line="250" w:lineRule="auto"/>
              <w:rPr>
                <w:rFonts w:ascii="Arial"/>
                <w:sz w:val="21"/>
              </w:rPr>
            </w:pPr>
          </w:p>
          <w:p w14:paraId="4341C3F7">
            <w:pPr>
              <w:spacing w:line="250" w:lineRule="auto"/>
              <w:rPr>
                <w:rFonts w:ascii="Arial"/>
                <w:sz w:val="21"/>
              </w:rPr>
            </w:pPr>
          </w:p>
          <w:p w14:paraId="7F9256BC">
            <w:pPr>
              <w:spacing w:line="250" w:lineRule="auto"/>
              <w:rPr>
                <w:rFonts w:ascii="Arial"/>
                <w:sz w:val="21"/>
              </w:rPr>
            </w:pPr>
          </w:p>
          <w:p w14:paraId="6650E9ED">
            <w:pPr>
              <w:spacing w:line="250" w:lineRule="auto"/>
              <w:rPr>
                <w:rFonts w:ascii="Arial"/>
                <w:sz w:val="21"/>
              </w:rPr>
            </w:pPr>
          </w:p>
          <w:p w14:paraId="0BDA9AB8">
            <w:pPr>
              <w:spacing w:line="250" w:lineRule="auto"/>
              <w:rPr>
                <w:rFonts w:ascii="Arial"/>
                <w:sz w:val="21"/>
              </w:rPr>
            </w:pPr>
          </w:p>
          <w:p w14:paraId="50818258">
            <w:pPr>
              <w:spacing w:line="250" w:lineRule="auto"/>
              <w:rPr>
                <w:rFonts w:ascii="Arial"/>
                <w:sz w:val="21"/>
              </w:rPr>
            </w:pPr>
          </w:p>
          <w:p w14:paraId="14B37C81">
            <w:pPr>
              <w:spacing w:line="250" w:lineRule="auto"/>
              <w:rPr>
                <w:rFonts w:ascii="Arial"/>
                <w:sz w:val="21"/>
              </w:rPr>
            </w:pPr>
          </w:p>
          <w:p w14:paraId="30D3C7A4">
            <w:pPr>
              <w:spacing w:line="250" w:lineRule="auto"/>
              <w:rPr>
                <w:rFonts w:ascii="Arial"/>
                <w:sz w:val="21"/>
              </w:rPr>
            </w:pPr>
          </w:p>
          <w:p w14:paraId="75D71424">
            <w:pPr>
              <w:spacing w:line="250" w:lineRule="auto"/>
              <w:rPr>
                <w:rFonts w:ascii="Arial"/>
                <w:sz w:val="21"/>
              </w:rPr>
            </w:pPr>
          </w:p>
          <w:p w14:paraId="3466C0DC">
            <w:pPr>
              <w:spacing w:line="250" w:lineRule="auto"/>
              <w:rPr>
                <w:rFonts w:ascii="Arial"/>
                <w:sz w:val="21"/>
              </w:rPr>
            </w:pPr>
          </w:p>
          <w:p w14:paraId="417B19D9">
            <w:pPr>
              <w:spacing w:line="250" w:lineRule="auto"/>
              <w:rPr>
                <w:rFonts w:ascii="Arial"/>
                <w:sz w:val="21"/>
              </w:rPr>
            </w:pPr>
          </w:p>
          <w:p w14:paraId="05C80B08">
            <w:pPr>
              <w:spacing w:line="250" w:lineRule="auto"/>
              <w:rPr>
                <w:rFonts w:ascii="Arial"/>
                <w:sz w:val="21"/>
              </w:rPr>
            </w:pPr>
          </w:p>
          <w:p w14:paraId="41B86798">
            <w:pPr>
              <w:spacing w:line="250" w:lineRule="auto"/>
              <w:rPr>
                <w:rFonts w:ascii="Arial"/>
                <w:sz w:val="21"/>
              </w:rPr>
            </w:pPr>
          </w:p>
          <w:p w14:paraId="50B58902">
            <w:pPr>
              <w:spacing w:line="250" w:lineRule="auto"/>
              <w:rPr>
                <w:rFonts w:ascii="Arial"/>
                <w:sz w:val="21"/>
              </w:rPr>
            </w:pPr>
          </w:p>
          <w:p w14:paraId="30B068DF">
            <w:pPr>
              <w:spacing w:line="250" w:lineRule="auto"/>
              <w:rPr>
                <w:rFonts w:ascii="Arial"/>
                <w:sz w:val="21"/>
              </w:rPr>
            </w:pPr>
          </w:p>
          <w:p w14:paraId="3A7ADAE5">
            <w:pPr>
              <w:spacing w:line="250" w:lineRule="auto"/>
              <w:rPr>
                <w:rFonts w:ascii="Arial"/>
                <w:sz w:val="21"/>
              </w:rPr>
            </w:pPr>
          </w:p>
          <w:p w14:paraId="346D699E">
            <w:pPr>
              <w:spacing w:line="250" w:lineRule="auto"/>
              <w:rPr>
                <w:rFonts w:ascii="Arial"/>
                <w:sz w:val="21"/>
              </w:rPr>
            </w:pPr>
          </w:p>
          <w:p w14:paraId="00F82EF7">
            <w:pPr>
              <w:pStyle w:val="6"/>
              <w:spacing w:before="68" w:line="220" w:lineRule="auto"/>
              <w:ind w:left="119"/>
            </w:pPr>
            <w:r>
              <w:rPr>
                <w:b/>
                <w:bCs/>
                <w:spacing w:val="-3"/>
              </w:rPr>
              <w:t>其他符合性分析</w:t>
            </w:r>
          </w:p>
        </w:tc>
        <w:tc>
          <w:tcPr>
            <w:tcW w:w="7162" w:type="dxa"/>
            <w:gridSpan w:val="7"/>
            <w:tcBorders>
              <w:right w:val="single" w:color="000000" w:sz="6" w:space="0"/>
            </w:tcBorders>
            <w:vAlign w:val="top"/>
          </w:tcPr>
          <w:p w14:paraId="550FE304">
            <w:pPr>
              <w:spacing w:before="4" w:line="5572" w:lineRule="exact"/>
              <w:ind w:firstLine="102"/>
            </w:pPr>
            <w:r>
              <w:rPr>
                <w:position w:val="-111"/>
              </w:rPr>
              <w:drawing>
                <wp:inline distT="0" distB="0" distL="0" distR="0">
                  <wp:extent cx="4410075" cy="35375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3"/>
                          <a:stretch>
                            <a:fillRect/>
                          </a:stretch>
                        </pic:blipFill>
                        <pic:spPr>
                          <a:xfrm>
                            <a:off x="0" y="0"/>
                            <a:ext cx="4410075" cy="3538219"/>
                          </a:xfrm>
                          <a:prstGeom prst="rect">
                            <a:avLst/>
                          </a:prstGeom>
                        </pic:spPr>
                      </pic:pic>
                    </a:graphicData>
                  </a:graphic>
                </wp:inline>
              </w:drawing>
            </w:r>
          </w:p>
          <w:p w14:paraId="356CD6B4">
            <w:pPr>
              <w:pStyle w:val="6"/>
              <w:spacing w:before="139" w:line="233" w:lineRule="auto"/>
              <w:ind w:left="1462"/>
            </w:pPr>
            <w:r>
              <w:rPr>
                <w:b/>
                <w:bCs/>
                <w:spacing w:val="-3"/>
              </w:rPr>
              <w:t>图</w:t>
            </w:r>
            <w:r>
              <w:rPr>
                <w:rFonts w:ascii="Times New Roman" w:hAnsi="Times New Roman" w:eastAsia="Times New Roman" w:cs="Times New Roman"/>
                <w:b/>
                <w:bCs/>
                <w:spacing w:val="-3"/>
              </w:rPr>
              <w:t>1-3</w:t>
            </w:r>
            <w:r>
              <w:rPr>
                <w:b/>
                <w:bCs/>
                <w:spacing w:val="-3"/>
              </w:rPr>
              <w:t>：本项目与生态环境分区管控符合性分析截图</w:t>
            </w:r>
          </w:p>
          <w:p w14:paraId="0B79F4B8">
            <w:pPr>
              <w:pStyle w:val="6"/>
              <w:spacing w:before="135" w:line="218" w:lineRule="auto"/>
              <w:ind w:left="1919"/>
            </w:pPr>
            <w:r>
              <w:rPr>
                <w:spacing w:val="-1"/>
              </w:rPr>
              <w:t>表</w:t>
            </w:r>
            <w:r>
              <w:rPr>
                <w:rFonts w:ascii="Times New Roman" w:hAnsi="Times New Roman" w:eastAsia="Times New Roman" w:cs="Times New Roman"/>
                <w:spacing w:val="-1"/>
              </w:rPr>
              <w:t xml:space="preserve">1-3      </w:t>
            </w:r>
            <w:r>
              <w:rPr>
                <w:spacing w:val="-1"/>
              </w:rPr>
              <w:t>项目涉及的环境管控单元一览表</w:t>
            </w:r>
          </w:p>
        </w:tc>
      </w:tr>
      <w:tr w14:paraId="25E35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713" w:type="dxa"/>
            <w:vMerge w:val="continue"/>
            <w:tcBorders>
              <w:top w:val="nil"/>
              <w:left w:val="single" w:color="000000" w:sz="6" w:space="0"/>
              <w:bottom w:val="nil"/>
            </w:tcBorders>
            <w:vAlign w:val="top"/>
          </w:tcPr>
          <w:p w14:paraId="7356CBF5">
            <w:pPr>
              <w:rPr>
                <w:rFonts w:ascii="Arial"/>
                <w:sz w:val="21"/>
              </w:rPr>
            </w:pPr>
          </w:p>
        </w:tc>
        <w:tc>
          <w:tcPr>
            <w:tcW w:w="113" w:type="dxa"/>
            <w:tcBorders>
              <w:top w:val="nil"/>
              <w:bottom w:val="nil"/>
            </w:tcBorders>
            <w:vAlign w:val="top"/>
          </w:tcPr>
          <w:p w14:paraId="2750B621">
            <w:pPr>
              <w:rPr>
                <w:rFonts w:ascii="Arial"/>
                <w:sz w:val="21"/>
              </w:rPr>
            </w:pPr>
          </w:p>
        </w:tc>
        <w:tc>
          <w:tcPr>
            <w:tcW w:w="1052" w:type="dxa"/>
            <w:vAlign w:val="top"/>
          </w:tcPr>
          <w:p w14:paraId="1993280F">
            <w:pPr>
              <w:pStyle w:val="6"/>
              <w:spacing w:before="26" w:line="220" w:lineRule="auto"/>
              <w:ind w:left="125"/>
              <w:rPr>
                <w:sz w:val="20"/>
                <w:szCs w:val="20"/>
              </w:rPr>
            </w:pPr>
            <w:r>
              <w:rPr>
                <w:b/>
                <w:bCs/>
                <w:spacing w:val="-4"/>
                <w:sz w:val="20"/>
                <w:szCs w:val="20"/>
              </w:rPr>
              <w:t>环境管控</w:t>
            </w:r>
          </w:p>
          <w:p w14:paraId="1DF48F64">
            <w:pPr>
              <w:pStyle w:val="6"/>
              <w:spacing w:before="2" w:line="191" w:lineRule="auto"/>
              <w:ind w:left="127"/>
              <w:rPr>
                <w:sz w:val="20"/>
                <w:szCs w:val="20"/>
              </w:rPr>
            </w:pPr>
            <w:r>
              <w:rPr>
                <w:b/>
                <w:bCs/>
                <w:spacing w:val="-4"/>
                <w:sz w:val="20"/>
                <w:szCs w:val="20"/>
              </w:rPr>
              <w:t>单元编码</w:t>
            </w:r>
          </w:p>
        </w:tc>
        <w:tc>
          <w:tcPr>
            <w:tcW w:w="1383" w:type="dxa"/>
            <w:vAlign w:val="top"/>
          </w:tcPr>
          <w:p w14:paraId="0FB0B7C7">
            <w:pPr>
              <w:pStyle w:val="6"/>
              <w:spacing w:before="26" w:line="220" w:lineRule="auto"/>
              <w:ind w:left="91"/>
              <w:rPr>
                <w:sz w:val="20"/>
                <w:szCs w:val="20"/>
              </w:rPr>
            </w:pPr>
            <w:r>
              <w:rPr>
                <w:b/>
                <w:bCs/>
                <w:spacing w:val="-3"/>
                <w:sz w:val="20"/>
                <w:szCs w:val="20"/>
              </w:rPr>
              <w:t>环境管控单元</w:t>
            </w:r>
          </w:p>
          <w:p w14:paraId="0898CB9E">
            <w:pPr>
              <w:pStyle w:val="6"/>
              <w:spacing w:before="2" w:line="191" w:lineRule="auto"/>
              <w:ind w:left="495"/>
              <w:rPr>
                <w:sz w:val="20"/>
                <w:szCs w:val="20"/>
              </w:rPr>
            </w:pPr>
            <w:r>
              <w:rPr>
                <w:b/>
                <w:bCs/>
                <w:spacing w:val="-5"/>
                <w:sz w:val="20"/>
                <w:szCs w:val="20"/>
              </w:rPr>
              <w:t>名称</w:t>
            </w:r>
          </w:p>
        </w:tc>
        <w:tc>
          <w:tcPr>
            <w:tcW w:w="1042" w:type="dxa"/>
            <w:vAlign w:val="top"/>
          </w:tcPr>
          <w:p w14:paraId="5091AB5E">
            <w:pPr>
              <w:pStyle w:val="6"/>
              <w:spacing w:before="26" w:line="220" w:lineRule="auto"/>
              <w:ind w:left="224"/>
              <w:rPr>
                <w:sz w:val="20"/>
                <w:szCs w:val="20"/>
              </w:rPr>
            </w:pPr>
            <w:r>
              <w:rPr>
                <w:b/>
                <w:bCs/>
                <w:spacing w:val="-4"/>
                <w:sz w:val="20"/>
                <w:szCs w:val="20"/>
              </w:rPr>
              <w:t>所属市</w:t>
            </w:r>
          </w:p>
          <w:p w14:paraId="3C452300">
            <w:pPr>
              <w:pStyle w:val="6"/>
              <w:spacing w:before="2" w:line="191" w:lineRule="auto"/>
              <w:ind w:left="230"/>
              <w:rPr>
                <w:sz w:val="20"/>
                <w:szCs w:val="20"/>
              </w:rPr>
            </w:pPr>
            <w:r>
              <w:rPr>
                <w:b/>
                <w:bCs/>
                <w:spacing w:val="-11"/>
                <w:sz w:val="20"/>
                <w:szCs w:val="20"/>
              </w:rPr>
              <w:t>（州）</w:t>
            </w:r>
          </w:p>
        </w:tc>
        <w:tc>
          <w:tcPr>
            <w:tcW w:w="800" w:type="dxa"/>
            <w:vAlign w:val="top"/>
          </w:tcPr>
          <w:p w14:paraId="549A1E59">
            <w:pPr>
              <w:pStyle w:val="6"/>
              <w:spacing w:before="26" w:line="221" w:lineRule="auto"/>
              <w:ind w:left="105"/>
              <w:rPr>
                <w:sz w:val="20"/>
                <w:szCs w:val="20"/>
              </w:rPr>
            </w:pPr>
            <w:r>
              <w:rPr>
                <w:b/>
                <w:bCs/>
                <w:spacing w:val="-4"/>
                <w:sz w:val="20"/>
                <w:szCs w:val="20"/>
              </w:rPr>
              <w:t>所属区</w:t>
            </w:r>
          </w:p>
          <w:p w14:paraId="49065EF5">
            <w:pPr>
              <w:pStyle w:val="6"/>
              <w:spacing w:before="1" w:line="191" w:lineRule="auto"/>
              <w:ind w:left="306"/>
              <w:rPr>
                <w:sz w:val="20"/>
                <w:szCs w:val="20"/>
              </w:rPr>
            </w:pPr>
            <w:r>
              <w:rPr>
                <w:b/>
                <w:bCs/>
                <w:spacing w:val="-3"/>
                <w:sz w:val="20"/>
                <w:szCs w:val="20"/>
              </w:rPr>
              <w:t>县</w:t>
            </w:r>
          </w:p>
        </w:tc>
        <w:tc>
          <w:tcPr>
            <w:tcW w:w="1318" w:type="dxa"/>
            <w:vAlign w:val="top"/>
          </w:tcPr>
          <w:p w14:paraId="6B874EDD">
            <w:pPr>
              <w:pStyle w:val="6"/>
              <w:spacing w:before="146" w:line="220" w:lineRule="auto"/>
              <w:ind w:left="67"/>
              <w:rPr>
                <w:sz w:val="20"/>
                <w:szCs w:val="20"/>
              </w:rPr>
            </w:pPr>
            <w:r>
              <w:rPr>
                <w:b/>
                <w:bCs/>
                <w:spacing w:val="-3"/>
                <w:sz w:val="20"/>
                <w:szCs w:val="20"/>
              </w:rPr>
              <w:t>准入清单类型</w:t>
            </w:r>
          </w:p>
        </w:tc>
        <w:tc>
          <w:tcPr>
            <w:tcW w:w="1454" w:type="dxa"/>
            <w:tcBorders>
              <w:right w:val="single" w:color="000000" w:sz="6" w:space="0"/>
            </w:tcBorders>
            <w:vAlign w:val="top"/>
          </w:tcPr>
          <w:p w14:paraId="5C9E5460">
            <w:pPr>
              <w:pStyle w:val="6"/>
              <w:spacing w:before="146" w:line="220" w:lineRule="auto"/>
              <w:ind w:left="324"/>
              <w:rPr>
                <w:sz w:val="20"/>
                <w:szCs w:val="20"/>
              </w:rPr>
            </w:pPr>
            <w:r>
              <w:rPr>
                <w:b/>
                <w:bCs/>
                <w:spacing w:val="-5"/>
                <w:sz w:val="20"/>
                <w:szCs w:val="20"/>
              </w:rPr>
              <w:t>管控类型</w:t>
            </w:r>
          </w:p>
        </w:tc>
      </w:tr>
      <w:tr w14:paraId="7EF99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713" w:type="dxa"/>
            <w:vMerge w:val="continue"/>
            <w:tcBorders>
              <w:top w:val="nil"/>
              <w:left w:val="single" w:color="000000" w:sz="6" w:space="0"/>
              <w:bottom w:val="nil"/>
            </w:tcBorders>
            <w:vAlign w:val="top"/>
          </w:tcPr>
          <w:p w14:paraId="01180BFF">
            <w:pPr>
              <w:rPr>
                <w:rFonts w:ascii="Arial"/>
                <w:sz w:val="21"/>
              </w:rPr>
            </w:pPr>
          </w:p>
        </w:tc>
        <w:tc>
          <w:tcPr>
            <w:tcW w:w="113" w:type="dxa"/>
            <w:tcBorders>
              <w:top w:val="nil"/>
              <w:bottom w:val="nil"/>
            </w:tcBorders>
            <w:vAlign w:val="top"/>
          </w:tcPr>
          <w:p w14:paraId="146C65BD">
            <w:pPr>
              <w:rPr>
                <w:rFonts w:ascii="Arial"/>
                <w:sz w:val="21"/>
              </w:rPr>
            </w:pPr>
          </w:p>
        </w:tc>
        <w:tc>
          <w:tcPr>
            <w:tcW w:w="1052" w:type="dxa"/>
            <w:vAlign w:val="top"/>
          </w:tcPr>
          <w:p w14:paraId="258AC166">
            <w:pPr>
              <w:pStyle w:val="6"/>
              <w:spacing w:before="181" w:line="235" w:lineRule="auto"/>
              <w:ind w:left="58" w:right="98" w:hanging="5"/>
              <w:rPr>
                <w:sz w:val="20"/>
                <w:szCs w:val="20"/>
              </w:rPr>
            </w:pPr>
            <w:r>
              <w:rPr>
                <w:spacing w:val="-1"/>
                <w:sz w:val="20"/>
                <w:szCs w:val="20"/>
              </w:rPr>
              <w:t>YS5117022</w:t>
            </w:r>
            <w:r>
              <w:rPr>
                <w:spacing w:val="3"/>
                <w:sz w:val="20"/>
                <w:szCs w:val="20"/>
              </w:rPr>
              <w:t xml:space="preserve"> </w:t>
            </w:r>
            <w:r>
              <w:rPr>
                <w:spacing w:val="-2"/>
                <w:sz w:val="20"/>
                <w:szCs w:val="20"/>
              </w:rPr>
              <w:t>210002</w:t>
            </w:r>
          </w:p>
        </w:tc>
        <w:tc>
          <w:tcPr>
            <w:tcW w:w="1383" w:type="dxa"/>
            <w:vAlign w:val="top"/>
          </w:tcPr>
          <w:p w14:paraId="26CA7A7D">
            <w:pPr>
              <w:pStyle w:val="6"/>
              <w:spacing w:before="29" w:line="211" w:lineRule="auto"/>
              <w:ind w:left="57" w:right="128"/>
              <w:jc w:val="both"/>
              <w:rPr>
                <w:sz w:val="20"/>
                <w:szCs w:val="20"/>
              </w:rPr>
            </w:pPr>
            <w:r>
              <w:rPr>
                <w:spacing w:val="-2"/>
                <w:sz w:val="20"/>
                <w:szCs w:val="20"/>
              </w:rPr>
              <w:t>州河</w:t>
            </w:r>
            <w:r>
              <w:rPr>
                <w:rFonts w:hint="eastAsia"/>
                <w:spacing w:val="-2"/>
                <w:sz w:val="20"/>
                <w:szCs w:val="20"/>
                <w:lang w:eastAsia="zh-CN"/>
              </w:rPr>
              <w:t>－</w:t>
            </w:r>
            <w:r>
              <w:rPr>
                <w:spacing w:val="-2"/>
                <w:sz w:val="20"/>
                <w:szCs w:val="20"/>
              </w:rPr>
              <w:t>通川区</w:t>
            </w:r>
            <w:r>
              <w:rPr>
                <w:rFonts w:hint="eastAsia"/>
                <w:spacing w:val="-2"/>
                <w:sz w:val="20"/>
                <w:szCs w:val="20"/>
                <w:lang w:eastAsia="zh-CN"/>
              </w:rPr>
              <w:t>－</w:t>
            </w:r>
            <w:r>
              <w:rPr>
                <w:spacing w:val="5"/>
                <w:sz w:val="20"/>
                <w:szCs w:val="20"/>
              </w:rPr>
              <w:t xml:space="preserve"> </w:t>
            </w:r>
            <w:r>
              <w:rPr>
                <w:spacing w:val="-2"/>
                <w:sz w:val="20"/>
                <w:szCs w:val="20"/>
              </w:rPr>
              <w:t>车家河</w:t>
            </w:r>
            <w:r>
              <w:rPr>
                <w:rFonts w:hint="eastAsia"/>
                <w:spacing w:val="-2"/>
                <w:sz w:val="20"/>
                <w:szCs w:val="20"/>
                <w:lang w:eastAsia="zh-CN"/>
              </w:rPr>
              <w:t>－</w:t>
            </w:r>
            <w:r>
              <w:rPr>
                <w:spacing w:val="-2"/>
                <w:sz w:val="20"/>
                <w:szCs w:val="20"/>
              </w:rPr>
              <w:t>控制</w:t>
            </w:r>
            <w:r>
              <w:rPr>
                <w:spacing w:val="1"/>
                <w:sz w:val="20"/>
                <w:szCs w:val="20"/>
              </w:rPr>
              <w:t xml:space="preserve">  </w:t>
            </w:r>
            <w:r>
              <w:rPr>
                <w:spacing w:val="-3"/>
                <w:sz w:val="20"/>
                <w:szCs w:val="20"/>
              </w:rPr>
              <w:t>单元</w:t>
            </w:r>
          </w:p>
        </w:tc>
        <w:tc>
          <w:tcPr>
            <w:tcW w:w="1042" w:type="dxa"/>
            <w:vAlign w:val="top"/>
          </w:tcPr>
          <w:p w14:paraId="6A4B885F">
            <w:pPr>
              <w:pStyle w:val="6"/>
              <w:spacing w:before="268" w:line="219" w:lineRule="auto"/>
              <w:ind w:left="58"/>
              <w:rPr>
                <w:sz w:val="20"/>
                <w:szCs w:val="20"/>
              </w:rPr>
            </w:pPr>
            <w:r>
              <w:rPr>
                <w:spacing w:val="-2"/>
                <w:sz w:val="20"/>
                <w:szCs w:val="20"/>
              </w:rPr>
              <w:t>达州市</w:t>
            </w:r>
          </w:p>
        </w:tc>
        <w:tc>
          <w:tcPr>
            <w:tcW w:w="800" w:type="dxa"/>
            <w:vAlign w:val="top"/>
          </w:tcPr>
          <w:p w14:paraId="0C9D98A8">
            <w:pPr>
              <w:pStyle w:val="6"/>
              <w:spacing w:before="268" w:line="220" w:lineRule="auto"/>
              <w:ind w:left="60"/>
              <w:rPr>
                <w:sz w:val="20"/>
                <w:szCs w:val="20"/>
              </w:rPr>
            </w:pPr>
            <w:r>
              <w:rPr>
                <w:spacing w:val="-2"/>
                <w:sz w:val="20"/>
                <w:szCs w:val="20"/>
              </w:rPr>
              <w:t>通川区</w:t>
            </w:r>
          </w:p>
        </w:tc>
        <w:tc>
          <w:tcPr>
            <w:tcW w:w="1318" w:type="dxa"/>
            <w:vAlign w:val="top"/>
          </w:tcPr>
          <w:p w14:paraId="69D21F96">
            <w:pPr>
              <w:pStyle w:val="6"/>
              <w:spacing w:before="148" w:line="226" w:lineRule="auto"/>
              <w:ind w:left="78" w:right="56" w:hanging="12"/>
              <w:rPr>
                <w:sz w:val="20"/>
                <w:szCs w:val="20"/>
              </w:rPr>
            </w:pPr>
            <w:r>
              <w:rPr>
                <w:spacing w:val="-2"/>
                <w:sz w:val="20"/>
                <w:szCs w:val="20"/>
              </w:rPr>
              <w:t>水环境管控分</w:t>
            </w:r>
            <w:r>
              <w:rPr>
                <w:spacing w:val="1"/>
                <w:sz w:val="20"/>
                <w:szCs w:val="20"/>
              </w:rPr>
              <w:t xml:space="preserve"> </w:t>
            </w:r>
            <w:r>
              <w:rPr>
                <w:sz w:val="20"/>
                <w:szCs w:val="20"/>
              </w:rPr>
              <w:t>区</w:t>
            </w:r>
          </w:p>
        </w:tc>
        <w:tc>
          <w:tcPr>
            <w:tcW w:w="1454" w:type="dxa"/>
            <w:tcBorders>
              <w:right w:val="single" w:color="000000" w:sz="6" w:space="0"/>
            </w:tcBorders>
            <w:vAlign w:val="top"/>
          </w:tcPr>
          <w:p w14:paraId="4249CB32">
            <w:pPr>
              <w:pStyle w:val="6"/>
              <w:spacing w:before="148" w:line="220" w:lineRule="auto"/>
              <w:ind w:left="68"/>
              <w:rPr>
                <w:sz w:val="20"/>
                <w:szCs w:val="20"/>
              </w:rPr>
            </w:pPr>
            <w:r>
              <w:rPr>
                <w:spacing w:val="-2"/>
                <w:sz w:val="20"/>
                <w:szCs w:val="20"/>
              </w:rPr>
              <w:t>水环境工业污</w:t>
            </w:r>
          </w:p>
          <w:p w14:paraId="71BA3093">
            <w:pPr>
              <w:pStyle w:val="6"/>
              <w:spacing w:before="1" w:line="220" w:lineRule="auto"/>
              <w:ind w:left="69"/>
              <w:rPr>
                <w:sz w:val="20"/>
                <w:szCs w:val="20"/>
              </w:rPr>
            </w:pPr>
            <w:r>
              <w:rPr>
                <w:spacing w:val="-2"/>
                <w:sz w:val="20"/>
                <w:szCs w:val="20"/>
              </w:rPr>
              <w:t>染重点管控区</w:t>
            </w:r>
          </w:p>
        </w:tc>
      </w:tr>
      <w:tr w14:paraId="0E1A9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713" w:type="dxa"/>
            <w:vMerge w:val="continue"/>
            <w:tcBorders>
              <w:top w:val="nil"/>
              <w:left w:val="single" w:color="000000" w:sz="6" w:space="0"/>
              <w:bottom w:val="nil"/>
            </w:tcBorders>
            <w:vAlign w:val="top"/>
          </w:tcPr>
          <w:p w14:paraId="37C31C5F">
            <w:pPr>
              <w:rPr>
                <w:rFonts w:ascii="Arial"/>
                <w:sz w:val="21"/>
              </w:rPr>
            </w:pPr>
          </w:p>
        </w:tc>
        <w:tc>
          <w:tcPr>
            <w:tcW w:w="113" w:type="dxa"/>
            <w:tcBorders>
              <w:top w:val="nil"/>
              <w:bottom w:val="nil"/>
            </w:tcBorders>
            <w:vAlign w:val="top"/>
          </w:tcPr>
          <w:p w14:paraId="2F0EFDF9">
            <w:pPr>
              <w:rPr>
                <w:rFonts w:ascii="Arial"/>
                <w:sz w:val="21"/>
              </w:rPr>
            </w:pPr>
          </w:p>
        </w:tc>
        <w:tc>
          <w:tcPr>
            <w:tcW w:w="1052" w:type="dxa"/>
            <w:vAlign w:val="top"/>
          </w:tcPr>
          <w:p w14:paraId="61C36E67">
            <w:pPr>
              <w:pStyle w:val="6"/>
              <w:spacing w:before="60" w:line="191" w:lineRule="auto"/>
              <w:ind w:left="60" w:right="98" w:hanging="7"/>
              <w:rPr>
                <w:sz w:val="20"/>
                <w:szCs w:val="20"/>
              </w:rPr>
            </w:pPr>
            <w:r>
              <w:rPr>
                <w:spacing w:val="-1"/>
                <w:sz w:val="20"/>
                <w:szCs w:val="20"/>
              </w:rPr>
              <w:t>YS5117022</w:t>
            </w:r>
            <w:r>
              <w:rPr>
                <w:spacing w:val="3"/>
                <w:sz w:val="20"/>
                <w:szCs w:val="20"/>
              </w:rPr>
              <w:t xml:space="preserve"> </w:t>
            </w:r>
            <w:r>
              <w:rPr>
                <w:spacing w:val="-2"/>
                <w:sz w:val="20"/>
                <w:szCs w:val="20"/>
              </w:rPr>
              <w:t>310002</w:t>
            </w:r>
          </w:p>
        </w:tc>
        <w:tc>
          <w:tcPr>
            <w:tcW w:w="1383" w:type="dxa"/>
            <w:vAlign w:val="top"/>
          </w:tcPr>
          <w:p w14:paraId="28A48FFF">
            <w:pPr>
              <w:pStyle w:val="6"/>
              <w:spacing w:before="27" w:line="206" w:lineRule="auto"/>
              <w:ind w:left="56" w:right="128" w:firstLine="7"/>
              <w:rPr>
                <w:sz w:val="20"/>
                <w:szCs w:val="20"/>
              </w:rPr>
            </w:pPr>
            <w:r>
              <w:rPr>
                <w:spacing w:val="-3"/>
                <w:sz w:val="20"/>
                <w:szCs w:val="20"/>
              </w:rPr>
              <w:t>东岳新型工业</w:t>
            </w:r>
            <w:r>
              <w:rPr>
                <w:spacing w:val="3"/>
                <w:sz w:val="20"/>
                <w:szCs w:val="20"/>
              </w:rPr>
              <w:t xml:space="preserve"> </w:t>
            </w:r>
            <w:r>
              <w:rPr>
                <w:spacing w:val="-2"/>
                <w:sz w:val="20"/>
                <w:szCs w:val="20"/>
              </w:rPr>
              <w:t>集聚区</w:t>
            </w:r>
          </w:p>
        </w:tc>
        <w:tc>
          <w:tcPr>
            <w:tcW w:w="1042" w:type="dxa"/>
            <w:vAlign w:val="top"/>
          </w:tcPr>
          <w:p w14:paraId="6DF6C5F2">
            <w:pPr>
              <w:pStyle w:val="6"/>
              <w:spacing w:before="148" w:line="219" w:lineRule="auto"/>
              <w:ind w:left="58"/>
              <w:rPr>
                <w:sz w:val="20"/>
                <w:szCs w:val="20"/>
              </w:rPr>
            </w:pPr>
            <w:r>
              <w:rPr>
                <w:spacing w:val="-2"/>
                <w:sz w:val="20"/>
                <w:szCs w:val="20"/>
              </w:rPr>
              <w:t>达州市</w:t>
            </w:r>
          </w:p>
        </w:tc>
        <w:tc>
          <w:tcPr>
            <w:tcW w:w="800" w:type="dxa"/>
            <w:vAlign w:val="top"/>
          </w:tcPr>
          <w:p w14:paraId="4DDB55D0">
            <w:pPr>
              <w:pStyle w:val="6"/>
              <w:spacing w:before="148" w:line="220" w:lineRule="auto"/>
              <w:ind w:left="60"/>
              <w:rPr>
                <w:sz w:val="20"/>
                <w:szCs w:val="20"/>
              </w:rPr>
            </w:pPr>
            <w:r>
              <w:rPr>
                <w:spacing w:val="-2"/>
                <w:sz w:val="20"/>
                <w:szCs w:val="20"/>
              </w:rPr>
              <w:t>通川区</w:t>
            </w:r>
          </w:p>
        </w:tc>
        <w:tc>
          <w:tcPr>
            <w:tcW w:w="1318" w:type="dxa"/>
            <w:vAlign w:val="top"/>
          </w:tcPr>
          <w:p w14:paraId="6AB49273">
            <w:pPr>
              <w:pStyle w:val="6"/>
              <w:spacing w:before="27" w:line="206" w:lineRule="auto"/>
              <w:ind w:left="66" w:right="56"/>
              <w:rPr>
                <w:sz w:val="20"/>
                <w:szCs w:val="20"/>
              </w:rPr>
            </w:pPr>
            <w:r>
              <w:rPr>
                <w:spacing w:val="-2"/>
                <w:sz w:val="20"/>
                <w:szCs w:val="20"/>
              </w:rPr>
              <w:t>大气环境管控</w:t>
            </w:r>
            <w:r>
              <w:rPr>
                <w:spacing w:val="1"/>
                <w:sz w:val="20"/>
                <w:szCs w:val="20"/>
              </w:rPr>
              <w:t xml:space="preserve"> </w:t>
            </w:r>
            <w:r>
              <w:rPr>
                <w:spacing w:val="-3"/>
                <w:sz w:val="20"/>
                <w:szCs w:val="20"/>
              </w:rPr>
              <w:t>分区</w:t>
            </w:r>
          </w:p>
        </w:tc>
        <w:tc>
          <w:tcPr>
            <w:tcW w:w="1454" w:type="dxa"/>
            <w:tcBorders>
              <w:right w:val="single" w:color="000000" w:sz="6" w:space="0"/>
            </w:tcBorders>
            <w:vAlign w:val="top"/>
          </w:tcPr>
          <w:p w14:paraId="111B4C5F">
            <w:pPr>
              <w:pStyle w:val="6"/>
              <w:spacing w:before="28" w:line="220" w:lineRule="auto"/>
              <w:ind w:left="68"/>
              <w:rPr>
                <w:sz w:val="20"/>
                <w:szCs w:val="20"/>
              </w:rPr>
            </w:pPr>
            <w:r>
              <w:rPr>
                <w:spacing w:val="-2"/>
                <w:sz w:val="20"/>
                <w:szCs w:val="20"/>
              </w:rPr>
              <w:t>大气环境高排</w:t>
            </w:r>
          </w:p>
          <w:p w14:paraId="1338E4EF">
            <w:pPr>
              <w:pStyle w:val="6"/>
              <w:spacing w:before="1" w:line="190" w:lineRule="auto"/>
              <w:ind w:left="66"/>
              <w:rPr>
                <w:sz w:val="20"/>
                <w:szCs w:val="20"/>
              </w:rPr>
            </w:pPr>
            <w:r>
              <w:rPr>
                <w:spacing w:val="-2"/>
                <w:sz w:val="20"/>
                <w:szCs w:val="20"/>
              </w:rPr>
              <w:t>放重点管控区</w:t>
            </w:r>
          </w:p>
        </w:tc>
      </w:tr>
      <w:tr w14:paraId="3E124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713" w:type="dxa"/>
            <w:vMerge w:val="continue"/>
            <w:tcBorders>
              <w:top w:val="nil"/>
              <w:left w:val="single" w:color="000000" w:sz="6" w:space="0"/>
              <w:bottom w:val="nil"/>
            </w:tcBorders>
            <w:vAlign w:val="top"/>
          </w:tcPr>
          <w:p w14:paraId="30F16B66">
            <w:pPr>
              <w:rPr>
                <w:rFonts w:ascii="Arial"/>
                <w:sz w:val="21"/>
              </w:rPr>
            </w:pPr>
          </w:p>
        </w:tc>
        <w:tc>
          <w:tcPr>
            <w:tcW w:w="113" w:type="dxa"/>
            <w:tcBorders>
              <w:top w:val="nil"/>
              <w:bottom w:val="nil"/>
            </w:tcBorders>
            <w:vAlign w:val="top"/>
          </w:tcPr>
          <w:p w14:paraId="558C48D9">
            <w:pPr>
              <w:rPr>
                <w:rFonts w:ascii="Arial"/>
                <w:sz w:val="21"/>
              </w:rPr>
            </w:pPr>
          </w:p>
        </w:tc>
        <w:tc>
          <w:tcPr>
            <w:tcW w:w="1052" w:type="dxa"/>
            <w:vAlign w:val="top"/>
          </w:tcPr>
          <w:p w14:paraId="76D8BD29">
            <w:pPr>
              <w:pStyle w:val="6"/>
              <w:spacing w:before="62" w:line="190" w:lineRule="auto"/>
              <w:ind w:left="60" w:right="98" w:hanging="7"/>
              <w:rPr>
                <w:sz w:val="20"/>
                <w:szCs w:val="20"/>
              </w:rPr>
            </w:pPr>
            <w:r>
              <w:rPr>
                <w:spacing w:val="-1"/>
                <w:sz w:val="20"/>
                <w:szCs w:val="20"/>
              </w:rPr>
              <w:t>YS5117022</w:t>
            </w:r>
            <w:r>
              <w:rPr>
                <w:spacing w:val="3"/>
                <w:sz w:val="20"/>
                <w:szCs w:val="20"/>
              </w:rPr>
              <w:t xml:space="preserve"> </w:t>
            </w:r>
            <w:r>
              <w:rPr>
                <w:spacing w:val="-2"/>
                <w:sz w:val="20"/>
                <w:szCs w:val="20"/>
              </w:rPr>
              <w:t>530001</w:t>
            </w:r>
          </w:p>
        </w:tc>
        <w:tc>
          <w:tcPr>
            <w:tcW w:w="1383" w:type="dxa"/>
            <w:vAlign w:val="top"/>
          </w:tcPr>
          <w:p w14:paraId="7B27A2DA">
            <w:pPr>
              <w:pStyle w:val="6"/>
              <w:spacing w:before="29" w:line="205" w:lineRule="auto"/>
              <w:ind w:left="59" w:right="128" w:hanging="3"/>
              <w:rPr>
                <w:sz w:val="20"/>
                <w:szCs w:val="20"/>
              </w:rPr>
            </w:pPr>
            <w:r>
              <w:rPr>
                <w:spacing w:val="-2"/>
                <w:sz w:val="20"/>
                <w:szCs w:val="20"/>
              </w:rPr>
              <w:t>通川区城镇开</w:t>
            </w:r>
            <w:r>
              <w:rPr>
                <w:spacing w:val="4"/>
                <w:sz w:val="20"/>
                <w:szCs w:val="20"/>
              </w:rPr>
              <w:t xml:space="preserve"> </w:t>
            </w:r>
            <w:r>
              <w:rPr>
                <w:spacing w:val="-3"/>
                <w:sz w:val="20"/>
                <w:szCs w:val="20"/>
              </w:rPr>
              <w:t>发边界</w:t>
            </w:r>
          </w:p>
        </w:tc>
        <w:tc>
          <w:tcPr>
            <w:tcW w:w="1042" w:type="dxa"/>
            <w:vAlign w:val="top"/>
          </w:tcPr>
          <w:p w14:paraId="7A57DDAD">
            <w:pPr>
              <w:pStyle w:val="6"/>
              <w:spacing w:before="149" w:line="219" w:lineRule="auto"/>
              <w:ind w:left="58"/>
              <w:rPr>
                <w:sz w:val="20"/>
                <w:szCs w:val="20"/>
              </w:rPr>
            </w:pPr>
            <w:r>
              <w:rPr>
                <w:spacing w:val="-2"/>
                <w:sz w:val="20"/>
                <w:szCs w:val="20"/>
              </w:rPr>
              <w:t>达州市</w:t>
            </w:r>
          </w:p>
        </w:tc>
        <w:tc>
          <w:tcPr>
            <w:tcW w:w="800" w:type="dxa"/>
            <w:vAlign w:val="top"/>
          </w:tcPr>
          <w:p w14:paraId="2EB1898D">
            <w:pPr>
              <w:pStyle w:val="6"/>
              <w:spacing w:before="148" w:line="220" w:lineRule="auto"/>
              <w:ind w:left="60"/>
              <w:rPr>
                <w:sz w:val="20"/>
                <w:szCs w:val="20"/>
              </w:rPr>
            </w:pPr>
            <w:r>
              <w:rPr>
                <w:spacing w:val="-2"/>
                <w:sz w:val="20"/>
                <w:szCs w:val="20"/>
              </w:rPr>
              <w:t>通川区</w:t>
            </w:r>
          </w:p>
        </w:tc>
        <w:tc>
          <w:tcPr>
            <w:tcW w:w="1318" w:type="dxa"/>
            <w:vAlign w:val="top"/>
          </w:tcPr>
          <w:p w14:paraId="222005AC">
            <w:pPr>
              <w:pStyle w:val="6"/>
              <w:spacing w:before="148" w:line="220" w:lineRule="auto"/>
              <w:ind w:left="72"/>
              <w:rPr>
                <w:sz w:val="20"/>
                <w:szCs w:val="20"/>
              </w:rPr>
            </w:pPr>
            <w:r>
              <w:rPr>
                <w:spacing w:val="-3"/>
                <w:sz w:val="20"/>
                <w:szCs w:val="20"/>
              </w:rPr>
              <w:t>资源管控分区</w:t>
            </w:r>
          </w:p>
        </w:tc>
        <w:tc>
          <w:tcPr>
            <w:tcW w:w="1454" w:type="dxa"/>
            <w:tcBorders>
              <w:right w:val="single" w:color="000000" w:sz="6" w:space="0"/>
            </w:tcBorders>
            <w:vAlign w:val="top"/>
          </w:tcPr>
          <w:p w14:paraId="47D494D6">
            <w:pPr>
              <w:pStyle w:val="6"/>
              <w:spacing w:before="29" w:line="205" w:lineRule="auto"/>
              <w:ind w:left="70" w:right="184" w:hanging="4"/>
              <w:rPr>
                <w:sz w:val="20"/>
                <w:szCs w:val="20"/>
              </w:rPr>
            </w:pPr>
            <w:r>
              <w:rPr>
                <w:spacing w:val="-2"/>
                <w:sz w:val="20"/>
                <w:szCs w:val="20"/>
              </w:rPr>
              <w:t>土地资源重点</w:t>
            </w:r>
            <w:r>
              <w:rPr>
                <w:spacing w:val="3"/>
                <w:sz w:val="20"/>
                <w:szCs w:val="20"/>
              </w:rPr>
              <w:t xml:space="preserve"> </w:t>
            </w:r>
            <w:r>
              <w:rPr>
                <w:spacing w:val="-3"/>
                <w:sz w:val="20"/>
                <w:szCs w:val="20"/>
              </w:rPr>
              <w:t>管控区</w:t>
            </w:r>
          </w:p>
        </w:tc>
      </w:tr>
      <w:tr w14:paraId="48E71C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713" w:type="dxa"/>
            <w:vMerge w:val="continue"/>
            <w:tcBorders>
              <w:top w:val="nil"/>
              <w:left w:val="single" w:color="000000" w:sz="6" w:space="0"/>
              <w:bottom w:val="nil"/>
            </w:tcBorders>
            <w:vAlign w:val="top"/>
          </w:tcPr>
          <w:p w14:paraId="11106DD4">
            <w:pPr>
              <w:rPr>
                <w:rFonts w:ascii="Arial"/>
                <w:sz w:val="21"/>
              </w:rPr>
            </w:pPr>
          </w:p>
        </w:tc>
        <w:tc>
          <w:tcPr>
            <w:tcW w:w="113" w:type="dxa"/>
            <w:tcBorders>
              <w:top w:val="nil"/>
              <w:bottom w:val="nil"/>
            </w:tcBorders>
            <w:vAlign w:val="top"/>
          </w:tcPr>
          <w:p w14:paraId="51147D70">
            <w:pPr>
              <w:rPr>
                <w:rFonts w:ascii="Arial"/>
                <w:sz w:val="21"/>
              </w:rPr>
            </w:pPr>
          </w:p>
        </w:tc>
        <w:tc>
          <w:tcPr>
            <w:tcW w:w="1052" w:type="dxa"/>
            <w:vAlign w:val="top"/>
          </w:tcPr>
          <w:p w14:paraId="55AC00F8">
            <w:pPr>
              <w:pStyle w:val="6"/>
              <w:spacing w:before="63" w:line="190" w:lineRule="auto"/>
              <w:ind w:left="60" w:right="98" w:hanging="7"/>
              <w:rPr>
                <w:sz w:val="20"/>
                <w:szCs w:val="20"/>
              </w:rPr>
            </w:pPr>
            <w:r>
              <w:rPr>
                <w:spacing w:val="-1"/>
                <w:sz w:val="20"/>
                <w:szCs w:val="20"/>
              </w:rPr>
              <w:t>YS5117022</w:t>
            </w:r>
            <w:r>
              <w:rPr>
                <w:spacing w:val="3"/>
                <w:sz w:val="20"/>
                <w:szCs w:val="20"/>
              </w:rPr>
              <w:t xml:space="preserve"> </w:t>
            </w:r>
            <w:r>
              <w:rPr>
                <w:spacing w:val="-2"/>
                <w:sz w:val="20"/>
                <w:szCs w:val="20"/>
              </w:rPr>
              <w:t>550001</w:t>
            </w:r>
          </w:p>
        </w:tc>
        <w:tc>
          <w:tcPr>
            <w:tcW w:w="1383" w:type="dxa"/>
            <w:vAlign w:val="top"/>
          </w:tcPr>
          <w:p w14:paraId="6C238032">
            <w:pPr>
              <w:pStyle w:val="6"/>
              <w:spacing w:before="30" w:line="220" w:lineRule="auto"/>
              <w:ind w:left="56"/>
              <w:rPr>
                <w:sz w:val="20"/>
                <w:szCs w:val="20"/>
              </w:rPr>
            </w:pPr>
            <w:r>
              <w:rPr>
                <w:spacing w:val="-2"/>
                <w:sz w:val="20"/>
                <w:szCs w:val="20"/>
              </w:rPr>
              <w:t>通川区自然资</w:t>
            </w:r>
          </w:p>
          <w:p w14:paraId="7A802D90">
            <w:pPr>
              <w:pStyle w:val="6"/>
              <w:spacing w:before="1" w:line="189" w:lineRule="auto"/>
              <w:ind w:left="55"/>
              <w:rPr>
                <w:sz w:val="20"/>
                <w:szCs w:val="20"/>
              </w:rPr>
            </w:pPr>
            <w:r>
              <w:rPr>
                <w:spacing w:val="-1"/>
                <w:sz w:val="20"/>
                <w:szCs w:val="20"/>
              </w:rPr>
              <w:t>源重点管控区</w:t>
            </w:r>
          </w:p>
        </w:tc>
        <w:tc>
          <w:tcPr>
            <w:tcW w:w="1042" w:type="dxa"/>
            <w:vAlign w:val="top"/>
          </w:tcPr>
          <w:p w14:paraId="5D1F7C0B">
            <w:pPr>
              <w:pStyle w:val="6"/>
              <w:spacing w:before="150" w:line="219" w:lineRule="auto"/>
              <w:ind w:left="58"/>
              <w:rPr>
                <w:sz w:val="20"/>
                <w:szCs w:val="20"/>
              </w:rPr>
            </w:pPr>
            <w:r>
              <w:rPr>
                <w:spacing w:val="-2"/>
                <w:sz w:val="20"/>
                <w:szCs w:val="20"/>
              </w:rPr>
              <w:t>达州市</w:t>
            </w:r>
          </w:p>
        </w:tc>
        <w:tc>
          <w:tcPr>
            <w:tcW w:w="800" w:type="dxa"/>
            <w:vAlign w:val="top"/>
          </w:tcPr>
          <w:p w14:paraId="592F8C26">
            <w:pPr>
              <w:pStyle w:val="6"/>
              <w:spacing w:before="150" w:line="220" w:lineRule="auto"/>
              <w:ind w:left="60"/>
              <w:rPr>
                <w:sz w:val="20"/>
                <w:szCs w:val="20"/>
              </w:rPr>
            </w:pPr>
            <w:r>
              <w:rPr>
                <w:spacing w:val="-2"/>
                <w:sz w:val="20"/>
                <w:szCs w:val="20"/>
              </w:rPr>
              <w:t>通川区</w:t>
            </w:r>
          </w:p>
        </w:tc>
        <w:tc>
          <w:tcPr>
            <w:tcW w:w="1318" w:type="dxa"/>
            <w:vAlign w:val="top"/>
          </w:tcPr>
          <w:p w14:paraId="137D4A8A">
            <w:pPr>
              <w:pStyle w:val="6"/>
              <w:spacing w:before="150" w:line="220" w:lineRule="auto"/>
              <w:ind w:left="72"/>
              <w:rPr>
                <w:sz w:val="20"/>
                <w:szCs w:val="20"/>
              </w:rPr>
            </w:pPr>
            <w:r>
              <w:rPr>
                <w:spacing w:val="-3"/>
                <w:sz w:val="20"/>
                <w:szCs w:val="20"/>
              </w:rPr>
              <w:t>资源管控分区</w:t>
            </w:r>
          </w:p>
        </w:tc>
        <w:tc>
          <w:tcPr>
            <w:tcW w:w="1454" w:type="dxa"/>
            <w:tcBorders>
              <w:right w:val="single" w:color="000000" w:sz="6" w:space="0"/>
            </w:tcBorders>
            <w:vAlign w:val="top"/>
          </w:tcPr>
          <w:p w14:paraId="24E77A86">
            <w:pPr>
              <w:pStyle w:val="6"/>
              <w:spacing w:before="30" w:line="205" w:lineRule="auto"/>
              <w:ind w:left="70" w:right="184" w:firstLine="28"/>
              <w:rPr>
                <w:sz w:val="20"/>
                <w:szCs w:val="20"/>
              </w:rPr>
            </w:pPr>
            <w:r>
              <w:rPr>
                <w:spacing w:val="-7"/>
                <w:sz w:val="20"/>
                <w:szCs w:val="20"/>
              </w:rPr>
              <w:t>自然资源重点</w:t>
            </w:r>
            <w:r>
              <w:rPr>
                <w:spacing w:val="1"/>
                <w:sz w:val="20"/>
                <w:szCs w:val="20"/>
              </w:rPr>
              <w:t xml:space="preserve"> </w:t>
            </w:r>
            <w:r>
              <w:rPr>
                <w:spacing w:val="-3"/>
                <w:sz w:val="20"/>
                <w:szCs w:val="20"/>
              </w:rPr>
              <w:t>管控区</w:t>
            </w:r>
          </w:p>
        </w:tc>
      </w:tr>
      <w:tr w14:paraId="498DD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713" w:type="dxa"/>
            <w:vMerge w:val="continue"/>
            <w:tcBorders>
              <w:top w:val="nil"/>
              <w:left w:val="single" w:color="000000" w:sz="6" w:space="0"/>
              <w:bottom w:val="nil"/>
            </w:tcBorders>
            <w:vAlign w:val="top"/>
          </w:tcPr>
          <w:p w14:paraId="72582B62">
            <w:pPr>
              <w:rPr>
                <w:rFonts w:ascii="Arial"/>
                <w:sz w:val="21"/>
              </w:rPr>
            </w:pPr>
          </w:p>
        </w:tc>
        <w:tc>
          <w:tcPr>
            <w:tcW w:w="113" w:type="dxa"/>
            <w:tcBorders>
              <w:top w:val="nil"/>
              <w:bottom w:val="nil"/>
            </w:tcBorders>
            <w:vAlign w:val="top"/>
          </w:tcPr>
          <w:p w14:paraId="45AC9E36">
            <w:pPr>
              <w:rPr>
                <w:rFonts w:ascii="Arial"/>
                <w:sz w:val="21"/>
              </w:rPr>
            </w:pPr>
          </w:p>
        </w:tc>
        <w:tc>
          <w:tcPr>
            <w:tcW w:w="1052" w:type="dxa"/>
            <w:vAlign w:val="top"/>
          </w:tcPr>
          <w:p w14:paraId="2EB87158">
            <w:pPr>
              <w:pStyle w:val="6"/>
              <w:spacing w:before="183" w:line="235" w:lineRule="auto"/>
              <w:ind w:left="57" w:right="98" w:hanging="2"/>
              <w:rPr>
                <w:sz w:val="20"/>
                <w:szCs w:val="20"/>
              </w:rPr>
            </w:pPr>
            <w:r>
              <w:rPr>
                <w:spacing w:val="-1"/>
                <w:sz w:val="20"/>
                <w:szCs w:val="20"/>
              </w:rPr>
              <w:t>ZH5117022</w:t>
            </w:r>
            <w:r>
              <w:rPr>
                <w:spacing w:val="1"/>
                <w:sz w:val="20"/>
                <w:szCs w:val="20"/>
              </w:rPr>
              <w:t xml:space="preserve"> </w:t>
            </w:r>
            <w:r>
              <w:rPr>
                <w:spacing w:val="-2"/>
                <w:sz w:val="20"/>
                <w:szCs w:val="20"/>
              </w:rPr>
              <w:t>0003</w:t>
            </w:r>
          </w:p>
        </w:tc>
        <w:tc>
          <w:tcPr>
            <w:tcW w:w="1383" w:type="dxa"/>
            <w:vAlign w:val="top"/>
          </w:tcPr>
          <w:p w14:paraId="10A7DBF3">
            <w:pPr>
              <w:pStyle w:val="6"/>
              <w:spacing w:before="30" w:line="219" w:lineRule="auto"/>
              <w:ind w:left="55"/>
              <w:rPr>
                <w:sz w:val="20"/>
                <w:szCs w:val="20"/>
              </w:rPr>
            </w:pPr>
            <w:r>
              <w:rPr>
                <w:spacing w:val="-1"/>
                <w:sz w:val="20"/>
                <w:szCs w:val="20"/>
              </w:rPr>
              <w:t>达州市通川区</w:t>
            </w:r>
          </w:p>
          <w:p w14:paraId="429CEEB2">
            <w:pPr>
              <w:pStyle w:val="6"/>
              <w:spacing w:before="2" w:line="205" w:lineRule="auto"/>
              <w:ind w:left="56" w:right="128" w:firstLine="7"/>
              <w:rPr>
                <w:sz w:val="20"/>
                <w:szCs w:val="20"/>
              </w:rPr>
            </w:pPr>
            <w:r>
              <w:rPr>
                <w:spacing w:val="-3"/>
                <w:sz w:val="20"/>
                <w:szCs w:val="20"/>
              </w:rPr>
              <w:t>东岳新型工业</w:t>
            </w:r>
            <w:r>
              <w:rPr>
                <w:spacing w:val="3"/>
                <w:sz w:val="20"/>
                <w:szCs w:val="20"/>
              </w:rPr>
              <w:t xml:space="preserve"> </w:t>
            </w:r>
            <w:r>
              <w:rPr>
                <w:spacing w:val="-2"/>
                <w:sz w:val="20"/>
                <w:szCs w:val="20"/>
              </w:rPr>
              <w:t>集聚区</w:t>
            </w:r>
          </w:p>
        </w:tc>
        <w:tc>
          <w:tcPr>
            <w:tcW w:w="1042" w:type="dxa"/>
            <w:vAlign w:val="top"/>
          </w:tcPr>
          <w:p w14:paraId="0F5C0FDC">
            <w:pPr>
              <w:pStyle w:val="6"/>
              <w:spacing w:before="270" w:line="219" w:lineRule="auto"/>
              <w:ind w:left="58"/>
              <w:rPr>
                <w:sz w:val="20"/>
                <w:szCs w:val="20"/>
              </w:rPr>
            </w:pPr>
            <w:r>
              <w:rPr>
                <w:spacing w:val="-2"/>
                <w:sz w:val="20"/>
                <w:szCs w:val="20"/>
              </w:rPr>
              <w:t>达州市</w:t>
            </w:r>
          </w:p>
        </w:tc>
        <w:tc>
          <w:tcPr>
            <w:tcW w:w="800" w:type="dxa"/>
            <w:vAlign w:val="top"/>
          </w:tcPr>
          <w:p w14:paraId="288A4F3B">
            <w:pPr>
              <w:pStyle w:val="6"/>
              <w:spacing w:before="270" w:line="220" w:lineRule="auto"/>
              <w:ind w:left="60"/>
              <w:rPr>
                <w:sz w:val="20"/>
                <w:szCs w:val="20"/>
              </w:rPr>
            </w:pPr>
            <w:r>
              <w:rPr>
                <w:spacing w:val="-2"/>
                <w:sz w:val="20"/>
                <w:szCs w:val="20"/>
              </w:rPr>
              <w:t>通川区</w:t>
            </w:r>
          </w:p>
        </w:tc>
        <w:tc>
          <w:tcPr>
            <w:tcW w:w="1318" w:type="dxa"/>
            <w:vAlign w:val="top"/>
          </w:tcPr>
          <w:p w14:paraId="4B148407">
            <w:pPr>
              <w:pStyle w:val="6"/>
              <w:spacing w:before="150" w:line="224" w:lineRule="auto"/>
              <w:ind w:left="64" w:right="56" w:hanging="1"/>
              <w:rPr>
                <w:sz w:val="20"/>
                <w:szCs w:val="20"/>
              </w:rPr>
            </w:pPr>
            <w:r>
              <w:rPr>
                <w:spacing w:val="-2"/>
                <w:sz w:val="20"/>
                <w:szCs w:val="20"/>
              </w:rPr>
              <w:t>环境综合管控</w:t>
            </w:r>
            <w:r>
              <w:rPr>
                <w:spacing w:val="4"/>
                <w:sz w:val="20"/>
                <w:szCs w:val="20"/>
              </w:rPr>
              <w:t xml:space="preserve"> </w:t>
            </w:r>
            <w:r>
              <w:rPr>
                <w:spacing w:val="-3"/>
                <w:sz w:val="20"/>
                <w:szCs w:val="20"/>
              </w:rPr>
              <w:t>单元</w:t>
            </w:r>
          </w:p>
        </w:tc>
        <w:tc>
          <w:tcPr>
            <w:tcW w:w="1454" w:type="dxa"/>
            <w:tcBorders>
              <w:right w:val="single" w:color="000000" w:sz="6" w:space="0"/>
            </w:tcBorders>
            <w:vAlign w:val="top"/>
          </w:tcPr>
          <w:p w14:paraId="6B1AA1AC">
            <w:pPr>
              <w:pStyle w:val="6"/>
              <w:spacing w:before="30" w:line="220" w:lineRule="auto"/>
              <w:ind w:left="66"/>
              <w:rPr>
                <w:sz w:val="20"/>
                <w:szCs w:val="20"/>
              </w:rPr>
            </w:pPr>
            <w:r>
              <w:rPr>
                <w:spacing w:val="-2"/>
                <w:sz w:val="20"/>
                <w:szCs w:val="20"/>
              </w:rPr>
              <w:t>环境综合管控</w:t>
            </w:r>
          </w:p>
          <w:p w14:paraId="04AA189F">
            <w:pPr>
              <w:pStyle w:val="6"/>
              <w:spacing w:before="1" w:line="221" w:lineRule="auto"/>
              <w:ind w:left="67"/>
              <w:rPr>
                <w:sz w:val="20"/>
                <w:szCs w:val="20"/>
              </w:rPr>
            </w:pPr>
            <w:r>
              <w:rPr>
                <w:spacing w:val="-2"/>
                <w:sz w:val="20"/>
                <w:szCs w:val="20"/>
              </w:rPr>
              <w:t>单元工业重点</w:t>
            </w:r>
          </w:p>
          <w:p w14:paraId="1FD411C8">
            <w:pPr>
              <w:pStyle w:val="6"/>
              <w:spacing w:before="1" w:line="188" w:lineRule="auto"/>
              <w:ind w:left="70"/>
              <w:rPr>
                <w:sz w:val="20"/>
                <w:szCs w:val="20"/>
              </w:rPr>
            </w:pPr>
            <w:r>
              <w:rPr>
                <w:spacing w:val="-3"/>
                <w:sz w:val="20"/>
                <w:szCs w:val="20"/>
              </w:rPr>
              <w:t>管控单元</w:t>
            </w:r>
          </w:p>
        </w:tc>
      </w:tr>
      <w:tr w14:paraId="5AD77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5" w:hRule="atLeast"/>
        </w:trPr>
        <w:tc>
          <w:tcPr>
            <w:tcW w:w="1713" w:type="dxa"/>
            <w:vMerge w:val="continue"/>
            <w:tcBorders>
              <w:top w:val="nil"/>
              <w:left w:val="single" w:color="000000" w:sz="6" w:space="0"/>
              <w:bottom w:val="single" w:color="000000" w:sz="6" w:space="0"/>
            </w:tcBorders>
            <w:vAlign w:val="top"/>
          </w:tcPr>
          <w:p w14:paraId="136688EC">
            <w:pPr>
              <w:rPr>
                <w:rFonts w:ascii="Arial"/>
                <w:sz w:val="21"/>
              </w:rPr>
            </w:pPr>
          </w:p>
        </w:tc>
        <w:tc>
          <w:tcPr>
            <w:tcW w:w="7162" w:type="dxa"/>
            <w:gridSpan w:val="7"/>
            <w:tcBorders>
              <w:bottom w:val="single" w:color="000000" w:sz="6" w:space="0"/>
              <w:right w:val="single" w:color="000000" w:sz="6" w:space="0"/>
            </w:tcBorders>
            <w:vAlign w:val="top"/>
          </w:tcPr>
          <w:p w14:paraId="3F0F6DAC">
            <w:pPr>
              <w:pStyle w:val="6"/>
              <w:spacing w:before="150" w:line="220" w:lineRule="auto"/>
              <w:ind w:left="532"/>
            </w:pPr>
            <w:r>
              <w:rPr>
                <w:spacing w:val="-3"/>
              </w:rPr>
              <w:t>项目与管控单元相对位置如下图所示。</w:t>
            </w:r>
          </w:p>
        </w:tc>
      </w:tr>
    </w:tbl>
    <w:p w14:paraId="4BE95726">
      <w:pPr>
        <w:rPr>
          <w:rFonts w:ascii="Arial"/>
          <w:sz w:val="21"/>
        </w:rPr>
      </w:pPr>
    </w:p>
    <w:p w14:paraId="2A031D4F">
      <w:pPr>
        <w:rPr>
          <w:rFonts w:ascii="Arial" w:hAnsi="Arial" w:eastAsia="Arial" w:cs="Arial"/>
          <w:sz w:val="21"/>
          <w:szCs w:val="21"/>
        </w:rPr>
        <w:sectPr>
          <w:footerReference r:id="rId10" w:type="default"/>
          <w:pgSz w:w="11907" w:h="16839"/>
          <w:pgMar w:top="1431" w:right="1507" w:bottom="1280" w:left="1508" w:header="0" w:footer="1028" w:gutter="0"/>
          <w:cols w:space="720" w:num="1"/>
        </w:sectPr>
      </w:pPr>
    </w:p>
    <w:p w14:paraId="4E34812B">
      <w:pPr>
        <w:spacing w:before="28"/>
      </w:pPr>
    </w:p>
    <w:tbl>
      <w:tblPr>
        <w:tblStyle w:val="5"/>
        <w:tblW w:w="887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13"/>
        <w:gridCol w:w="7162"/>
      </w:tblGrid>
      <w:tr w14:paraId="0147E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76" w:hRule="atLeast"/>
        </w:trPr>
        <w:tc>
          <w:tcPr>
            <w:tcW w:w="1713" w:type="dxa"/>
            <w:vMerge w:val="restart"/>
            <w:tcBorders>
              <w:top w:val="single" w:color="000000" w:sz="2" w:space="0"/>
              <w:bottom w:val="nil"/>
              <w:right w:val="single" w:color="000000" w:sz="2" w:space="0"/>
            </w:tcBorders>
            <w:vAlign w:val="top"/>
          </w:tcPr>
          <w:p w14:paraId="6E7B93F0">
            <w:pPr>
              <w:spacing w:line="241" w:lineRule="auto"/>
              <w:rPr>
                <w:rFonts w:ascii="Arial"/>
                <w:sz w:val="21"/>
              </w:rPr>
            </w:pPr>
          </w:p>
          <w:p w14:paraId="2E64BFFB">
            <w:pPr>
              <w:spacing w:line="241" w:lineRule="auto"/>
              <w:rPr>
                <w:rFonts w:ascii="Arial"/>
                <w:sz w:val="21"/>
              </w:rPr>
            </w:pPr>
          </w:p>
          <w:p w14:paraId="08AE2CB7">
            <w:pPr>
              <w:spacing w:line="241" w:lineRule="auto"/>
              <w:rPr>
                <w:rFonts w:ascii="Arial"/>
                <w:sz w:val="21"/>
              </w:rPr>
            </w:pPr>
          </w:p>
          <w:p w14:paraId="7EDE5DB1">
            <w:pPr>
              <w:spacing w:line="241" w:lineRule="auto"/>
              <w:rPr>
                <w:rFonts w:ascii="Arial"/>
                <w:sz w:val="21"/>
              </w:rPr>
            </w:pPr>
          </w:p>
          <w:p w14:paraId="31CB33DC">
            <w:pPr>
              <w:spacing w:line="241" w:lineRule="auto"/>
              <w:rPr>
                <w:rFonts w:ascii="Arial"/>
                <w:sz w:val="21"/>
              </w:rPr>
            </w:pPr>
          </w:p>
          <w:p w14:paraId="3B7CFD55">
            <w:pPr>
              <w:spacing w:line="241" w:lineRule="auto"/>
              <w:rPr>
                <w:rFonts w:ascii="Arial"/>
                <w:sz w:val="21"/>
              </w:rPr>
            </w:pPr>
          </w:p>
          <w:p w14:paraId="4AA6068B">
            <w:pPr>
              <w:spacing w:line="241" w:lineRule="auto"/>
              <w:rPr>
                <w:rFonts w:ascii="Arial"/>
                <w:sz w:val="21"/>
              </w:rPr>
            </w:pPr>
          </w:p>
          <w:p w14:paraId="6CF29178">
            <w:pPr>
              <w:spacing w:line="241" w:lineRule="auto"/>
              <w:rPr>
                <w:rFonts w:ascii="Arial"/>
                <w:sz w:val="21"/>
              </w:rPr>
            </w:pPr>
          </w:p>
          <w:p w14:paraId="11FEE542">
            <w:pPr>
              <w:spacing w:line="241" w:lineRule="auto"/>
              <w:rPr>
                <w:rFonts w:ascii="Arial"/>
                <w:sz w:val="21"/>
              </w:rPr>
            </w:pPr>
          </w:p>
          <w:p w14:paraId="3DD0EE7A">
            <w:pPr>
              <w:spacing w:line="241" w:lineRule="auto"/>
              <w:rPr>
                <w:rFonts w:ascii="Arial"/>
                <w:sz w:val="21"/>
              </w:rPr>
            </w:pPr>
          </w:p>
          <w:p w14:paraId="2FD8DB24">
            <w:pPr>
              <w:spacing w:line="241" w:lineRule="auto"/>
              <w:rPr>
                <w:rFonts w:ascii="Arial"/>
                <w:sz w:val="21"/>
              </w:rPr>
            </w:pPr>
          </w:p>
          <w:p w14:paraId="24D324EA">
            <w:pPr>
              <w:spacing w:line="241" w:lineRule="auto"/>
              <w:rPr>
                <w:rFonts w:ascii="Arial"/>
                <w:sz w:val="21"/>
              </w:rPr>
            </w:pPr>
          </w:p>
          <w:p w14:paraId="14AA4EDE">
            <w:pPr>
              <w:spacing w:line="241" w:lineRule="auto"/>
              <w:rPr>
                <w:rFonts w:ascii="Arial"/>
                <w:sz w:val="21"/>
              </w:rPr>
            </w:pPr>
          </w:p>
          <w:p w14:paraId="23DDF763">
            <w:pPr>
              <w:spacing w:line="241" w:lineRule="auto"/>
              <w:rPr>
                <w:rFonts w:ascii="Arial"/>
                <w:sz w:val="21"/>
              </w:rPr>
            </w:pPr>
          </w:p>
          <w:p w14:paraId="58D8A021">
            <w:pPr>
              <w:spacing w:line="241" w:lineRule="auto"/>
              <w:rPr>
                <w:rFonts w:ascii="Arial"/>
                <w:sz w:val="21"/>
              </w:rPr>
            </w:pPr>
          </w:p>
          <w:p w14:paraId="0CD835F2">
            <w:pPr>
              <w:spacing w:line="241" w:lineRule="auto"/>
              <w:rPr>
                <w:rFonts w:ascii="Arial"/>
                <w:sz w:val="21"/>
              </w:rPr>
            </w:pPr>
          </w:p>
          <w:p w14:paraId="48BA6D0F">
            <w:pPr>
              <w:spacing w:line="241" w:lineRule="auto"/>
              <w:rPr>
                <w:rFonts w:ascii="Arial"/>
                <w:sz w:val="21"/>
              </w:rPr>
            </w:pPr>
          </w:p>
          <w:p w14:paraId="796E14A5">
            <w:pPr>
              <w:spacing w:line="241" w:lineRule="auto"/>
              <w:rPr>
                <w:rFonts w:ascii="Arial"/>
                <w:sz w:val="21"/>
              </w:rPr>
            </w:pPr>
          </w:p>
          <w:p w14:paraId="16FF9D70">
            <w:pPr>
              <w:spacing w:line="241" w:lineRule="auto"/>
              <w:rPr>
                <w:rFonts w:ascii="Arial"/>
                <w:sz w:val="21"/>
              </w:rPr>
            </w:pPr>
          </w:p>
          <w:p w14:paraId="3E21C673">
            <w:pPr>
              <w:spacing w:line="241" w:lineRule="auto"/>
              <w:rPr>
                <w:rFonts w:ascii="Arial"/>
                <w:sz w:val="21"/>
              </w:rPr>
            </w:pPr>
          </w:p>
          <w:p w14:paraId="24C76FC2">
            <w:pPr>
              <w:spacing w:line="241" w:lineRule="auto"/>
              <w:rPr>
                <w:rFonts w:ascii="Arial"/>
                <w:sz w:val="21"/>
              </w:rPr>
            </w:pPr>
          </w:p>
          <w:p w14:paraId="2627DF5C">
            <w:pPr>
              <w:spacing w:line="242" w:lineRule="auto"/>
              <w:rPr>
                <w:rFonts w:ascii="Arial"/>
                <w:sz w:val="21"/>
              </w:rPr>
            </w:pPr>
          </w:p>
          <w:p w14:paraId="24A4BBF7">
            <w:pPr>
              <w:spacing w:line="242" w:lineRule="auto"/>
              <w:rPr>
                <w:rFonts w:ascii="Arial"/>
                <w:sz w:val="21"/>
              </w:rPr>
            </w:pPr>
          </w:p>
          <w:p w14:paraId="04AF57AF">
            <w:pPr>
              <w:pStyle w:val="6"/>
              <w:spacing w:before="68" w:line="220" w:lineRule="auto"/>
              <w:ind w:left="119"/>
            </w:pPr>
            <w:r>
              <w:rPr>
                <w:b/>
                <w:bCs/>
                <w:spacing w:val="-3"/>
              </w:rPr>
              <w:t>其他符合性分析</w:t>
            </w:r>
          </w:p>
        </w:tc>
        <w:tc>
          <w:tcPr>
            <w:tcW w:w="7162" w:type="dxa"/>
            <w:tcBorders>
              <w:top w:val="single" w:color="000000" w:sz="2" w:space="0"/>
              <w:left w:val="single" w:color="000000" w:sz="2" w:space="0"/>
              <w:bottom w:val="nil"/>
            </w:tcBorders>
            <w:vAlign w:val="top"/>
          </w:tcPr>
          <w:p w14:paraId="3D004532">
            <w:pPr>
              <w:spacing w:line="254" w:lineRule="auto"/>
              <w:rPr>
                <w:rFonts w:ascii="Arial"/>
                <w:sz w:val="21"/>
              </w:rPr>
            </w:pPr>
          </w:p>
          <w:p w14:paraId="165FA235">
            <w:pPr>
              <w:spacing w:line="254" w:lineRule="auto"/>
              <w:rPr>
                <w:rFonts w:ascii="Arial"/>
                <w:sz w:val="21"/>
              </w:rPr>
            </w:pPr>
          </w:p>
          <w:p w14:paraId="5329B239">
            <w:pPr>
              <w:spacing w:line="254" w:lineRule="auto"/>
              <w:rPr>
                <w:rFonts w:ascii="Arial"/>
                <w:sz w:val="21"/>
              </w:rPr>
            </w:pPr>
          </w:p>
          <w:p w14:paraId="2F9F3D87">
            <w:pPr>
              <w:spacing w:line="254" w:lineRule="auto"/>
              <w:rPr>
                <w:rFonts w:ascii="Arial"/>
                <w:sz w:val="21"/>
              </w:rPr>
            </w:pPr>
          </w:p>
          <w:p w14:paraId="6A6E495B">
            <w:pPr>
              <w:spacing w:line="254" w:lineRule="auto"/>
              <w:rPr>
                <w:rFonts w:ascii="Arial"/>
                <w:sz w:val="21"/>
              </w:rPr>
            </w:pPr>
          </w:p>
          <w:p w14:paraId="42243ADC">
            <w:pPr>
              <w:spacing w:line="255" w:lineRule="auto"/>
              <w:rPr>
                <w:rFonts w:ascii="Arial"/>
                <w:sz w:val="21"/>
              </w:rPr>
            </w:pPr>
          </w:p>
          <w:p w14:paraId="17BCE9B6">
            <w:pPr>
              <w:spacing w:line="255" w:lineRule="auto"/>
              <w:rPr>
                <w:rFonts w:ascii="Arial"/>
                <w:sz w:val="21"/>
              </w:rPr>
            </w:pPr>
          </w:p>
          <w:p w14:paraId="2729A52E">
            <w:pPr>
              <w:pStyle w:val="6"/>
              <w:spacing w:before="69" w:line="220" w:lineRule="auto"/>
              <w:ind w:left="3746"/>
            </w:pPr>
            <w:r>
              <w:drawing>
                <wp:anchor distT="0" distB="0" distL="0" distR="0" simplePos="0" relativeHeight="251665408" behindDoc="1" locked="0" layoutInCell="1" allowOverlap="1">
                  <wp:simplePos x="0" y="0"/>
                  <wp:positionH relativeFrom="column">
                    <wp:posOffset>66040</wp:posOffset>
                  </wp:positionH>
                  <wp:positionV relativeFrom="paragraph">
                    <wp:posOffset>-1134110</wp:posOffset>
                  </wp:positionV>
                  <wp:extent cx="4406900" cy="311594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84"/>
                          <a:stretch>
                            <a:fillRect/>
                          </a:stretch>
                        </pic:blipFill>
                        <pic:spPr>
                          <a:xfrm>
                            <a:off x="0" y="0"/>
                            <a:ext cx="4406900" cy="3115945"/>
                          </a:xfrm>
                          <a:prstGeom prst="rect">
                            <a:avLst/>
                          </a:prstGeom>
                        </pic:spPr>
                      </pic:pic>
                    </a:graphicData>
                  </a:graphic>
                </wp:anchor>
              </w:drawing>
            </w:r>
            <w:r>
              <w:rPr>
                <w:b/>
                <w:bCs/>
                <w:color w:val="FFFF00"/>
                <w:spacing w:val="-5"/>
              </w:rPr>
              <w:t>项目区</w:t>
            </w:r>
          </w:p>
        </w:tc>
      </w:tr>
      <w:tr w14:paraId="51625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2" w:hRule="atLeast"/>
        </w:trPr>
        <w:tc>
          <w:tcPr>
            <w:tcW w:w="1713" w:type="dxa"/>
            <w:vMerge w:val="continue"/>
            <w:tcBorders>
              <w:top w:val="nil"/>
              <w:right w:val="single" w:color="000000" w:sz="2" w:space="0"/>
            </w:tcBorders>
            <w:vAlign w:val="top"/>
          </w:tcPr>
          <w:p w14:paraId="09C30F84">
            <w:pPr>
              <w:rPr>
                <w:rFonts w:ascii="Arial"/>
                <w:sz w:val="21"/>
              </w:rPr>
            </w:pPr>
          </w:p>
        </w:tc>
        <w:tc>
          <w:tcPr>
            <w:tcW w:w="7162" w:type="dxa"/>
            <w:tcBorders>
              <w:top w:val="nil"/>
              <w:left w:val="single" w:color="000000" w:sz="2" w:space="0"/>
            </w:tcBorders>
            <w:vAlign w:val="top"/>
          </w:tcPr>
          <w:p w14:paraId="53D3AEE3">
            <w:pPr>
              <w:pStyle w:val="6"/>
              <w:spacing w:before="75" w:line="233" w:lineRule="auto"/>
              <w:ind w:left="1250"/>
            </w:pPr>
            <w:r>
              <w:rPr>
                <w:b/>
                <w:bCs/>
                <w:spacing w:val="-3"/>
              </w:rPr>
              <w:t>图</w:t>
            </w:r>
            <w:r>
              <w:rPr>
                <w:rFonts w:ascii="Times New Roman" w:hAnsi="Times New Roman" w:eastAsia="Times New Roman" w:cs="Times New Roman"/>
                <w:b/>
                <w:bCs/>
                <w:spacing w:val="-3"/>
              </w:rPr>
              <w:t>1-4</w:t>
            </w:r>
            <w:r>
              <w:rPr>
                <w:b/>
                <w:bCs/>
                <w:spacing w:val="-3"/>
              </w:rPr>
              <w:t>：本项目与所属生态环境分区管控单元位置关系图</w:t>
            </w:r>
          </w:p>
          <w:p w14:paraId="413A1906">
            <w:pPr>
              <w:pStyle w:val="6"/>
              <w:spacing w:before="134" w:line="352" w:lineRule="auto"/>
              <w:ind w:left="112" w:right="105" w:firstLine="418"/>
            </w:pPr>
            <w:r>
              <w:t>本项目位于通川区东岳新型工业集聚区，属于达州市环境管控单元中的</w:t>
            </w:r>
            <w:r>
              <w:rPr>
                <w:spacing w:val="4"/>
              </w:rPr>
              <w:t xml:space="preserve"> </w:t>
            </w:r>
            <w:r>
              <w:rPr>
                <w:spacing w:val="-5"/>
              </w:rPr>
              <w:t>工业重点管控单元。</w:t>
            </w:r>
          </w:p>
          <w:p w14:paraId="16251399">
            <w:pPr>
              <w:pStyle w:val="6"/>
              <w:spacing w:line="218" w:lineRule="auto"/>
              <w:ind w:left="537"/>
            </w:pPr>
            <w:r>
              <w:rPr>
                <w:b/>
                <w:bCs/>
                <w:spacing w:val="-2"/>
              </w:rPr>
              <w:t>（</w:t>
            </w:r>
            <w:r>
              <w:rPr>
                <w:rFonts w:ascii="Times New Roman" w:hAnsi="Times New Roman" w:eastAsia="Times New Roman" w:cs="Times New Roman"/>
                <w:b/>
                <w:bCs/>
                <w:spacing w:val="-2"/>
              </w:rPr>
              <w:t>3</w:t>
            </w:r>
            <w:r>
              <w:rPr>
                <w:b/>
                <w:bCs/>
                <w:spacing w:val="-2"/>
              </w:rPr>
              <w:t>）与《川环办函</w:t>
            </w:r>
            <w:r>
              <w:rPr>
                <w:rFonts w:hint="eastAsia"/>
                <w:b/>
                <w:bCs/>
                <w:spacing w:val="-2"/>
                <w:lang w:eastAsia="zh-CN"/>
              </w:rPr>
              <w:t>〔2021〕469号</w:t>
            </w:r>
            <w:r>
              <w:rPr>
                <w:b/>
                <w:bCs/>
                <w:spacing w:val="-2"/>
              </w:rPr>
              <w:t>》的符合性分析</w:t>
            </w:r>
          </w:p>
          <w:p w14:paraId="0A6A470E">
            <w:pPr>
              <w:pStyle w:val="6"/>
              <w:spacing w:before="154" w:line="350" w:lineRule="auto"/>
              <w:ind w:left="110" w:firstLine="413"/>
            </w:pPr>
            <w:r>
              <w:rPr>
                <w:spacing w:val="-6"/>
              </w:rPr>
              <w:t>根据四川省生态环境厅办公室《关于印发</w:t>
            </w:r>
            <w:r>
              <w:rPr>
                <w:rFonts w:hint="eastAsia"/>
                <w:spacing w:val="-6"/>
                <w:lang w:eastAsia="zh-CN"/>
              </w:rPr>
              <w:t>〈</w:t>
            </w:r>
            <w:r>
              <w:rPr>
                <w:spacing w:val="-6"/>
              </w:rPr>
              <w:t>产</w:t>
            </w:r>
            <w:r>
              <w:rPr>
                <w:spacing w:val="-7"/>
              </w:rPr>
              <w:t>业园区规划环评“三线一单”</w:t>
            </w:r>
            <w:r>
              <w:t xml:space="preserve"> </w:t>
            </w:r>
            <w:r>
              <w:rPr>
                <w:spacing w:val="-2"/>
              </w:rPr>
              <w:t>符合性分析技术要点</w:t>
            </w:r>
            <w:r>
              <w:rPr>
                <w:rFonts w:hint="eastAsia"/>
                <w:spacing w:val="-2"/>
                <w:lang w:eastAsia="zh-CN"/>
              </w:rPr>
              <w:t>（</w:t>
            </w:r>
            <w:r>
              <w:rPr>
                <w:spacing w:val="-2"/>
              </w:rPr>
              <w:t>试行</w:t>
            </w:r>
            <w:r>
              <w:rPr>
                <w:rFonts w:hint="eastAsia"/>
                <w:spacing w:val="-2"/>
                <w:lang w:eastAsia="zh-CN"/>
              </w:rPr>
              <w:t>）〉</w:t>
            </w:r>
            <w:r>
              <w:rPr>
                <w:spacing w:val="-2"/>
              </w:rPr>
              <w:t>和</w:t>
            </w:r>
            <w:r>
              <w:rPr>
                <w:rFonts w:hint="eastAsia"/>
                <w:spacing w:val="-2"/>
                <w:lang w:eastAsia="zh-CN"/>
              </w:rPr>
              <w:t>〈</w:t>
            </w:r>
            <w:r>
              <w:rPr>
                <w:spacing w:val="-2"/>
              </w:rPr>
              <w:t>项目环评“三线一单”符合性分析技术要点</w:t>
            </w:r>
            <w:r>
              <w:rPr>
                <w:spacing w:val="4"/>
              </w:rPr>
              <w:t xml:space="preserve">   </w:t>
            </w:r>
            <w:r>
              <w:rPr>
                <w:rFonts w:hint="eastAsia"/>
                <w:spacing w:val="4"/>
                <w:lang w:eastAsia="zh-CN"/>
              </w:rPr>
              <w:t>（</w:t>
            </w:r>
            <w:r>
              <w:rPr>
                <w:spacing w:val="-1"/>
              </w:rPr>
              <w:t>试行</w:t>
            </w:r>
            <w:r>
              <w:rPr>
                <w:rFonts w:hint="eastAsia"/>
                <w:spacing w:val="-1"/>
                <w:lang w:eastAsia="zh-CN"/>
              </w:rPr>
              <w:t>）〉的通知》</w:t>
            </w:r>
            <w:r>
              <w:rPr>
                <w:spacing w:val="-1"/>
              </w:rPr>
              <w:t>（川环办函〔</w:t>
            </w:r>
            <w:r>
              <w:rPr>
                <w:rFonts w:ascii="Times New Roman" w:hAnsi="Times New Roman" w:eastAsia="Times New Roman" w:cs="Times New Roman"/>
                <w:spacing w:val="-1"/>
              </w:rPr>
              <w:t>2021</w:t>
            </w:r>
            <w:r>
              <w:rPr>
                <w:spacing w:val="-1"/>
              </w:rPr>
              <w:t>〕</w:t>
            </w:r>
            <w:r>
              <w:rPr>
                <w:rFonts w:ascii="Times New Roman" w:hAnsi="Times New Roman" w:eastAsia="Times New Roman" w:cs="Times New Roman"/>
                <w:spacing w:val="-2"/>
              </w:rPr>
              <w:t>469</w:t>
            </w:r>
            <w:r>
              <w:rPr>
                <w:spacing w:val="-2"/>
              </w:rPr>
              <w:t>号</w:t>
            </w:r>
            <w:r>
              <w:rPr>
                <w:spacing w:val="4"/>
              </w:rPr>
              <w:t>），</w:t>
            </w:r>
            <w:r>
              <w:rPr>
                <w:spacing w:val="-2"/>
              </w:rPr>
              <w:t>本项目属于位于园区内的污</w:t>
            </w:r>
            <w:r>
              <w:t xml:space="preserve">   </w:t>
            </w:r>
            <w:r>
              <w:rPr>
                <w:spacing w:val="-7"/>
              </w:rPr>
              <w:t>染影响类建设项目，但园区规划环评未开展“三线一单”</w:t>
            </w:r>
            <w:r>
              <w:rPr>
                <w:spacing w:val="-8"/>
              </w:rPr>
              <w:t>符合性分析。因此，</w:t>
            </w:r>
            <w:r>
              <w:t xml:space="preserve">  </w:t>
            </w:r>
            <w:r>
              <w:rPr>
                <w:spacing w:val="-3"/>
              </w:rPr>
              <w:t>本次评价从空间布局约束、污染物排放管控、环境风险防控、资源开发</w:t>
            </w:r>
            <w:r>
              <w:rPr>
                <w:spacing w:val="-4"/>
              </w:rPr>
              <w:t>效率</w:t>
            </w:r>
            <w:r>
              <w:t xml:space="preserve">   </w:t>
            </w:r>
            <w:r>
              <w:rPr>
                <w:spacing w:val="-4"/>
              </w:rPr>
              <w:t>等四个维度对空间符合性分析、生态环境准入清</w:t>
            </w:r>
            <w:r>
              <w:rPr>
                <w:spacing w:val="-5"/>
              </w:rPr>
              <w:t>单进行符合性分析。</w:t>
            </w:r>
          </w:p>
          <w:p w14:paraId="72F116EF">
            <w:pPr>
              <w:pStyle w:val="6"/>
              <w:spacing w:before="7" w:line="220" w:lineRule="auto"/>
              <w:ind w:left="531"/>
            </w:pPr>
            <w:r>
              <w:rPr>
                <w:spacing w:val="-6"/>
              </w:rPr>
              <w:t>符合性具体如下表：</w:t>
            </w:r>
          </w:p>
        </w:tc>
      </w:tr>
    </w:tbl>
    <w:p w14:paraId="2AE73AFE">
      <w:pPr>
        <w:rPr>
          <w:rFonts w:ascii="Arial"/>
          <w:sz w:val="21"/>
        </w:rPr>
      </w:pPr>
    </w:p>
    <w:p w14:paraId="5BAE5ABD">
      <w:pPr>
        <w:rPr>
          <w:rFonts w:ascii="Arial" w:hAnsi="Arial" w:eastAsia="Arial" w:cs="Arial"/>
          <w:sz w:val="21"/>
          <w:szCs w:val="21"/>
        </w:rPr>
        <w:sectPr>
          <w:footerReference r:id="rId11" w:type="default"/>
          <w:pgSz w:w="11907" w:h="16839"/>
          <w:pgMar w:top="1431" w:right="1507" w:bottom="1280" w:left="1508" w:header="0" w:footer="1027" w:gutter="0"/>
          <w:cols w:space="720" w:num="1"/>
        </w:sectPr>
      </w:pPr>
    </w:p>
    <w:p w14:paraId="4BE6CAE3">
      <w:pPr>
        <w:spacing w:before="18"/>
      </w:pPr>
    </w:p>
    <w:p w14:paraId="4DFD482C">
      <w:pPr>
        <w:spacing w:before="18"/>
      </w:pPr>
    </w:p>
    <w:tbl>
      <w:tblPr>
        <w:tblStyle w:val="5"/>
        <w:tblW w:w="135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6"/>
        <w:gridCol w:w="113"/>
        <w:gridCol w:w="1879"/>
        <w:gridCol w:w="795"/>
        <w:gridCol w:w="788"/>
        <w:gridCol w:w="4868"/>
        <w:gridCol w:w="2632"/>
        <w:gridCol w:w="513"/>
        <w:gridCol w:w="118"/>
      </w:tblGrid>
      <w:tr w14:paraId="58234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886" w:type="dxa"/>
            <w:vMerge w:val="restart"/>
            <w:tcBorders>
              <w:bottom w:val="nil"/>
            </w:tcBorders>
            <w:vAlign w:val="top"/>
          </w:tcPr>
          <w:p w14:paraId="76687F01">
            <w:pPr>
              <w:spacing w:line="254" w:lineRule="auto"/>
              <w:rPr>
                <w:rFonts w:ascii="Arial"/>
                <w:sz w:val="21"/>
              </w:rPr>
            </w:pPr>
          </w:p>
          <w:p w14:paraId="3EF7B2C0">
            <w:pPr>
              <w:spacing w:line="254" w:lineRule="auto"/>
              <w:rPr>
                <w:rFonts w:ascii="Arial"/>
                <w:sz w:val="21"/>
              </w:rPr>
            </w:pPr>
          </w:p>
          <w:p w14:paraId="6EA588F6">
            <w:pPr>
              <w:spacing w:line="254" w:lineRule="auto"/>
              <w:rPr>
                <w:rFonts w:ascii="Arial"/>
                <w:sz w:val="21"/>
              </w:rPr>
            </w:pPr>
          </w:p>
          <w:p w14:paraId="5DFDC432">
            <w:pPr>
              <w:spacing w:line="254" w:lineRule="auto"/>
              <w:rPr>
                <w:rFonts w:ascii="Arial"/>
                <w:sz w:val="21"/>
              </w:rPr>
            </w:pPr>
          </w:p>
          <w:p w14:paraId="0A29E9A4">
            <w:pPr>
              <w:spacing w:line="254" w:lineRule="auto"/>
              <w:rPr>
                <w:rFonts w:ascii="Arial"/>
                <w:sz w:val="21"/>
              </w:rPr>
            </w:pPr>
          </w:p>
          <w:p w14:paraId="530162AD">
            <w:pPr>
              <w:spacing w:line="254" w:lineRule="auto"/>
              <w:rPr>
                <w:rFonts w:ascii="Arial"/>
                <w:sz w:val="21"/>
              </w:rPr>
            </w:pPr>
          </w:p>
          <w:p w14:paraId="2877F3CE">
            <w:pPr>
              <w:spacing w:line="254" w:lineRule="auto"/>
              <w:rPr>
                <w:rFonts w:ascii="Arial"/>
                <w:sz w:val="21"/>
              </w:rPr>
            </w:pPr>
          </w:p>
          <w:p w14:paraId="1E6AF4FD">
            <w:pPr>
              <w:spacing w:line="254" w:lineRule="auto"/>
              <w:rPr>
                <w:rFonts w:ascii="Arial"/>
                <w:sz w:val="21"/>
              </w:rPr>
            </w:pPr>
          </w:p>
          <w:p w14:paraId="3E32B1CD">
            <w:pPr>
              <w:spacing w:line="254" w:lineRule="auto"/>
              <w:rPr>
                <w:rFonts w:ascii="Arial"/>
                <w:sz w:val="21"/>
              </w:rPr>
            </w:pPr>
          </w:p>
          <w:p w14:paraId="35A3015D">
            <w:pPr>
              <w:spacing w:line="254" w:lineRule="auto"/>
              <w:rPr>
                <w:rFonts w:ascii="Arial"/>
                <w:sz w:val="21"/>
              </w:rPr>
            </w:pPr>
          </w:p>
          <w:p w14:paraId="42E261CE">
            <w:pPr>
              <w:spacing w:line="254" w:lineRule="auto"/>
              <w:rPr>
                <w:rFonts w:ascii="Arial"/>
                <w:sz w:val="21"/>
              </w:rPr>
            </w:pPr>
          </w:p>
          <w:p w14:paraId="4C790279">
            <w:pPr>
              <w:spacing w:line="254" w:lineRule="auto"/>
              <w:rPr>
                <w:rFonts w:ascii="Arial"/>
                <w:sz w:val="21"/>
              </w:rPr>
            </w:pPr>
          </w:p>
          <w:p w14:paraId="62AA377A">
            <w:pPr>
              <w:spacing w:line="254" w:lineRule="auto"/>
              <w:rPr>
                <w:rFonts w:ascii="Arial"/>
                <w:sz w:val="21"/>
              </w:rPr>
            </w:pPr>
          </w:p>
          <w:p w14:paraId="639D7918">
            <w:pPr>
              <w:spacing w:line="254" w:lineRule="auto"/>
              <w:rPr>
                <w:rFonts w:ascii="Arial"/>
                <w:sz w:val="21"/>
              </w:rPr>
            </w:pPr>
          </w:p>
          <w:p w14:paraId="4E187DAA">
            <w:pPr>
              <w:spacing w:line="254" w:lineRule="auto"/>
              <w:rPr>
                <w:rFonts w:ascii="Arial"/>
                <w:sz w:val="21"/>
              </w:rPr>
            </w:pPr>
          </w:p>
          <w:p w14:paraId="70E8D6A8">
            <w:pPr>
              <w:spacing w:line="254" w:lineRule="auto"/>
              <w:rPr>
                <w:rFonts w:ascii="Arial"/>
                <w:sz w:val="21"/>
              </w:rPr>
            </w:pPr>
          </w:p>
          <w:p w14:paraId="29AF9037">
            <w:pPr>
              <w:spacing w:line="254" w:lineRule="auto"/>
              <w:rPr>
                <w:rFonts w:ascii="Arial"/>
                <w:sz w:val="21"/>
              </w:rPr>
            </w:pPr>
          </w:p>
          <w:p w14:paraId="659BB6B5">
            <w:pPr>
              <w:pStyle w:val="6"/>
              <w:spacing w:before="68" w:line="228" w:lineRule="auto"/>
              <w:ind w:left="176"/>
            </w:pPr>
            <w:r>
              <w:rPr>
                <w:b/>
                <w:bCs/>
                <w:spacing w:val="7"/>
              </w:rPr>
              <w:t>其他符合性分析</w:t>
            </w:r>
          </w:p>
        </w:tc>
        <w:tc>
          <w:tcPr>
            <w:tcW w:w="11706" w:type="dxa"/>
            <w:gridSpan w:val="8"/>
            <w:vAlign w:val="top"/>
          </w:tcPr>
          <w:p w14:paraId="2FA86EC8">
            <w:pPr>
              <w:pStyle w:val="6"/>
              <w:spacing w:before="120" w:line="202" w:lineRule="auto"/>
              <w:ind w:left="3211"/>
              <w:rPr>
                <w:sz w:val="20"/>
                <w:szCs w:val="20"/>
              </w:rPr>
            </w:pPr>
            <w:r>
              <w:rPr>
                <w:b/>
                <w:bCs/>
                <w:spacing w:val="-1"/>
                <w:sz w:val="20"/>
                <w:szCs w:val="20"/>
              </w:rPr>
              <w:t>表</w:t>
            </w:r>
            <w:r>
              <w:rPr>
                <w:rFonts w:ascii="Times New Roman" w:hAnsi="Times New Roman" w:eastAsia="Times New Roman" w:cs="Times New Roman"/>
                <w:b/>
                <w:bCs/>
                <w:spacing w:val="-1"/>
                <w:sz w:val="20"/>
                <w:szCs w:val="20"/>
              </w:rPr>
              <w:t xml:space="preserve">1-4    </w:t>
            </w:r>
            <w:r>
              <w:rPr>
                <w:b/>
                <w:bCs/>
                <w:spacing w:val="-1"/>
                <w:sz w:val="20"/>
                <w:szCs w:val="20"/>
              </w:rPr>
              <w:t>项目与“三线一单”生态环境</w:t>
            </w:r>
            <w:r>
              <w:rPr>
                <w:b/>
                <w:bCs/>
                <w:spacing w:val="-2"/>
                <w:sz w:val="20"/>
                <w:szCs w:val="20"/>
              </w:rPr>
              <w:t>准入清单的符合性分析</w:t>
            </w:r>
          </w:p>
        </w:tc>
      </w:tr>
      <w:tr w14:paraId="5CB70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886" w:type="dxa"/>
            <w:vMerge w:val="continue"/>
            <w:tcBorders>
              <w:top w:val="nil"/>
              <w:bottom w:val="nil"/>
            </w:tcBorders>
            <w:vAlign w:val="top"/>
          </w:tcPr>
          <w:p w14:paraId="06E0DE26">
            <w:pPr>
              <w:rPr>
                <w:rFonts w:ascii="Arial"/>
                <w:sz w:val="21"/>
              </w:rPr>
            </w:pPr>
          </w:p>
        </w:tc>
        <w:tc>
          <w:tcPr>
            <w:tcW w:w="113" w:type="dxa"/>
            <w:tcBorders>
              <w:top w:val="nil"/>
              <w:bottom w:val="nil"/>
            </w:tcBorders>
            <w:vAlign w:val="top"/>
          </w:tcPr>
          <w:p w14:paraId="1BB17BBB">
            <w:pPr>
              <w:rPr>
                <w:rFonts w:ascii="Arial"/>
                <w:sz w:val="21"/>
              </w:rPr>
            </w:pPr>
          </w:p>
        </w:tc>
        <w:tc>
          <w:tcPr>
            <w:tcW w:w="8330" w:type="dxa"/>
            <w:gridSpan w:val="4"/>
            <w:vAlign w:val="top"/>
          </w:tcPr>
          <w:p w14:paraId="3F280282">
            <w:pPr>
              <w:pStyle w:val="6"/>
              <w:spacing w:before="67" w:line="221" w:lineRule="auto"/>
              <w:ind w:left="3055"/>
              <w:rPr>
                <w:sz w:val="20"/>
                <w:szCs w:val="20"/>
              </w:rPr>
            </w:pPr>
            <w:r>
              <w:rPr>
                <w:sz w:val="20"/>
                <w:szCs w:val="20"/>
              </w:rPr>
              <w:t>“三线一单”的具体要求</w:t>
            </w:r>
          </w:p>
        </w:tc>
        <w:tc>
          <w:tcPr>
            <w:tcW w:w="2632" w:type="dxa"/>
            <w:vMerge w:val="restart"/>
            <w:tcBorders>
              <w:bottom w:val="nil"/>
            </w:tcBorders>
            <w:vAlign w:val="top"/>
          </w:tcPr>
          <w:p w14:paraId="621D8098">
            <w:pPr>
              <w:pStyle w:val="6"/>
              <w:spacing w:before="202" w:line="219" w:lineRule="auto"/>
              <w:ind w:left="817"/>
              <w:rPr>
                <w:sz w:val="20"/>
                <w:szCs w:val="20"/>
              </w:rPr>
            </w:pPr>
            <w:r>
              <w:rPr>
                <w:spacing w:val="-2"/>
                <w:sz w:val="20"/>
                <w:szCs w:val="20"/>
              </w:rPr>
              <w:t>本项目情况</w:t>
            </w:r>
          </w:p>
        </w:tc>
        <w:tc>
          <w:tcPr>
            <w:tcW w:w="513" w:type="dxa"/>
            <w:vMerge w:val="restart"/>
            <w:tcBorders>
              <w:bottom w:val="nil"/>
            </w:tcBorders>
            <w:vAlign w:val="top"/>
          </w:tcPr>
          <w:p w14:paraId="7C8ACB3C">
            <w:pPr>
              <w:pStyle w:val="6"/>
              <w:spacing w:before="72" w:line="242" w:lineRule="auto"/>
              <w:ind w:left="159" w:right="56" w:hanging="100"/>
              <w:rPr>
                <w:sz w:val="20"/>
                <w:szCs w:val="20"/>
              </w:rPr>
            </w:pPr>
            <w:r>
              <w:rPr>
                <w:spacing w:val="-5"/>
                <w:sz w:val="20"/>
                <w:szCs w:val="20"/>
              </w:rPr>
              <w:t>符合</w:t>
            </w:r>
            <w:r>
              <w:rPr>
                <w:sz w:val="20"/>
                <w:szCs w:val="20"/>
              </w:rPr>
              <w:t xml:space="preserve"> 性</w:t>
            </w:r>
          </w:p>
        </w:tc>
        <w:tc>
          <w:tcPr>
            <w:tcW w:w="118" w:type="dxa"/>
            <w:tcBorders>
              <w:top w:val="nil"/>
              <w:bottom w:val="nil"/>
            </w:tcBorders>
            <w:vAlign w:val="top"/>
          </w:tcPr>
          <w:p w14:paraId="35EDCC1B">
            <w:pPr>
              <w:rPr>
                <w:rFonts w:ascii="Arial"/>
                <w:sz w:val="21"/>
              </w:rPr>
            </w:pPr>
          </w:p>
        </w:tc>
      </w:tr>
      <w:tr w14:paraId="5ECE4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1886" w:type="dxa"/>
            <w:vMerge w:val="continue"/>
            <w:tcBorders>
              <w:top w:val="nil"/>
              <w:bottom w:val="nil"/>
            </w:tcBorders>
            <w:vAlign w:val="top"/>
          </w:tcPr>
          <w:p w14:paraId="2967F893">
            <w:pPr>
              <w:rPr>
                <w:rFonts w:ascii="Arial"/>
                <w:sz w:val="21"/>
              </w:rPr>
            </w:pPr>
          </w:p>
        </w:tc>
        <w:tc>
          <w:tcPr>
            <w:tcW w:w="113" w:type="dxa"/>
            <w:tcBorders>
              <w:top w:val="nil"/>
              <w:bottom w:val="nil"/>
            </w:tcBorders>
            <w:vAlign w:val="top"/>
          </w:tcPr>
          <w:p w14:paraId="0F6A311C">
            <w:pPr>
              <w:rPr>
                <w:rFonts w:ascii="Arial"/>
                <w:sz w:val="21"/>
              </w:rPr>
            </w:pPr>
          </w:p>
        </w:tc>
        <w:tc>
          <w:tcPr>
            <w:tcW w:w="3462" w:type="dxa"/>
            <w:gridSpan w:val="3"/>
            <w:vAlign w:val="top"/>
          </w:tcPr>
          <w:p w14:paraId="4CA8682F">
            <w:pPr>
              <w:pStyle w:val="6"/>
              <w:spacing w:before="45" w:line="207" w:lineRule="auto"/>
              <w:ind w:left="1534"/>
              <w:rPr>
                <w:sz w:val="20"/>
                <w:szCs w:val="20"/>
              </w:rPr>
            </w:pPr>
            <w:r>
              <w:rPr>
                <w:spacing w:val="-2"/>
                <w:sz w:val="20"/>
                <w:szCs w:val="20"/>
              </w:rPr>
              <w:t>类别</w:t>
            </w:r>
          </w:p>
        </w:tc>
        <w:tc>
          <w:tcPr>
            <w:tcW w:w="4868" w:type="dxa"/>
            <w:vAlign w:val="top"/>
          </w:tcPr>
          <w:p w14:paraId="4101597A">
            <w:pPr>
              <w:pStyle w:val="6"/>
              <w:spacing w:before="45" w:line="207" w:lineRule="auto"/>
              <w:ind w:left="1831"/>
              <w:rPr>
                <w:sz w:val="20"/>
                <w:szCs w:val="20"/>
              </w:rPr>
            </w:pPr>
            <w:r>
              <w:rPr>
                <w:spacing w:val="-1"/>
                <w:sz w:val="20"/>
                <w:szCs w:val="20"/>
              </w:rPr>
              <w:t>对应管控要求</w:t>
            </w:r>
          </w:p>
        </w:tc>
        <w:tc>
          <w:tcPr>
            <w:tcW w:w="2632" w:type="dxa"/>
            <w:vMerge w:val="continue"/>
            <w:tcBorders>
              <w:top w:val="nil"/>
            </w:tcBorders>
            <w:vAlign w:val="top"/>
          </w:tcPr>
          <w:p w14:paraId="689A85C8">
            <w:pPr>
              <w:rPr>
                <w:rFonts w:ascii="Arial"/>
                <w:sz w:val="21"/>
              </w:rPr>
            </w:pPr>
          </w:p>
        </w:tc>
        <w:tc>
          <w:tcPr>
            <w:tcW w:w="513" w:type="dxa"/>
            <w:vMerge w:val="continue"/>
            <w:tcBorders>
              <w:top w:val="nil"/>
            </w:tcBorders>
            <w:vAlign w:val="top"/>
          </w:tcPr>
          <w:p w14:paraId="72DB28CC">
            <w:pPr>
              <w:rPr>
                <w:rFonts w:ascii="Arial"/>
                <w:sz w:val="21"/>
              </w:rPr>
            </w:pPr>
          </w:p>
        </w:tc>
        <w:tc>
          <w:tcPr>
            <w:tcW w:w="118" w:type="dxa"/>
            <w:tcBorders>
              <w:top w:val="nil"/>
              <w:bottom w:val="nil"/>
            </w:tcBorders>
            <w:vAlign w:val="top"/>
          </w:tcPr>
          <w:p w14:paraId="15EA274C">
            <w:pPr>
              <w:rPr>
                <w:rFonts w:ascii="Arial"/>
                <w:sz w:val="21"/>
              </w:rPr>
            </w:pPr>
          </w:p>
        </w:tc>
      </w:tr>
      <w:tr w14:paraId="644EF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3" w:hRule="atLeast"/>
        </w:trPr>
        <w:tc>
          <w:tcPr>
            <w:tcW w:w="1886" w:type="dxa"/>
            <w:vMerge w:val="continue"/>
            <w:tcBorders>
              <w:top w:val="nil"/>
              <w:bottom w:val="nil"/>
            </w:tcBorders>
            <w:vAlign w:val="top"/>
          </w:tcPr>
          <w:p w14:paraId="7203C08A">
            <w:pPr>
              <w:rPr>
                <w:rFonts w:ascii="Arial"/>
                <w:sz w:val="21"/>
              </w:rPr>
            </w:pPr>
          </w:p>
        </w:tc>
        <w:tc>
          <w:tcPr>
            <w:tcW w:w="113" w:type="dxa"/>
            <w:tcBorders>
              <w:top w:val="nil"/>
              <w:bottom w:val="nil"/>
            </w:tcBorders>
            <w:vAlign w:val="top"/>
          </w:tcPr>
          <w:p w14:paraId="31A1502A">
            <w:pPr>
              <w:rPr>
                <w:rFonts w:ascii="Arial"/>
                <w:sz w:val="21"/>
              </w:rPr>
            </w:pPr>
          </w:p>
        </w:tc>
        <w:tc>
          <w:tcPr>
            <w:tcW w:w="1879" w:type="dxa"/>
            <w:vAlign w:val="top"/>
          </w:tcPr>
          <w:p w14:paraId="2BA1A1D5">
            <w:pPr>
              <w:spacing w:line="255" w:lineRule="auto"/>
              <w:rPr>
                <w:rFonts w:ascii="Arial"/>
                <w:sz w:val="21"/>
              </w:rPr>
            </w:pPr>
          </w:p>
          <w:p w14:paraId="5C2CB7D2">
            <w:pPr>
              <w:spacing w:line="255" w:lineRule="auto"/>
              <w:rPr>
                <w:rFonts w:ascii="Arial"/>
                <w:sz w:val="21"/>
              </w:rPr>
            </w:pPr>
          </w:p>
          <w:p w14:paraId="4D3DD2E1">
            <w:pPr>
              <w:spacing w:line="255" w:lineRule="auto"/>
              <w:rPr>
                <w:rFonts w:ascii="Arial"/>
                <w:sz w:val="21"/>
              </w:rPr>
            </w:pPr>
          </w:p>
          <w:p w14:paraId="6693B0D2">
            <w:pPr>
              <w:spacing w:line="255" w:lineRule="auto"/>
              <w:rPr>
                <w:rFonts w:ascii="Arial"/>
                <w:sz w:val="21"/>
              </w:rPr>
            </w:pPr>
          </w:p>
          <w:p w14:paraId="1FA027EB">
            <w:pPr>
              <w:spacing w:line="255" w:lineRule="auto"/>
              <w:rPr>
                <w:rFonts w:ascii="Arial"/>
                <w:sz w:val="21"/>
              </w:rPr>
            </w:pPr>
          </w:p>
          <w:p w14:paraId="16C4B273">
            <w:pPr>
              <w:spacing w:line="255" w:lineRule="auto"/>
              <w:rPr>
                <w:rFonts w:ascii="Arial"/>
                <w:sz w:val="21"/>
              </w:rPr>
            </w:pPr>
          </w:p>
          <w:p w14:paraId="195BFC82">
            <w:pPr>
              <w:spacing w:line="255" w:lineRule="auto"/>
              <w:rPr>
                <w:rFonts w:ascii="Arial"/>
                <w:sz w:val="21"/>
              </w:rPr>
            </w:pPr>
          </w:p>
          <w:p w14:paraId="558B7004">
            <w:pPr>
              <w:spacing w:line="255" w:lineRule="auto"/>
              <w:rPr>
                <w:rFonts w:ascii="Arial"/>
                <w:sz w:val="21"/>
              </w:rPr>
            </w:pPr>
          </w:p>
          <w:p w14:paraId="328769B4">
            <w:pPr>
              <w:spacing w:line="255" w:lineRule="auto"/>
              <w:rPr>
                <w:rFonts w:ascii="Arial"/>
                <w:sz w:val="21"/>
              </w:rPr>
            </w:pPr>
          </w:p>
          <w:p w14:paraId="0A47EC6A">
            <w:pPr>
              <w:spacing w:line="255" w:lineRule="auto"/>
              <w:rPr>
                <w:rFonts w:ascii="Arial"/>
                <w:sz w:val="21"/>
              </w:rPr>
            </w:pPr>
          </w:p>
          <w:p w14:paraId="4AB6320B">
            <w:pPr>
              <w:spacing w:line="256" w:lineRule="auto"/>
              <w:rPr>
                <w:rFonts w:ascii="Arial"/>
                <w:sz w:val="21"/>
              </w:rPr>
            </w:pPr>
          </w:p>
          <w:p w14:paraId="6715070C">
            <w:pPr>
              <w:spacing w:line="256" w:lineRule="auto"/>
              <w:rPr>
                <w:rFonts w:ascii="Arial"/>
                <w:sz w:val="21"/>
              </w:rPr>
            </w:pPr>
          </w:p>
          <w:p w14:paraId="30092E3B">
            <w:pPr>
              <w:spacing w:line="256" w:lineRule="auto"/>
              <w:rPr>
                <w:rFonts w:ascii="Arial"/>
                <w:sz w:val="21"/>
              </w:rPr>
            </w:pPr>
          </w:p>
          <w:p w14:paraId="74293EDA">
            <w:pPr>
              <w:pStyle w:val="6"/>
              <w:spacing w:before="65"/>
              <w:ind w:left="49" w:right="45"/>
              <w:rPr>
                <w:sz w:val="20"/>
                <w:szCs w:val="20"/>
              </w:rPr>
            </w:pPr>
            <w:r>
              <w:rPr>
                <w:spacing w:val="22"/>
                <w:sz w:val="20"/>
                <w:szCs w:val="20"/>
              </w:rPr>
              <w:t>环境综合管控单元</w:t>
            </w:r>
            <w:r>
              <w:rPr>
                <w:sz w:val="20"/>
                <w:szCs w:val="20"/>
              </w:rPr>
              <w:t xml:space="preserve"> </w:t>
            </w:r>
            <w:r>
              <w:rPr>
                <w:spacing w:val="-3"/>
                <w:sz w:val="20"/>
                <w:szCs w:val="20"/>
              </w:rPr>
              <w:t>工业重点管控单元、</w:t>
            </w:r>
            <w:r>
              <w:rPr>
                <w:spacing w:val="4"/>
                <w:sz w:val="20"/>
                <w:szCs w:val="20"/>
              </w:rPr>
              <w:t xml:space="preserve"> </w:t>
            </w:r>
            <w:r>
              <w:rPr>
                <w:spacing w:val="-3"/>
                <w:sz w:val="20"/>
                <w:szCs w:val="20"/>
              </w:rPr>
              <w:t>ZH51170220003</w:t>
            </w:r>
            <w:r>
              <w:rPr>
                <w:spacing w:val="-35"/>
                <w:sz w:val="20"/>
                <w:szCs w:val="20"/>
              </w:rPr>
              <w:t xml:space="preserve"> </w:t>
            </w:r>
            <w:r>
              <w:rPr>
                <w:spacing w:val="-3"/>
                <w:sz w:val="20"/>
                <w:szCs w:val="20"/>
              </w:rPr>
              <w:t>、</w:t>
            </w:r>
            <w:r>
              <w:rPr>
                <w:spacing w:val="-43"/>
                <w:sz w:val="20"/>
                <w:szCs w:val="20"/>
              </w:rPr>
              <w:t xml:space="preserve"> </w:t>
            </w:r>
            <w:r>
              <w:rPr>
                <w:spacing w:val="-3"/>
                <w:sz w:val="20"/>
                <w:szCs w:val="20"/>
              </w:rPr>
              <w:t>东</w:t>
            </w:r>
            <w:r>
              <w:rPr>
                <w:sz w:val="20"/>
                <w:szCs w:val="20"/>
              </w:rPr>
              <w:t xml:space="preserve"> </w:t>
            </w:r>
            <w:r>
              <w:rPr>
                <w:spacing w:val="-1"/>
                <w:sz w:val="20"/>
                <w:szCs w:val="20"/>
              </w:rPr>
              <w:t>岳新型工业集聚区</w:t>
            </w:r>
          </w:p>
        </w:tc>
        <w:tc>
          <w:tcPr>
            <w:tcW w:w="795" w:type="dxa"/>
            <w:vAlign w:val="top"/>
          </w:tcPr>
          <w:p w14:paraId="4A192A09">
            <w:pPr>
              <w:spacing w:line="255" w:lineRule="auto"/>
              <w:rPr>
                <w:rFonts w:ascii="Arial"/>
                <w:sz w:val="21"/>
              </w:rPr>
            </w:pPr>
          </w:p>
          <w:p w14:paraId="3722F320">
            <w:pPr>
              <w:spacing w:line="255" w:lineRule="auto"/>
              <w:rPr>
                <w:rFonts w:ascii="Arial"/>
                <w:sz w:val="21"/>
              </w:rPr>
            </w:pPr>
          </w:p>
          <w:p w14:paraId="0297D3B8">
            <w:pPr>
              <w:spacing w:line="255" w:lineRule="auto"/>
              <w:rPr>
                <w:rFonts w:ascii="Arial"/>
                <w:sz w:val="21"/>
              </w:rPr>
            </w:pPr>
          </w:p>
          <w:p w14:paraId="575C59DB">
            <w:pPr>
              <w:spacing w:line="255" w:lineRule="auto"/>
              <w:rPr>
                <w:rFonts w:ascii="Arial"/>
                <w:sz w:val="21"/>
              </w:rPr>
            </w:pPr>
          </w:p>
          <w:p w14:paraId="31420C20">
            <w:pPr>
              <w:spacing w:line="255" w:lineRule="auto"/>
              <w:rPr>
                <w:rFonts w:ascii="Arial"/>
                <w:sz w:val="21"/>
              </w:rPr>
            </w:pPr>
          </w:p>
          <w:p w14:paraId="229C0B0B">
            <w:pPr>
              <w:spacing w:line="255" w:lineRule="auto"/>
              <w:rPr>
                <w:rFonts w:ascii="Arial"/>
                <w:sz w:val="21"/>
              </w:rPr>
            </w:pPr>
          </w:p>
          <w:p w14:paraId="257E46FA">
            <w:pPr>
              <w:spacing w:line="255" w:lineRule="auto"/>
              <w:rPr>
                <w:rFonts w:ascii="Arial"/>
                <w:sz w:val="21"/>
              </w:rPr>
            </w:pPr>
          </w:p>
          <w:p w14:paraId="5FB73ECC">
            <w:pPr>
              <w:spacing w:line="255" w:lineRule="auto"/>
              <w:rPr>
                <w:rFonts w:ascii="Arial"/>
                <w:sz w:val="21"/>
              </w:rPr>
            </w:pPr>
          </w:p>
          <w:p w14:paraId="0CFD852A">
            <w:pPr>
              <w:spacing w:line="255" w:lineRule="auto"/>
              <w:rPr>
                <w:rFonts w:ascii="Arial"/>
                <w:sz w:val="21"/>
              </w:rPr>
            </w:pPr>
          </w:p>
          <w:p w14:paraId="7B783B3D">
            <w:pPr>
              <w:spacing w:line="255" w:lineRule="auto"/>
              <w:rPr>
                <w:rFonts w:ascii="Arial"/>
                <w:sz w:val="21"/>
              </w:rPr>
            </w:pPr>
          </w:p>
          <w:p w14:paraId="2A6E2763">
            <w:pPr>
              <w:spacing w:line="255" w:lineRule="auto"/>
              <w:rPr>
                <w:rFonts w:ascii="Arial"/>
                <w:sz w:val="21"/>
              </w:rPr>
            </w:pPr>
          </w:p>
          <w:p w14:paraId="3A745FF9">
            <w:pPr>
              <w:spacing w:line="256" w:lineRule="auto"/>
              <w:rPr>
                <w:rFonts w:ascii="Arial"/>
                <w:sz w:val="21"/>
              </w:rPr>
            </w:pPr>
          </w:p>
          <w:p w14:paraId="404EBBE0">
            <w:pPr>
              <w:spacing w:line="256" w:lineRule="auto"/>
              <w:rPr>
                <w:rFonts w:ascii="Arial"/>
                <w:sz w:val="21"/>
              </w:rPr>
            </w:pPr>
          </w:p>
          <w:p w14:paraId="0980A715">
            <w:pPr>
              <w:pStyle w:val="6"/>
              <w:spacing w:before="65" w:line="219" w:lineRule="auto"/>
              <w:ind w:left="94"/>
              <w:rPr>
                <w:sz w:val="20"/>
                <w:szCs w:val="20"/>
              </w:rPr>
            </w:pPr>
            <w:r>
              <w:rPr>
                <w:spacing w:val="-2"/>
                <w:sz w:val="20"/>
                <w:szCs w:val="20"/>
              </w:rPr>
              <w:t>达州市</w:t>
            </w:r>
          </w:p>
          <w:p w14:paraId="4E30E184">
            <w:pPr>
              <w:pStyle w:val="6"/>
              <w:spacing w:before="21" w:line="220" w:lineRule="auto"/>
              <w:ind w:left="94"/>
              <w:rPr>
                <w:sz w:val="20"/>
                <w:szCs w:val="20"/>
              </w:rPr>
            </w:pPr>
            <w:r>
              <w:rPr>
                <w:spacing w:val="-2"/>
                <w:sz w:val="20"/>
                <w:szCs w:val="20"/>
              </w:rPr>
              <w:t>普适性</w:t>
            </w:r>
          </w:p>
          <w:p w14:paraId="66C3CEFC">
            <w:pPr>
              <w:pStyle w:val="6"/>
              <w:spacing w:before="20" w:line="220" w:lineRule="auto"/>
              <w:ind w:left="94"/>
              <w:rPr>
                <w:sz w:val="20"/>
                <w:szCs w:val="20"/>
              </w:rPr>
            </w:pPr>
            <w:r>
              <w:rPr>
                <w:spacing w:val="-2"/>
                <w:sz w:val="20"/>
                <w:szCs w:val="20"/>
              </w:rPr>
              <w:t>清单管</w:t>
            </w:r>
          </w:p>
          <w:p w14:paraId="2EC8F7ED">
            <w:pPr>
              <w:pStyle w:val="6"/>
              <w:spacing w:before="20" w:line="221" w:lineRule="auto"/>
              <w:ind w:left="94"/>
              <w:rPr>
                <w:sz w:val="20"/>
                <w:szCs w:val="20"/>
              </w:rPr>
            </w:pPr>
            <w:r>
              <w:rPr>
                <w:spacing w:val="-2"/>
                <w:sz w:val="20"/>
                <w:szCs w:val="20"/>
              </w:rPr>
              <w:t>控要求</w:t>
            </w:r>
          </w:p>
        </w:tc>
        <w:tc>
          <w:tcPr>
            <w:tcW w:w="788" w:type="dxa"/>
            <w:vAlign w:val="top"/>
          </w:tcPr>
          <w:p w14:paraId="12C331F2">
            <w:pPr>
              <w:spacing w:line="255" w:lineRule="auto"/>
              <w:rPr>
                <w:rFonts w:ascii="Arial"/>
                <w:sz w:val="21"/>
              </w:rPr>
            </w:pPr>
          </w:p>
          <w:p w14:paraId="261A3979">
            <w:pPr>
              <w:spacing w:line="255" w:lineRule="auto"/>
              <w:rPr>
                <w:rFonts w:ascii="Arial"/>
                <w:sz w:val="21"/>
              </w:rPr>
            </w:pPr>
          </w:p>
          <w:p w14:paraId="1A165315">
            <w:pPr>
              <w:spacing w:line="255" w:lineRule="auto"/>
              <w:rPr>
                <w:rFonts w:ascii="Arial"/>
                <w:sz w:val="21"/>
              </w:rPr>
            </w:pPr>
          </w:p>
          <w:p w14:paraId="42665449">
            <w:pPr>
              <w:spacing w:line="255" w:lineRule="auto"/>
              <w:rPr>
                <w:rFonts w:ascii="Arial"/>
                <w:sz w:val="21"/>
              </w:rPr>
            </w:pPr>
          </w:p>
          <w:p w14:paraId="723C172A">
            <w:pPr>
              <w:spacing w:line="255" w:lineRule="auto"/>
              <w:rPr>
                <w:rFonts w:ascii="Arial"/>
                <w:sz w:val="21"/>
              </w:rPr>
            </w:pPr>
          </w:p>
          <w:p w14:paraId="11DB4237">
            <w:pPr>
              <w:spacing w:line="255" w:lineRule="auto"/>
              <w:rPr>
                <w:rFonts w:ascii="Arial"/>
                <w:sz w:val="21"/>
              </w:rPr>
            </w:pPr>
          </w:p>
          <w:p w14:paraId="67C04082">
            <w:pPr>
              <w:spacing w:line="255" w:lineRule="auto"/>
              <w:rPr>
                <w:rFonts w:ascii="Arial"/>
                <w:sz w:val="21"/>
              </w:rPr>
            </w:pPr>
          </w:p>
          <w:p w14:paraId="254E9587">
            <w:pPr>
              <w:spacing w:line="255" w:lineRule="auto"/>
              <w:rPr>
                <w:rFonts w:ascii="Arial"/>
                <w:sz w:val="21"/>
              </w:rPr>
            </w:pPr>
          </w:p>
          <w:p w14:paraId="08B72623">
            <w:pPr>
              <w:spacing w:line="255" w:lineRule="auto"/>
              <w:rPr>
                <w:rFonts w:ascii="Arial"/>
                <w:sz w:val="21"/>
              </w:rPr>
            </w:pPr>
          </w:p>
          <w:p w14:paraId="6226D3AD">
            <w:pPr>
              <w:spacing w:line="256" w:lineRule="auto"/>
              <w:rPr>
                <w:rFonts w:ascii="Arial"/>
                <w:sz w:val="21"/>
              </w:rPr>
            </w:pPr>
          </w:p>
          <w:p w14:paraId="14D19EB6">
            <w:pPr>
              <w:spacing w:line="256" w:lineRule="auto"/>
              <w:rPr>
                <w:rFonts w:ascii="Arial"/>
                <w:sz w:val="21"/>
              </w:rPr>
            </w:pPr>
          </w:p>
          <w:p w14:paraId="76B813B3">
            <w:pPr>
              <w:spacing w:line="256" w:lineRule="auto"/>
              <w:rPr>
                <w:rFonts w:ascii="Arial"/>
                <w:sz w:val="21"/>
              </w:rPr>
            </w:pPr>
          </w:p>
          <w:p w14:paraId="58099FB3">
            <w:pPr>
              <w:spacing w:line="256" w:lineRule="auto"/>
              <w:rPr>
                <w:rFonts w:ascii="Arial"/>
                <w:sz w:val="21"/>
              </w:rPr>
            </w:pPr>
          </w:p>
          <w:p w14:paraId="382486DE">
            <w:pPr>
              <w:spacing w:line="256" w:lineRule="auto"/>
              <w:rPr>
                <w:rFonts w:ascii="Arial"/>
                <w:sz w:val="21"/>
              </w:rPr>
            </w:pPr>
          </w:p>
          <w:p w14:paraId="6C79660E">
            <w:pPr>
              <w:pStyle w:val="6"/>
              <w:spacing w:before="65" w:line="219" w:lineRule="auto"/>
              <w:ind w:left="98"/>
              <w:rPr>
                <w:sz w:val="20"/>
                <w:szCs w:val="20"/>
              </w:rPr>
            </w:pPr>
            <w:r>
              <w:rPr>
                <w:spacing w:val="-3"/>
                <w:sz w:val="20"/>
                <w:szCs w:val="20"/>
              </w:rPr>
              <w:t>空间布</w:t>
            </w:r>
          </w:p>
          <w:p w14:paraId="66C316D1">
            <w:pPr>
              <w:pStyle w:val="6"/>
              <w:spacing w:before="21" w:line="220" w:lineRule="auto"/>
              <w:ind w:left="94"/>
              <w:rPr>
                <w:sz w:val="20"/>
                <w:szCs w:val="20"/>
              </w:rPr>
            </w:pPr>
            <w:r>
              <w:rPr>
                <w:spacing w:val="-3"/>
                <w:sz w:val="20"/>
                <w:szCs w:val="20"/>
              </w:rPr>
              <w:t>局约束</w:t>
            </w:r>
          </w:p>
        </w:tc>
        <w:tc>
          <w:tcPr>
            <w:tcW w:w="4868" w:type="dxa"/>
            <w:vAlign w:val="top"/>
          </w:tcPr>
          <w:p w14:paraId="4BF3A0C9">
            <w:pPr>
              <w:pStyle w:val="6"/>
              <w:spacing w:before="30" w:line="220" w:lineRule="auto"/>
              <w:ind w:left="45"/>
              <w:rPr>
                <w:sz w:val="20"/>
                <w:szCs w:val="20"/>
              </w:rPr>
            </w:pPr>
            <w:r>
              <w:rPr>
                <w:b/>
                <w:bCs/>
                <w:spacing w:val="-3"/>
                <w:sz w:val="20"/>
                <w:szCs w:val="20"/>
              </w:rPr>
              <w:t>禁止开发建设活动的要求</w:t>
            </w:r>
          </w:p>
          <w:p w14:paraId="1F7CC95E">
            <w:pPr>
              <w:pStyle w:val="6"/>
              <w:spacing w:before="20" w:line="233" w:lineRule="auto"/>
              <w:ind w:left="45" w:hanging="2"/>
              <w:rPr>
                <w:sz w:val="20"/>
                <w:szCs w:val="20"/>
              </w:rPr>
            </w:pPr>
            <w:r>
              <w:rPr>
                <w:rFonts w:hint="eastAsia"/>
                <w:spacing w:val="-2"/>
                <w:sz w:val="20"/>
                <w:szCs w:val="20"/>
                <w:lang w:eastAsia="zh-CN"/>
              </w:rPr>
              <w:t>－</w:t>
            </w:r>
            <w:r>
              <w:rPr>
                <w:spacing w:val="-2"/>
                <w:sz w:val="20"/>
                <w:szCs w:val="20"/>
              </w:rPr>
              <w:t>禁止在长江干支流 1 公里范围内新建、扩建化工园区</w:t>
            </w:r>
            <w:r>
              <w:rPr>
                <w:sz w:val="20"/>
                <w:szCs w:val="20"/>
              </w:rPr>
              <w:t xml:space="preserve"> </w:t>
            </w:r>
            <w:r>
              <w:rPr>
                <w:spacing w:val="-8"/>
                <w:sz w:val="20"/>
                <w:szCs w:val="20"/>
              </w:rPr>
              <w:t>和化工项目，严控新建石油化工、煤化工、涉磷、造纸、</w:t>
            </w:r>
            <w:r>
              <w:rPr>
                <w:spacing w:val="15"/>
                <w:sz w:val="20"/>
                <w:szCs w:val="20"/>
              </w:rPr>
              <w:t xml:space="preserve"> </w:t>
            </w:r>
            <w:r>
              <w:rPr>
                <w:spacing w:val="-4"/>
                <w:sz w:val="20"/>
                <w:szCs w:val="20"/>
              </w:rPr>
              <w:t>印染、制革等项目。</w:t>
            </w:r>
          </w:p>
          <w:p w14:paraId="10EA7256">
            <w:pPr>
              <w:pStyle w:val="6"/>
              <w:spacing w:before="20" w:line="230" w:lineRule="auto"/>
              <w:ind w:left="44" w:right="61" w:hanging="1"/>
              <w:rPr>
                <w:sz w:val="20"/>
                <w:szCs w:val="20"/>
              </w:rPr>
            </w:pPr>
            <w:r>
              <w:rPr>
                <w:rFonts w:hint="eastAsia"/>
                <w:spacing w:val="2"/>
                <w:sz w:val="20"/>
                <w:szCs w:val="20"/>
                <w:lang w:eastAsia="zh-CN"/>
              </w:rPr>
              <w:t>－</w:t>
            </w:r>
            <w:r>
              <w:rPr>
                <w:spacing w:val="2"/>
                <w:sz w:val="20"/>
                <w:szCs w:val="20"/>
              </w:rPr>
              <w:t>禁止从事《长江经济带发展负面清单指南（试行）》</w:t>
            </w:r>
            <w:r>
              <w:rPr>
                <w:spacing w:val="8"/>
                <w:sz w:val="20"/>
                <w:szCs w:val="20"/>
              </w:rPr>
              <w:t xml:space="preserve"> </w:t>
            </w:r>
            <w:r>
              <w:rPr>
                <w:spacing w:val="-3"/>
                <w:sz w:val="20"/>
                <w:szCs w:val="20"/>
              </w:rPr>
              <w:t>禁止准入类事项。</w:t>
            </w:r>
          </w:p>
          <w:p w14:paraId="1292BC7F">
            <w:pPr>
              <w:pStyle w:val="6"/>
              <w:spacing w:before="22" w:line="230" w:lineRule="auto"/>
              <w:ind w:left="44" w:right="53" w:hanging="1"/>
              <w:rPr>
                <w:sz w:val="20"/>
                <w:szCs w:val="20"/>
              </w:rPr>
            </w:pPr>
            <w:r>
              <w:rPr>
                <w:rFonts w:hint="eastAsia"/>
                <w:spacing w:val="2"/>
                <w:sz w:val="20"/>
                <w:szCs w:val="20"/>
                <w:lang w:eastAsia="zh-CN"/>
              </w:rPr>
              <w:t>－</w:t>
            </w:r>
            <w:r>
              <w:rPr>
                <w:spacing w:val="2"/>
                <w:sz w:val="20"/>
                <w:szCs w:val="20"/>
              </w:rPr>
              <w:t>引进项目应符合园区规划环评和区域产业准入及负面</w:t>
            </w:r>
            <w:r>
              <w:rPr>
                <w:spacing w:val="16"/>
                <w:sz w:val="20"/>
                <w:szCs w:val="20"/>
              </w:rPr>
              <w:t xml:space="preserve"> </w:t>
            </w:r>
            <w:r>
              <w:rPr>
                <w:spacing w:val="-2"/>
                <w:sz w:val="20"/>
                <w:szCs w:val="20"/>
              </w:rPr>
              <w:t>清单要求。</w:t>
            </w:r>
          </w:p>
          <w:p w14:paraId="3B9947E9">
            <w:pPr>
              <w:pStyle w:val="6"/>
              <w:spacing w:before="20" w:line="230" w:lineRule="auto"/>
              <w:ind w:left="47" w:right="53" w:hanging="4"/>
              <w:rPr>
                <w:sz w:val="20"/>
                <w:szCs w:val="20"/>
              </w:rPr>
            </w:pPr>
            <w:r>
              <w:rPr>
                <w:rFonts w:hint="eastAsia"/>
                <w:spacing w:val="2"/>
                <w:sz w:val="20"/>
                <w:szCs w:val="20"/>
                <w:lang w:eastAsia="zh-CN"/>
              </w:rPr>
              <w:t>－</w:t>
            </w:r>
            <w:r>
              <w:rPr>
                <w:spacing w:val="2"/>
                <w:sz w:val="20"/>
                <w:szCs w:val="20"/>
              </w:rPr>
              <w:t>禁止新建不符合国家产业政策和行业准入条件的高污</w:t>
            </w:r>
            <w:r>
              <w:rPr>
                <w:spacing w:val="16"/>
                <w:sz w:val="20"/>
                <w:szCs w:val="20"/>
              </w:rPr>
              <w:t xml:space="preserve"> </w:t>
            </w:r>
            <w:r>
              <w:rPr>
                <w:spacing w:val="-8"/>
                <w:sz w:val="20"/>
                <w:szCs w:val="20"/>
              </w:rPr>
              <w:t>染项目。</w:t>
            </w:r>
          </w:p>
          <w:p w14:paraId="2FEFAC63">
            <w:pPr>
              <w:pStyle w:val="6"/>
              <w:spacing w:before="20" w:line="220" w:lineRule="auto"/>
              <w:ind w:left="43"/>
              <w:rPr>
                <w:sz w:val="20"/>
                <w:szCs w:val="20"/>
              </w:rPr>
            </w:pPr>
            <w:r>
              <w:rPr>
                <w:spacing w:val="-1"/>
                <w:sz w:val="20"/>
                <w:szCs w:val="20"/>
              </w:rPr>
              <w:t>-工业园区禁止新建高污染燃料锅炉。</w:t>
            </w:r>
          </w:p>
          <w:p w14:paraId="212F5C01">
            <w:pPr>
              <w:pStyle w:val="6"/>
              <w:spacing w:before="20" w:line="230" w:lineRule="auto"/>
              <w:ind w:left="47" w:right="82" w:hanging="4"/>
              <w:rPr>
                <w:sz w:val="20"/>
                <w:szCs w:val="20"/>
              </w:rPr>
            </w:pPr>
            <w:r>
              <w:rPr>
                <w:rFonts w:hint="eastAsia"/>
                <w:spacing w:val="1"/>
                <w:sz w:val="20"/>
                <w:szCs w:val="20"/>
                <w:lang w:eastAsia="zh-CN"/>
              </w:rPr>
              <w:t>－</w:t>
            </w:r>
            <w:r>
              <w:rPr>
                <w:spacing w:val="1"/>
                <w:sz w:val="20"/>
                <w:szCs w:val="20"/>
              </w:rPr>
              <w:t>禁止在长江流域河湖管理范围内倾倒、填埋、堆放、</w:t>
            </w:r>
            <w:r>
              <w:rPr>
                <w:spacing w:val="11"/>
                <w:sz w:val="20"/>
                <w:szCs w:val="20"/>
              </w:rPr>
              <w:t xml:space="preserve"> </w:t>
            </w:r>
            <w:r>
              <w:rPr>
                <w:spacing w:val="-4"/>
                <w:sz w:val="20"/>
                <w:szCs w:val="20"/>
              </w:rPr>
              <w:t>弃置、处理固体废物。</w:t>
            </w:r>
          </w:p>
          <w:p w14:paraId="58EC356B">
            <w:pPr>
              <w:pStyle w:val="6"/>
              <w:spacing w:before="24" w:line="234" w:lineRule="auto"/>
              <w:ind w:left="43" w:right="53"/>
              <w:rPr>
                <w:sz w:val="20"/>
                <w:szCs w:val="20"/>
              </w:rPr>
            </w:pPr>
            <w:r>
              <w:rPr>
                <w:rFonts w:hint="eastAsia"/>
                <w:spacing w:val="2"/>
                <w:sz w:val="20"/>
                <w:szCs w:val="20"/>
                <w:lang w:eastAsia="zh-CN"/>
              </w:rPr>
              <w:t>－</w:t>
            </w:r>
            <w:r>
              <w:rPr>
                <w:spacing w:val="2"/>
                <w:sz w:val="20"/>
                <w:szCs w:val="20"/>
              </w:rPr>
              <w:t>未通过认定的化工园区，不得新建、改扩建化工项目</w:t>
            </w:r>
            <w:r>
              <w:rPr>
                <w:spacing w:val="16"/>
                <w:sz w:val="20"/>
                <w:szCs w:val="20"/>
              </w:rPr>
              <w:t xml:space="preserve"> </w:t>
            </w:r>
            <w:r>
              <w:rPr>
                <w:spacing w:val="-1"/>
                <w:sz w:val="20"/>
                <w:szCs w:val="20"/>
              </w:rPr>
              <w:t>（安全、环保、节能和智能化改造项目除外</w:t>
            </w:r>
            <w:r>
              <w:rPr>
                <w:spacing w:val="-7"/>
                <w:sz w:val="20"/>
                <w:szCs w:val="20"/>
              </w:rPr>
              <w:t>），</w:t>
            </w:r>
            <w:r>
              <w:rPr>
                <w:spacing w:val="-1"/>
                <w:sz w:val="20"/>
                <w:szCs w:val="20"/>
              </w:rPr>
              <w:t>按</w:t>
            </w:r>
            <w:r>
              <w:rPr>
                <w:spacing w:val="-2"/>
                <w:sz w:val="20"/>
                <w:szCs w:val="20"/>
              </w:rPr>
              <w:t>属地</w:t>
            </w:r>
            <w:r>
              <w:rPr>
                <w:spacing w:val="1"/>
                <w:sz w:val="20"/>
                <w:szCs w:val="20"/>
              </w:rPr>
              <w:t xml:space="preserve"> </w:t>
            </w:r>
            <w:r>
              <w:rPr>
                <w:spacing w:val="7"/>
                <w:sz w:val="20"/>
                <w:szCs w:val="20"/>
              </w:rPr>
              <w:t>原则依法依规妥善做好未通过认</w:t>
            </w:r>
            <w:r>
              <w:rPr>
                <w:rFonts w:hint="eastAsia"/>
                <w:spacing w:val="7"/>
                <w:sz w:val="20"/>
                <w:szCs w:val="20"/>
                <w:lang w:eastAsia="zh-CN"/>
              </w:rPr>
              <w:t>定的</w:t>
            </w:r>
            <w:r>
              <w:rPr>
                <w:spacing w:val="7"/>
                <w:sz w:val="20"/>
                <w:szCs w:val="20"/>
              </w:rPr>
              <w:t>化工园区及园内企</w:t>
            </w:r>
            <w:r>
              <w:rPr>
                <w:spacing w:val="-2"/>
                <w:sz w:val="20"/>
                <w:szCs w:val="20"/>
              </w:rPr>
              <w:t>业的转型、关闭、处置及监管工作。</w:t>
            </w:r>
          </w:p>
          <w:p w14:paraId="4D304C15">
            <w:pPr>
              <w:pStyle w:val="6"/>
              <w:spacing w:before="20" w:line="221" w:lineRule="auto"/>
              <w:ind w:left="59"/>
              <w:rPr>
                <w:sz w:val="20"/>
                <w:szCs w:val="20"/>
              </w:rPr>
            </w:pPr>
            <w:r>
              <w:rPr>
                <w:b/>
                <w:bCs/>
                <w:spacing w:val="-4"/>
                <w:sz w:val="20"/>
                <w:szCs w:val="20"/>
              </w:rPr>
              <w:t>限制开发建设活动的要求</w:t>
            </w:r>
          </w:p>
          <w:p w14:paraId="7D2BB978">
            <w:pPr>
              <w:pStyle w:val="6"/>
              <w:spacing w:before="20" w:line="233" w:lineRule="auto"/>
              <w:ind w:left="43" w:right="50"/>
              <w:rPr>
                <w:sz w:val="20"/>
                <w:szCs w:val="20"/>
              </w:rPr>
            </w:pPr>
            <w:r>
              <w:rPr>
                <w:rFonts w:hint="eastAsia"/>
                <w:spacing w:val="1"/>
                <w:sz w:val="20"/>
                <w:szCs w:val="20"/>
                <w:lang w:eastAsia="zh-CN"/>
              </w:rPr>
              <w:t>－</w:t>
            </w:r>
            <w:r>
              <w:rPr>
                <w:spacing w:val="1"/>
                <w:sz w:val="20"/>
                <w:szCs w:val="20"/>
              </w:rPr>
              <w:t>严格控制污染物新增排放量，对新建排放二氧化硫、</w:t>
            </w:r>
            <w:r>
              <w:rPr>
                <w:spacing w:val="11"/>
                <w:sz w:val="20"/>
                <w:szCs w:val="20"/>
              </w:rPr>
              <w:t xml:space="preserve"> </w:t>
            </w:r>
            <w:r>
              <w:rPr>
                <w:spacing w:val="-4"/>
                <w:sz w:val="20"/>
                <w:szCs w:val="20"/>
              </w:rPr>
              <w:t>氮氧化物、工业烟粉尘和</w:t>
            </w:r>
            <w:r>
              <w:rPr>
                <w:spacing w:val="-33"/>
                <w:sz w:val="20"/>
                <w:szCs w:val="20"/>
              </w:rPr>
              <w:t xml:space="preserve"> </w:t>
            </w:r>
            <w:r>
              <w:rPr>
                <w:spacing w:val="-4"/>
                <w:sz w:val="20"/>
                <w:szCs w:val="20"/>
              </w:rPr>
              <w:t>VOC</w:t>
            </w:r>
            <w:r>
              <w:rPr>
                <w:spacing w:val="-4"/>
                <w:sz w:val="9"/>
                <w:szCs w:val="9"/>
              </w:rPr>
              <w:t xml:space="preserve">S </w:t>
            </w:r>
            <w:r>
              <w:rPr>
                <w:spacing w:val="-4"/>
                <w:sz w:val="20"/>
                <w:szCs w:val="20"/>
              </w:rPr>
              <w:t>的项目实施现役源</w:t>
            </w:r>
            <w:r>
              <w:rPr>
                <w:spacing w:val="-40"/>
                <w:sz w:val="20"/>
                <w:szCs w:val="20"/>
              </w:rPr>
              <w:t xml:space="preserve"> </w:t>
            </w:r>
            <w:r>
              <w:rPr>
                <w:spacing w:val="-4"/>
                <w:sz w:val="20"/>
                <w:szCs w:val="20"/>
              </w:rPr>
              <w:t>2</w:t>
            </w:r>
            <w:r>
              <w:rPr>
                <w:spacing w:val="-42"/>
                <w:sz w:val="20"/>
                <w:szCs w:val="20"/>
              </w:rPr>
              <w:t xml:space="preserve"> </w:t>
            </w:r>
            <w:r>
              <w:rPr>
                <w:spacing w:val="-4"/>
                <w:sz w:val="20"/>
                <w:szCs w:val="20"/>
              </w:rPr>
              <w:t>倍削</w:t>
            </w:r>
            <w:r>
              <w:rPr>
                <w:sz w:val="20"/>
                <w:szCs w:val="20"/>
              </w:rPr>
              <w:t xml:space="preserve"> </w:t>
            </w:r>
            <w:r>
              <w:rPr>
                <w:spacing w:val="-1"/>
                <w:sz w:val="20"/>
                <w:szCs w:val="20"/>
              </w:rPr>
              <w:t>减量替代。</w:t>
            </w:r>
          </w:p>
          <w:p w14:paraId="1796F705">
            <w:pPr>
              <w:pStyle w:val="6"/>
              <w:spacing w:before="21" w:line="233" w:lineRule="auto"/>
              <w:ind w:left="43" w:right="49"/>
              <w:rPr>
                <w:sz w:val="20"/>
                <w:szCs w:val="20"/>
              </w:rPr>
            </w:pPr>
            <w:r>
              <w:rPr>
                <w:rFonts w:hint="eastAsia"/>
                <w:spacing w:val="2"/>
                <w:sz w:val="20"/>
                <w:szCs w:val="20"/>
                <w:lang w:eastAsia="zh-CN"/>
              </w:rPr>
              <w:t>－</w:t>
            </w:r>
            <w:r>
              <w:rPr>
                <w:spacing w:val="2"/>
                <w:sz w:val="20"/>
                <w:szCs w:val="20"/>
              </w:rPr>
              <w:t>严格实施环评制度，将细颗粒物达标情况纳入规划环</w:t>
            </w:r>
            <w:r>
              <w:rPr>
                <w:spacing w:val="16"/>
                <w:sz w:val="20"/>
                <w:szCs w:val="20"/>
              </w:rPr>
              <w:t xml:space="preserve"> </w:t>
            </w:r>
            <w:r>
              <w:rPr>
                <w:spacing w:val="-1"/>
                <w:sz w:val="20"/>
                <w:szCs w:val="20"/>
              </w:rPr>
              <w:t>评和相关项目环评内容，加快制定颗粒物、VOC</w:t>
            </w:r>
            <w:r>
              <w:rPr>
                <w:spacing w:val="-1"/>
                <w:sz w:val="9"/>
                <w:szCs w:val="9"/>
              </w:rPr>
              <w:t>S</w:t>
            </w:r>
            <w:r>
              <w:rPr>
                <w:spacing w:val="4"/>
                <w:sz w:val="9"/>
                <w:szCs w:val="9"/>
              </w:rPr>
              <w:t xml:space="preserve"> </w:t>
            </w:r>
            <w:r>
              <w:rPr>
                <w:spacing w:val="-1"/>
                <w:sz w:val="20"/>
                <w:szCs w:val="20"/>
              </w:rPr>
              <w:t>排放总</w:t>
            </w:r>
            <w:r>
              <w:rPr>
                <w:sz w:val="20"/>
                <w:szCs w:val="20"/>
              </w:rPr>
              <w:t xml:space="preserve"> </w:t>
            </w:r>
            <w:r>
              <w:rPr>
                <w:spacing w:val="-3"/>
                <w:sz w:val="20"/>
                <w:szCs w:val="20"/>
              </w:rPr>
              <w:t>量管理配套政策。</w:t>
            </w:r>
          </w:p>
          <w:p w14:paraId="204C5F2C">
            <w:pPr>
              <w:pStyle w:val="6"/>
              <w:spacing w:before="21" w:line="220" w:lineRule="auto"/>
              <w:ind w:left="43"/>
              <w:rPr>
                <w:sz w:val="20"/>
                <w:szCs w:val="20"/>
              </w:rPr>
            </w:pPr>
            <w:r>
              <w:rPr>
                <w:rFonts w:hint="eastAsia"/>
                <w:spacing w:val="-1"/>
                <w:sz w:val="20"/>
                <w:szCs w:val="20"/>
                <w:lang w:eastAsia="zh-CN"/>
              </w:rPr>
              <w:t>－</w:t>
            </w:r>
            <w:r>
              <w:rPr>
                <w:spacing w:val="-1"/>
                <w:sz w:val="20"/>
                <w:szCs w:val="20"/>
              </w:rPr>
              <w:t>严格控制新建、扩建燃煤发电项目。</w:t>
            </w:r>
          </w:p>
          <w:p w14:paraId="09859BF6">
            <w:pPr>
              <w:pStyle w:val="6"/>
              <w:spacing w:before="21" w:line="230" w:lineRule="auto"/>
              <w:ind w:left="47" w:right="53" w:hanging="4"/>
              <w:rPr>
                <w:sz w:val="20"/>
                <w:szCs w:val="20"/>
              </w:rPr>
            </w:pPr>
            <w:r>
              <w:rPr>
                <w:rFonts w:hint="eastAsia"/>
                <w:spacing w:val="2"/>
                <w:sz w:val="20"/>
                <w:szCs w:val="20"/>
                <w:lang w:eastAsia="zh-CN"/>
              </w:rPr>
              <w:t>－</w:t>
            </w:r>
            <w:r>
              <w:rPr>
                <w:spacing w:val="2"/>
                <w:sz w:val="20"/>
                <w:szCs w:val="20"/>
              </w:rPr>
              <w:t>严控达州市主城区上游沿岸地区新建石油化工、煤化</w:t>
            </w:r>
            <w:r>
              <w:rPr>
                <w:spacing w:val="16"/>
                <w:sz w:val="20"/>
                <w:szCs w:val="20"/>
              </w:rPr>
              <w:t xml:space="preserve"> </w:t>
            </w:r>
            <w:r>
              <w:rPr>
                <w:spacing w:val="-1"/>
                <w:sz w:val="20"/>
                <w:szCs w:val="20"/>
              </w:rPr>
              <w:t>工、涉磷、造纸、印染、制革等项目。</w:t>
            </w:r>
          </w:p>
          <w:p w14:paraId="683DA910">
            <w:pPr>
              <w:pStyle w:val="6"/>
              <w:spacing w:before="22" w:line="219" w:lineRule="auto"/>
              <w:ind w:left="48"/>
              <w:rPr>
                <w:sz w:val="20"/>
                <w:szCs w:val="20"/>
              </w:rPr>
            </w:pPr>
            <w:r>
              <w:rPr>
                <w:b/>
                <w:bCs/>
                <w:spacing w:val="-3"/>
                <w:sz w:val="20"/>
                <w:szCs w:val="20"/>
              </w:rPr>
              <w:t>不符合空间布局要求活动的退出要求</w:t>
            </w:r>
          </w:p>
          <w:p w14:paraId="6402EC42">
            <w:pPr>
              <w:pStyle w:val="6"/>
              <w:spacing w:before="20" w:line="217" w:lineRule="auto"/>
              <w:ind w:left="47" w:right="53" w:hanging="4"/>
              <w:rPr>
                <w:sz w:val="20"/>
                <w:szCs w:val="20"/>
              </w:rPr>
            </w:pPr>
            <w:r>
              <w:rPr>
                <w:rFonts w:hint="eastAsia"/>
                <w:spacing w:val="2"/>
                <w:sz w:val="20"/>
                <w:szCs w:val="20"/>
                <w:lang w:eastAsia="zh-CN"/>
              </w:rPr>
              <w:t>－</w:t>
            </w:r>
            <w:r>
              <w:rPr>
                <w:spacing w:val="2"/>
                <w:sz w:val="20"/>
                <w:szCs w:val="20"/>
              </w:rPr>
              <w:t>现有属于禁止引入产业门类的企业，应按相关规定限</w:t>
            </w:r>
            <w:r>
              <w:rPr>
                <w:spacing w:val="16"/>
                <w:sz w:val="20"/>
                <w:szCs w:val="20"/>
              </w:rPr>
              <w:t xml:space="preserve"> </w:t>
            </w:r>
            <w:r>
              <w:rPr>
                <w:spacing w:val="-2"/>
                <w:sz w:val="20"/>
                <w:szCs w:val="20"/>
              </w:rPr>
              <w:t>期整治或退出。</w:t>
            </w:r>
          </w:p>
        </w:tc>
        <w:tc>
          <w:tcPr>
            <w:tcW w:w="2632" w:type="dxa"/>
            <w:vAlign w:val="top"/>
          </w:tcPr>
          <w:p w14:paraId="0D1BAFBA">
            <w:pPr>
              <w:pStyle w:val="6"/>
              <w:spacing w:before="32" w:line="239" w:lineRule="auto"/>
              <w:ind w:left="48" w:right="16" w:firstLine="14"/>
              <w:rPr>
                <w:sz w:val="20"/>
                <w:szCs w:val="20"/>
              </w:rPr>
            </w:pPr>
            <w:r>
              <w:rPr>
                <w:spacing w:val="1"/>
                <w:sz w:val="20"/>
                <w:szCs w:val="20"/>
              </w:rPr>
              <w:t xml:space="preserve">1、本项目为生物质成型燃料 </w:t>
            </w:r>
            <w:r>
              <w:rPr>
                <w:spacing w:val="-6"/>
                <w:sz w:val="20"/>
                <w:szCs w:val="20"/>
              </w:rPr>
              <w:t>生产项目，不属于化工园区或</w:t>
            </w:r>
            <w:r>
              <w:rPr>
                <w:spacing w:val="7"/>
                <w:sz w:val="20"/>
                <w:szCs w:val="20"/>
              </w:rPr>
              <w:t xml:space="preserve"> </w:t>
            </w:r>
            <w:r>
              <w:rPr>
                <w:spacing w:val="-6"/>
                <w:sz w:val="20"/>
                <w:szCs w:val="20"/>
              </w:rPr>
              <w:t>化工项目，也不属于新建石油</w:t>
            </w:r>
            <w:r>
              <w:rPr>
                <w:spacing w:val="7"/>
                <w:sz w:val="20"/>
                <w:szCs w:val="20"/>
              </w:rPr>
              <w:t xml:space="preserve"> </w:t>
            </w:r>
            <w:r>
              <w:rPr>
                <w:spacing w:val="-3"/>
                <w:sz w:val="20"/>
                <w:szCs w:val="20"/>
              </w:rPr>
              <w:t>化工、煤化工、涉磷、造纸、</w:t>
            </w:r>
            <w:r>
              <w:rPr>
                <w:sz w:val="20"/>
                <w:szCs w:val="20"/>
              </w:rPr>
              <w:t xml:space="preserve"> </w:t>
            </w:r>
            <w:r>
              <w:rPr>
                <w:spacing w:val="-3"/>
                <w:sz w:val="20"/>
                <w:szCs w:val="20"/>
              </w:rPr>
              <w:t>印染、制革等项目。</w:t>
            </w:r>
          </w:p>
          <w:p w14:paraId="2C50C568">
            <w:pPr>
              <w:pStyle w:val="6"/>
              <w:spacing w:before="2" w:line="239" w:lineRule="auto"/>
              <w:ind w:left="49" w:right="48" w:firstLine="1"/>
              <w:rPr>
                <w:sz w:val="20"/>
                <w:szCs w:val="20"/>
              </w:rPr>
            </w:pPr>
            <w:r>
              <w:rPr>
                <w:spacing w:val="-6"/>
                <w:sz w:val="20"/>
                <w:szCs w:val="20"/>
              </w:rPr>
              <w:t>项目不属于《长江经济带发展</w:t>
            </w:r>
            <w:r>
              <w:rPr>
                <w:spacing w:val="5"/>
                <w:sz w:val="20"/>
                <w:szCs w:val="20"/>
              </w:rPr>
              <w:t xml:space="preserve"> </w:t>
            </w:r>
            <w:r>
              <w:rPr>
                <w:spacing w:val="-6"/>
                <w:sz w:val="20"/>
                <w:szCs w:val="20"/>
              </w:rPr>
              <w:t>负面清单指南（试行）》禁止</w:t>
            </w:r>
            <w:r>
              <w:rPr>
                <w:spacing w:val="6"/>
                <w:sz w:val="20"/>
                <w:szCs w:val="20"/>
              </w:rPr>
              <w:t xml:space="preserve"> </w:t>
            </w:r>
            <w:r>
              <w:rPr>
                <w:spacing w:val="-4"/>
                <w:sz w:val="20"/>
                <w:szCs w:val="20"/>
              </w:rPr>
              <w:t>准入类事项。</w:t>
            </w:r>
          </w:p>
          <w:p w14:paraId="26BF8135">
            <w:pPr>
              <w:pStyle w:val="6"/>
              <w:spacing w:line="239" w:lineRule="auto"/>
              <w:ind w:left="49" w:right="46" w:firstLine="1"/>
              <w:rPr>
                <w:sz w:val="20"/>
                <w:szCs w:val="20"/>
              </w:rPr>
            </w:pPr>
            <w:r>
              <w:rPr>
                <w:spacing w:val="10"/>
                <w:sz w:val="20"/>
                <w:szCs w:val="20"/>
              </w:rPr>
              <w:t>项目符合东岳新型工业集聚</w:t>
            </w:r>
            <w:r>
              <w:rPr>
                <w:spacing w:val="6"/>
                <w:sz w:val="20"/>
                <w:szCs w:val="20"/>
              </w:rPr>
              <w:t xml:space="preserve"> </w:t>
            </w:r>
            <w:r>
              <w:rPr>
                <w:spacing w:val="10"/>
                <w:sz w:val="20"/>
                <w:szCs w:val="20"/>
              </w:rPr>
              <w:t xml:space="preserve">区的规划环评和产业准入要 </w:t>
            </w:r>
            <w:r>
              <w:rPr>
                <w:spacing w:val="-5"/>
                <w:sz w:val="20"/>
                <w:szCs w:val="20"/>
              </w:rPr>
              <w:t>求。</w:t>
            </w:r>
          </w:p>
          <w:p w14:paraId="0E06A739">
            <w:pPr>
              <w:pStyle w:val="6"/>
              <w:spacing w:before="1" w:line="239" w:lineRule="auto"/>
              <w:ind w:left="49" w:right="48" w:firstLine="1"/>
              <w:rPr>
                <w:sz w:val="20"/>
                <w:szCs w:val="20"/>
              </w:rPr>
            </w:pPr>
            <w:r>
              <w:rPr>
                <w:spacing w:val="-6"/>
                <w:sz w:val="20"/>
                <w:szCs w:val="20"/>
              </w:rPr>
              <w:t>项目符合国家产业政策，也不</w:t>
            </w:r>
            <w:r>
              <w:rPr>
                <w:spacing w:val="5"/>
                <w:sz w:val="20"/>
                <w:szCs w:val="20"/>
              </w:rPr>
              <w:t xml:space="preserve"> </w:t>
            </w:r>
            <w:r>
              <w:rPr>
                <w:spacing w:val="-3"/>
                <w:sz w:val="20"/>
                <w:szCs w:val="20"/>
              </w:rPr>
              <w:t>属于高污染项目。</w:t>
            </w:r>
          </w:p>
          <w:p w14:paraId="6CD33C88">
            <w:pPr>
              <w:pStyle w:val="6"/>
              <w:spacing w:before="1" w:line="239" w:lineRule="auto"/>
              <w:ind w:left="47" w:right="48" w:firstLine="3"/>
              <w:rPr>
                <w:sz w:val="20"/>
                <w:szCs w:val="20"/>
              </w:rPr>
            </w:pPr>
            <w:r>
              <w:rPr>
                <w:spacing w:val="-6"/>
                <w:sz w:val="20"/>
                <w:szCs w:val="20"/>
              </w:rPr>
              <w:t>项目位于工业园区，新建的热</w:t>
            </w:r>
            <w:r>
              <w:rPr>
                <w:spacing w:val="5"/>
                <w:sz w:val="20"/>
                <w:szCs w:val="20"/>
              </w:rPr>
              <w:t xml:space="preserve"> </w:t>
            </w:r>
            <w:r>
              <w:rPr>
                <w:spacing w:val="-6"/>
                <w:sz w:val="20"/>
                <w:szCs w:val="20"/>
              </w:rPr>
              <w:t>风炉属于工业炉窑，使用的生</w:t>
            </w:r>
            <w:r>
              <w:rPr>
                <w:spacing w:val="8"/>
                <w:sz w:val="20"/>
                <w:szCs w:val="20"/>
              </w:rPr>
              <w:t xml:space="preserve"> </w:t>
            </w:r>
            <w:r>
              <w:rPr>
                <w:spacing w:val="10"/>
                <w:sz w:val="20"/>
                <w:szCs w:val="20"/>
              </w:rPr>
              <w:t>物质成型燃料不属于高污染</w:t>
            </w:r>
            <w:r>
              <w:rPr>
                <w:spacing w:val="9"/>
                <w:sz w:val="20"/>
                <w:szCs w:val="20"/>
              </w:rPr>
              <w:t xml:space="preserve"> </w:t>
            </w:r>
            <w:r>
              <w:rPr>
                <w:spacing w:val="-8"/>
                <w:sz w:val="20"/>
                <w:szCs w:val="20"/>
              </w:rPr>
              <w:t>燃料。</w:t>
            </w:r>
          </w:p>
          <w:p w14:paraId="424309AB">
            <w:pPr>
              <w:pStyle w:val="6"/>
              <w:spacing w:before="3"/>
              <w:ind w:left="46" w:right="47" w:firstLine="4"/>
              <w:rPr>
                <w:sz w:val="20"/>
                <w:szCs w:val="20"/>
              </w:rPr>
            </w:pPr>
            <w:r>
              <w:rPr>
                <w:spacing w:val="10"/>
                <w:sz w:val="20"/>
                <w:szCs w:val="20"/>
              </w:rPr>
              <w:t>项目建设区不涉及长江流域</w:t>
            </w:r>
            <w:r>
              <w:rPr>
                <w:spacing w:val="7"/>
                <w:sz w:val="20"/>
                <w:szCs w:val="20"/>
              </w:rPr>
              <w:t xml:space="preserve"> </w:t>
            </w:r>
            <w:r>
              <w:rPr>
                <w:spacing w:val="-6"/>
                <w:sz w:val="20"/>
                <w:szCs w:val="20"/>
              </w:rPr>
              <w:t>河湖管理范围，本项目也不倾</w:t>
            </w:r>
            <w:r>
              <w:rPr>
                <w:spacing w:val="9"/>
                <w:sz w:val="20"/>
                <w:szCs w:val="20"/>
              </w:rPr>
              <w:t xml:space="preserve"> </w:t>
            </w:r>
            <w:r>
              <w:rPr>
                <w:spacing w:val="-6"/>
                <w:sz w:val="20"/>
                <w:szCs w:val="20"/>
              </w:rPr>
              <w:t>倒、填埋、堆放、弃置、处理</w:t>
            </w:r>
            <w:r>
              <w:rPr>
                <w:spacing w:val="10"/>
                <w:sz w:val="20"/>
                <w:szCs w:val="20"/>
              </w:rPr>
              <w:t xml:space="preserve"> </w:t>
            </w:r>
            <w:r>
              <w:rPr>
                <w:spacing w:val="-6"/>
                <w:sz w:val="20"/>
                <w:szCs w:val="20"/>
              </w:rPr>
              <w:t>固体废物。本项目不属于化工</w:t>
            </w:r>
            <w:r>
              <w:rPr>
                <w:spacing w:val="9"/>
                <w:sz w:val="20"/>
                <w:szCs w:val="20"/>
              </w:rPr>
              <w:t xml:space="preserve"> </w:t>
            </w:r>
            <w:r>
              <w:rPr>
                <w:spacing w:val="-2"/>
                <w:sz w:val="20"/>
                <w:szCs w:val="20"/>
              </w:rPr>
              <w:t>项目</w:t>
            </w:r>
          </w:p>
          <w:p w14:paraId="187EB4E9">
            <w:pPr>
              <w:pStyle w:val="6"/>
              <w:spacing w:before="253" w:line="233" w:lineRule="auto"/>
              <w:ind w:left="41" w:firstLine="8"/>
              <w:jc w:val="both"/>
              <w:rPr>
                <w:sz w:val="20"/>
                <w:szCs w:val="20"/>
              </w:rPr>
            </w:pPr>
            <w:r>
              <w:rPr>
                <w:spacing w:val="-6"/>
                <w:sz w:val="20"/>
                <w:szCs w:val="20"/>
              </w:rPr>
              <w:t>2、本项目营运期涉及排放二</w:t>
            </w:r>
            <w:r>
              <w:rPr>
                <w:sz w:val="20"/>
                <w:szCs w:val="20"/>
              </w:rPr>
              <w:t xml:space="preserve">  </w:t>
            </w:r>
            <w:r>
              <w:rPr>
                <w:spacing w:val="-13"/>
                <w:sz w:val="20"/>
                <w:szCs w:val="20"/>
              </w:rPr>
              <w:t>氧化硫、氮氧化物、工业烟粉</w:t>
            </w:r>
            <w:r>
              <w:rPr>
                <w:sz w:val="20"/>
                <w:szCs w:val="20"/>
              </w:rPr>
              <w:t xml:space="preserve">  </w:t>
            </w:r>
            <w:r>
              <w:rPr>
                <w:spacing w:val="-2"/>
                <w:sz w:val="20"/>
                <w:szCs w:val="20"/>
              </w:rPr>
              <w:t>尘；结合《达州市“十四五”</w:t>
            </w:r>
            <w:r>
              <w:rPr>
                <w:spacing w:val="10"/>
                <w:sz w:val="20"/>
                <w:szCs w:val="20"/>
              </w:rPr>
              <w:t xml:space="preserve"> </w:t>
            </w:r>
            <w:r>
              <w:rPr>
                <w:spacing w:val="-13"/>
                <w:sz w:val="20"/>
                <w:szCs w:val="20"/>
              </w:rPr>
              <w:t>环境空气质量达标规划》，目</w:t>
            </w:r>
            <w:r>
              <w:rPr>
                <w:sz w:val="20"/>
                <w:szCs w:val="20"/>
              </w:rPr>
              <w:t xml:space="preserve">  </w:t>
            </w:r>
            <w:r>
              <w:rPr>
                <w:spacing w:val="21"/>
                <w:sz w:val="20"/>
                <w:szCs w:val="20"/>
              </w:rPr>
              <w:t>前纳入总量指标管理的是</w:t>
            </w:r>
            <w:r>
              <w:rPr>
                <w:sz w:val="20"/>
                <w:szCs w:val="20"/>
              </w:rPr>
              <w:t xml:space="preserve">  </w:t>
            </w:r>
            <w:r>
              <w:rPr>
                <w:spacing w:val="-10"/>
                <w:sz w:val="20"/>
                <w:szCs w:val="20"/>
              </w:rPr>
              <w:t>NOx、VOCs。通川区</w:t>
            </w:r>
            <w:r>
              <w:rPr>
                <w:spacing w:val="-44"/>
                <w:sz w:val="20"/>
                <w:szCs w:val="20"/>
              </w:rPr>
              <w:t xml:space="preserve"> </w:t>
            </w:r>
            <w:r>
              <w:rPr>
                <w:spacing w:val="-10"/>
                <w:sz w:val="20"/>
                <w:szCs w:val="20"/>
              </w:rPr>
              <w:t>2024</w:t>
            </w:r>
            <w:r>
              <w:rPr>
                <w:spacing w:val="-45"/>
                <w:sz w:val="20"/>
                <w:szCs w:val="20"/>
              </w:rPr>
              <w:t xml:space="preserve"> </w:t>
            </w:r>
            <w:r>
              <w:rPr>
                <w:spacing w:val="-10"/>
                <w:sz w:val="20"/>
                <w:szCs w:val="20"/>
              </w:rPr>
              <w:t>年属</w:t>
            </w:r>
            <w:r>
              <w:rPr>
                <w:sz w:val="20"/>
                <w:szCs w:val="20"/>
              </w:rPr>
              <w:t xml:space="preserve">  </w:t>
            </w:r>
            <w:r>
              <w:rPr>
                <w:spacing w:val="-13"/>
                <w:sz w:val="20"/>
                <w:szCs w:val="20"/>
              </w:rPr>
              <w:t>于达标区，氮氧化物应实行现</w:t>
            </w:r>
          </w:p>
        </w:tc>
        <w:tc>
          <w:tcPr>
            <w:tcW w:w="513" w:type="dxa"/>
            <w:vAlign w:val="top"/>
          </w:tcPr>
          <w:p w14:paraId="4213172B">
            <w:pPr>
              <w:spacing w:line="246" w:lineRule="auto"/>
              <w:rPr>
                <w:rFonts w:ascii="Arial"/>
                <w:sz w:val="21"/>
              </w:rPr>
            </w:pPr>
          </w:p>
          <w:p w14:paraId="61B7CE7D">
            <w:pPr>
              <w:spacing w:line="246" w:lineRule="auto"/>
              <w:rPr>
                <w:rFonts w:ascii="Arial"/>
                <w:sz w:val="21"/>
              </w:rPr>
            </w:pPr>
          </w:p>
          <w:p w14:paraId="71DDD5A4">
            <w:pPr>
              <w:spacing w:line="247" w:lineRule="auto"/>
              <w:rPr>
                <w:rFonts w:ascii="Arial"/>
                <w:sz w:val="21"/>
              </w:rPr>
            </w:pPr>
          </w:p>
          <w:p w14:paraId="5D63AA9D">
            <w:pPr>
              <w:spacing w:line="247" w:lineRule="auto"/>
              <w:rPr>
                <w:rFonts w:ascii="Arial"/>
                <w:sz w:val="21"/>
              </w:rPr>
            </w:pPr>
          </w:p>
          <w:p w14:paraId="444BCF42">
            <w:pPr>
              <w:spacing w:line="247" w:lineRule="auto"/>
              <w:rPr>
                <w:rFonts w:ascii="Arial"/>
                <w:sz w:val="21"/>
              </w:rPr>
            </w:pPr>
          </w:p>
          <w:p w14:paraId="1C589E47">
            <w:pPr>
              <w:spacing w:line="247" w:lineRule="auto"/>
              <w:rPr>
                <w:rFonts w:ascii="Arial"/>
                <w:sz w:val="21"/>
              </w:rPr>
            </w:pPr>
          </w:p>
          <w:p w14:paraId="376EB75D">
            <w:pPr>
              <w:spacing w:line="247" w:lineRule="auto"/>
              <w:rPr>
                <w:rFonts w:ascii="Arial"/>
                <w:sz w:val="21"/>
              </w:rPr>
            </w:pPr>
          </w:p>
          <w:p w14:paraId="0DE4BC51">
            <w:pPr>
              <w:spacing w:line="247" w:lineRule="auto"/>
              <w:rPr>
                <w:rFonts w:ascii="Arial"/>
                <w:sz w:val="21"/>
              </w:rPr>
            </w:pPr>
          </w:p>
          <w:p w14:paraId="4E795752">
            <w:pPr>
              <w:spacing w:line="247" w:lineRule="auto"/>
              <w:rPr>
                <w:rFonts w:ascii="Arial"/>
                <w:sz w:val="21"/>
              </w:rPr>
            </w:pPr>
          </w:p>
          <w:p w14:paraId="7289FBA8">
            <w:pPr>
              <w:spacing w:line="247" w:lineRule="auto"/>
              <w:rPr>
                <w:rFonts w:ascii="Arial"/>
                <w:sz w:val="21"/>
              </w:rPr>
            </w:pPr>
          </w:p>
          <w:p w14:paraId="7B2B6A68">
            <w:pPr>
              <w:spacing w:line="247" w:lineRule="auto"/>
              <w:rPr>
                <w:rFonts w:ascii="Arial"/>
                <w:sz w:val="21"/>
              </w:rPr>
            </w:pPr>
          </w:p>
          <w:p w14:paraId="47F18265">
            <w:pPr>
              <w:spacing w:line="247" w:lineRule="auto"/>
              <w:rPr>
                <w:rFonts w:ascii="Arial"/>
                <w:sz w:val="21"/>
              </w:rPr>
            </w:pPr>
          </w:p>
          <w:p w14:paraId="63B6F1E8">
            <w:pPr>
              <w:spacing w:line="247" w:lineRule="auto"/>
              <w:rPr>
                <w:rFonts w:ascii="Arial"/>
                <w:sz w:val="21"/>
              </w:rPr>
            </w:pPr>
          </w:p>
          <w:p w14:paraId="6BD7F8D8">
            <w:pPr>
              <w:spacing w:line="247" w:lineRule="auto"/>
              <w:rPr>
                <w:rFonts w:ascii="Arial"/>
                <w:sz w:val="21"/>
              </w:rPr>
            </w:pPr>
          </w:p>
          <w:p w14:paraId="4B0AD221">
            <w:pPr>
              <w:spacing w:line="247" w:lineRule="auto"/>
              <w:rPr>
                <w:rFonts w:ascii="Arial"/>
                <w:sz w:val="21"/>
              </w:rPr>
            </w:pPr>
          </w:p>
          <w:p w14:paraId="52077AAF">
            <w:pPr>
              <w:pStyle w:val="6"/>
              <w:spacing w:before="65" w:line="220" w:lineRule="auto"/>
              <w:ind w:left="59"/>
              <w:rPr>
                <w:sz w:val="20"/>
                <w:szCs w:val="20"/>
              </w:rPr>
            </w:pPr>
            <w:r>
              <w:rPr>
                <w:spacing w:val="-3"/>
                <w:sz w:val="20"/>
                <w:szCs w:val="20"/>
              </w:rPr>
              <w:t>符合</w:t>
            </w:r>
          </w:p>
        </w:tc>
        <w:tc>
          <w:tcPr>
            <w:tcW w:w="118" w:type="dxa"/>
            <w:tcBorders>
              <w:top w:val="nil"/>
              <w:bottom w:val="nil"/>
            </w:tcBorders>
            <w:vAlign w:val="top"/>
          </w:tcPr>
          <w:p w14:paraId="5CE29B15">
            <w:pPr>
              <w:rPr>
                <w:rFonts w:ascii="Arial"/>
                <w:sz w:val="21"/>
              </w:rPr>
            </w:pPr>
          </w:p>
        </w:tc>
      </w:tr>
      <w:tr w14:paraId="0385F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 w:hRule="atLeast"/>
        </w:trPr>
        <w:tc>
          <w:tcPr>
            <w:tcW w:w="1886" w:type="dxa"/>
            <w:vMerge w:val="continue"/>
            <w:tcBorders>
              <w:top w:val="nil"/>
            </w:tcBorders>
            <w:vAlign w:val="top"/>
          </w:tcPr>
          <w:p w14:paraId="00E4B082">
            <w:pPr>
              <w:rPr>
                <w:rFonts w:ascii="Arial"/>
                <w:sz w:val="21"/>
              </w:rPr>
            </w:pPr>
          </w:p>
        </w:tc>
        <w:tc>
          <w:tcPr>
            <w:tcW w:w="113" w:type="dxa"/>
            <w:tcBorders>
              <w:top w:val="nil"/>
              <w:right w:val="nil"/>
            </w:tcBorders>
            <w:vAlign w:val="top"/>
          </w:tcPr>
          <w:p w14:paraId="24B062BC">
            <w:pPr>
              <w:spacing w:line="78" w:lineRule="exact"/>
              <w:rPr>
                <w:rFonts w:ascii="Arial"/>
                <w:sz w:val="6"/>
              </w:rPr>
            </w:pPr>
          </w:p>
        </w:tc>
        <w:tc>
          <w:tcPr>
            <w:tcW w:w="1879" w:type="dxa"/>
            <w:tcBorders>
              <w:left w:val="nil"/>
              <w:right w:val="nil"/>
            </w:tcBorders>
            <w:vAlign w:val="top"/>
          </w:tcPr>
          <w:p w14:paraId="5762E620">
            <w:pPr>
              <w:spacing w:line="78" w:lineRule="exact"/>
              <w:rPr>
                <w:rFonts w:ascii="Arial"/>
                <w:sz w:val="6"/>
              </w:rPr>
            </w:pPr>
          </w:p>
        </w:tc>
        <w:tc>
          <w:tcPr>
            <w:tcW w:w="795" w:type="dxa"/>
            <w:tcBorders>
              <w:left w:val="nil"/>
              <w:right w:val="nil"/>
            </w:tcBorders>
            <w:vAlign w:val="top"/>
          </w:tcPr>
          <w:p w14:paraId="59533DAB">
            <w:pPr>
              <w:spacing w:line="78" w:lineRule="exact"/>
              <w:rPr>
                <w:rFonts w:ascii="Arial"/>
                <w:sz w:val="6"/>
              </w:rPr>
            </w:pPr>
          </w:p>
        </w:tc>
        <w:tc>
          <w:tcPr>
            <w:tcW w:w="788" w:type="dxa"/>
            <w:tcBorders>
              <w:left w:val="nil"/>
              <w:right w:val="nil"/>
            </w:tcBorders>
            <w:vAlign w:val="top"/>
          </w:tcPr>
          <w:p w14:paraId="75F89C7E">
            <w:pPr>
              <w:spacing w:line="78" w:lineRule="exact"/>
              <w:rPr>
                <w:rFonts w:ascii="Arial"/>
                <w:sz w:val="6"/>
              </w:rPr>
            </w:pPr>
          </w:p>
        </w:tc>
        <w:tc>
          <w:tcPr>
            <w:tcW w:w="4868" w:type="dxa"/>
            <w:tcBorders>
              <w:left w:val="nil"/>
              <w:right w:val="nil"/>
            </w:tcBorders>
            <w:vAlign w:val="top"/>
          </w:tcPr>
          <w:p w14:paraId="102741E9">
            <w:pPr>
              <w:spacing w:line="78" w:lineRule="exact"/>
              <w:rPr>
                <w:rFonts w:ascii="Arial"/>
                <w:sz w:val="6"/>
              </w:rPr>
            </w:pPr>
          </w:p>
        </w:tc>
        <w:tc>
          <w:tcPr>
            <w:tcW w:w="2632" w:type="dxa"/>
            <w:tcBorders>
              <w:left w:val="nil"/>
              <w:right w:val="nil"/>
            </w:tcBorders>
            <w:vAlign w:val="top"/>
          </w:tcPr>
          <w:p w14:paraId="0404B169">
            <w:pPr>
              <w:spacing w:line="78" w:lineRule="exact"/>
              <w:rPr>
                <w:rFonts w:ascii="Arial"/>
                <w:sz w:val="6"/>
              </w:rPr>
            </w:pPr>
          </w:p>
        </w:tc>
        <w:tc>
          <w:tcPr>
            <w:tcW w:w="513" w:type="dxa"/>
            <w:tcBorders>
              <w:left w:val="nil"/>
              <w:right w:val="nil"/>
            </w:tcBorders>
            <w:vAlign w:val="top"/>
          </w:tcPr>
          <w:p w14:paraId="4AFECB27">
            <w:pPr>
              <w:spacing w:line="78" w:lineRule="exact"/>
              <w:rPr>
                <w:rFonts w:ascii="Arial"/>
                <w:sz w:val="6"/>
              </w:rPr>
            </w:pPr>
          </w:p>
        </w:tc>
        <w:tc>
          <w:tcPr>
            <w:tcW w:w="118" w:type="dxa"/>
            <w:tcBorders>
              <w:top w:val="nil"/>
              <w:left w:val="nil"/>
            </w:tcBorders>
            <w:vAlign w:val="top"/>
          </w:tcPr>
          <w:p w14:paraId="3613595E">
            <w:pPr>
              <w:spacing w:line="78" w:lineRule="exact"/>
              <w:rPr>
                <w:rFonts w:ascii="Arial"/>
                <w:sz w:val="6"/>
              </w:rPr>
            </w:pPr>
          </w:p>
        </w:tc>
      </w:tr>
    </w:tbl>
    <w:p w14:paraId="51B47D5C">
      <w:pPr>
        <w:rPr>
          <w:rFonts w:ascii="Arial"/>
          <w:sz w:val="21"/>
        </w:rPr>
      </w:pPr>
    </w:p>
    <w:p w14:paraId="4CBF8C59">
      <w:pPr>
        <w:rPr>
          <w:rFonts w:ascii="Arial" w:hAnsi="Arial" w:eastAsia="Arial" w:cs="Arial"/>
          <w:sz w:val="21"/>
          <w:szCs w:val="21"/>
        </w:rPr>
        <w:sectPr>
          <w:footerReference r:id="rId12" w:type="default"/>
          <w:pgSz w:w="16839" w:h="11907"/>
          <w:pgMar w:top="1012" w:right="1620" w:bottom="1055" w:left="1621" w:header="0" w:footer="802" w:gutter="0"/>
          <w:cols w:space="720" w:num="1"/>
        </w:sectPr>
      </w:pPr>
    </w:p>
    <w:p w14:paraId="1D7EB829">
      <w:pPr>
        <w:spacing w:before="18"/>
      </w:pPr>
    </w:p>
    <w:p w14:paraId="74907F15">
      <w:pPr>
        <w:spacing w:before="18"/>
      </w:pPr>
    </w:p>
    <w:tbl>
      <w:tblPr>
        <w:tblStyle w:val="5"/>
        <w:tblW w:w="135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6"/>
        <w:gridCol w:w="113"/>
        <w:gridCol w:w="1879"/>
        <w:gridCol w:w="795"/>
        <w:gridCol w:w="788"/>
        <w:gridCol w:w="4868"/>
        <w:gridCol w:w="2632"/>
        <w:gridCol w:w="513"/>
        <w:gridCol w:w="118"/>
      </w:tblGrid>
      <w:tr w14:paraId="05E4E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0" w:hRule="atLeast"/>
        </w:trPr>
        <w:tc>
          <w:tcPr>
            <w:tcW w:w="1886" w:type="dxa"/>
            <w:vMerge w:val="restart"/>
            <w:tcBorders>
              <w:bottom w:val="nil"/>
            </w:tcBorders>
            <w:vAlign w:val="top"/>
          </w:tcPr>
          <w:p w14:paraId="67ABA0BE">
            <w:pPr>
              <w:rPr>
                <w:rFonts w:ascii="Arial"/>
                <w:sz w:val="21"/>
              </w:rPr>
            </w:pPr>
          </w:p>
        </w:tc>
        <w:tc>
          <w:tcPr>
            <w:tcW w:w="113" w:type="dxa"/>
            <w:tcBorders>
              <w:bottom w:val="nil"/>
            </w:tcBorders>
            <w:vAlign w:val="top"/>
          </w:tcPr>
          <w:p w14:paraId="51A8289B">
            <w:pPr>
              <w:rPr>
                <w:rFonts w:ascii="Arial"/>
                <w:sz w:val="21"/>
              </w:rPr>
            </w:pPr>
          </w:p>
        </w:tc>
        <w:tc>
          <w:tcPr>
            <w:tcW w:w="1879" w:type="dxa"/>
            <w:vMerge w:val="restart"/>
            <w:tcBorders>
              <w:bottom w:val="nil"/>
            </w:tcBorders>
            <w:vAlign w:val="top"/>
          </w:tcPr>
          <w:p w14:paraId="0A29415B">
            <w:pPr>
              <w:rPr>
                <w:rFonts w:ascii="Arial"/>
                <w:sz w:val="21"/>
              </w:rPr>
            </w:pPr>
          </w:p>
        </w:tc>
        <w:tc>
          <w:tcPr>
            <w:tcW w:w="795" w:type="dxa"/>
            <w:vMerge w:val="restart"/>
            <w:tcBorders>
              <w:bottom w:val="nil"/>
            </w:tcBorders>
            <w:vAlign w:val="top"/>
          </w:tcPr>
          <w:p w14:paraId="0DF36131">
            <w:pPr>
              <w:rPr>
                <w:rFonts w:ascii="Arial"/>
                <w:sz w:val="21"/>
              </w:rPr>
            </w:pPr>
          </w:p>
        </w:tc>
        <w:tc>
          <w:tcPr>
            <w:tcW w:w="788" w:type="dxa"/>
            <w:vAlign w:val="top"/>
          </w:tcPr>
          <w:p w14:paraId="5B692A70">
            <w:pPr>
              <w:rPr>
                <w:rFonts w:ascii="Arial"/>
                <w:sz w:val="21"/>
              </w:rPr>
            </w:pPr>
          </w:p>
        </w:tc>
        <w:tc>
          <w:tcPr>
            <w:tcW w:w="4868" w:type="dxa"/>
            <w:vAlign w:val="top"/>
          </w:tcPr>
          <w:p w14:paraId="13EFC8BC">
            <w:pPr>
              <w:pStyle w:val="6"/>
              <w:spacing w:before="46" w:line="234" w:lineRule="auto"/>
              <w:ind w:left="31" w:right="49" w:firstLine="12"/>
              <w:rPr>
                <w:sz w:val="20"/>
                <w:szCs w:val="20"/>
              </w:rPr>
            </w:pPr>
            <w:r>
              <w:rPr>
                <w:rFonts w:hint="eastAsia"/>
                <w:spacing w:val="2"/>
                <w:sz w:val="20"/>
                <w:szCs w:val="20"/>
                <w:lang w:eastAsia="zh-CN"/>
              </w:rPr>
              <w:t>－</w:t>
            </w:r>
            <w:r>
              <w:rPr>
                <w:spacing w:val="2"/>
                <w:sz w:val="20"/>
                <w:szCs w:val="20"/>
              </w:rPr>
              <w:t>重点区域城市钢铁企业要切实采取彻底关停、转型发</w:t>
            </w:r>
            <w:r>
              <w:rPr>
                <w:spacing w:val="-1"/>
                <w:sz w:val="20"/>
                <w:szCs w:val="20"/>
              </w:rPr>
              <w:t>展、就地改造、域外搬迁等方式。四川省达州钢铁集团</w:t>
            </w:r>
            <w:r>
              <w:rPr>
                <w:spacing w:val="4"/>
                <w:sz w:val="20"/>
                <w:szCs w:val="20"/>
              </w:rPr>
              <w:t xml:space="preserve"> </w:t>
            </w:r>
            <w:r>
              <w:rPr>
                <w:spacing w:val="-1"/>
                <w:sz w:val="20"/>
                <w:szCs w:val="20"/>
              </w:rPr>
              <w:t>有限责任公司处于四川省大气污染防治重点区域，属于</w:t>
            </w:r>
            <w:r>
              <w:rPr>
                <w:spacing w:val="4"/>
                <w:sz w:val="20"/>
                <w:szCs w:val="20"/>
              </w:rPr>
              <w:t xml:space="preserve"> </w:t>
            </w:r>
            <w:r>
              <w:rPr>
                <w:spacing w:val="-2"/>
                <w:sz w:val="20"/>
                <w:szCs w:val="20"/>
              </w:rPr>
              <w:t>“彻底关停、转型发展、就地改造、域外搬迁”企业；</w:t>
            </w:r>
          </w:p>
          <w:p w14:paraId="0AC45CB2">
            <w:pPr>
              <w:pStyle w:val="6"/>
              <w:spacing w:before="19" w:line="235" w:lineRule="auto"/>
              <w:ind w:left="46" w:hanging="3"/>
              <w:rPr>
                <w:sz w:val="20"/>
                <w:szCs w:val="20"/>
              </w:rPr>
            </w:pPr>
            <w:r>
              <w:rPr>
                <w:rFonts w:hint="eastAsia"/>
                <w:spacing w:val="-1"/>
                <w:sz w:val="20"/>
                <w:szCs w:val="20"/>
                <w:lang w:eastAsia="zh-CN"/>
              </w:rPr>
              <w:t>－</w:t>
            </w:r>
            <w:r>
              <w:rPr>
                <w:spacing w:val="-1"/>
                <w:sz w:val="20"/>
                <w:szCs w:val="20"/>
              </w:rPr>
              <w:t>引导重污染产业退出或搬迁、企业分类退城入园，逐</w:t>
            </w:r>
            <w:r>
              <w:rPr>
                <w:spacing w:val="7"/>
                <w:sz w:val="20"/>
                <w:szCs w:val="20"/>
              </w:rPr>
              <w:t xml:space="preserve">  </w:t>
            </w:r>
            <w:r>
              <w:rPr>
                <w:spacing w:val="-5"/>
                <w:sz w:val="20"/>
                <w:szCs w:val="20"/>
              </w:rPr>
              <w:t>步打破近水靠城的历史工业布局。加大城市区域现有装</w:t>
            </w:r>
            <w:r>
              <w:rPr>
                <w:spacing w:val="5"/>
                <w:sz w:val="20"/>
                <w:szCs w:val="20"/>
              </w:rPr>
              <w:t xml:space="preserve">  </w:t>
            </w:r>
            <w:r>
              <w:rPr>
                <w:sz w:val="20"/>
                <w:szCs w:val="20"/>
              </w:rPr>
              <w:t>备水平低、环保设施差的</w:t>
            </w:r>
            <w:r>
              <w:rPr>
                <w:rFonts w:hint="eastAsia"/>
                <w:sz w:val="20"/>
                <w:szCs w:val="20"/>
                <w:lang w:eastAsia="zh-CN"/>
              </w:rPr>
              <w:t>小微</w:t>
            </w:r>
            <w:r>
              <w:rPr>
                <w:sz w:val="20"/>
                <w:szCs w:val="20"/>
              </w:rPr>
              <w:t>企业“关、停、并、转”</w:t>
            </w:r>
            <w:r>
              <w:rPr>
                <w:spacing w:val="14"/>
                <w:sz w:val="20"/>
                <w:szCs w:val="20"/>
              </w:rPr>
              <w:t xml:space="preserve"> </w:t>
            </w:r>
            <w:r>
              <w:rPr>
                <w:spacing w:val="-5"/>
                <w:sz w:val="20"/>
                <w:szCs w:val="20"/>
              </w:rPr>
              <w:t>实施力度，清理建成区上风向重点涉气项目。</w:t>
            </w:r>
          </w:p>
          <w:p w14:paraId="77D495B8">
            <w:pPr>
              <w:pStyle w:val="6"/>
              <w:spacing w:before="19" w:line="233" w:lineRule="auto"/>
              <w:ind w:left="44" w:right="48" w:hanging="1"/>
              <w:rPr>
                <w:sz w:val="20"/>
                <w:szCs w:val="20"/>
              </w:rPr>
            </w:pPr>
            <w:r>
              <w:rPr>
                <w:rFonts w:hint="eastAsia"/>
                <w:spacing w:val="1"/>
                <w:sz w:val="20"/>
                <w:szCs w:val="20"/>
                <w:lang w:eastAsia="zh-CN"/>
              </w:rPr>
              <w:t>－</w:t>
            </w:r>
            <w:r>
              <w:rPr>
                <w:spacing w:val="1"/>
                <w:sz w:val="20"/>
                <w:szCs w:val="20"/>
              </w:rPr>
              <w:t>石化、现代煤化工项目应纳入国家产业规划。新建、</w:t>
            </w:r>
            <w:r>
              <w:rPr>
                <w:spacing w:val="11"/>
                <w:sz w:val="20"/>
                <w:szCs w:val="20"/>
              </w:rPr>
              <w:t xml:space="preserve"> </w:t>
            </w:r>
            <w:r>
              <w:rPr>
                <w:spacing w:val="-2"/>
                <w:sz w:val="20"/>
                <w:szCs w:val="20"/>
              </w:rPr>
              <w:t>扩建石化、化工、焦化、有色金属冶炼、平板玻璃项目</w:t>
            </w:r>
            <w:r>
              <w:rPr>
                <w:spacing w:val="16"/>
                <w:sz w:val="20"/>
                <w:szCs w:val="20"/>
              </w:rPr>
              <w:t xml:space="preserve"> </w:t>
            </w:r>
            <w:r>
              <w:rPr>
                <w:spacing w:val="-2"/>
                <w:sz w:val="20"/>
                <w:szCs w:val="20"/>
              </w:rPr>
              <w:t>应布设在依法合规设立并经规划环评的产业园区。</w:t>
            </w:r>
          </w:p>
          <w:p w14:paraId="0A9A66FB">
            <w:pPr>
              <w:pStyle w:val="6"/>
              <w:spacing w:before="21" w:line="206" w:lineRule="auto"/>
              <w:ind w:left="46"/>
              <w:rPr>
                <w:sz w:val="20"/>
                <w:szCs w:val="20"/>
              </w:rPr>
            </w:pPr>
            <w:r>
              <w:rPr>
                <w:spacing w:val="-2"/>
                <w:sz w:val="20"/>
                <w:szCs w:val="20"/>
              </w:rPr>
              <w:t>其他空间布局约束要求</w:t>
            </w:r>
            <w:r>
              <w:rPr>
                <w:rFonts w:hint="eastAsia"/>
                <w:spacing w:val="-2"/>
                <w:sz w:val="20"/>
                <w:szCs w:val="20"/>
                <w:lang w:eastAsia="zh-CN"/>
              </w:rPr>
              <w:t>，</w:t>
            </w:r>
            <w:r>
              <w:rPr>
                <w:spacing w:val="-2"/>
                <w:sz w:val="20"/>
                <w:szCs w:val="20"/>
              </w:rPr>
              <w:t>暂无。</w:t>
            </w:r>
          </w:p>
        </w:tc>
        <w:tc>
          <w:tcPr>
            <w:tcW w:w="2632" w:type="dxa"/>
            <w:vAlign w:val="top"/>
          </w:tcPr>
          <w:p w14:paraId="79CA87C3">
            <w:pPr>
              <w:pStyle w:val="6"/>
              <w:spacing w:before="45" w:line="239" w:lineRule="auto"/>
              <w:ind w:left="49" w:right="48" w:hanging="1"/>
              <w:jc w:val="both"/>
              <w:rPr>
                <w:sz w:val="20"/>
                <w:szCs w:val="20"/>
              </w:rPr>
            </w:pPr>
            <w:r>
              <w:rPr>
                <w:spacing w:val="-8"/>
                <w:sz w:val="20"/>
                <w:szCs w:val="20"/>
              </w:rPr>
              <w:t>役源</w:t>
            </w:r>
            <w:r>
              <w:rPr>
                <w:spacing w:val="-16"/>
                <w:sz w:val="20"/>
                <w:szCs w:val="20"/>
              </w:rPr>
              <w:t xml:space="preserve"> </w:t>
            </w:r>
            <w:r>
              <w:rPr>
                <w:spacing w:val="-8"/>
                <w:sz w:val="20"/>
                <w:szCs w:val="20"/>
              </w:rPr>
              <w:t>1.5</w:t>
            </w:r>
            <w:r>
              <w:rPr>
                <w:spacing w:val="-43"/>
                <w:sz w:val="20"/>
                <w:szCs w:val="20"/>
              </w:rPr>
              <w:t xml:space="preserve"> </w:t>
            </w:r>
            <w:r>
              <w:rPr>
                <w:spacing w:val="-8"/>
                <w:sz w:val="20"/>
                <w:szCs w:val="20"/>
              </w:rPr>
              <w:t>倍削减量替代，具体</w:t>
            </w:r>
            <w:r>
              <w:rPr>
                <w:sz w:val="20"/>
                <w:szCs w:val="20"/>
              </w:rPr>
              <w:t xml:space="preserve"> </w:t>
            </w:r>
            <w:r>
              <w:rPr>
                <w:spacing w:val="10"/>
                <w:sz w:val="20"/>
                <w:szCs w:val="20"/>
              </w:rPr>
              <w:t>指标由达州市通川生态环境</w:t>
            </w:r>
            <w:r>
              <w:rPr>
                <w:spacing w:val="7"/>
                <w:sz w:val="20"/>
                <w:szCs w:val="20"/>
              </w:rPr>
              <w:t xml:space="preserve"> </w:t>
            </w:r>
            <w:r>
              <w:rPr>
                <w:spacing w:val="-4"/>
                <w:sz w:val="20"/>
                <w:szCs w:val="20"/>
              </w:rPr>
              <w:t>局确定来源。</w:t>
            </w:r>
          </w:p>
          <w:p w14:paraId="294ACB85">
            <w:pPr>
              <w:pStyle w:val="6"/>
              <w:spacing w:before="2" w:line="239" w:lineRule="auto"/>
              <w:ind w:left="46" w:right="48" w:firstLine="4"/>
              <w:jc w:val="both"/>
              <w:rPr>
                <w:sz w:val="20"/>
                <w:szCs w:val="20"/>
              </w:rPr>
            </w:pPr>
            <w:r>
              <w:rPr>
                <w:spacing w:val="10"/>
                <w:sz w:val="20"/>
                <w:szCs w:val="20"/>
              </w:rPr>
              <w:t>项目实施后颗粒物预计排放</w:t>
            </w:r>
            <w:r>
              <w:rPr>
                <w:spacing w:val="6"/>
                <w:sz w:val="20"/>
                <w:szCs w:val="20"/>
              </w:rPr>
              <w:t xml:space="preserve"> </w:t>
            </w:r>
            <w:r>
              <w:rPr>
                <w:spacing w:val="-3"/>
                <w:sz w:val="20"/>
                <w:szCs w:val="20"/>
              </w:rPr>
              <w:t>量约</w:t>
            </w:r>
            <w:r>
              <w:rPr>
                <w:spacing w:val="-18"/>
                <w:sz w:val="20"/>
                <w:szCs w:val="20"/>
              </w:rPr>
              <w:t xml:space="preserve"> </w:t>
            </w:r>
            <w:r>
              <w:rPr>
                <w:spacing w:val="-3"/>
                <w:sz w:val="20"/>
                <w:szCs w:val="20"/>
              </w:rPr>
              <w:t>15.071t/a，营运过程采</w:t>
            </w:r>
            <w:r>
              <w:rPr>
                <w:sz w:val="20"/>
                <w:szCs w:val="20"/>
              </w:rPr>
              <w:t xml:space="preserve"> </w:t>
            </w:r>
            <w:r>
              <w:rPr>
                <w:spacing w:val="10"/>
                <w:sz w:val="20"/>
                <w:szCs w:val="20"/>
              </w:rPr>
              <w:t xml:space="preserve">取了相应的可行技术治理措 施，对区域环境空间影响较 </w:t>
            </w:r>
            <w:r>
              <w:rPr>
                <w:spacing w:val="-9"/>
                <w:sz w:val="20"/>
                <w:szCs w:val="20"/>
              </w:rPr>
              <w:t>小。</w:t>
            </w:r>
          </w:p>
          <w:p w14:paraId="2E716B83">
            <w:pPr>
              <w:pStyle w:val="6"/>
              <w:spacing w:before="1"/>
              <w:ind w:left="46" w:right="16" w:firstLine="4"/>
              <w:jc w:val="both"/>
              <w:rPr>
                <w:sz w:val="20"/>
                <w:szCs w:val="20"/>
              </w:rPr>
            </w:pPr>
            <w:r>
              <w:rPr>
                <w:spacing w:val="-4"/>
                <w:sz w:val="20"/>
                <w:szCs w:val="20"/>
              </w:rPr>
              <w:t>项目不属于新建、扩建石化、</w:t>
            </w:r>
            <w:r>
              <w:rPr>
                <w:spacing w:val="11"/>
                <w:sz w:val="20"/>
                <w:szCs w:val="20"/>
              </w:rPr>
              <w:t xml:space="preserve"> </w:t>
            </w:r>
            <w:r>
              <w:rPr>
                <w:spacing w:val="-3"/>
                <w:sz w:val="20"/>
                <w:szCs w:val="20"/>
              </w:rPr>
              <w:t>化工、焦化、有色金属冶炼、</w:t>
            </w:r>
            <w:r>
              <w:rPr>
                <w:spacing w:val="2"/>
                <w:sz w:val="20"/>
                <w:szCs w:val="20"/>
              </w:rPr>
              <w:t xml:space="preserve"> </w:t>
            </w:r>
            <w:r>
              <w:rPr>
                <w:spacing w:val="-1"/>
                <w:sz w:val="20"/>
                <w:szCs w:val="20"/>
              </w:rPr>
              <w:t>平板玻璃项目。</w:t>
            </w:r>
          </w:p>
        </w:tc>
        <w:tc>
          <w:tcPr>
            <w:tcW w:w="513" w:type="dxa"/>
            <w:vAlign w:val="top"/>
          </w:tcPr>
          <w:p w14:paraId="0E0E5E26">
            <w:pPr>
              <w:rPr>
                <w:rFonts w:ascii="Arial"/>
                <w:sz w:val="21"/>
              </w:rPr>
            </w:pPr>
          </w:p>
        </w:tc>
        <w:tc>
          <w:tcPr>
            <w:tcW w:w="118" w:type="dxa"/>
            <w:tcBorders>
              <w:bottom w:val="nil"/>
            </w:tcBorders>
            <w:vAlign w:val="top"/>
          </w:tcPr>
          <w:p w14:paraId="309A2F6A">
            <w:pPr>
              <w:rPr>
                <w:rFonts w:ascii="Arial"/>
                <w:sz w:val="21"/>
              </w:rPr>
            </w:pPr>
          </w:p>
        </w:tc>
      </w:tr>
      <w:tr w14:paraId="6EAEE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6" w:hRule="atLeast"/>
        </w:trPr>
        <w:tc>
          <w:tcPr>
            <w:tcW w:w="1886" w:type="dxa"/>
            <w:vMerge w:val="continue"/>
            <w:tcBorders>
              <w:top w:val="nil"/>
              <w:bottom w:val="nil"/>
            </w:tcBorders>
            <w:vAlign w:val="top"/>
          </w:tcPr>
          <w:p w14:paraId="461BE73A">
            <w:pPr>
              <w:rPr>
                <w:rFonts w:ascii="Arial"/>
                <w:sz w:val="21"/>
              </w:rPr>
            </w:pPr>
          </w:p>
        </w:tc>
        <w:tc>
          <w:tcPr>
            <w:tcW w:w="113" w:type="dxa"/>
            <w:tcBorders>
              <w:top w:val="nil"/>
              <w:bottom w:val="nil"/>
            </w:tcBorders>
            <w:vAlign w:val="top"/>
          </w:tcPr>
          <w:p w14:paraId="0B12F25C">
            <w:pPr>
              <w:rPr>
                <w:rFonts w:ascii="Arial"/>
                <w:sz w:val="21"/>
              </w:rPr>
            </w:pPr>
          </w:p>
        </w:tc>
        <w:tc>
          <w:tcPr>
            <w:tcW w:w="1879" w:type="dxa"/>
            <w:vMerge w:val="continue"/>
            <w:tcBorders>
              <w:top w:val="nil"/>
            </w:tcBorders>
            <w:vAlign w:val="top"/>
          </w:tcPr>
          <w:p w14:paraId="4DA4801B">
            <w:pPr>
              <w:rPr>
                <w:rFonts w:ascii="Arial"/>
                <w:sz w:val="21"/>
              </w:rPr>
            </w:pPr>
          </w:p>
        </w:tc>
        <w:tc>
          <w:tcPr>
            <w:tcW w:w="795" w:type="dxa"/>
            <w:vMerge w:val="continue"/>
            <w:tcBorders>
              <w:top w:val="nil"/>
            </w:tcBorders>
            <w:vAlign w:val="top"/>
          </w:tcPr>
          <w:p w14:paraId="16290897">
            <w:pPr>
              <w:rPr>
                <w:rFonts w:ascii="Arial"/>
                <w:sz w:val="21"/>
              </w:rPr>
            </w:pPr>
          </w:p>
        </w:tc>
        <w:tc>
          <w:tcPr>
            <w:tcW w:w="788" w:type="dxa"/>
            <w:vAlign w:val="top"/>
          </w:tcPr>
          <w:p w14:paraId="598A276B">
            <w:pPr>
              <w:spacing w:line="255" w:lineRule="auto"/>
              <w:rPr>
                <w:rFonts w:ascii="Arial"/>
                <w:sz w:val="21"/>
              </w:rPr>
            </w:pPr>
          </w:p>
          <w:p w14:paraId="754F349D">
            <w:pPr>
              <w:spacing w:line="255" w:lineRule="auto"/>
              <w:rPr>
                <w:rFonts w:ascii="Arial"/>
                <w:sz w:val="21"/>
              </w:rPr>
            </w:pPr>
          </w:p>
          <w:p w14:paraId="6A2E620E">
            <w:pPr>
              <w:spacing w:line="255" w:lineRule="auto"/>
              <w:rPr>
                <w:rFonts w:ascii="Arial"/>
                <w:sz w:val="21"/>
              </w:rPr>
            </w:pPr>
          </w:p>
          <w:p w14:paraId="0E856019">
            <w:pPr>
              <w:spacing w:line="255" w:lineRule="auto"/>
              <w:rPr>
                <w:rFonts w:ascii="Arial"/>
                <w:sz w:val="21"/>
              </w:rPr>
            </w:pPr>
          </w:p>
          <w:p w14:paraId="7759EDAD">
            <w:pPr>
              <w:spacing w:line="256" w:lineRule="auto"/>
              <w:rPr>
                <w:rFonts w:ascii="Arial"/>
                <w:sz w:val="21"/>
              </w:rPr>
            </w:pPr>
          </w:p>
          <w:p w14:paraId="14051D33">
            <w:pPr>
              <w:spacing w:line="256" w:lineRule="auto"/>
              <w:rPr>
                <w:rFonts w:ascii="Arial"/>
                <w:sz w:val="21"/>
              </w:rPr>
            </w:pPr>
          </w:p>
          <w:p w14:paraId="7AC29A75">
            <w:pPr>
              <w:spacing w:line="256" w:lineRule="auto"/>
              <w:rPr>
                <w:rFonts w:ascii="Arial"/>
                <w:sz w:val="21"/>
              </w:rPr>
            </w:pPr>
          </w:p>
          <w:p w14:paraId="050B8766">
            <w:pPr>
              <w:spacing w:line="256" w:lineRule="auto"/>
              <w:rPr>
                <w:rFonts w:ascii="Arial"/>
                <w:sz w:val="21"/>
              </w:rPr>
            </w:pPr>
          </w:p>
          <w:p w14:paraId="79C3B9BB">
            <w:pPr>
              <w:spacing w:line="256" w:lineRule="auto"/>
              <w:rPr>
                <w:rFonts w:ascii="Arial"/>
                <w:sz w:val="21"/>
              </w:rPr>
            </w:pPr>
          </w:p>
          <w:p w14:paraId="4933858B">
            <w:pPr>
              <w:pStyle w:val="6"/>
              <w:spacing w:before="65" w:line="221" w:lineRule="auto"/>
              <w:ind w:left="93"/>
              <w:rPr>
                <w:sz w:val="20"/>
                <w:szCs w:val="20"/>
              </w:rPr>
            </w:pPr>
            <w:r>
              <w:rPr>
                <w:spacing w:val="-2"/>
                <w:sz w:val="20"/>
                <w:szCs w:val="20"/>
              </w:rPr>
              <w:t>污染物</w:t>
            </w:r>
          </w:p>
          <w:p w14:paraId="29BAD2FD">
            <w:pPr>
              <w:pStyle w:val="6"/>
              <w:spacing w:before="19" w:line="242" w:lineRule="auto"/>
              <w:ind w:left="290" w:right="97" w:hanging="199"/>
              <w:rPr>
                <w:sz w:val="20"/>
                <w:szCs w:val="20"/>
              </w:rPr>
            </w:pPr>
            <w:r>
              <w:rPr>
                <w:spacing w:val="-3"/>
                <w:sz w:val="20"/>
                <w:szCs w:val="20"/>
              </w:rPr>
              <w:t>排放管</w:t>
            </w:r>
            <w:r>
              <w:rPr>
                <w:spacing w:val="1"/>
                <w:sz w:val="20"/>
                <w:szCs w:val="20"/>
              </w:rPr>
              <w:t xml:space="preserve"> </w:t>
            </w:r>
            <w:r>
              <w:rPr>
                <w:sz w:val="20"/>
                <w:szCs w:val="20"/>
              </w:rPr>
              <w:t>控</w:t>
            </w:r>
          </w:p>
        </w:tc>
        <w:tc>
          <w:tcPr>
            <w:tcW w:w="4868" w:type="dxa"/>
            <w:vAlign w:val="top"/>
          </w:tcPr>
          <w:p w14:paraId="7D153F60">
            <w:pPr>
              <w:pStyle w:val="6"/>
              <w:spacing w:before="44" w:line="220" w:lineRule="auto"/>
              <w:ind w:left="52"/>
              <w:rPr>
                <w:sz w:val="20"/>
                <w:szCs w:val="20"/>
              </w:rPr>
            </w:pPr>
            <w:r>
              <w:rPr>
                <w:b/>
                <w:bCs/>
                <w:spacing w:val="-4"/>
                <w:sz w:val="20"/>
                <w:szCs w:val="20"/>
              </w:rPr>
              <w:t>允许排放量要求</w:t>
            </w:r>
          </w:p>
          <w:p w14:paraId="70F99B50">
            <w:pPr>
              <w:pStyle w:val="6"/>
              <w:spacing w:before="23" w:line="239" w:lineRule="auto"/>
              <w:ind w:left="44" w:right="49"/>
              <w:jc w:val="both"/>
              <w:rPr>
                <w:sz w:val="20"/>
                <w:szCs w:val="20"/>
              </w:rPr>
            </w:pPr>
            <w:r>
              <w:rPr>
                <w:spacing w:val="-4"/>
                <w:sz w:val="20"/>
                <w:szCs w:val="20"/>
              </w:rPr>
              <w:t>达州市</w:t>
            </w:r>
            <w:r>
              <w:rPr>
                <w:spacing w:val="-24"/>
                <w:sz w:val="20"/>
                <w:szCs w:val="20"/>
              </w:rPr>
              <w:t xml:space="preserve"> </w:t>
            </w:r>
            <w:r>
              <w:rPr>
                <w:spacing w:val="-4"/>
                <w:sz w:val="20"/>
                <w:szCs w:val="20"/>
              </w:rPr>
              <w:t>2025</w:t>
            </w:r>
            <w:r>
              <w:rPr>
                <w:spacing w:val="-42"/>
                <w:sz w:val="20"/>
                <w:szCs w:val="20"/>
              </w:rPr>
              <w:t xml:space="preserve"> </w:t>
            </w:r>
            <w:r>
              <w:rPr>
                <w:spacing w:val="-4"/>
                <w:sz w:val="20"/>
                <w:szCs w:val="20"/>
              </w:rPr>
              <w:t>年水污染物允许排放量</w:t>
            </w:r>
            <w:r>
              <w:rPr>
                <w:spacing w:val="-43"/>
                <w:sz w:val="20"/>
                <w:szCs w:val="20"/>
              </w:rPr>
              <w:t xml:space="preserve"> </w:t>
            </w:r>
            <w:r>
              <w:rPr>
                <w:spacing w:val="-4"/>
                <w:sz w:val="20"/>
                <w:szCs w:val="20"/>
              </w:rPr>
              <w:t>COD4396.41t，氨氮</w:t>
            </w:r>
            <w:r>
              <w:rPr>
                <w:sz w:val="20"/>
                <w:szCs w:val="20"/>
              </w:rPr>
              <w:t xml:space="preserve"> </w:t>
            </w:r>
            <w:r>
              <w:rPr>
                <w:spacing w:val="-4"/>
                <w:sz w:val="20"/>
                <w:szCs w:val="20"/>
              </w:rPr>
              <w:t>418.7t，TP45.36t；达州市</w:t>
            </w:r>
            <w:r>
              <w:rPr>
                <w:spacing w:val="-37"/>
                <w:sz w:val="20"/>
                <w:szCs w:val="20"/>
              </w:rPr>
              <w:t xml:space="preserve"> </w:t>
            </w:r>
            <w:r>
              <w:rPr>
                <w:spacing w:val="-4"/>
                <w:sz w:val="20"/>
                <w:szCs w:val="20"/>
              </w:rPr>
              <w:t>2025</w:t>
            </w:r>
            <w:r>
              <w:rPr>
                <w:spacing w:val="-41"/>
                <w:sz w:val="20"/>
                <w:szCs w:val="20"/>
              </w:rPr>
              <w:t xml:space="preserve"> </w:t>
            </w:r>
            <w:r>
              <w:rPr>
                <w:spacing w:val="-4"/>
                <w:sz w:val="20"/>
                <w:szCs w:val="20"/>
              </w:rPr>
              <w:t>年大气污染物一次</w:t>
            </w:r>
            <w:r>
              <w:rPr>
                <w:spacing w:val="-46"/>
                <w:sz w:val="20"/>
                <w:szCs w:val="20"/>
              </w:rPr>
              <w:t xml:space="preserve"> </w:t>
            </w:r>
            <w:r>
              <w:rPr>
                <w:spacing w:val="-4"/>
                <w:sz w:val="20"/>
                <w:szCs w:val="20"/>
              </w:rPr>
              <w:t>PM</w:t>
            </w:r>
            <w:r>
              <w:rPr>
                <w:spacing w:val="-4"/>
                <w:sz w:val="9"/>
                <w:szCs w:val="9"/>
              </w:rPr>
              <w:t>2.5</w:t>
            </w:r>
            <w:r>
              <w:rPr>
                <w:sz w:val="9"/>
                <w:szCs w:val="9"/>
              </w:rPr>
              <w:t xml:space="preserve"> </w:t>
            </w:r>
            <w:r>
              <w:rPr>
                <w:spacing w:val="-2"/>
                <w:sz w:val="20"/>
                <w:szCs w:val="20"/>
              </w:rPr>
              <w:t>5805t、SO</w:t>
            </w:r>
            <w:r>
              <w:rPr>
                <w:spacing w:val="-2"/>
                <w:sz w:val="9"/>
                <w:szCs w:val="9"/>
              </w:rPr>
              <w:t>2</w:t>
            </w:r>
            <w:r>
              <w:rPr>
                <w:spacing w:val="23"/>
                <w:sz w:val="9"/>
                <w:szCs w:val="9"/>
              </w:rPr>
              <w:t xml:space="preserve">  </w:t>
            </w:r>
            <w:r>
              <w:rPr>
                <w:spacing w:val="-2"/>
                <w:sz w:val="20"/>
                <w:szCs w:val="20"/>
              </w:rPr>
              <w:t>12773t、NO</w:t>
            </w:r>
            <w:r>
              <w:rPr>
                <w:spacing w:val="-2"/>
                <w:sz w:val="9"/>
                <w:szCs w:val="9"/>
              </w:rPr>
              <w:t>x</w:t>
            </w:r>
            <w:r>
              <w:rPr>
                <w:spacing w:val="-23"/>
                <w:sz w:val="9"/>
                <w:szCs w:val="9"/>
              </w:rPr>
              <w:t xml:space="preserve"> </w:t>
            </w:r>
            <w:r>
              <w:rPr>
                <w:spacing w:val="-2"/>
                <w:sz w:val="20"/>
                <w:szCs w:val="20"/>
              </w:rPr>
              <w:t>11892t、VOC</w:t>
            </w:r>
            <w:r>
              <w:rPr>
                <w:spacing w:val="-2"/>
                <w:sz w:val="9"/>
                <w:szCs w:val="9"/>
              </w:rPr>
              <w:t>s</w:t>
            </w:r>
            <w:r>
              <w:rPr>
                <w:spacing w:val="16"/>
                <w:sz w:val="9"/>
                <w:szCs w:val="9"/>
              </w:rPr>
              <w:t xml:space="preserve">  </w:t>
            </w:r>
            <w:r>
              <w:rPr>
                <w:spacing w:val="-2"/>
                <w:sz w:val="20"/>
                <w:szCs w:val="20"/>
              </w:rPr>
              <w:t>13969t。</w:t>
            </w:r>
          </w:p>
          <w:p w14:paraId="7A2AD4C9">
            <w:pPr>
              <w:pStyle w:val="6"/>
              <w:spacing w:line="219" w:lineRule="auto"/>
              <w:ind w:left="47"/>
              <w:rPr>
                <w:sz w:val="20"/>
                <w:szCs w:val="20"/>
              </w:rPr>
            </w:pPr>
            <w:r>
              <w:rPr>
                <w:b/>
                <w:bCs/>
                <w:spacing w:val="-3"/>
                <w:sz w:val="20"/>
                <w:szCs w:val="20"/>
              </w:rPr>
              <w:t>现有源提标升级改造</w:t>
            </w:r>
          </w:p>
          <w:p w14:paraId="7831E3EE">
            <w:pPr>
              <w:pStyle w:val="6"/>
              <w:spacing w:before="20" w:line="220" w:lineRule="auto"/>
              <w:ind w:left="43"/>
              <w:rPr>
                <w:sz w:val="20"/>
                <w:szCs w:val="20"/>
              </w:rPr>
            </w:pPr>
            <w:r>
              <w:rPr>
                <w:rFonts w:hint="eastAsia"/>
                <w:spacing w:val="-2"/>
                <w:sz w:val="20"/>
                <w:szCs w:val="20"/>
                <w:lang w:eastAsia="zh-CN"/>
              </w:rPr>
              <w:t>－</w:t>
            </w:r>
            <w:r>
              <w:rPr>
                <w:spacing w:val="-2"/>
                <w:sz w:val="20"/>
                <w:szCs w:val="20"/>
              </w:rPr>
              <w:t>污水收集处理率达</w:t>
            </w:r>
            <w:r>
              <w:rPr>
                <w:spacing w:val="-28"/>
                <w:sz w:val="20"/>
                <w:szCs w:val="20"/>
              </w:rPr>
              <w:t xml:space="preserve"> </w:t>
            </w:r>
            <w:r>
              <w:rPr>
                <w:spacing w:val="-2"/>
                <w:sz w:val="20"/>
                <w:szCs w:val="20"/>
              </w:rPr>
              <w:t>100%；</w:t>
            </w:r>
          </w:p>
          <w:p w14:paraId="342B11B0">
            <w:pPr>
              <w:pStyle w:val="6"/>
              <w:spacing w:before="22" w:line="236" w:lineRule="auto"/>
              <w:ind w:left="43" w:right="49"/>
              <w:rPr>
                <w:sz w:val="20"/>
                <w:szCs w:val="20"/>
              </w:rPr>
            </w:pPr>
            <w:r>
              <w:rPr>
                <w:rFonts w:hint="eastAsia"/>
                <w:spacing w:val="-1"/>
                <w:sz w:val="20"/>
                <w:szCs w:val="20"/>
                <w:lang w:eastAsia="zh-CN"/>
              </w:rPr>
              <w:t>－</w:t>
            </w:r>
            <w:r>
              <w:rPr>
                <w:spacing w:val="-1"/>
                <w:sz w:val="20"/>
                <w:szCs w:val="20"/>
              </w:rPr>
              <w:t>到</w:t>
            </w:r>
            <w:r>
              <w:rPr>
                <w:spacing w:val="-32"/>
                <w:sz w:val="20"/>
                <w:szCs w:val="20"/>
              </w:rPr>
              <w:t xml:space="preserve"> </w:t>
            </w:r>
            <w:r>
              <w:rPr>
                <w:spacing w:val="-1"/>
                <w:sz w:val="20"/>
                <w:szCs w:val="20"/>
              </w:rPr>
              <w:t>2025</w:t>
            </w:r>
            <w:r>
              <w:rPr>
                <w:spacing w:val="-34"/>
                <w:sz w:val="20"/>
                <w:szCs w:val="20"/>
              </w:rPr>
              <w:t xml:space="preserve"> </w:t>
            </w:r>
            <w:r>
              <w:rPr>
                <w:spacing w:val="-1"/>
                <w:sz w:val="20"/>
                <w:szCs w:val="20"/>
              </w:rPr>
              <w:t>年底前，现有钢铁行业</w:t>
            </w:r>
            <w:r>
              <w:rPr>
                <w:spacing w:val="-33"/>
                <w:sz w:val="20"/>
                <w:szCs w:val="20"/>
              </w:rPr>
              <w:t xml:space="preserve"> </w:t>
            </w:r>
            <w:r>
              <w:rPr>
                <w:spacing w:val="-1"/>
                <w:sz w:val="20"/>
                <w:szCs w:val="20"/>
              </w:rPr>
              <w:t>80%以上产</w:t>
            </w:r>
            <w:r>
              <w:rPr>
                <w:spacing w:val="-2"/>
                <w:sz w:val="20"/>
                <w:szCs w:val="20"/>
              </w:rPr>
              <w:t>能完成超低</w:t>
            </w:r>
            <w:r>
              <w:rPr>
                <w:sz w:val="20"/>
                <w:szCs w:val="20"/>
              </w:rPr>
              <w:t xml:space="preserve"> </w:t>
            </w:r>
            <w:r>
              <w:rPr>
                <w:spacing w:val="-2"/>
                <w:sz w:val="20"/>
                <w:szCs w:val="20"/>
              </w:rPr>
              <w:t>排放改造，烧结机机头、球团焙烧烟气颗粒物、二氧化</w:t>
            </w:r>
            <w:r>
              <w:rPr>
                <w:spacing w:val="15"/>
                <w:sz w:val="20"/>
                <w:szCs w:val="20"/>
              </w:rPr>
              <w:t xml:space="preserve"> </w:t>
            </w:r>
            <w:r>
              <w:rPr>
                <w:spacing w:val="-4"/>
                <w:sz w:val="20"/>
                <w:szCs w:val="20"/>
              </w:rPr>
              <w:t>硫、氮氧化物排放浓度小时均值分别不高于</w:t>
            </w:r>
            <w:r>
              <w:rPr>
                <w:spacing w:val="-25"/>
                <w:sz w:val="20"/>
                <w:szCs w:val="20"/>
              </w:rPr>
              <w:t xml:space="preserve"> </w:t>
            </w:r>
            <w:r>
              <w:rPr>
                <w:spacing w:val="-4"/>
                <w:sz w:val="20"/>
                <w:szCs w:val="20"/>
              </w:rPr>
              <w:t>10、35、50</w:t>
            </w:r>
            <w:r>
              <w:rPr>
                <w:sz w:val="20"/>
                <w:szCs w:val="20"/>
              </w:rPr>
              <w:t xml:space="preserve"> </w:t>
            </w:r>
            <w:r>
              <w:rPr>
                <w:spacing w:val="-2"/>
                <w:sz w:val="20"/>
                <w:szCs w:val="20"/>
              </w:rPr>
              <w:t>毫克立方米；其他主要污染源颗粒物、二氧化硫、氮氧</w:t>
            </w:r>
            <w:r>
              <w:rPr>
                <w:spacing w:val="15"/>
                <w:sz w:val="20"/>
                <w:szCs w:val="20"/>
              </w:rPr>
              <w:t xml:space="preserve"> </w:t>
            </w:r>
            <w:r>
              <w:rPr>
                <w:spacing w:val="-1"/>
                <w:sz w:val="20"/>
                <w:szCs w:val="20"/>
              </w:rPr>
              <w:t>化物排放浓度小时均值原则上分别不高于 10、5</w:t>
            </w:r>
            <w:r>
              <w:rPr>
                <w:spacing w:val="-2"/>
                <w:sz w:val="20"/>
                <w:szCs w:val="20"/>
              </w:rPr>
              <w:t>0、200</w:t>
            </w:r>
            <w:r>
              <w:rPr>
                <w:sz w:val="20"/>
                <w:szCs w:val="20"/>
              </w:rPr>
              <w:t xml:space="preserve"> </w:t>
            </w:r>
            <w:r>
              <w:rPr>
                <w:spacing w:val="-4"/>
                <w:sz w:val="20"/>
                <w:szCs w:val="20"/>
              </w:rPr>
              <w:t>毫克立方米。</w:t>
            </w:r>
          </w:p>
          <w:p w14:paraId="08286C4B">
            <w:pPr>
              <w:pStyle w:val="6"/>
              <w:spacing w:before="19" w:line="236" w:lineRule="auto"/>
              <w:ind w:left="43"/>
              <w:rPr>
                <w:sz w:val="20"/>
                <w:szCs w:val="20"/>
              </w:rPr>
            </w:pPr>
            <w:r>
              <w:rPr>
                <w:rFonts w:hint="eastAsia"/>
                <w:spacing w:val="2"/>
                <w:sz w:val="20"/>
                <w:szCs w:val="20"/>
                <w:lang w:eastAsia="zh-CN"/>
              </w:rPr>
              <w:t>－</w:t>
            </w:r>
            <w:r>
              <w:rPr>
                <w:spacing w:val="2"/>
                <w:sz w:val="20"/>
                <w:szCs w:val="20"/>
              </w:rPr>
              <w:t>有行业标准的工业炉窑，要求严格执行已有的行业排</w:t>
            </w:r>
            <w:r>
              <w:rPr>
                <w:spacing w:val="12"/>
                <w:sz w:val="20"/>
                <w:szCs w:val="20"/>
              </w:rPr>
              <w:t xml:space="preserve"> </w:t>
            </w:r>
            <w:r>
              <w:rPr>
                <w:spacing w:val="-2"/>
                <w:sz w:val="20"/>
                <w:szCs w:val="20"/>
              </w:rPr>
              <w:t>放标准，配套建设高效除尘脱硫脱硝设施，确保稳定达</w:t>
            </w:r>
            <w:r>
              <w:rPr>
                <w:spacing w:val="12"/>
                <w:sz w:val="20"/>
                <w:szCs w:val="20"/>
              </w:rPr>
              <w:t xml:space="preserve"> </w:t>
            </w:r>
            <w:r>
              <w:rPr>
                <w:spacing w:val="-2"/>
                <w:sz w:val="20"/>
                <w:szCs w:val="20"/>
              </w:rPr>
              <w:t>标排放。有排污许可证的，应严格执行许可要求。暂没</w:t>
            </w:r>
            <w:r>
              <w:rPr>
                <w:spacing w:val="11"/>
                <w:sz w:val="20"/>
                <w:szCs w:val="20"/>
              </w:rPr>
              <w:t xml:space="preserve"> </w:t>
            </w:r>
            <w:r>
              <w:rPr>
                <w:spacing w:val="-2"/>
                <w:sz w:val="20"/>
                <w:szCs w:val="20"/>
              </w:rPr>
              <w:t>有行业标准的，要求参照有关行业标准执行，其中，铸</w:t>
            </w:r>
            <w:r>
              <w:rPr>
                <w:spacing w:val="11"/>
                <w:sz w:val="20"/>
                <w:szCs w:val="20"/>
              </w:rPr>
              <w:t xml:space="preserve"> </w:t>
            </w:r>
            <w:r>
              <w:rPr>
                <w:spacing w:val="-2"/>
                <w:sz w:val="20"/>
                <w:szCs w:val="20"/>
              </w:rPr>
              <w:t>造行业烧结、高炉工序污染排放控制按照钢铁行业相关</w:t>
            </w:r>
            <w:r>
              <w:rPr>
                <w:spacing w:val="11"/>
                <w:sz w:val="20"/>
                <w:szCs w:val="20"/>
              </w:rPr>
              <w:t xml:space="preserve"> </w:t>
            </w:r>
            <w:r>
              <w:rPr>
                <w:spacing w:val="-2"/>
                <w:sz w:val="20"/>
                <w:szCs w:val="20"/>
              </w:rPr>
              <w:t>标准要求执行；颗粒物、二氧化硫、氮氧化物排放限值</w:t>
            </w:r>
            <w:r>
              <w:rPr>
                <w:spacing w:val="11"/>
                <w:sz w:val="20"/>
                <w:szCs w:val="20"/>
              </w:rPr>
              <w:t xml:space="preserve"> </w:t>
            </w:r>
            <w:r>
              <w:rPr>
                <w:spacing w:val="-4"/>
                <w:sz w:val="20"/>
                <w:szCs w:val="20"/>
              </w:rPr>
              <w:t>分别不高于</w:t>
            </w:r>
            <w:r>
              <w:rPr>
                <w:spacing w:val="-31"/>
                <w:sz w:val="20"/>
                <w:szCs w:val="20"/>
              </w:rPr>
              <w:t xml:space="preserve"> </w:t>
            </w:r>
            <w:r>
              <w:rPr>
                <w:spacing w:val="-4"/>
                <w:sz w:val="20"/>
                <w:szCs w:val="20"/>
              </w:rPr>
              <w:t>30、200、300</w:t>
            </w:r>
            <w:r>
              <w:rPr>
                <w:spacing w:val="-40"/>
                <w:sz w:val="20"/>
                <w:szCs w:val="20"/>
              </w:rPr>
              <w:t xml:space="preserve"> </w:t>
            </w:r>
            <w:r>
              <w:rPr>
                <w:spacing w:val="-4"/>
                <w:sz w:val="20"/>
                <w:szCs w:val="20"/>
              </w:rPr>
              <w:t>毫克立方米实施改造，其中，</w:t>
            </w:r>
            <w:r>
              <w:rPr>
                <w:sz w:val="20"/>
                <w:szCs w:val="20"/>
              </w:rPr>
              <w:t xml:space="preserve"> </w:t>
            </w:r>
            <w:r>
              <w:rPr>
                <w:spacing w:val="-2"/>
                <w:sz w:val="20"/>
                <w:szCs w:val="20"/>
              </w:rPr>
              <w:t>日用玻璃、玻璃棉氮氧化物排放限值不高于</w:t>
            </w:r>
            <w:r>
              <w:rPr>
                <w:spacing w:val="-42"/>
                <w:sz w:val="20"/>
                <w:szCs w:val="20"/>
              </w:rPr>
              <w:t xml:space="preserve"> </w:t>
            </w:r>
            <w:r>
              <w:rPr>
                <w:spacing w:val="-3"/>
                <w:sz w:val="20"/>
                <w:szCs w:val="20"/>
              </w:rPr>
              <w:t>400</w:t>
            </w:r>
            <w:r>
              <w:rPr>
                <w:spacing w:val="-39"/>
                <w:sz w:val="20"/>
                <w:szCs w:val="20"/>
              </w:rPr>
              <w:t xml:space="preserve"> </w:t>
            </w:r>
            <w:r>
              <w:rPr>
                <w:spacing w:val="-3"/>
                <w:sz w:val="20"/>
                <w:szCs w:val="20"/>
              </w:rPr>
              <w:t>毫克立</w:t>
            </w:r>
            <w:r>
              <w:rPr>
                <w:sz w:val="20"/>
                <w:szCs w:val="20"/>
              </w:rPr>
              <w:t xml:space="preserve"> </w:t>
            </w:r>
            <w:r>
              <w:rPr>
                <w:spacing w:val="-8"/>
                <w:sz w:val="20"/>
                <w:szCs w:val="20"/>
              </w:rPr>
              <w:t>方米。</w:t>
            </w:r>
          </w:p>
        </w:tc>
        <w:tc>
          <w:tcPr>
            <w:tcW w:w="2632" w:type="dxa"/>
            <w:vAlign w:val="top"/>
          </w:tcPr>
          <w:p w14:paraId="6984804A">
            <w:pPr>
              <w:pStyle w:val="6"/>
              <w:spacing w:before="31" w:line="237" w:lineRule="auto"/>
              <w:ind w:left="46" w:right="47" w:firstLine="15"/>
              <w:rPr>
                <w:sz w:val="20"/>
                <w:szCs w:val="20"/>
              </w:rPr>
            </w:pPr>
            <w:r>
              <w:rPr>
                <w:spacing w:val="-2"/>
                <w:sz w:val="20"/>
                <w:szCs w:val="20"/>
              </w:rPr>
              <w:t>1、本项目营运过程生产废水</w:t>
            </w:r>
            <w:r>
              <w:rPr>
                <w:spacing w:val="3"/>
                <w:sz w:val="20"/>
                <w:szCs w:val="20"/>
              </w:rPr>
              <w:t xml:space="preserve"> </w:t>
            </w:r>
            <w:r>
              <w:rPr>
                <w:spacing w:val="-6"/>
                <w:sz w:val="20"/>
                <w:szCs w:val="20"/>
              </w:rPr>
              <w:t>循环回用不外排；生活污水经</w:t>
            </w:r>
            <w:r>
              <w:rPr>
                <w:spacing w:val="9"/>
                <w:sz w:val="20"/>
                <w:szCs w:val="20"/>
              </w:rPr>
              <w:t xml:space="preserve"> </w:t>
            </w:r>
            <w:r>
              <w:rPr>
                <w:spacing w:val="-1"/>
                <w:sz w:val="20"/>
                <w:szCs w:val="20"/>
              </w:rPr>
              <w:t>场镇污水管网进入东岳场镇</w:t>
            </w:r>
            <w:r>
              <w:rPr>
                <w:spacing w:val="2"/>
                <w:sz w:val="20"/>
                <w:szCs w:val="20"/>
              </w:rPr>
              <w:t xml:space="preserve">  </w:t>
            </w:r>
            <w:r>
              <w:rPr>
                <w:spacing w:val="-10"/>
                <w:sz w:val="20"/>
                <w:szCs w:val="20"/>
              </w:rPr>
              <w:t>污水处理厂处理后。C</w:t>
            </w:r>
            <w:r>
              <w:rPr>
                <w:rFonts w:ascii="Times New Roman" w:hAnsi="Times New Roman" w:eastAsia="Times New Roman" w:cs="Times New Roman"/>
                <w:spacing w:val="-10"/>
                <w:sz w:val="20"/>
                <w:szCs w:val="20"/>
              </w:rPr>
              <w:t>OD</w:t>
            </w:r>
            <w:r>
              <w:rPr>
                <w:rFonts w:ascii="Times New Roman" w:hAnsi="Times New Roman" w:eastAsia="Times New Roman" w:cs="Times New Roman"/>
                <w:spacing w:val="32"/>
                <w:w w:val="101"/>
                <w:sz w:val="20"/>
                <w:szCs w:val="20"/>
              </w:rPr>
              <w:t xml:space="preserve"> </w:t>
            </w:r>
            <w:r>
              <w:rPr>
                <w:spacing w:val="-10"/>
                <w:sz w:val="20"/>
                <w:szCs w:val="20"/>
              </w:rPr>
              <w:t>间接</w:t>
            </w:r>
            <w:r>
              <w:rPr>
                <w:sz w:val="20"/>
                <w:szCs w:val="20"/>
              </w:rPr>
              <w:t xml:space="preserve"> </w:t>
            </w:r>
            <w:r>
              <w:rPr>
                <w:spacing w:val="-1"/>
                <w:sz w:val="20"/>
                <w:szCs w:val="20"/>
              </w:rPr>
              <w:t>排放量约</w:t>
            </w:r>
            <w:r>
              <w:rPr>
                <w:spacing w:val="-41"/>
                <w:sz w:val="20"/>
                <w:szCs w:val="20"/>
              </w:rPr>
              <w:t xml:space="preserve"> </w:t>
            </w:r>
            <w:r>
              <w:rPr>
                <w:rFonts w:ascii="Times New Roman" w:hAnsi="Times New Roman" w:eastAsia="Times New Roman" w:cs="Times New Roman"/>
                <w:spacing w:val="-1"/>
                <w:sz w:val="20"/>
                <w:szCs w:val="20"/>
              </w:rPr>
              <w:t>0.075t/a</w:t>
            </w:r>
            <w:r>
              <w:rPr>
                <w:spacing w:val="-1"/>
                <w:sz w:val="20"/>
                <w:szCs w:val="20"/>
              </w:rPr>
              <w:t>、氨氮间接</w:t>
            </w:r>
            <w:r>
              <w:rPr>
                <w:sz w:val="20"/>
                <w:szCs w:val="20"/>
              </w:rPr>
              <w:t xml:space="preserve"> </w:t>
            </w:r>
            <w:r>
              <w:rPr>
                <w:spacing w:val="-5"/>
                <w:sz w:val="20"/>
                <w:szCs w:val="20"/>
              </w:rPr>
              <w:t>排放量</w:t>
            </w:r>
            <w:r>
              <w:rPr>
                <w:spacing w:val="-29"/>
                <w:sz w:val="20"/>
                <w:szCs w:val="20"/>
              </w:rPr>
              <w:t xml:space="preserve"> </w:t>
            </w:r>
            <w:r>
              <w:rPr>
                <w:rFonts w:ascii="Times New Roman" w:hAnsi="Times New Roman" w:eastAsia="Times New Roman" w:cs="Times New Roman"/>
                <w:spacing w:val="-5"/>
                <w:sz w:val="20"/>
                <w:szCs w:val="20"/>
              </w:rPr>
              <w:t>0.0075t/a</w:t>
            </w:r>
            <w:r>
              <w:rPr>
                <w:spacing w:val="-5"/>
                <w:sz w:val="20"/>
                <w:szCs w:val="20"/>
              </w:rPr>
              <w:t>，纳入东岳场</w:t>
            </w:r>
            <w:r>
              <w:rPr>
                <w:sz w:val="20"/>
                <w:szCs w:val="20"/>
              </w:rPr>
              <w:t xml:space="preserve"> </w:t>
            </w:r>
            <w:r>
              <w:rPr>
                <w:spacing w:val="-1"/>
                <w:sz w:val="20"/>
                <w:szCs w:val="20"/>
              </w:rPr>
              <w:t>镇污水处理厂既有排放指标</w:t>
            </w:r>
            <w:r>
              <w:rPr>
                <w:spacing w:val="2"/>
                <w:sz w:val="20"/>
                <w:szCs w:val="20"/>
              </w:rPr>
              <w:t xml:space="preserve">  </w:t>
            </w:r>
            <w:r>
              <w:rPr>
                <w:spacing w:val="-8"/>
                <w:sz w:val="20"/>
                <w:szCs w:val="20"/>
              </w:rPr>
              <w:t>调剂。</w:t>
            </w:r>
          </w:p>
          <w:p w14:paraId="1726B4FB">
            <w:pPr>
              <w:pStyle w:val="6"/>
              <w:spacing w:before="283" w:line="237" w:lineRule="auto"/>
              <w:ind w:left="46" w:right="47" w:firstLine="3"/>
              <w:rPr>
                <w:sz w:val="20"/>
                <w:szCs w:val="20"/>
              </w:rPr>
            </w:pPr>
            <w:r>
              <w:rPr>
                <w:spacing w:val="-1"/>
                <w:sz w:val="20"/>
                <w:szCs w:val="20"/>
              </w:rPr>
              <w:t>2、本项目属于生物质成型燃</w:t>
            </w:r>
            <w:r>
              <w:rPr>
                <w:spacing w:val="2"/>
                <w:sz w:val="20"/>
                <w:szCs w:val="20"/>
              </w:rPr>
              <w:t xml:space="preserve"> </w:t>
            </w:r>
            <w:r>
              <w:rPr>
                <w:spacing w:val="-6"/>
                <w:sz w:val="20"/>
                <w:szCs w:val="20"/>
              </w:rPr>
              <w:t>料行业，该行业未发布针对工</w:t>
            </w:r>
            <w:r>
              <w:rPr>
                <w:spacing w:val="9"/>
                <w:sz w:val="20"/>
                <w:szCs w:val="20"/>
              </w:rPr>
              <w:t xml:space="preserve"> </w:t>
            </w:r>
            <w:r>
              <w:rPr>
                <w:spacing w:val="-6"/>
                <w:sz w:val="20"/>
                <w:szCs w:val="20"/>
              </w:rPr>
              <w:t>业炉窑的排放标准。四川省工</w:t>
            </w:r>
            <w:r>
              <w:rPr>
                <w:spacing w:val="9"/>
                <w:sz w:val="20"/>
                <w:szCs w:val="20"/>
              </w:rPr>
              <w:t xml:space="preserve"> </w:t>
            </w:r>
            <w:r>
              <w:rPr>
                <w:spacing w:val="-1"/>
                <w:sz w:val="20"/>
                <w:szCs w:val="20"/>
              </w:rPr>
              <w:t>业炉窑大气污染物排放标准</w:t>
            </w:r>
            <w:r>
              <w:rPr>
                <w:spacing w:val="2"/>
                <w:sz w:val="20"/>
                <w:szCs w:val="20"/>
              </w:rPr>
              <w:t xml:space="preserve">  </w:t>
            </w:r>
            <w:r>
              <w:rPr>
                <w:spacing w:val="-6"/>
                <w:sz w:val="20"/>
                <w:szCs w:val="20"/>
              </w:rPr>
              <w:t>目前处于征求意见阶段，尚未</w:t>
            </w:r>
            <w:r>
              <w:rPr>
                <w:spacing w:val="9"/>
                <w:sz w:val="20"/>
                <w:szCs w:val="20"/>
              </w:rPr>
              <w:t xml:space="preserve"> </w:t>
            </w:r>
            <w:r>
              <w:rPr>
                <w:spacing w:val="-6"/>
                <w:sz w:val="20"/>
                <w:szCs w:val="20"/>
              </w:rPr>
              <w:t>正式发布实施。因此，本项目</w:t>
            </w:r>
            <w:r>
              <w:rPr>
                <w:spacing w:val="9"/>
                <w:sz w:val="20"/>
                <w:szCs w:val="20"/>
              </w:rPr>
              <w:t xml:space="preserve"> </w:t>
            </w:r>
            <w:r>
              <w:rPr>
                <w:spacing w:val="-1"/>
                <w:sz w:val="20"/>
                <w:szCs w:val="20"/>
              </w:rPr>
              <w:t>工业炉窑废气与烘干机废气</w:t>
            </w:r>
            <w:r>
              <w:rPr>
                <w:spacing w:val="2"/>
                <w:sz w:val="20"/>
                <w:szCs w:val="20"/>
              </w:rPr>
              <w:t xml:space="preserve">  </w:t>
            </w:r>
            <w:r>
              <w:rPr>
                <w:spacing w:val="-6"/>
                <w:sz w:val="20"/>
                <w:szCs w:val="20"/>
              </w:rPr>
              <w:t>混合后，二氧化硫、氮氧化物</w:t>
            </w:r>
            <w:r>
              <w:rPr>
                <w:spacing w:val="10"/>
                <w:sz w:val="20"/>
                <w:szCs w:val="20"/>
              </w:rPr>
              <w:t xml:space="preserve"> </w:t>
            </w:r>
            <w:r>
              <w:rPr>
                <w:spacing w:val="3"/>
                <w:sz w:val="20"/>
                <w:szCs w:val="20"/>
              </w:rPr>
              <w:t>排放限值分别执行于200、</w:t>
            </w:r>
          </w:p>
          <w:p w14:paraId="16BD35A7">
            <w:pPr>
              <w:pStyle w:val="6"/>
              <w:spacing w:before="23" w:line="224" w:lineRule="auto"/>
              <w:ind w:left="47" w:right="47" w:firstLine="3"/>
              <w:rPr>
                <w:sz w:val="20"/>
                <w:szCs w:val="20"/>
              </w:rPr>
            </w:pPr>
            <w:r>
              <w:rPr>
                <w:spacing w:val="-4"/>
                <w:sz w:val="20"/>
                <w:szCs w:val="20"/>
              </w:rPr>
              <w:t>300</w:t>
            </w:r>
            <w:r>
              <w:rPr>
                <w:rFonts w:ascii="Times New Roman" w:hAnsi="Times New Roman" w:eastAsia="Times New Roman" w:cs="Times New Roman"/>
                <w:spacing w:val="-4"/>
                <w:sz w:val="20"/>
                <w:szCs w:val="20"/>
              </w:rPr>
              <w:t>mg/</w:t>
            </w:r>
            <w:r>
              <w:rPr>
                <w:rFonts w:ascii="Times New Roman" w:hAnsi="Times New Roman" w:eastAsia="Times New Roman" w:cs="Times New Roman"/>
                <w:spacing w:val="-4"/>
              </w:rPr>
              <w:t>m</w:t>
            </w:r>
            <w:r>
              <w:rPr>
                <w:rFonts w:ascii="Times New Roman" w:hAnsi="Times New Roman" w:eastAsia="Times New Roman" w:cs="Times New Roman"/>
                <w:spacing w:val="-4"/>
                <w:position w:val="7"/>
                <w:sz w:val="14"/>
                <w:szCs w:val="14"/>
              </w:rPr>
              <w:t>3</w:t>
            </w:r>
            <w:r>
              <w:rPr>
                <w:rFonts w:ascii="Times New Roman" w:hAnsi="Times New Roman" w:eastAsia="Times New Roman" w:cs="Times New Roman"/>
                <w:spacing w:val="31"/>
                <w:position w:val="7"/>
                <w:sz w:val="14"/>
                <w:szCs w:val="14"/>
              </w:rPr>
              <w:t xml:space="preserve"> </w:t>
            </w:r>
            <w:r>
              <w:rPr>
                <w:spacing w:val="-4"/>
              </w:rPr>
              <w:t>的限值要求，颗粒</w:t>
            </w:r>
            <w:r>
              <w:t xml:space="preserve"> </w:t>
            </w:r>
            <w:r>
              <w:rPr>
                <w:spacing w:val="-7"/>
              </w:rPr>
              <w:t>物</w:t>
            </w:r>
            <w:r>
              <w:rPr>
                <w:spacing w:val="-7"/>
                <w:sz w:val="20"/>
                <w:szCs w:val="20"/>
              </w:rPr>
              <w:t>执行《大气污染物综合排放</w:t>
            </w:r>
            <w:r>
              <w:rPr>
                <w:spacing w:val="11"/>
                <w:sz w:val="20"/>
                <w:szCs w:val="20"/>
              </w:rPr>
              <w:t xml:space="preserve"> </w:t>
            </w:r>
            <w:r>
              <w:rPr>
                <w:spacing w:val="-1"/>
                <w:sz w:val="20"/>
                <w:szCs w:val="20"/>
              </w:rPr>
              <w:t>标准》（GB16297--1996）的</w:t>
            </w:r>
          </w:p>
        </w:tc>
        <w:tc>
          <w:tcPr>
            <w:tcW w:w="513" w:type="dxa"/>
            <w:vAlign w:val="top"/>
          </w:tcPr>
          <w:p w14:paraId="28351815">
            <w:pPr>
              <w:spacing w:line="255" w:lineRule="auto"/>
              <w:rPr>
                <w:rFonts w:ascii="Arial"/>
                <w:sz w:val="21"/>
              </w:rPr>
            </w:pPr>
          </w:p>
          <w:p w14:paraId="33DD9E81">
            <w:pPr>
              <w:spacing w:line="255" w:lineRule="auto"/>
              <w:rPr>
                <w:rFonts w:ascii="Arial"/>
                <w:sz w:val="21"/>
              </w:rPr>
            </w:pPr>
          </w:p>
          <w:p w14:paraId="2BE887F3">
            <w:pPr>
              <w:spacing w:line="256" w:lineRule="auto"/>
              <w:rPr>
                <w:rFonts w:ascii="Arial"/>
                <w:sz w:val="21"/>
              </w:rPr>
            </w:pPr>
          </w:p>
          <w:p w14:paraId="741C8919">
            <w:pPr>
              <w:spacing w:line="256" w:lineRule="auto"/>
              <w:rPr>
                <w:rFonts w:ascii="Arial"/>
                <w:sz w:val="21"/>
              </w:rPr>
            </w:pPr>
          </w:p>
          <w:p w14:paraId="0C7B54AF">
            <w:pPr>
              <w:spacing w:line="256" w:lineRule="auto"/>
              <w:rPr>
                <w:rFonts w:ascii="Arial"/>
                <w:sz w:val="21"/>
              </w:rPr>
            </w:pPr>
          </w:p>
          <w:p w14:paraId="2A05BBB0">
            <w:pPr>
              <w:spacing w:line="256" w:lineRule="auto"/>
              <w:rPr>
                <w:rFonts w:ascii="Arial"/>
                <w:sz w:val="21"/>
              </w:rPr>
            </w:pPr>
          </w:p>
          <w:p w14:paraId="7A553308">
            <w:pPr>
              <w:spacing w:line="256" w:lineRule="auto"/>
              <w:rPr>
                <w:rFonts w:ascii="Arial"/>
                <w:sz w:val="21"/>
              </w:rPr>
            </w:pPr>
          </w:p>
          <w:p w14:paraId="2E5D7E80">
            <w:pPr>
              <w:spacing w:line="256" w:lineRule="auto"/>
              <w:rPr>
                <w:rFonts w:ascii="Arial"/>
                <w:sz w:val="21"/>
              </w:rPr>
            </w:pPr>
          </w:p>
          <w:p w14:paraId="4DF13B80">
            <w:pPr>
              <w:spacing w:line="256" w:lineRule="auto"/>
              <w:rPr>
                <w:rFonts w:ascii="Arial"/>
                <w:sz w:val="21"/>
              </w:rPr>
            </w:pPr>
          </w:p>
          <w:p w14:paraId="09B2451F">
            <w:pPr>
              <w:spacing w:line="256" w:lineRule="auto"/>
              <w:rPr>
                <w:rFonts w:ascii="Arial"/>
                <w:sz w:val="21"/>
              </w:rPr>
            </w:pPr>
          </w:p>
          <w:p w14:paraId="236E7080">
            <w:pPr>
              <w:pStyle w:val="6"/>
              <w:spacing w:before="65" w:line="220" w:lineRule="auto"/>
              <w:ind w:left="59"/>
              <w:rPr>
                <w:sz w:val="20"/>
                <w:szCs w:val="20"/>
              </w:rPr>
            </w:pPr>
            <w:r>
              <w:rPr>
                <w:spacing w:val="-3"/>
                <w:sz w:val="20"/>
                <w:szCs w:val="20"/>
              </w:rPr>
              <w:t>符合</w:t>
            </w:r>
          </w:p>
        </w:tc>
        <w:tc>
          <w:tcPr>
            <w:tcW w:w="118" w:type="dxa"/>
            <w:tcBorders>
              <w:top w:val="nil"/>
              <w:bottom w:val="nil"/>
            </w:tcBorders>
            <w:vAlign w:val="top"/>
          </w:tcPr>
          <w:p w14:paraId="1902ECC8">
            <w:pPr>
              <w:rPr>
                <w:rFonts w:ascii="Arial"/>
                <w:sz w:val="21"/>
              </w:rPr>
            </w:pPr>
          </w:p>
        </w:tc>
      </w:tr>
      <w:tr w14:paraId="3AE6A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 w:hRule="atLeast"/>
        </w:trPr>
        <w:tc>
          <w:tcPr>
            <w:tcW w:w="1886" w:type="dxa"/>
            <w:vMerge w:val="continue"/>
            <w:tcBorders>
              <w:top w:val="nil"/>
            </w:tcBorders>
            <w:vAlign w:val="top"/>
          </w:tcPr>
          <w:p w14:paraId="52BCECCD">
            <w:pPr>
              <w:rPr>
                <w:rFonts w:ascii="Arial"/>
                <w:sz w:val="21"/>
              </w:rPr>
            </w:pPr>
          </w:p>
        </w:tc>
        <w:tc>
          <w:tcPr>
            <w:tcW w:w="11706" w:type="dxa"/>
            <w:gridSpan w:val="8"/>
            <w:vAlign w:val="top"/>
          </w:tcPr>
          <w:p w14:paraId="40261E84">
            <w:pPr>
              <w:spacing w:line="218" w:lineRule="exact"/>
              <w:rPr>
                <w:rFonts w:ascii="Arial"/>
                <w:sz w:val="18"/>
              </w:rPr>
            </w:pPr>
          </w:p>
        </w:tc>
      </w:tr>
    </w:tbl>
    <w:p w14:paraId="5C640DDF">
      <w:pPr>
        <w:rPr>
          <w:rFonts w:ascii="Arial"/>
          <w:sz w:val="21"/>
        </w:rPr>
      </w:pPr>
    </w:p>
    <w:p w14:paraId="5F62052F">
      <w:pPr>
        <w:rPr>
          <w:rFonts w:ascii="Arial" w:hAnsi="Arial" w:eastAsia="Arial" w:cs="Arial"/>
          <w:sz w:val="21"/>
          <w:szCs w:val="21"/>
        </w:rPr>
        <w:sectPr>
          <w:footerReference r:id="rId13" w:type="default"/>
          <w:pgSz w:w="16839" w:h="11907"/>
          <w:pgMar w:top="1012" w:right="1620" w:bottom="1055" w:left="1621" w:header="0" w:footer="802" w:gutter="0"/>
          <w:cols w:space="720" w:num="1"/>
        </w:sectPr>
      </w:pPr>
    </w:p>
    <w:p w14:paraId="1FFC6310">
      <w:pPr>
        <w:spacing w:before="18"/>
      </w:pPr>
    </w:p>
    <w:p w14:paraId="65F8F903">
      <w:pPr>
        <w:spacing w:before="18"/>
      </w:pPr>
    </w:p>
    <w:tbl>
      <w:tblPr>
        <w:tblStyle w:val="5"/>
        <w:tblW w:w="135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6"/>
        <w:gridCol w:w="113"/>
        <w:gridCol w:w="1879"/>
        <w:gridCol w:w="795"/>
        <w:gridCol w:w="788"/>
        <w:gridCol w:w="4868"/>
        <w:gridCol w:w="2632"/>
        <w:gridCol w:w="513"/>
        <w:gridCol w:w="118"/>
      </w:tblGrid>
      <w:tr w14:paraId="5322A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5" w:hRule="atLeast"/>
        </w:trPr>
        <w:tc>
          <w:tcPr>
            <w:tcW w:w="1886" w:type="dxa"/>
            <w:vMerge w:val="restart"/>
            <w:tcBorders>
              <w:bottom w:val="nil"/>
            </w:tcBorders>
            <w:vAlign w:val="top"/>
          </w:tcPr>
          <w:p w14:paraId="5A144E83">
            <w:pPr>
              <w:rPr>
                <w:rFonts w:ascii="Arial"/>
                <w:sz w:val="21"/>
              </w:rPr>
            </w:pPr>
          </w:p>
        </w:tc>
        <w:tc>
          <w:tcPr>
            <w:tcW w:w="113" w:type="dxa"/>
            <w:tcBorders>
              <w:bottom w:val="nil"/>
            </w:tcBorders>
            <w:vAlign w:val="top"/>
          </w:tcPr>
          <w:p w14:paraId="7E595B9C">
            <w:pPr>
              <w:rPr>
                <w:rFonts w:ascii="Arial"/>
                <w:sz w:val="21"/>
              </w:rPr>
            </w:pPr>
          </w:p>
        </w:tc>
        <w:tc>
          <w:tcPr>
            <w:tcW w:w="1879" w:type="dxa"/>
            <w:vAlign w:val="top"/>
          </w:tcPr>
          <w:p w14:paraId="28AAE6C2">
            <w:pPr>
              <w:rPr>
                <w:rFonts w:ascii="Arial"/>
                <w:sz w:val="21"/>
              </w:rPr>
            </w:pPr>
          </w:p>
        </w:tc>
        <w:tc>
          <w:tcPr>
            <w:tcW w:w="795" w:type="dxa"/>
            <w:vAlign w:val="top"/>
          </w:tcPr>
          <w:p w14:paraId="25707E47">
            <w:pPr>
              <w:rPr>
                <w:rFonts w:ascii="Arial"/>
                <w:sz w:val="21"/>
              </w:rPr>
            </w:pPr>
          </w:p>
        </w:tc>
        <w:tc>
          <w:tcPr>
            <w:tcW w:w="788" w:type="dxa"/>
            <w:vAlign w:val="top"/>
          </w:tcPr>
          <w:p w14:paraId="5B8552BD">
            <w:pPr>
              <w:rPr>
                <w:rFonts w:ascii="Arial"/>
                <w:sz w:val="21"/>
              </w:rPr>
            </w:pPr>
          </w:p>
        </w:tc>
        <w:tc>
          <w:tcPr>
            <w:tcW w:w="4868" w:type="dxa"/>
            <w:vAlign w:val="top"/>
          </w:tcPr>
          <w:p w14:paraId="21B20D72">
            <w:pPr>
              <w:pStyle w:val="6"/>
              <w:spacing w:before="45" w:line="239" w:lineRule="auto"/>
              <w:ind w:left="46" w:right="48" w:hanging="3"/>
              <w:jc w:val="both"/>
              <w:rPr>
                <w:sz w:val="20"/>
                <w:szCs w:val="20"/>
              </w:rPr>
            </w:pPr>
            <w:r>
              <w:rPr>
                <w:rFonts w:hint="eastAsia"/>
                <w:spacing w:val="2"/>
                <w:sz w:val="20"/>
                <w:szCs w:val="20"/>
                <w:lang w:eastAsia="zh-CN"/>
              </w:rPr>
              <w:t>－</w:t>
            </w:r>
            <w:r>
              <w:rPr>
                <w:spacing w:val="2"/>
                <w:sz w:val="20"/>
                <w:szCs w:val="20"/>
              </w:rPr>
              <w:t>完善园区及企业雨污分流系统，全面推进医药、化工</w:t>
            </w:r>
            <w:r>
              <w:rPr>
                <w:spacing w:val="16"/>
                <w:sz w:val="20"/>
                <w:szCs w:val="20"/>
              </w:rPr>
              <w:t xml:space="preserve"> </w:t>
            </w:r>
            <w:r>
              <w:rPr>
                <w:spacing w:val="-2"/>
                <w:sz w:val="20"/>
                <w:szCs w:val="20"/>
              </w:rPr>
              <w:t>等行业初期雨水收集处理，推动有条件的园区实施入园</w:t>
            </w:r>
            <w:r>
              <w:rPr>
                <w:spacing w:val="13"/>
                <w:sz w:val="20"/>
                <w:szCs w:val="20"/>
              </w:rPr>
              <w:t xml:space="preserve"> </w:t>
            </w:r>
            <w:r>
              <w:rPr>
                <w:spacing w:val="-2"/>
                <w:sz w:val="20"/>
                <w:szCs w:val="20"/>
              </w:rPr>
              <w:t>企业“一企一管、明管输送、实时监测”。加强企业废</w:t>
            </w:r>
            <w:r>
              <w:rPr>
                <w:spacing w:val="14"/>
                <w:sz w:val="20"/>
                <w:szCs w:val="20"/>
              </w:rPr>
              <w:t xml:space="preserve"> </w:t>
            </w:r>
            <w:r>
              <w:rPr>
                <w:spacing w:val="-2"/>
                <w:sz w:val="20"/>
                <w:szCs w:val="20"/>
              </w:rPr>
              <w:t>水预处理和排水管理，鼓励纳管企业与园区污水处理厂</w:t>
            </w:r>
          </w:p>
          <w:p w14:paraId="70354D94">
            <w:pPr>
              <w:pStyle w:val="6"/>
              <w:spacing w:line="239" w:lineRule="auto"/>
              <w:ind w:left="45" w:right="53"/>
              <w:rPr>
                <w:sz w:val="20"/>
                <w:szCs w:val="20"/>
              </w:rPr>
            </w:pPr>
            <w:r>
              <w:rPr>
                <w:spacing w:val="-2"/>
                <w:sz w:val="20"/>
                <w:szCs w:val="20"/>
              </w:rPr>
              <w:t>运营单位通过签订委托处理合同等方式协同处理废水。</w:t>
            </w:r>
            <w:r>
              <w:rPr>
                <w:spacing w:val="11"/>
                <w:sz w:val="20"/>
                <w:szCs w:val="20"/>
              </w:rPr>
              <w:t xml:space="preserve"> </w:t>
            </w:r>
            <w:r>
              <w:rPr>
                <w:b/>
                <w:bCs/>
                <w:spacing w:val="-3"/>
                <w:sz w:val="20"/>
                <w:szCs w:val="20"/>
              </w:rPr>
              <w:t>其他污染物排放管控要求</w:t>
            </w:r>
          </w:p>
          <w:p w14:paraId="1BAF72F3">
            <w:pPr>
              <w:pStyle w:val="6"/>
              <w:spacing w:before="2" w:line="239" w:lineRule="auto"/>
              <w:ind w:left="46" w:right="49"/>
              <w:rPr>
                <w:sz w:val="20"/>
                <w:szCs w:val="20"/>
              </w:rPr>
            </w:pPr>
            <w:r>
              <w:rPr>
                <w:spacing w:val="2"/>
                <w:sz w:val="20"/>
                <w:szCs w:val="20"/>
              </w:rPr>
              <w:t>新增源等量或倍量替代</w:t>
            </w:r>
            <w:r>
              <w:rPr>
                <w:rFonts w:hint="eastAsia"/>
                <w:spacing w:val="2"/>
                <w:sz w:val="20"/>
                <w:szCs w:val="20"/>
                <w:lang w:eastAsia="zh-CN"/>
              </w:rPr>
              <w:t>：</w:t>
            </w:r>
            <w:r>
              <w:rPr>
                <w:spacing w:val="2"/>
                <w:sz w:val="20"/>
                <w:szCs w:val="20"/>
              </w:rPr>
              <w:t>上一年度水环境质量未完成目</w:t>
            </w:r>
            <w:r>
              <w:rPr>
                <w:spacing w:val="16"/>
                <w:sz w:val="20"/>
                <w:szCs w:val="20"/>
              </w:rPr>
              <w:t xml:space="preserve"> </w:t>
            </w:r>
            <w:r>
              <w:rPr>
                <w:spacing w:val="-2"/>
                <w:sz w:val="20"/>
                <w:szCs w:val="20"/>
              </w:rPr>
              <w:t>标的，新建排放水污染的建设项目按照总量管控要求进</w:t>
            </w:r>
            <w:r>
              <w:rPr>
                <w:spacing w:val="14"/>
                <w:sz w:val="20"/>
                <w:szCs w:val="20"/>
              </w:rPr>
              <w:t xml:space="preserve"> </w:t>
            </w:r>
            <w:r>
              <w:rPr>
                <w:spacing w:val="-3"/>
                <w:sz w:val="20"/>
                <w:szCs w:val="20"/>
              </w:rPr>
              <w:t>行倍量削减替代。</w:t>
            </w:r>
          </w:p>
          <w:p w14:paraId="7D4B54DF">
            <w:pPr>
              <w:pStyle w:val="6"/>
              <w:spacing w:before="3" w:line="239" w:lineRule="auto"/>
              <w:ind w:left="44" w:right="48" w:firstLine="2"/>
              <w:rPr>
                <w:sz w:val="20"/>
                <w:szCs w:val="20"/>
              </w:rPr>
            </w:pPr>
            <w:r>
              <w:rPr>
                <w:spacing w:val="-2"/>
                <w:sz w:val="20"/>
                <w:szCs w:val="20"/>
              </w:rPr>
              <w:t>上一年度空气质量年平均浓度不达标的城市，建设项目</w:t>
            </w:r>
            <w:r>
              <w:rPr>
                <w:spacing w:val="13"/>
                <w:sz w:val="20"/>
                <w:szCs w:val="20"/>
              </w:rPr>
              <w:t xml:space="preserve"> </w:t>
            </w:r>
            <w:r>
              <w:rPr>
                <w:spacing w:val="-2"/>
                <w:sz w:val="20"/>
                <w:szCs w:val="20"/>
              </w:rPr>
              <w:t>新增相关污染物按照总量管控要求进行倍量削减替代。</w:t>
            </w:r>
            <w:r>
              <w:rPr>
                <w:spacing w:val="11"/>
                <w:sz w:val="20"/>
                <w:szCs w:val="20"/>
              </w:rPr>
              <w:t xml:space="preserve"> </w:t>
            </w:r>
            <w:r>
              <w:rPr>
                <w:spacing w:val="3"/>
                <w:sz w:val="20"/>
                <w:szCs w:val="20"/>
              </w:rPr>
              <w:t xml:space="preserve">对新建排放二氧化硫、氮氧化物、工业烟粉尘和 </w:t>
            </w:r>
            <w:r>
              <w:rPr>
                <w:sz w:val="20"/>
                <w:szCs w:val="20"/>
              </w:rPr>
              <w:t>VOCs</w:t>
            </w:r>
            <w:r>
              <w:rPr>
                <w:spacing w:val="2"/>
                <w:sz w:val="20"/>
                <w:szCs w:val="20"/>
              </w:rPr>
              <w:t xml:space="preserve"> </w:t>
            </w:r>
            <w:r>
              <w:rPr>
                <w:spacing w:val="-2"/>
                <w:sz w:val="20"/>
                <w:szCs w:val="20"/>
              </w:rPr>
              <w:t>的项目实施现役源倍量削减量替代。严禁钢铁、水泥、</w:t>
            </w:r>
            <w:r>
              <w:rPr>
                <w:spacing w:val="11"/>
                <w:sz w:val="20"/>
                <w:szCs w:val="20"/>
              </w:rPr>
              <w:t xml:space="preserve"> </w:t>
            </w:r>
            <w:r>
              <w:rPr>
                <w:spacing w:val="-2"/>
                <w:sz w:val="20"/>
                <w:szCs w:val="20"/>
              </w:rPr>
              <w:t>电解铝、平板玻璃等行业新增产能，对确有必要新建的</w:t>
            </w:r>
            <w:r>
              <w:rPr>
                <w:spacing w:val="17"/>
                <w:sz w:val="20"/>
                <w:szCs w:val="20"/>
              </w:rPr>
              <w:t xml:space="preserve"> </w:t>
            </w:r>
            <w:r>
              <w:rPr>
                <w:spacing w:val="-2"/>
                <w:sz w:val="20"/>
                <w:szCs w:val="20"/>
              </w:rPr>
              <w:t>必须实施等量或减量置换，防范</w:t>
            </w:r>
            <w:r>
              <w:rPr>
                <w:rFonts w:hint="eastAsia"/>
                <w:spacing w:val="-2"/>
                <w:sz w:val="20"/>
                <w:szCs w:val="20"/>
                <w:lang w:eastAsia="zh-CN"/>
              </w:rPr>
              <w:t>过剩</w:t>
            </w:r>
            <w:r>
              <w:rPr>
                <w:spacing w:val="-2"/>
                <w:sz w:val="20"/>
                <w:szCs w:val="20"/>
              </w:rPr>
              <w:t>和落后产能跨地区</w:t>
            </w:r>
            <w:r>
              <w:rPr>
                <w:spacing w:val="15"/>
                <w:sz w:val="20"/>
                <w:szCs w:val="20"/>
              </w:rPr>
              <w:t xml:space="preserve"> </w:t>
            </w:r>
            <w:r>
              <w:rPr>
                <w:spacing w:val="-3"/>
                <w:sz w:val="20"/>
                <w:szCs w:val="20"/>
              </w:rPr>
              <w:t>转移。</w:t>
            </w:r>
          </w:p>
          <w:p w14:paraId="6B5C2E23">
            <w:pPr>
              <w:pStyle w:val="6"/>
              <w:spacing w:before="1" w:line="239" w:lineRule="auto"/>
              <w:ind w:left="45" w:right="18" w:firstLine="1"/>
              <w:rPr>
                <w:sz w:val="20"/>
                <w:szCs w:val="20"/>
              </w:rPr>
            </w:pPr>
            <w:r>
              <w:rPr>
                <w:spacing w:val="2"/>
                <w:sz w:val="20"/>
                <w:szCs w:val="20"/>
              </w:rPr>
              <w:t>污染物排放绩效水平准入要求</w:t>
            </w:r>
            <w:r>
              <w:rPr>
                <w:rFonts w:hint="eastAsia"/>
                <w:spacing w:val="2"/>
                <w:sz w:val="20"/>
                <w:szCs w:val="20"/>
                <w:lang w:eastAsia="zh-CN"/>
              </w:rPr>
              <w:t>：</w:t>
            </w:r>
            <w:r>
              <w:rPr>
                <w:spacing w:val="2"/>
                <w:sz w:val="20"/>
                <w:szCs w:val="20"/>
              </w:rPr>
              <w:t>新、改扩建项目污染排</w:t>
            </w:r>
            <w:r>
              <w:rPr>
                <w:spacing w:val="16"/>
                <w:sz w:val="20"/>
                <w:szCs w:val="20"/>
              </w:rPr>
              <w:t xml:space="preserve"> </w:t>
            </w:r>
            <w:r>
              <w:rPr>
                <w:spacing w:val="-2"/>
                <w:sz w:val="20"/>
                <w:szCs w:val="20"/>
              </w:rPr>
              <w:t>放指标满足《四川省省级生态工业园区指标》综合类生</w:t>
            </w:r>
            <w:r>
              <w:rPr>
                <w:spacing w:val="16"/>
                <w:sz w:val="20"/>
                <w:szCs w:val="20"/>
              </w:rPr>
              <w:t xml:space="preserve"> </w:t>
            </w:r>
            <w:r>
              <w:rPr>
                <w:spacing w:val="-3"/>
                <w:sz w:val="20"/>
                <w:szCs w:val="20"/>
              </w:rPr>
              <w:t>态工业园区要求。工业固体废弃物利用处置率达</w:t>
            </w:r>
            <w:r>
              <w:rPr>
                <w:spacing w:val="-24"/>
                <w:sz w:val="20"/>
                <w:szCs w:val="20"/>
              </w:rPr>
              <w:t xml:space="preserve"> </w:t>
            </w:r>
            <w:r>
              <w:rPr>
                <w:spacing w:val="-3"/>
                <w:sz w:val="20"/>
                <w:szCs w:val="20"/>
              </w:rPr>
              <w:t>100%，</w:t>
            </w:r>
            <w:r>
              <w:rPr>
                <w:sz w:val="20"/>
                <w:szCs w:val="20"/>
              </w:rPr>
              <w:t xml:space="preserve"> </w:t>
            </w:r>
            <w:r>
              <w:rPr>
                <w:spacing w:val="-3"/>
                <w:sz w:val="20"/>
                <w:szCs w:val="20"/>
              </w:rPr>
              <w:t>危险废物处置率达</w:t>
            </w:r>
            <w:r>
              <w:rPr>
                <w:spacing w:val="-19"/>
                <w:sz w:val="20"/>
                <w:szCs w:val="20"/>
              </w:rPr>
              <w:t xml:space="preserve"> </w:t>
            </w:r>
            <w:r>
              <w:rPr>
                <w:spacing w:val="-3"/>
                <w:sz w:val="20"/>
                <w:szCs w:val="20"/>
              </w:rPr>
              <w:t>100%。</w:t>
            </w:r>
          </w:p>
          <w:p w14:paraId="0AF380A7">
            <w:pPr>
              <w:pStyle w:val="6"/>
              <w:spacing w:before="3" w:line="239" w:lineRule="auto"/>
              <w:ind w:left="45" w:right="48" w:firstLine="19"/>
              <w:rPr>
                <w:sz w:val="20"/>
                <w:szCs w:val="20"/>
              </w:rPr>
            </w:pPr>
            <w:r>
              <w:rPr>
                <w:spacing w:val="6"/>
                <w:sz w:val="20"/>
                <w:szCs w:val="20"/>
              </w:rPr>
              <w:t>国家大气污染防治重点区域</w:t>
            </w:r>
            <w:r>
              <w:rPr>
                <w:rFonts w:hint="eastAsia"/>
                <w:spacing w:val="6"/>
                <w:sz w:val="20"/>
                <w:szCs w:val="20"/>
                <w:lang w:eastAsia="zh-CN"/>
              </w:rPr>
              <w:t>（</w:t>
            </w:r>
            <w:r>
              <w:rPr>
                <w:spacing w:val="6"/>
                <w:sz w:val="20"/>
                <w:szCs w:val="20"/>
              </w:rPr>
              <w:t>以下称重点区域</w:t>
            </w:r>
            <w:r>
              <w:rPr>
                <w:rFonts w:hint="eastAsia"/>
                <w:spacing w:val="6"/>
                <w:sz w:val="20"/>
                <w:szCs w:val="20"/>
                <w:lang w:eastAsia="zh-CN"/>
              </w:rPr>
              <w:t>）</w:t>
            </w:r>
            <w:r>
              <w:rPr>
                <w:spacing w:val="6"/>
                <w:sz w:val="20"/>
                <w:szCs w:val="20"/>
              </w:rPr>
              <w:t>内新建</w:t>
            </w:r>
            <w:r>
              <w:rPr>
                <w:spacing w:val="3"/>
                <w:sz w:val="20"/>
                <w:szCs w:val="20"/>
              </w:rPr>
              <w:t xml:space="preserve"> </w:t>
            </w:r>
            <w:r>
              <w:rPr>
                <w:spacing w:val="-2"/>
                <w:sz w:val="20"/>
                <w:szCs w:val="20"/>
              </w:rPr>
              <w:t>耗煤项目还应严格按规定采取煤炭消费减量替代措施，</w:t>
            </w:r>
            <w:r>
              <w:rPr>
                <w:spacing w:val="15"/>
                <w:sz w:val="20"/>
                <w:szCs w:val="20"/>
              </w:rPr>
              <w:t xml:space="preserve"> </w:t>
            </w:r>
            <w:r>
              <w:rPr>
                <w:spacing w:val="1"/>
                <w:sz w:val="20"/>
                <w:szCs w:val="20"/>
              </w:rPr>
              <w:t>不得使用高污染燃料作为煤炭减量替代措施</w:t>
            </w:r>
            <w:r>
              <w:rPr>
                <w:spacing w:val="-54"/>
                <w:sz w:val="20"/>
                <w:szCs w:val="20"/>
              </w:rPr>
              <w:t xml:space="preserve"> </w:t>
            </w:r>
            <w:r>
              <w:rPr>
                <w:rFonts w:hint="eastAsia"/>
                <w:spacing w:val="-54"/>
                <w:sz w:val="20"/>
                <w:szCs w:val="20"/>
                <w:lang w:eastAsia="zh-CN"/>
              </w:rPr>
              <w:t>；</w:t>
            </w:r>
            <w:r>
              <w:rPr>
                <w:sz w:val="20"/>
                <w:szCs w:val="20"/>
              </w:rPr>
              <w:t xml:space="preserve">重点区域 </w:t>
            </w:r>
            <w:r>
              <w:rPr>
                <w:spacing w:val="-2"/>
                <w:sz w:val="20"/>
                <w:szCs w:val="20"/>
              </w:rPr>
              <w:t>执行大气污染物特别排放限值，严禁新增钢铁、电力、</w:t>
            </w:r>
            <w:r>
              <w:rPr>
                <w:spacing w:val="11"/>
                <w:sz w:val="20"/>
                <w:szCs w:val="20"/>
              </w:rPr>
              <w:t xml:space="preserve"> </w:t>
            </w:r>
            <w:r>
              <w:rPr>
                <w:spacing w:val="-2"/>
                <w:sz w:val="20"/>
                <w:szCs w:val="20"/>
              </w:rPr>
              <w:t>水泥、玻璃、砖瓦、陶瓷、焦化、电解铝、有色等重点</w:t>
            </w:r>
            <w:r>
              <w:rPr>
                <w:spacing w:val="13"/>
                <w:sz w:val="20"/>
                <w:szCs w:val="20"/>
              </w:rPr>
              <w:t xml:space="preserve"> </w:t>
            </w:r>
            <w:r>
              <w:rPr>
                <w:spacing w:val="-3"/>
                <w:sz w:val="20"/>
                <w:szCs w:val="20"/>
              </w:rPr>
              <w:t>行业大气污染物排放。</w:t>
            </w:r>
          </w:p>
          <w:p w14:paraId="0017FEC0">
            <w:pPr>
              <w:pStyle w:val="6"/>
              <w:spacing w:before="2" w:line="239" w:lineRule="auto"/>
              <w:ind w:left="49" w:right="49" w:hanging="6"/>
              <w:rPr>
                <w:sz w:val="20"/>
                <w:szCs w:val="20"/>
              </w:rPr>
            </w:pPr>
            <w:r>
              <w:rPr>
                <w:spacing w:val="-2"/>
                <w:sz w:val="20"/>
                <w:szCs w:val="20"/>
              </w:rPr>
              <w:t>钢铁行业新建应参考达州市“三线一单”生态环境分区</w:t>
            </w:r>
            <w:r>
              <w:rPr>
                <w:spacing w:val="16"/>
                <w:sz w:val="20"/>
                <w:szCs w:val="20"/>
              </w:rPr>
              <w:t xml:space="preserve"> </w:t>
            </w:r>
            <w:r>
              <w:rPr>
                <w:spacing w:val="-2"/>
                <w:sz w:val="20"/>
                <w:szCs w:val="20"/>
              </w:rPr>
              <w:t>管控中钢铁行业资源环境绩效准入门槛。</w:t>
            </w:r>
          </w:p>
          <w:p w14:paraId="69536055">
            <w:pPr>
              <w:pStyle w:val="6"/>
              <w:spacing w:before="1" w:line="230" w:lineRule="auto"/>
              <w:ind w:left="45" w:right="48" w:firstLine="2"/>
              <w:rPr>
                <w:sz w:val="20"/>
                <w:szCs w:val="20"/>
              </w:rPr>
            </w:pPr>
            <w:r>
              <w:rPr>
                <w:spacing w:val="-1"/>
                <w:sz w:val="20"/>
                <w:szCs w:val="20"/>
              </w:rPr>
              <w:t xml:space="preserve">2030 年，渠江流域用水总量控制在 31.61 </w:t>
            </w:r>
            <w:r>
              <w:rPr>
                <w:spacing w:val="-2"/>
                <w:sz w:val="20"/>
                <w:szCs w:val="20"/>
              </w:rPr>
              <w:t>亿立方米以</w:t>
            </w:r>
            <w:r>
              <w:rPr>
                <w:sz w:val="20"/>
                <w:szCs w:val="20"/>
              </w:rPr>
              <w:t xml:space="preserve"> </w:t>
            </w:r>
            <w:r>
              <w:rPr>
                <w:spacing w:val="-2"/>
                <w:sz w:val="20"/>
                <w:szCs w:val="20"/>
              </w:rPr>
              <w:t>内，渠江干流</w:t>
            </w:r>
            <w:r>
              <w:rPr>
                <w:spacing w:val="-43"/>
                <w:sz w:val="20"/>
                <w:szCs w:val="20"/>
              </w:rPr>
              <w:t xml:space="preserve"> </w:t>
            </w:r>
            <w:r>
              <w:rPr>
                <w:spacing w:val="-2"/>
                <w:sz w:val="20"/>
                <w:szCs w:val="20"/>
              </w:rPr>
              <w:t>COD</w:t>
            </w:r>
            <w:r>
              <w:rPr>
                <w:spacing w:val="-41"/>
                <w:sz w:val="20"/>
                <w:szCs w:val="20"/>
              </w:rPr>
              <w:t xml:space="preserve"> </w:t>
            </w:r>
            <w:r>
              <w:rPr>
                <w:spacing w:val="-2"/>
                <w:sz w:val="20"/>
                <w:szCs w:val="20"/>
              </w:rPr>
              <w:t>排放总量限制在4.89</w:t>
            </w:r>
            <w:r>
              <w:rPr>
                <w:spacing w:val="-38"/>
                <w:sz w:val="20"/>
                <w:szCs w:val="20"/>
              </w:rPr>
              <w:t xml:space="preserve"> </w:t>
            </w:r>
            <w:r>
              <w:rPr>
                <w:spacing w:val="-2"/>
                <w:sz w:val="20"/>
                <w:szCs w:val="20"/>
              </w:rPr>
              <w:t>万</w:t>
            </w:r>
            <w:r>
              <w:rPr>
                <w:spacing w:val="-37"/>
                <w:sz w:val="20"/>
                <w:szCs w:val="20"/>
              </w:rPr>
              <w:t xml:space="preserve"> </w:t>
            </w:r>
            <w:r>
              <w:rPr>
                <w:spacing w:val="-2"/>
                <w:sz w:val="20"/>
                <w:szCs w:val="20"/>
              </w:rPr>
              <w:t>ta</w:t>
            </w:r>
            <w:r>
              <w:rPr>
                <w:spacing w:val="-18"/>
                <w:sz w:val="20"/>
                <w:szCs w:val="20"/>
              </w:rPr>
              <w:t xml:space="preserve"> </w:t>
            </w:r>
            <w:r>
              <w:rPr>
                <w:spacing w:val="-2"/>
                <w:sz w:val="20"/>
                <w:szCs w:val="20"/>
              </w:rPr>
              <w:t>内、</w:t>
            </w:r>
            <w:r>
              <w:rPr>
                <w:spacing w:val="-3"/>
                <w:sz w:val="20"/>
                <w:szCs w:val="20"/>
              </w:rPr>
              <w:t>氨氮</w:t>
            </w:r>
            <w:r>
              <w:rPr>
                <w:sz w:val="20"/>
                <w:szCs w:val="20"/>
              </w:rPr>
              <w:t xml:space="preserve"> </w:t>
            </w:r>
            <w:r>
              <w:rPr>
                <w:spacing w:val="-5"/>
                <w:sz w:val="20"/>
                <w:szCs w:val="20"/>
              </w:rPr>
              <w:t>排放总量限制在</w:t>
            </w:r>
            <w:r>
              <w:rPr>
                <w:spacing w:val="-23"/>
                <w:sz w:val="20"/>
                <w:szCs w:val="20"/>
              </w:rPr>
              <w:t xml:space="preserve"> </w:t>
            </w:r>
            <w:r>
              <w:rPr>
                <w:spacing w:val="-5"/>
                <w:sz w:val="20"/>
                <w:szCs w:val="20"/>
              </w:rPr>
              <w:t>0.54</w:t>
            </w:r>
            <w:r>
              <w:rPr>
                <w:spacing w:val="-37"/>
                <w:sz w:val="20"/>
                <w:szCs w:val="20"/>
              </w:rPr>
              <w:t xml:space="preserve"> </w:t>
            </w:r>
            <w:r>
              <w:rPr>
                <w:spacing w:val="-5"/>
                <w:sz w:val="20"/>
                <w:szCs w:val="20"/>
              </w:rPr>
              <w:t>万</w:t>
            </w:r>
            <w:r>
              <w:rPr>
                <w:spacing w:val="-38"/>
                <w:sz w:val="20"/>
                <w:szCs w:val="20"/>
              </w:rPr>
              <w:t xml:space="preserve"> </w:t>
            </w:r>
            <w:r>
              <w:rPr>
                <w:spacing w:val="-5"/>
                <w:sz w:val="20"/>
                <w:szCs w:val="20"/>
              </w:rPr>
              <w:t>ta 内。全面推进节水型社会建</w:t>
            </w:r>
            <w:r>
              <w:rPr>
                <w:sz w:val="20"/>
                <w:szCs w:val="20"/>
              </w:rPr>
              <w:t xml:space="preserve"> </w:t>
            </w:r>
            <w:r>
              <w:rPr>
                <w:spacing w:val="-2"/>
                <w:sz w:val="20"/>
                <w:szCs w:val="20"/>
              </w:rPr>
              <w:t>设，加强河湖（库）水域岸线保护及管理，加强入河排</w:t>
            </w:r>
            <w:r>
              <w:rPr>
                <w:spacing w:val="16"/>
                <w:sz w:val="20"/>
                <w:szCs w:val="20"/>
              </w:rPr>
              <w:t xml:space="preserve"> </w:t>
            </w:r>
            <w:r>
              <w:rPr>
                <w:spacing w:val="-2"/>
                <w:sz w:val="20"/>
                <w:szCs w:val="20"/>
              </w:rPr>
              <w:t>污口规范化建设，加强工业污染、农业农村污染、船舶</w:t>
            </w:r>
          </w:p>
        </w:tc>
        <w:tc>
          <w:tcPr>
            <w:tcW w:w="2632" w:type="dxa"/>
            <w:vAlign w:val="top"/>
          </w:tcPr>
          <w:p w14:paraId="61284C26">
            <w:pPr>
              <w:pStyle w:val="6"/>
              <w:spacing w:before="44" w:line="220" w:lineRule="auto"/>
              <w:ind w:left="61"/>
              <w:rPr>
                <w:sz w:val="20"/>
                <w:szCs w:val="20"/>
              </w:rPr>
            </w:pPr>
            <w:r>
              <w:rPr>
                <w:spacing w:val="-8"/>
                <w:sz w:val="20"/>
                <w:szCs w:val="20"/>
              </w:rPr>
              <w:t>限值。</w:t>
            </w:r>
          </w:p>
          <w:p w14:paraId="16E2F8A1">
            <w:pPr>
              <w:pStyle w:val="6"/>
              <w:spacing w:before="23" w:line="239" w:lineRule="auto"/>
              <w:ind w:left="47" w:right="48"/>
              <w:rPr>
                <w:sz w:val="20"/>
                <w:szCs w:val="20"/>
              </w:rPr>
            </w:pPr>
            <w:r>
              <w:rPr>
                <w:spacing w:val="-1"/>
                <w:sz w:val="20"/>
                <w:szCs w:val="20"/>
              </w:rPr>
              <w:t>本项目所处区域属于东岳场</w:t>
            </w:r>
            <w:r>
              <w:rPr>
                <w:spacing w:val="1"/>
                <w:sz w:val="20"/>
                <w:szCs w:val="20"/>
              </w:rPr>
              <w:t xml:space="preserve">  </w:t>
            </w:r>
            <w:r>
              <w:rPr>
                <w:spacing w:val="-1"/>
                <w:sz w:val="20"/>
                <w:szCs w:val="20"/>
              </w:rPr>
              <w:t>镇污水处理厂的污水纳污范</w:t>
            </w:r>
            <w:r>
              <w:rPr>
                <w:spacing w:val="2"/>
                <w:sz w:val="20"/>
                <w:szCs w:val="20"/>
              </w:rPr>
              <w:t xml:space="preserve">  </w:t>
            </w:r>
            <w:r>
              <w:rPr>
                <w:spacing w:val="-6"/>
                <w:sz w:val="20"/>
                <w:szCs w:val="20"/>
              </w:rPr>
              <w:t>围，生活污水直接排入市政污</w:t>
            </w:r>
            <w:r>
              <w:rPr>
                <w:spacing w:val="8"/>
                <w:sz w:val="20"/>
                <w:szCs w:val="20"/>
              </w:rPr>
              <w:t xml:space="preserve"> </w:t>
            </w:r>
            <w:r>
              <w:rPr>
                <w:spacing w:val="-6"/>
                <w:sz w:val="20"/>
                <w:szCs w:val="20"/>
              </w:rPr>
              <w:t>水管网进入该</w:t>
            </w:r>
            <w:r>
              <w:rPr>
                <w:rFonts w:hint="eastAsia"/>
                <w:spacing w:val="-6"/>
                <w:sz w:val="20"/>
                <w:szCs w:val="20"/>
                <w:lang w:eastAsia="zh-CN"/>
              </w:rPr>
              <w:t>污水处理厂</w:t>
            </w:r>
            <w:r>
              <w:rPr>
                <w:spacing w:val="-6"/>
                <w:sz w:val="20"/>
                <w:szCs w:val="20"/>
              </w:rPr>
              <w:t>处理，待</w:t>
            </w:r>
            <w:r>
              <w:rPr>
                <w:spacing w:val="8"/>
                <w:sz w:val="20"/>
                <w:szCs w:val="20"/>
              </w:rPr>
              <w:t xml:space="preserve"> </w:t>
            </w:r>
            <w:r>
              <w:rPr>
                <w:spacing w:val="-6"/>
                <w:sz w:val="20"/>
                <w:szCs w:val="20"/>
              </w:rPr>
              <w:t>后期管网建成后，可直接接入</w:t>
            </w:r>
            <w:r>
              <w:rPr>
                <w:spacing w:val="8"/>
                <w:sz w:val="20"/>
                <w:szCs w:val="20"/>
              </w:rPr>
              <w:t xml:space="preserve"> </w:t>
            </w:r>
            <w:r>
              <w:rPr>
                <w:spacing w:val="-2"/>
                <w:sz w:val="20"/>
                <w:szCs w:val="20"/>
              </w:rPr>
              <w:t>污水管网。</w:t>
            </w:r>
          </w:p>
          <w:p w14:paraId="547E2521">
            <w:pPr>
              <w:pStyle w:val="6"/>
              <w:spacing w:before="1" w:line="239" w:lineRule="auto"/>
              <w:ind w:left="47" w:right="48" w:firstLine="4"/>
              <w:rPr>
                <w:sz w:val="20"/>
                <w:szCs w:val="20"/>
              </w:rPr>
            </w:pPr>
            <w:r>
              <w:rPr>
                <w:spacing w:val="-6"/>
                <w:sz w:val="20"/>
                <w:szCs w:val="20"/>
              </w:rPr>
              <w:t>结合上文分析，本项目位于通</w:t>
            </w:r>
            <w:r>
              <w:rPr>
                <w:spacing w:val="3"/>
                <w:sz w:val="20"/>
                <w:szCs w:val="20"/>
              </w:rPr>
              <w:t xml:space="preserve"> </w:t>
            </w:r>
            <w:r>
              <w:rPr>
                <w:spacing w:val="-6"/>
                <w:sz w:val="20"/>
                <w:szCs w:val="20"/>
              </w:rPr>
              <w:t>川区东岳镇，氮氧化物应实行</w:t>
            </w:r>
            <w:r>
              <w:rPr>
                <w:spacing w:val="8"/>
                <w:sz w:val="20"/>
                <w:szCs w:val="20"/>
              </w:rPr>
              <w:t xml:space="preserve"> </w:t>
            </w:r>
            <w:r>
              <w:rPr>
                <w:spacing w:val="-8"/>
                <w:sz w:val="20"/>
                <w:szCs w:val="20"/>
              </w:rPr>
              <w:t>现役源</w:t>
            </w:r>
            <w:r>
              <w:rPr>
                <w:spacing w:val="-17"/>
                <w:sz w:val="20"/>
                <w:szCs w:val="20"/>
              </w:rPr>
              <w:t xml:space="preserve"> </w:t>
            </w:r>
            <w:r>
              <w:rPr>
                <w:spacing w:val="-8"/>
                <w:sz w:val="20"/>
                <w:szCs w:val="20"/>
              </w:rPr>
              <w:t>1.5</w:t>
            </w:r>
            <w:r>
              <w:rPr>
                <w:spacing w:val="-41"/>
                <w:sz w:val="20"/>
                <w:szCs w:val="20"/>
              </w:rPr>
              <w:t xml:space="preserve"> </w:t>
            </w:r>
            <w:r>
              <w:rPr>
                <w:spacing w:val="-8"/>
                <w:sz w:val="20"/>
                <w:szCs w:val="20"/>
              </w:rPr>
              <w:t>倍削减量替代，具</w:t>
            </w:r>
            <w:r>
              <w:rPr>
                <w:sz w:val="20"/>
                <w:szCs w:val="20"/>
              </w:rPr>
              <w:t xml:space="preserve"> </w:t>
            </w:r>
            <w:r>
              <w:rPr>
                <w:spacing w:val="-1"/>
                <w:sz w:val="20"/>
                <w:szCs w:val="20"/>
              </w:rPr>
              <w:t>体指标由达州市通川生态环</w:t>
            </w:r>
            <w:r>
              <w:rPr>
                <w:spacing w:val="2"/>
                <w:sz w:val="20"/>
                <w:szCs w:val="20"/>
              </w:rPr>
              <w:t xml:space="preserve">  </w:t>
            </w:r>
            <w:r>
              <w:rPr>
                <w:spacing w:val="-1"/>
                <w:sz w:val="20"/>
                <w:szCs w:val="20"/>
              </w:rPr>
              <w:t>境局确定来源。</w:t>
            </w:r>
          </w:p>
          <w:p w14:paraId="76FF573A">
            <w:pPr>
              <w:pStyle w:val="6"/>
              <w:spacing w:before="11" w:line="239" w:lineRule="auto"/>
              <w:ind w:left="46" w:right="16" w:firstLine="1"/>
              <w:rPr>
                <w:sz w:val="20"/>
                <w:szCs w:val="20"/>
              </w:rPr>
            </w:pPr>
            <w:r>
              <w:rPr>
                <w:spacing w:val="-1"/>
                <w:sz w:val="20"/>
                <w:szCs w:val="20"/>
              </w:rPr>
              <w:t>本项目位于大气污染防治重</w:t>
            </w:r>
            <w:r>
              <w:rPr>
                <w:spacing w:val="1"/>
                <w:sz w:val="20"/>
                <w:szCs w:val="20"/>
              </w:rPr>
              <w:t xml:space="preserve">  </w:t>
            </w:r>
            <w:r>
              <w:rPr>
                <w:spacing w:val="-6"/>
                <w:sz w:val="20"/>
                <w:szCs w:val="20"/>
              </w:rPr>
              <w:t>点区域，但不涉及新建耗煤项</w:t>
            </w:r>
            <w:r>
              <w:rPr>
                <w:spacing w:val="9"/>
                <w:sz w:val="20"/>
                <w:szCs w:val="20"/>
              </w:rPr>
              <w:t xml:space="preserve"> </w:t>
            </w:r>
            <w:r>
              <w:rPr>
                <w:spacing w:val="-3"/>
                <w:sz w:val="20"/>
                <w:szCs w:val="20"/>
              </w:rPr>
              <w:t>目，不涉及使用高污染燃料；</w:t>
            </w:r>
            <w:r>
              <w:rPr>
                <w:spacing w:val="2"/>
                <w:sz w:val="20"/>
                <w:szCs w:val="20"/>
              </w:rPr>
              <w:t xml:space="preserve"> </w:t>
            </w:r>
            <w:r>
              <w:rPr>
                <w:spacing w:val="-6"/>
                <w:sz w:val="20"/>
                <w:szCs w:val="20"/>
              </w:rPr>
              <w:t>项目废气排放标准执行《大气</w:t>
            </w:r>
            <w:r>
              <w:rPr>
                <w:spacing w:val="9"/>
                <w:sz w:val="20"/>
                <w:szCs w:val="20"/>
              </w:rPr>
              <w:t xml:space="preserve"> </w:t>
            </w:r>
            <w:r>
              <w:rPr>
                <w:spacing w:val="-10"/>
                <w:sz w:val="20"/>
                <w:szCs w:val="20"/>
              </w:rPr>
              <w:t>污染物综合排放标准》，</w:t>
            </w:r>
            <w:r>
              <w:rPr>
                <w:spacing w:val="-39"/>
                <w:sz w:val="20"/>
                <w:szCs w:val="20"/>
              </w:rPr>
              <w:t xml:space="preserve"> </w:t>
            </w:r>
            <w:r>
              <w:rPr>
                <w:spacing w:val="-10"/>
                <w:sz w:val="20"/>
                <w:szCs w:val="20"/>
              </w:rPr>
              <w:t>无特</w:t>
            </w:r>
            <w:r>
              <w:rPr>
                <w:sz w:val="20"/>
                <w:szCs w:val="20"/>
              </w:rPr>
              <w:t xml:space="preserve"> </w:t>
            </w:r>
            <w:r>
              <w:rPr>
                <w:spacing w:val="-6"/>
                <w:sz w:val="20"/>
                <w:szCs w:val="20"/>
              </w:rPr>
              <w:t>别排放限值要求。项目不属于</w:t>
            </w:r>
            <w:r>
              <w:rPr>
                <w:spacing w:val="9"/>
                <w:sz w:val="20"/>
                <w:szCs w:val="20"/>
              </w:rPr>
              <w:t xml:space="preserve"> </w:t>
            </w:r>
            <w:r>
              <w:rPr>
                <w:spacing w:val="-3"/>
                <w:sz w:val="20"/>
                <w:szCs w:val="20"/>
              </w:rPr>
              <w:t>严禁新增钢铁、电力、水泥、</w:t>
            </w:r>
            <w:r>
              <w:rPr>
                <w:spacing w:val="2"/>
                <w:sz w:val="20"/>
                <w:szCs w:val="20"/>
              </w:rPr>
              <w:t xml:space="preserve"> </w:t>
            </w:r>
            <w:r>
              <w:rPr>
                <w:spacing w:val="-6"/>
                <w:sz w:val="20"/>
                <w:szCs w:val="20"/>
              </w:rPr>
              <w:t>玻璃、砖瓦、陶瓷、焦化、电</w:t>
            </w:r>
            <w:r>
              <w:rPr>
                <w:spacing w:val="10"/>
                <w:sz w:val="20"/>
                <w:szCs w:val="20"/>
              </w:rPr>
              <w:t xml:space="preserve"> </w:t>
            </w:r>
            <w:r>
              <w:rPr>
                <w:spacing w:val="-6"/>
                <w:sz w:val="20"/>
                <w:szCs w:val="20"/>
              </w:rPr>
              <w:t>解铝、有色等重点行业大气污</w:t>
            </w:r>
            <w:r>
              <w:rPr>
                <w:spacing w:val="9"/>
                <w:sz w:val="20"/>
                <w:szCs w:val="20"/>
              </w:rPr>
              <w:t xml:space="preserve"> </w:t>
            </w:r>
            <w:r>
              <w:rPr>
                <w:spacing w:val="-2"/>
                <w:sz w:val="20"/>
                <w:szCs w:val="20"/>
              </w:rPr>
              <w:t>染物排放。</w:t>
            </w:r>
          </w:p>
        </w:tc>
        <w:tc>
          <w:tcPr>
            <w:tcW w:w="513" w:type="dxa"/>
            <w:vAlign w:val="top"/>
          </w:tcPr>
          <w:p w14:paraId="51903DDB">
            <w:pPr>
              <w:rPr>
                <w:rFonts w:ascii="Arial"/>
                <w:sz w:val="21"/>
              </w:rPr>
            </w:pPr>
          </w:p>
        </w:tc>
        <w:tc>
          <w:tcPr>
            <w:tcW w:w="118" w:type="dxa"/>
            <w:tcBorders>
              <w:bottom w:val="nil"/>
            </w:tcBorders>
            <w:vAlign w:val="top"/>
          </w:tcPr>
          <w:p w14:paraId="49CE24F7">
            <w:pPr>
              <w:rPr>
                <w:rFonts w:ascii="Arial"/>
                <w:sz w:val="21"/>
              </w:rPr>
            </w:pPr>
          </w:p>
        </w:tc>
      </w:tr>
      <w:tr w14:paraId="51B23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886" w:type="dxa"/>
            <w:vMerge w:val="continue"/>
            <w:tcBorders>
              <w:top w:val="nil"/>
            </w:tcBorders>
            <w:vAlign w:val="top"/>
          </w:tcPr>
          <w:p w14:paraId="343B2187">
            <w:pPr>
              <w:rPr>
                <w:rFonts w:ascii="Arial"/>
                <w:sz w:val="21"/>
              </w:rPr>
            </w:pPr>
          </w:p>
        </w:tc>
        <w:tc>
          <w:tcPr>
            <w:tcW w:w="11706" w:type="dxa"/>
            <w:gridSpan w:val="8"/>
            <w:vAlign w:val="top"/>
          </w:tcPr>
          <w:p w14:paraId="417701AF">
            <w:pPr>
              <w:rPr>
                <w:rFonts w:ascii="Arial"/>
                <w:sz w:val="21"/>
              </w:rPr>
            </w:pPr>
          </w:p>
        </w:tc>
      </w:tr>
    </w:tbl>
    <w:p w14:paraId="3F1C2587">
      <w:pPr>
        <w:rPr>
          <w:rFonts w:ascii="Arial"/>
          <w:sz w:val="21"/>
        </w:rPr>
      </w:pPr>
    </w:p>
    <w:p w14:paraId="23C3898D">
      <w:pPr>
        <w:rPr>
          <w:rFonts w:ascii="Arial" w:hAnsi="Arial" w:eastAsia="Arial" w:cs="Arial"/>
          <w:sz w:val="21"/>
          <w:szCs w:val="21"/>
        </w:rPr>
        <w:sectPr>
          <w:footerReference r:id="rId14" w:type="default"/>
          <w:pgSz w:w="16839" w:h="11907"/>
          <w:pgMar w:top="1012" w:right="1620" w:bottom="1055" w:left="1621" w:header="0" w:footer="802" w:gutter="0"/>
          <w:cols w:space="720" w:num="1"/>
        </w:sectPr>
      </w:pPr>
    </w:p>
    <w:p w14:paraId="3B311EAC">
      <w:pPr>
        <w:spacing w:before="18"/>
      </w:pPr>
    </w:p>
    <w:p w14:paraId="60361373">
      <w:pPr>
        <w:spacing w:before="18"/>
      </w:pPr>
    </w:p>
    <w:tbl>
      <w:tblPr>
        <w:tblStyle w:val="5"/>
        <w:tblW w:w="135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6"/>
        <w:gridCol w:w="113"/>
        <w:gridCol w:w="1879"/>
        <w:gridCol w:w="795"/>
        <w:gridCol w:w="788"/>
        <w:gridCol w:w="4868"/>
        <w:gridCol w:w="2632"/>
        <w:gridCol w:w="513"/>
        <w:gridCol w:w="118"/>
      </w:tblGrid>
      <w:tr w14:paraId="459FB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4" w:hRule="atLeast"/>
        </w:trPr>
        <w:tc>
          <w:tcPr>
            <w:tcW w:w="1886" w:type="dxa"/>
            <w:vMerge w:val="restart"/>
            <w:tcBorders>
              <w:bottom w:val="nil"/>
            </w:tcBorders>
            <w:vAlign w:val="top"/>
          </w:tcPr>
          <w:p w14:paraId="771D94E0">
            <w:pPr>
              <w:rPr>
                <w:rFonts w:ascii="Arial"/>
                <w:sz w:val="21"/>
              </w:rPr>
            </w:pPr>
          </w:p>
        </w:tc>
        <w:tc>
          <w:tcPr>
            <w:tcW w:w="113" w:type="dxa"/>
            <w:tcBorders>
              <w:bottom w:val="nil"/>
            </w:tcBorders>
            <w:vAlign w:val="top"/>
          </w:tcPr>
          <w:p w14:paraId="2ADCAC1C">
            <w:pPr>
              <w:rPr>
                <w:rFonts w:ascii="Arial"/>
                <w:sz w:val="21"/>
              </w:rPr>
            </w:pPr>
          </w:p>
        </w:tc>
        <w:tc>
          <w:tcPr>
            <w:tcW w:w="1879" w:type="dxa"/>
            <w:vMerge w:val="restart"/>
            <w:tcBorders>
              <w:bottom w:val="nil"/>
            </w:tcBorders>
            <w:vAlign w:val="top"/>
          </w:tcPr>
          <w:p w14:paraId="7F11944F">
            <w:pPr>
              <w:rPr>
                <w:rFonts w:ascii="Arial"/>
                <w:sz w:val="21"/>
              </w:rPr>
            </w:pPr>
          </w:p>
        </w:tc>
        <w:tc>
          <w:tcPr>
            <w:tcW w:w="795" w:type="dxa"/>
            <w:vMerge w:val="restart"/>
            <w:tcBorders>
              <w:bottom w:val="nil"/>
            </w:tcBorders>
            <w:vAlign w:val="top"/>
          </w:tcPr>
          <w:p w14:paraId="5B1F4F25">
            <w:pPr>
              <w:rPr>
                <w:rFonts w:ascii="Arial"/>
                <w:sz w:val="21"/>
              </w:rPr>
            </w:pPr>
          </w:p>
        </w:tc>
        <w:tc>
          <w:tcPr>
            <w:tcW w:w="788" w:type="dxa"/>
            <w:vAlign w:val="top"/>
          </w:tcPr>
          <w:p w14:paraId="4A7F2AA6">
            <w:pPr>
              <w:rPr>
                <w:rFonts w:ascii="Arial"/>
                <w:sz w:val="21"/>
              </w:rPr>
            </w:pPr>
          </w:p>
        </w:tc>
        <w:tc>
          <w:tcPr>
            <w:tcW w:w="4868" w:type="dxa"/>
            <w:vAlign w:val="top"/>
          </w:tcPr>
          <w:p w14:paraId="05AF052F">
            <w:pPr>
              <w:pStyle w:val="6"/>
              <w:spacing w:before="45" w:line="239" w:lineRule="auto"/>
              <w:ind w:left="49" w:right="49" w:hanging="5"/>
              <w:rPr>
                <w:sz w:val="20"/>
                <w:szCs w:val="20"/>
              </w:rPr>
            </w:pPr>
            <w:r>
              <w:rPr>
                <w:spacing w:val="-2"/>
                <w:sz w:val="20"/>
                <w:szCs w:val="20"/>
              </w:rPr>
              <w:t>港口污染防治。对流域内饮用水源地进行有效保护及规</w:t>
            </w:r>
            <w:r>
              <w:rPr>
                <w:spacing w:val="15"/>
                <w:sz w:val="20"/>
                <w:szCs w:val="20"/>
              </w:rPr>
              <w:t xml:space="preserve"> </w:t>
            </w:r>
            <w:r>
              <w:rPr>
                <w:spacing w:val="-3"/>
                <w:sz w:val="20"/>
                <w:szCs w:val="20"/>
              </w:rPr>
              <w:t>范化建设。</w:t>
            </w:r>
          </w:p>
          <w:p w14:paraId="7EEC7131">
            <w:pPr>
              <w:pStyle w:val="6"/>
              <w:spacing w:before="1" w:line="239" w:lineRule="auto"/>
              <w:ind w:left="44" w:right="48" w:firstLine="1"/>
              <w:rPr>
                <w:sz w:val="20"/>
                <w:szCs w:val="20"/>
              </w:rPr>
            </w:pPr>
            <w:r>
              <w:rPr>
                <w:spacing w:val="-2"/>
                <w:sz w:val="20"/>
                <w:szCs w:val="20"/>
              </w:rPr>
              <w:t>化工园区应按照分类收集，分质处理的要求，配备专业</w:t>
            </w:r>
            <w:r>
              <w:rPr>
                <w:spacing w:val="15"/>
                <w:sz w:val="20"/>
                <w:szCs w:val="20"/>
              </w:rPr>
              <w:t xml:space="preserve"> </w:t>
            </w:r>
            <w:r>
              <w:rPr>
                <w:spacing w:val="7"/>
                <w:sz w:val="20"/>
                <w:szCs w:val="20"/>
              </w:rPr>
              <w:t>化工生产废水集中处理设施（独立建设或依托骨干企</w:t>
            </w:r>
            <w:r>
              <w:rPr>
                <w:spacing w:val="1"/>
                <w:sz w:val="20"/>
                <w:szCs w:val="20"/>
              </w:rPr>
              <w:t xml:space="preserve"> </w:t>
            </w:r>
            <w:r>
              <w:rPr>
                <w:spacing w:val="-2"/>
                <w:sz w:val="20"/>
                <w:szCs w:val="20"/>
              </w:rPr>
              <w:t>业）及专管或明管输送的配套管网，化工生产废水纳管</w:t>
            </w:r>
            <w:r>
              <w:rPr>
                <w:spacing w:val="17"/>
                <w:sz w:val="20"/>
                <w:szCs w:val="20"/>
              </w:rPr>
              <w:t xml:space="preserve"> </w:t>
            </w:r>
            <w:r>
              <w:rPr>
                <w:spacing w:val="-3"/>
                <w:sz w:val="20"/>
                <w:szCs w:val="20"/>
              </w:rPr>
              <w:t>率达到</w:t>
            </w:r>
            <w:r>
              <w:rPr>
                <w:spacing w:val="-10"/>
                <w:sz w:val="20"/>
                <w:szCs w:val="20"/>
              </w:rPr>
              <w:t xml:space="preserve"> </w:t>
            </w:r>
            <w:r>
              <w:rPr>
                <w:spacing w:val="-3"/>
                <w:sz w:val="20"/>
                <w:szCs w:val="20"/>
              </w:rPr>
              <w:t>100%。入河排污口设置应符合相关规定。</w:t>
            </w:r>
          </w:p>
          <w:p w14:paraId="7D7C260C">
            <w:pPr>
              <w:pStyle w:val="6"/>
              <w:spacing w:before="5" w:line="239" w:lineRule="auto"/>
              <w:ind w:left="45" w:right="49"/>
              <w:rPr>
                <w:sz w:val="20"/>
                <w:szCs w:val="20"/>
              </w:rPr>
            </w:pPr>
            <w:r>
              <w:rPr>
                <w:spacing w:val="-2"/>
                <w:sz w:val="20"/>
                <w:szCs w:val="20"/>
              </w:rPr>
              <w:t>重点行业建设项目应遵循重点重金属污染物排放“等量</w:t>
            </w:r>
            <w:r>
              <w:rPr>
                <w:spacing w:val="14"/>
                <w:sz w:val="20"/>
                <w:szCs w:val="20"/>
              </w:rPr>
              <w:t xml:space="preserve"> </w:t>
            </w:r>
            <w:r>
              <w:rPr>
                <w:spacing w:val="-2"/>
                <w:sz w:val="20"/>
                <w:szCs w:val="20"/>
              </w:rPr>
              <w:t>替代”原则。按国家规定，建设单位在提交环境影响评</w:t>
            </w:r>
            <w:r>
              <w:rPr>
                <w:spacing w:val="15"/>
                <w:sz w:val="20"/>
                <w:szCs w:val="20"/>
              </w:rPr>
              <w:t xml:space="preserve"> </w:t>
            </w:r>
            <w:r>
              <w:rPr>
                <w:spacing w:val="-2"/>
                <w:sz w:val="20"/>
                <w:szCs w:val="20"/>
              </w:rPr>
              <w:t>价文件时应明确重点重金属污染物排放总量及来源，无</w:t>
            </w:r>
            <w:r>
              <w:rPr>
                <w:spacing w:val="15"/>
                <w:sz w:val="20"/>
                <w:szCs w:val="20"/>
              </w:rPr>
              <w:t xml:space="preserve"> </w:t>
            </w:r>
            <w:r>
              <w:rPr>
                <w:spacing w:val="-2"/>
                <w:sz w:val="20"/>
                <w:szCs w:val="20"/>
              </w:rPr>
              <w:t>明确具体总量来源的，各级生态环境部门不得批准相关</w:t>
            </w:r>
            <w:r>
              <w:rPr>
                <w:spacing w:val="15"/>
                <w:sz w:val="20"/>
                <w:szCs w:val="20"/>
              </w:rPr>
              <w:t xml:space="preserve"> </w:t>
            </w:r>
            <w:r>
              <w:rPr>
                <w:spacing w:val="-2"/>
                <w:sz w:val="20"/>
                <w:szCs w:val="20"/>
              </w:rPr>
              <w:t>环境影响评价文件。重金属污染物排放总量替代管理豁</w:t>
            </w:r>
            <w:r>
              <w:rPr>
                <w:spacing w:val="15"/>
                <w:sz w:val="20"/>
                <w:szCs w:val="20"/>
              </w:rPr>
              <w:t xml:space="preserve"> </w:t>
            </w:r>
            <w:r>
              <w:rPr>
                <w:spacing w:val="-2"/>
                <w:sz w:val="20"/>
                <w:szCs w:val="20"/>
              </w:rPr>
              <w:t>免的情形参见《四川省“十四五”重金属污染防控工作</w:t>
            </w:r>
            <w:r>
              <w:rPr>
                <w:spacing w:val="15"/>
                <w:sz w:val="20"/>
                <w:szCs w:val="20"/>
              </w:rPr>
              <w:t xml:space="preserve"> </w:t>
            </w:r>
            <w:r>
              <w:rPr>
                <w:spacing w:val="-10"/>
                <w:sz w:val="20"/>
                <w:szCs w:val="20"/>
              </w:rPr>
              <w:t>方案》；重点行业、重点重金属的界定参见《四川省“十</w:t>
            </w:r>
            <w:r>
              <w:rPr>
                <w:spacing w:val="15"/>
                <w:sz w:val="20"/>
                <w:szCs w:val="20"/>
              </w:rPr>
              <w:t xml:space="preserve"> </w:t>
            </w:r>
            <w:r>
              <w:rPr>
                <w:spacing w:val="-2"/>
                <w:sz w:val="20"/>
                <w:szCs w:val="20"/>
              </w:rPr>
              <w:t>四五”重金属污染防控工作方案》。</w:t>
            </w:r>
          </w:p>
          <w:p w14:paraId="1DFA77EE">
            <w:pPr>
              <w:pStyle w:val="6"/>
              <w:spacing w:before="3" w:line="234" w:lineRule="auto"/>
              <w:ind w:left="44" w:right="48" w:firstLine="2"/>
              <w:rPr>
                <w:sz w:val="20"/>
                <w:szCs w:val="20"/>
              </w:rPr>
            </w:pPr>
            <w:r>
              <w:rPr>
                <w:spacing w:val="-2"/>
                <w:sz w:val="20"/>
                <w:szCs w:val="20"/>
              </w:rPr>
              <w:t>落实《四川省深入打好重污染天气消除、臭氧污染防治</w:t>
            </w:r>
            <w:r>
              <w:rPr>
                <w:spacing w:val="14"/>
                <w:sz w:val="20"/>
                <w:szCs w:val="20"/>
              </w:rPr>
              <w:t xml:space="preserve"> </w:t>
            </w:r>
            <w:r>
              <w:rPr>
                <w:spacing w:val="-2"/>
                <w:sz w:val="20"/>
                <w:szCs w:val="20"/>
              </w:rPr>
              <w:t>和柴油货车污染治理攻坚战实施方案》要求，推进重点</w:t>
            </w:r>
            <w:r>
              <w:rPr>
                <w:spacing w:val="17"/>
                <w:sz w:val="20"/>
                <w:szCs w:val="20"/>
              </w:rPr>
              <w:t xml:space="preserve"> </w:t>
            </w:r>
            <w:r>
              <w:rPr>
                <w:spacing w:val="-1"/>
                <w:sz w:val="20"/>
                <w:szCs w:val="20"/>
              </w:rPr>
              <w:t>行业超低排放改造和深度治理，加快实施低 VO</w:t>
            </w:r>
            <w:r>
              <w:rPr>
                <w:spacing w:val="-2"/>
                <w:sz w:val="20"/>
                <w:szCs w:val="20"/>
              </w:rPr>
              <w:t>Cs 含量</w:t>
            </w:r>
            <w:r>
              <w:rPr>
                <w:sz w:val="20"/>
                <w:szCs w:val="20"/>
              </w:rPr>
              <w:t xml:space="preserve"> </w:t>
            </w:r>
            <w:r>
              <w:rPr>
                <w:spacing w:val="-2"/>
                <w:sz w:val="20"/>
                <w:szCs w:val="20"/>
              </w:rPr>
              <w:t>原辅材料替代，持续开展 VOCs 治理设施提级增效，强</w:t>
            </w:r>
            <w:r>
              <w:rPr>
                <w:spacing w:val="13"/>
                <w:sz w:val="20"/>
                <w:szCs w:val="20"/>
              </w:rPr>
              <w:t xml:space="preserve"> </w:t>
            </w:r>
            <w:r>
              <w:rPr>
                <w:spacing w:val="-1"/>
                <w:sz w:val="20"/>
                <w:szCs w:val="20"/>
              </w:rPr>
              <w:t>化 VOCs 无组织排放整治，加强非正常工</w:t>
            </w:r>
            <w:r>
              <w:rPr>
                <w:spacing w:val="-2"/>
                <w:sz w:val="20"/>
                <w:szCs w:val="20"/>
              </w:rPr>
              <w:t>况废气排放管</w:t>
            </w:r>
            <w:r>
              <w:rPr>
                <w:sz w:val="20"/>
                <w:szCs w:val="20"/>
              </w:rPr>
              <w:t xml:space="preserve"> </w:t>
            </w:r>
            <w:r>
              <w:rPr>
                <w:spacing w:val="-2"/>
                <w:sz w:val="20"/>
                <w:szCs w:val="20"/>
              </w:rPr>
              <w:t>控，推进涉</w:t>
            </w:r>
            <w:r>
              <w:rPr>
                <w:spacing w:val="-47"/>
                <w:sz w:val="20"/>
                <w:szCs w:val="20"/>
              </w:rPr>
              <w:t xml:space="preserve"> </w:t>
            </w:r>
            <w:r>
              <w:rPr>
                <w:spacing w:val="-2"/>
                <w:sz w:val="20"/>
                <w:szCs w:val="20"/>
              </w:rPr>
              <w:t>VOCs</w:t>
            </w:r>
            <w:r>
              <w:rPr>
                <w:spacing w:val="-43"/>
                <w:sz w:val="20"/>
                <w:szCs w:val="20"/>
              </w:rPr>
              <w:t xml:space="preserve"> </w:t>
            </w:r>
            <w:r>
              <w:rPr>
                <w:spacing w:val="-2"/>
                <w:sz w:val="20"/>
                <w:szCs w:val="20"/>
              </w:rPr>
              <w:t>产业集群治理提升，推进油品</w:t>
            </w:r>
            <w:r>
              <w:rPr>
                <w:spacing w:val="-48"/>
                <w:sz w:val="20"/>
                <w:szCs w:val="20"/>
              </w:rPr>
              <w:t xml:space="preserve"> </w:t>
            </w:r>
            <w:r>
              <w:rPr>
                <w:spacing w:val="-2"/>
                <w:sz w:val="20"/>
                <w:szCs w:val="20"/>
              </w:rPr>
              <w:t>VOCs</w:t>
            </w:r>
            <w:r>
              <w:rPr>
                <w:spacing w:val="-40"/>
                <w:sz w:val="20"/>
                <w:szCs w:val="20"/>
              </w:rPr>
              <w:t xml:space="preserve"> </w:t>
            </w:r>
            <w:r>
              <w:rPr>
                <w:spacing w:val="-2"/>
                <w:sz w:val="20"/>
                <w:szCs w:val="20"/>
              </w:rPr>
              <w:t>综</w:t>
            </w:r>
            <w:r>
              <w:rPr>
                <w:sz w:val="20"/>
                <w:szCs w:val="20"/>
              </w:rPr>
              <w:t xml:space="preserve"> </w:t>
            </w:r>
            <w:r>
              <w:rPr>
                <w:spacing w:val="-7"/>
                <w:sz w:val="20"/>
                <w:szCs w:val="20"/>
              </w:rPr>
              <w:t>合管控。</w:t>
            </w:r>
          </w:p>
        </w:tc>
        <w:tc>
          <w:tcPr>
            <w:tcW w:w="2632" w:type="dxa"/>
            <w:vAlign w:val="top"/>
          </w:tcPr>
          <w:p w14:paraId="0599303D">
            <w:pPr>
              <w:rPr>
                <w:rFonts w:ascii="Arial"/>
                <w:sz w:val="21"/>
              </w:rPr>
            </w:pPr>
          </w:p>
        </w:tc>
        <w:tc>
          <w:tcPr>
            <w:tcW w:w="513" w:type="dxa"/>
            <w:vAlign w:val="top"/>
          </w:tcPr>
          <w:p w14:paraId="1BC6E8FD">
            <w:pPr>
              <w:rPr>
                <w:rFonts w:ascii="Arial"/>
                <w:sz w:val="21"/>
              </w:rPr>
            </w:pPr>
          </w:p>
        </w:tc>
        <w:tc>
          <w:tcPr>
            <w:tcW w:w="118" w:type="dxa"/>
            <w:tcBorders>
              <w:bottom w:val="nil"/>
            </w:tcBorders>
            <w:vAlign w:val="top"/>
          </w:tcPr>
          <w:p w14:paraId="4500B463">
            <w:pPr>
              <w:rPr>
                <w:rFonts w:ascii="Arial"/>
                <w:sz w:val="21"/>
              </w:rPr>
            </w:pPr>
          </w:p>
        </w:tc>
      </w:tr>
      <w:tr w14:paraId="4E403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06" w:hRule="atLeast"/>
        </w:trPr>
        <w:tc>
          <w:tcPr>
            <w:tcW w:w="1886" w:type="dxa"/>
            <w:vMerge w:val="continue"/>
            <w:tcBorders>
              <w:top w:val="nil"/>
              <w:bottom w:val="nil"/>
            </w:tcBorders>
            <w:vAlign w:val="top"/>
          </w:tcPr>
          <w:p w14:paraId="26CFC2D0">
            <w:pPr>
              <w:rPr>
                <w:rFonts w:ascii="Arial"/>
                <w:sz w:val="21"/>
              </w:rPr>
            </w:pPr>
          </w:p>
        </w:tc>
        <w:tc>
          <w:tcPr>
            <w:tcW w:w="113" w:type="dxa"/>
            <w:tcBorders>
              <w:top w:val="nil"/>
              <w:bottom w:val="nil"/>
            </w:tcBorders>
            <w:vAlign w:val="top"/>
          </w:tcPr>
          <w:p w14:paraId="45E210AF">
            <w:pPr>
              <w:rPr>
                <w:rFonts w:ascii="Arial"/>
                <w:sz w:val="21"/>
              </w:rPr>
            </w:pPr>
          </w:p>
        </w:tc>
        <w:tc>
          <w:tcPr>
            <w:tcW w:w="1879" w:type="dxa"/>
            <w:vMerge w:val="continue"/>
            <w:tcBorders>
              <w:top w:val="nil"/>
            </w:tcBorders>
            <w:vAlign w:val="top"/>
          </w:tcPr>
          <w:p w14:paraId="4CB9495E">
            <w:pPr>
              <w:rPr>
                <w:rFonts w:ascii="Arial"/>
                <w:sz w:val="21"/>
              </w:rPr>
            </w:pPr>
          </w:p>
        </w:tc>
        <w:tc>
          <w:tcPr>
            <w:tcW w:w="795" w:type="dxa"/>
            <w:vMerge w:val="continue"/>
            <w:tcBorders>
              <w:top w:val="nil"/>
            </w:tcBorders>
            <w:vAlign w:val="top"/>
          </w:tcPr>
          <w:p w14:paraId="6E45862F">
            <w:pPr>
              <w:rPr>
                <w:rFonts w:ascii="Arial"/>
                <w:sz w:val="21"/>
              </w:rPr>
            </w:pPr>
          </w:p>
        </w:tc>
        <w:tc>
          <w:tcPr>
            <w:tcW w:w="788" w:type="dxa"/>
            <w:vAlign w:val="top"/>
          </w:tcPr>
          <w:p w14:paraId="2B03802A">
            <w:pPr>
              <w:spacing w:line="251" w:lineRule="auto"/>
              <w:rPr>
                <w:rFonts w:ascii="Arial"/>
                <w:sz w:val="21"/>
              </w:rPr>
            </w:pPr>
          </w:p>
          <w:p w14:paraId="67ABBE6D">
            <w:pPr>
              <w:spacing w:line="251" w:lineRule="auto"/>
              <w:rPr>
                <w:rFonts w:ascii="Arial"/>
                <w:sz w:val="21"/>
              </w:rPr>
            </w:pPr>
          </w:p>
          <w:p w14:paraId="1A293312">
            <w:pPr>
              <w:spacing w:line="251" w:lineRule="auto"/>
              <w:rPr>
                <w:rFonts w:ascii="Arial"/>
                <w:sz w:val="21"/>
              </w:rPr>
            </w:pPr>
          </w:p>
          <w:p w14:paraId="3A36F2E2">
            <w:pPr>
              <w:spacing w:line="252" w:lineRule="auto"/>
              <w:rPr>
                <w:rFonts w:ascii="Arial"/>
                <w:sz w:val="21"/>
              </w:rPr>
            </w:pPr>
          </w:p>
          <w:p w14:paraId="587EFBB9">
            <w:pPr>
              <w:spacing w:line="252" w:lineRule="auto"/>
              <w:rPr>
                <w:rFonts w:ascii="Arial"/>
                <w:sz w:val="21"/>
              </w:rPr>
            </w:pPr>
          </w:p>
          <w:p w14:paraId="3EB340EE">
            <w:pPr>
              <w:pStyle w:val="6"/>
              <w:spacing w:before="65" w:line="221" w:lineRule="auto"/>
              <w:ind w:left="91"/>
              <w:rPr>
                <w:sz w:val="20"/>
                <w:szCs w:val="20"/>
              </w:rPr>
            </w:pPr>
            <w:r>
              <w:rPr>
                <w:spacing w:val="-2"/>
                <w:sz w:val="20"/>
                <w:szCs w:val="20"/>
              </w:rPr>
              <w:t>环境风</w:t>
            </w:r>
          </w:p>
          <w:p w14:paraId="39CFBEED">
            <w:pPr>
              <w:pStyle w:val="6"/>
              <w:spacing w:before="19" w:line="221" w:lineRule="auto"/>
              <w:ind w:left="102"/>
              <w:rPr>
                <w:sz w:val="20"/>
                <w:szCs w:val="20"/>
              </w:rPr>
            </w:pPr>
            <w:r>
              <w:rPr>
                <w:spacing w:val="-4"/>
                <w:sz w:val="20"/>
                <w:szCs w:val="20"/>
              </w:rPr>
              <w:t>险防控</w:t>
            </w:r>
          </w:p>
        </w:tc>
        <w:tc>
          <w:tcPr>
            <w:tcW w:w="4868" w:type="dxa"/>
            <w:vAlign w:val="top"/>
          </w:tcPr>
          <w:p w14:paraId="167F3F8A">
            <w:pPr>
              <w:pStyle w:val="6"/>
              <w:spacing w:before="32" w:line="221" w:lineRule="auto"/>
              <w:ind w:left="46"/>
              <w:rPr>
                <w:sz w:val="20"/>
                <w:szCs w:val="20"/>
              </w:rPr>
            </w:pPr>
            <w:r>
              <w:rPr>
                <w:spacing w:val="-2"/>
                <w:sz w:val="20"/>
                <w:szCs w:val="20"/>
              </w:rPr>
              <w:t>联防联控要求</w:t>
            </w:r>
          </w:p>
          <w:p w14:paraId="71AB3A70">
            <w:pPr>
              <w:pStyle w:val="6"/>
              <w:spacing w:before="17"/>
              <w:ind w:left="45" w:right="48" w:firstLine="4"/>
              <w:rPr>
                <w:sz w:val="20"/>
                <w:szCs w:val="20"/>
              </w:rPr>
            </w:pPr>
            <w:r>
              <w:rPr>
                <w:spacing w:val="-2"/>
                <w:sz w:val="20"/>
                <w:szCs w:val="20"/>
              </w:rPr>
              <w:t>强化区域联防联控，严格落实《关于建立跨省流域上下</w:t>
            </w:r>
            <w:r>
              <w:rPr>
                <w:spacing w:val="11"/>
                <w:sz w:val="20"/>
                <w:szCs w:val="20"/>
              </w:rPr>
              <w:t xml:space="preserve"> </w:t>
            </w:r>
            <w:r>
              <w:rPr>
                <w:spacing w:val="-6"/>
                <w:sz w:val="20"/>
                <w:szCs w:val="20"/>
              </w:rPr>
              <w:t>游突发水污染事件联防联控机制的指导意见》； 定期召</w:t>
            </w:r>
            <w:r>
              <w:rPr>
                <w:spacing w:val="17"/>
                <w:sz w:val="20"/>
                <w:szCs w:val="20"/>
              </w:rPr>
              <w:t xml:space="preserve"> </w:t>
            </w:r>
            <w:r>
              <w:rPr>
                <w:spacing w:val="7"/>
                <w:sz w:val="20"/>
                <w:szCs w:val="20"/>
              </w:rPr>
              <w:t>开区域大气环境</w:t>
            </w:r>
            <w:r>
              <w:rPr>
                <w:rFonts w:hint="eastAsia"/>
                <w:spacing w:val="7"/>
                <w:sz w:val="20"/>
                <w:szCs w:val="20"/>
                <w:lang w:eastAsia="zh-CN"/>
              </w:rPr>
              <w:t>形势</w:t>
            </w:r>
            <w:r>
              <w:rPr>
                <w:spacing w:val="7"/>
                <w:sz w:val="20"/>
                <w:szCs w:val="20"/>
              </w:rPr>
              <w:t>分析会，强化信息共享和联动合</w:t>
            </w:r>
            <w:r>
              <w:rPr>
                <w:sz w:val="20"/>
                <w:szCs w:val="20"/>
              </w:rPr>
              <w:t xml:space="preserve"> </w:t>
            </w:r>
            <w:r>
              <w:rPr>
                <w:spacing w:val="-2"/>
                <w:sz w:val="20"/>
                <w:szCs w:val="20"/>
              </w:rPr>
              <w:t>作，实行环境规划，标准，环评，执法，信息公开“六</w:t>
            </w:r>
            <w:r>
              <w:rPr>
                <w:spacing w:val="13"/>
                <w:sz w:val="20"/>
                <w:szCs w:val="20"/>
              </w:rPr>
              <w:t xml:space="preserve"> </w:t>
            </w:r>
            <w:r>
              <w:rPr>
                <w:spacing w:val="-2"/>
                <w:sz w:val="20"/>
                <w:szCs w:val="20"/>
              </w:rPr>
              <w:t>统一”，协力推进大气污染源头防控，加强川东北区域</w:t>
            </w:r>
            <w:r>
              <w:rPr>
                <w:spacing w:val="15"/>
                <w:sz w:val="20"/>
                <w:szCs w:val="20"/>
              </w:rPr>
              <w:t xml:space="preserve"> </w:t>
            </w:r>
            <w:r>
              <w:rPr>
                <w:spacing w:val="-1"/>
                <w:sz w:val="20"/>
                <w:szCs w:val="20"/>
              </w:rPr>
              <w:t>大气污染防治合作。</w:t>
            </w:r>
          </w:p>
          <w:p w14:paraId="70B6E148">
            <w:pPr>
              <w:pStyle w:val="6"/>
              <w:spacing w:line="220" w:lineRule="auto"/>
              <w:ind w:left="46"/>
              <w:rPr>
                <w:sz w:val="20"/>
                <w:szCs w:val="20"/>
              </w:rPr>
            </w:pPr>
            <w:r>
              <w:rPr>
                <w:spacing w:val="-1"/>
                <w:sz w:val="20"/>
                <w:szCs w:val="20"/>
              </w:rPr>
              <w:t>其他环境风险防控要求</w:t>
            </w:r>
          </w:p>
          <w:p w14:paraId="5671CB6C">
            <w:pPr>
              <w:pStyle w:val="6"/>
              <w:spacing w:before="20" w:line="228" w:lineRule="auto"/>
              <w:ind w:left="46" w:firstLine="2"/>
              <w:rPr>
                <w:sz w:val="20"/>
                <w:szCs w:val="20"/>
              </w:rPr>
            </w:pPr>
            <w:r>
              <w:rPr>
                <w:spacing w:val="1"/>
                <w:sz w:val="20"/>
                <w:szCs w:val="20"/>
              </w:rPr>
              <w:t>企业环境风险防控要求</w:t>
            </w:r>
            <w:r>
              <w:rPr>
                <w:rFonts w:hint="eastAsia"/>
                <w:spacing w:val="1"/>
                <w:sz w:val="20"/>
                <w:szCs w:val="20"/>
                <w:lang w:eastAsia="zh-CN"/>
              </w:rPr>
              <w:t>：</w:t>
            </w:r>
            <w:r>
              <w:rPr>
                <w:spacing w:val="1"/>
                <w:sz w:val="20"/>
                <w:szCs w:val="20"/>
              </w:rPr>
              <w:t>涉及有毒有害、易燃</w:t>
            </w:r>
            <w:r>
              <w:rPr>
                <w:sz w:val="20"/>
                <w:szCs w:val="20"/>
              </w:rPr>
              <w:t xml:space="preserve">易爆物质  </w:t>
            </w:r>
            <w:r>
              <w:rPr>
                <w:spacing w:val="-15"/>
                <w:sz w:val="20"/>
                <w:szCs w:val="20"/>
              </w:rPr>
              <w:t>新建、改扩建项目，严控准入要求。（根据《GB8978-</w:t>
            </w:r>
            <w:r>
              <w:rPr>
                <w:spacing w:val="-16"/>
                <w:sz w:val="20"/>
                <w:szCs w:val="20"/>
              </w:rPr>
              <w:t>2002》</w:t>
            </w:r>
            <w:r>
              <w:rPr>
                <w:sz w:val="20"/>
                <w:szCs w:val="20"/>
              </w:rPr>
              <w:t xml:space="preserve"> </w:t>
            </w:r>
            <w:r>
              <w:rPr>
                <w:spacing w:val="-3"/>
                <w:sz w:val="20"/>
                <w:szCs w:val="20"/>
              </w:rPr>
              <w:t>中第一类污染物以及《优先控制化学品名录</w:t>
            </w:r>
            <w:r>
              <w:rPr>
                <w:rFonts w:hint="eastAsia"/>
                <w:spacing w:val="-3"/>
                <w:sz w:val="20"/>
                <w:szCs w:val="20"/>
                <w:lang w:eastAsia="zh-CN"/>
              </w:rPr>
              <w:t>》《</w:t>
            </w:r>
            <w:r>
              <w:rPr>
                <w:spacing w:val="-4"/>
                <w:sz w:val="20"/>
                <w:szCs w:val="20"/>
              </w:rPr>
              <w:t>有毒</w:t>
            </w:r>
            <w:r>
              <w:rPr>
                <w:sz w:val="20"/>
                <w:szCs w:val="20"/>
              </w:rPr>
              <w:t xml:space="preserve">  </w:t>
            </w:r>
            <w:r>
              <w:rPr>
                <w:spacing w:val="-3"/>
                <w:sz w:val="20"/>
                <w:szCs w:val="20"/>
              </w:rPr>
              <w:t>有害大气污染物名录</w:t>
            </w:r>
            <w:r>
              <w:rPr>
                <w:rFonts w:hint="eastAsia"/>
                <w:spacing w:val="-3"/>
                <w:sz w:val="20"/>
                <w:szCs w:val="20"/>
                <w:lang w:eastAsia="zh-CN"/>
              </w:rPr>
              <w:t>》《</w:t>
            </w:r>
            <w:r>
              <w:rPr>
                <w:spacing w:val="-3"/>
                <w:sz w:val="20"/>
                <w:szCs w:val="20"/>
              </w:rPr>
              <w:t>有毒有害水污染物</w:t>
            </w:r>
            <w:r>
              <w:rPr>
                <w:spacing w:val="-4"/>
                <w:sz w:val="20"/>
                <w:szCs w:val="20"/>
              </w:rPr>
              <w:t>名录》确</w:t>
            </w:r>
          </w:p>
        </w:tc>
        <w:tc>
          <w:tcPr>
            <w:tcW w:w="2632" w:type="dxa"/>
            <w:vAlign w:val="top"/>
          </w:tcPr>
          <w:p w14:paraId="315749F6">
            <w:pPr>
              <w:spacing w:line="302" w:lineRule="auto"/>
              <w:rPr>
                <w:rFonts w:ascii="Arial"/>
                <w:sz w:val="21"/>
              </w:rPr>
            </w:pPr>
          </w:p>
          <w:p w14:paraId="11BD7ED8">
            <w:pPr>
              <w:spacing w:line="302" w:lineRule="auto"/>
              <w:rPr>
                <w:rFonts w:ascii="Arial"/>
                <w:sz w:val="21"/>
              </w:rPr>
            </w:pPr>
          </w:p>
          <w:p w14:paraId="2286E80F">
            <w:pPr>
              <w:pStyle w:val="6"/>
              <w:spacing w:before="68" w:line="233" w:lineRule="auto"/>
              <w:ind w:left="48" w:firstLine="13"/>
              <w:rPr>
                <w:sz w:val="20"/>
                <w:szCs w:val="20"/>
              </w:rPr>
            </w:pPr>
            <w:r>
              <w:rPr>
                <w:spacing w:val="-3"/>
                <w:sz w:val="20"/>
                <w:szCs w:val="20"/>
              </w:rPr>
              <w:t>1</w:t>
            </w:r>
            <w:r>
              <w:rPr>
                <w:spacing w:val="-3"/>
              </w:rPr>
              <w:t>、</w:t>
            </w:r>
            <w:r>
              <w:rPr>
                <w:spacing w:val="-3"/>
                <w:sz w:val="20"/>
                <w:szCs w:val="20"/>
              </w:rPr>
              <w:t>本项目为生物质成型燃料</w:t>
            </w:r>
            <w:r>
              <w:rPr>
                <w:spacing w:val="3"/>
                <w:sz w:val="20"/>
                <w:szCs w:val="20"/>
              </w:rPr>
              <w:t xml:space="preserve">  </w:t>
            </w:r>
            <w:r>
              <w:rPr>
                <w:spacing w:val="-6"/>
                <w:sz w:val="20"/>
                <w:szCs w:val="20"/>
              </w:rPr>
              <w:t>生产项目，建成后将按要求编</w:t>
            </w:r>
            <w:r>
              <w:rPr>
                <w:sz w:val="20"/>
                <w:szCs w:val="20"/>
              </w:rPr>
              <w:t xml:space="preserve"> </w:t>
            </w:r>
            <w:r>
              <w:rPr>
                <w:spacing w:val="-16"/>
                <w:sz w:val="20"/>
                <w:szCs w:val="20"/>
              </w:rPr>
              <w:t>制《突发环境风险应急预案》，</w:t>
            </w:r>
            <w:r>
              <w:rPr>
                <w:spacing w:val="1"/>
                <w:sz w:val="20"/>
                <w:szCs w:val="20"/>
              </w:rPr>
              <w:t xml:space="preserve"> </w:t>
            </w:r>
            <w:r>
              <w:rPr>
                <w:spacing w:val="-2"/>
                <w:sz w:val="20"/>
                <w:szCs w:val="20"/>
              </w:rPr>
              <w:t>落实环境风险防范措施。</w:t>
            </w:r>
          </w:p>
          <w:p w14:paraId="1FD2EE5A">
            <w:pPr>
              <w:pStyle w:val="6"/>
              <w:spacing w:before="30" w:line="230" w:lineRule="auto"/>
              <w:ind w:left="47" w:right="48" w:firstLine="2"/>
              <w:rPr>
                <w:sz w:val="20"/>
                <w:szCs w:val="20"/>
              </w:rPr>
            </w:pPr>
            <w:r>
              <w:rPr>
                <w:spacing w:val="-1"/>
                <w:sz w:val="20"/>
                <w:szCs w:val="20"/>
              </w:rPr>
              <w:t>2</w:t>
            </w:r>
            <w:r>
              <w:rPr>
                <w:spacing w:val="-1"/>
              </w:rPr>
              <w:t>、</w:t>
            </w:r>
            <w:r>
              <w:rPr>
                <w:spacing w:val="-1"/>
                <w:sz w:val="20"/>
                <w:szCs w:val="20"/>
              </w:rPr>
              <w:t>本项目生产过程不涉及使</w:t>
            </w:r>
            <w:r>
              <w:rPr>
                <w:spacing w:val="2"/>
                <w:sz w:val="20"/>
                <w:szCs w:val="20"/>
              </w:rPr>
              <w:t xml:space="preserve"> </w:t>
            </w:r>
            <w:r>
              <w:rPr>
                <w:spacing w:val="-6"/>
                <w:sz w:val="20"/>
                <w:szCs w:val="20"/>
              </w:rPr>
              <w:t>用或储存有毒有害、易燃易爆</w:t>
            </w:r>
            <w:r>
              <w:rPr>
                <w:spacing w:val="8"/>
                <w:sz w:val="20"/>
                <w:szCs w:val="20"/>
              </w:rPr>
              <w:t xml:space="preserve"> </w:t>
            </w:r>
            <w:r>
              <w:rPr>
                <w:spacing w:val="-8"/>
                <w:sz w:val="20"/>
                <w:szCs w:val="20"/>
              </w:rPr>
              <w:t>物质。</w:t>
            </w:r>
          </w:p>
        </w:tc>
        <w:tc>
          <w:tcPr>
            <w:tcW w:w="513" w:type="dxa"/>
            <w:vAlign w:val="top"/>
          </w:tcPr>
          <w:p w14:paraId="5666FF6D">
            <w:pPr>
              <w:spacing w:line="277" w:lineRule="auto"/>
              <w:rPr>
                <w:rFonts w:ascii="Arial"/>
                <w:sz w:val="21"/>
              </w:rPr>
            </w:pPr>
          </w:p>
          <w:p w14:paraId="1E576619">
            <w:pPr>
              <w:spacing w:line="277" w:lineRule="auto"/>
              <w:rPr>
                <w:rFonts w:ascii="Arial"/>
                <w:sz w:val="21"/>
              </w:rPr>
            </w:pPr>
          </w:p>
          <w:p w14:paraId="2FEAD505">
            <w:pPr>
              <w:spacing w:line="277" w:lineRule="auto"/>
              <w:rPr>
                <w:rFonts w:ascii="Arial"/>
                <w:sz w:val="21"/>
              </w:rPr>
            </w:pPr>
          </w:p>
          <w:p w14:paraId="5A676D7E">
            <w:pPr>
              <w:spacing w:line="277" w:lineRule="auto"/>
              <w:rPr>
                <w:rFonts w:ascii="Arial"/>
                <w:sz w:val="21"/>
              </w:rPr>
            </w:pPr>
          </w:p>
          <w:p w14:paraId="26CEFE48">
            <w:pPr>
              <w:spacing w:line="278" w:lineRule="auto"/>
              <w:rPr>
                <w:rFonts w:ascii="Arial"/>
                <w:sz w:val="21"/>
              </w:rPr>
            </w:pPr>
          </w:p>
          <w:p w14:paraId="7420527D">
            <w:pPr>
              <w:pStyle w:val="6"/>
              <w:spacing w:before="65" w:line="220" w:lineRule="auto"/>
              <w:ind w:left="59"/>
              <w:rPr>
                <w:sz w:val="20"/>
                <w:szCs w:val="20"/>
              </w:rPr>
            </w:pPr>
            <w:r>
              <w:rPr>
                <w:spacing w:val="-3"/>
                <w:sz w:val="20"/>
                <w:szCs w:val="20"/>
              </w:rPr>
              <w:t>符合</w:t>
            </w:r>
          </w:p>
        </w:tc>
        <w:tc>
          <w:tcPr>
            <w:tcW w:w="118" w:type="dxa"/>
            <w:tcBorders>
              <w:top w:val="nil"/>
              <w:bottom w:val="nil"/>
            </w:tcBorders>
            <w:vAlign w:val="top"/>
          </w:tcPr>
          <w:p w14:paraId="3842EC68">
            <w:pPr>
              <w:rPr>
                <w:rFonts w:ascii="Arial"/>
                <w:sz w:val="21"/>
              </w:rPr>
            </w:pPr>
          </w:p>
        </w:tc>
      </w:tr>
      <w:tr w14:paraId="36989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4" w:hRule="atLeast"/>
        </w:trPr>
        <w:tc>
          <w:tcPr>
            <w:tcW w:w="1886" w:type="dxa"/>
            <w:vMerge w:val="continue"/>
            <w:tcBorders>
              <w:top w:val="nil"/>
            </w:tcBorders>
            <w:vAlign w:val="top"/>
          </w:tcPr>
          <w:p w14:paraId="189DDE7E">
            <w:pPr>
              <w:rPr>
                <w:rFonts w:ascii="Arial"/>
                <w:sz w:val="21"/>
              </w:rPr>
            </w:pPr>
          </w:p>
        </w:tc>
        <w:tc>
          <w:tcPr>
            <w:tcW w:w="11706" w:type="dxa"/>
            <w:gridSpan w:val="8"/>
            <w:vAlign w:val="top"/>
          </w:tcPr>
          <w:p w14:paraId="658986F9">
            <w:pPr>
              <w:rPr>
                <w:rFonts w:ascii="Arial"/>
                <w:sz w:val="21"/>
              </w:rPr>
            </w:pPr>
          </w:p>
        </w:tc>
      </w:tr>
    </w:tbl>
    <w:p w14:paraId="2477E9B3">
      <w:pPr>
        <w:rPr>
          <w:rFonts w:ascii="Arial"/>
          <w:sz w:val="21"/>
        </w:rPr>
      </w:pPr>
    </w:p>
    <w:p w14:paraId="7D8AC7BC">
      <w:pPr>
        <w:rPr>
          <w:rFonts w:ascii="Arial" w:hAnsi="Arial" w:eastAsia="Arial" w:cs="Arial"/>
          <w:sz w:val="21"/>
          <w:szCs w:val="21"/>
        </w:rPr>
        <w:sectPr>
          <w:footerReference r:id="rId15" w:type="default"/>
          <w:pgSz w:w="16839" w:h="11907"/>
          <w:pgMar w:top="1012" w:right="1620" w:bottom="1055" w:left="1621" w:header="0" w:footer="800" w:gutter="0"/>
          <w:cols w:space="720" w:num="1"/>
        </w:sectPr>
      </w:pPr>
    </w:p>
    <w:p w14:paraId="7B911F33">
      <w:pPr>
        <w:spacing w:before="18"/>
      </w:pPr>
    </w:p>
    <w:p w14:paraId="4CF86391">
      <w:pPr>
        <w:spacing w:before="18"/>
      </w:pPr>
    </w:p>
    <w:tbl>
      <w:tblPr>
        <w:tblStyle w:val="5"/>
        <w:tblW w:w="135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6"/>
        <w:gridCol w:w="113"/>
        <w:gridCol w:w="1879"/>
        <w:gridCol w:w="795"/>
        <w:gridCol w:w="788"/>
        <w:gridCol w:w="4868"/>
        <w:gridCol w:w="2632"/>
        <w:gridCol w:w="513"/>
        <w:gridCol w:w="118"/>
      </w:tblGrid>
      <w:tr w14:paraId="13EA7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6" w:hRule="atLeast"/>
        </w:trPr>
        <w:tc>
          <w:tcPr>
            <w:tcW w:w="1886" w:type="dxa"/>
            <w:vMerge w:val="restart"/>
            <w:tcBorders>
              <w:bottom w:val="nil"/>
            </w:tcBorders>
            <w:vAlign w:val="top"/>
          </w:tcPr>
          <w:p w14:paraId="22A737D9">
            <w:pPr>
              <w:rPr>
                <w:rFonts w:ascii="Arial"/>
                <w:sz w:val="21"/>
              </w:rPr>
            </w:pPr>
          </w:p>
        </w:tc>
        <w:tc>
          <w:tcPr>
            <w:tcW w:w="113" w:type="dxa"/>
            <w:tcBorders>
              <w:bottom w:val="nil"/>
            </w:tcBorders>
            <w:vAlign w:val="top"/>
          </w:tcPr>
          <w:p w14:paraId="5E374A12">
            <w:pPr>
              <w:rPr>
                <w:rFonts w:ascii="Arial"/>
                <w:sz w:val="21"/>
              </w:rPr>
            </w:pPr>
          </w:p>
        </w:tc>
        <w:tc>
          <w:tcPr>
            <w:tcW w:w="1879" w:type="dxa"/>
            <w:vMerge w:val="restart"/>
            <w:tcBorders>
              <w:bottom w:val="nil"/>
            </w:tcBorders>
            <w:vAlign w:val="top"/>
          </w:tcPr>
          <w:p w14:paraId="5120009C">
            <w:pPr>
              <w:rPr>
                <w:rFonts w:ascii="Arial"/>
                <w:sz w:val="21"/>
              </w:rPr>
            </w:pPr>
          </w:p>
        </w:tc>
        <w:tc>
          <w:tcPr>
            <w:tcW w:w="795" w:type="dxa"/>
            <w:vMerge w:val="restart"/>
            <w:tcBorders>
              <w:bottom w:val="nil"/>
            </w:tcBorders>
            <w:vAlign w:val="top"/>
          </w:tcPr>
          <w:p w14:paraId="17967B9E">
            <w:pPr>
              <w:rPr>
                <w:rFonts w:ascii="Arial"/>
                <w:sz w:val="21"/>
              </w:rPr>
            </w:pPr>
          </w:p>
        </w:tc>
        <w:tc>
          <w:tcPr>
            <w:tcW w:w="788" w:type="dxa"/>
            <w:vAlign w:val="top"/>
          </w:tcPr>
          <w:p w14:paraId="0C5677D7">
            <w:pPr>
              <w:rPr>
                <w:rFonts w:ascii="Arial"/>
                <w:sz w:val="21"/>
              </w:rPr>
            </w:pPr>
          </w:p>
        </w:tc>
        <w:tc>
          <w:tcPr>
            <w:tcW w:w="4868" w:type="dxa"/>
            <w:vAlign w:val="top"/>
          </w:tcPr>
          <w:p w14:paraId="2D12E2D7">
            <w:pPr>
              <w:pStyle w:val="6"/>
              <w:spacing w:before="45" w:line="239" w:lineRule="auto"/>
              <w:ind w:left="50" w:right="48"/>
              <w:jc w:val="both"/>
              <w:rPr>
                <w:sz w:val="20"/>
                <w:szCs w:val="20"/>
              </w:rPr>
            </w:pPr>
            <w:r>
              <w:rPr>
                <w:spacing w:val="-2"/>
                <w:sz w:val="20"/>
                <w:szCs w:val="20"/>
              </w:rPr>
              <w:t>定）。对钢铁、焦化平板玻璃、铜铅锌硅冶炼等环境影</w:t>
            </w:r>
            <w:r>
              <w:rPr>
                <w:spacing w:val="11"/>
                <w:sz w:val="20"/>
                <w:szCs w:val="20"/>
              </w:rPr>
              <w:t xml:space="preserve"> </w:t>
            </w:r>
            <w:r>
              <w:rPr>
                <w:spacing w:val="-2"/>
                <w:sz w:val="20"/>
                <w:szCs w:val="20"/>
              </w:rPr>
              <w:t>响大或环境风险高的项目类别，不得以改革试点名义随</w:t>
            </w:r>
            <w:r>
              <w:rPr>
                <w:spacing w:val="9"/>
                <w:sz w:val="20"/>
                <w:szCs w:val="20"/>
              </w:rPr>
              <w:t xml:space="preserve"> </w:t>
            </w:r>
            <w:r>
              <w:rPr>
                <w:spacing w:val="-1"/>
                <w:sz w:val="20"/>
                <w:szCs w:val="20"/>
              </w:rPr>
              <w:t>意下放环评审批权限或降低审批要求。</w:t>
            </w:r>
          </w:p>
          <w:p w14:paraId="1D7BF5D5">
            <w:pPr>
              <w:pStyle w:val="6"/>
              <w:spacing w:before="2" w:line="239" w:lineRule="auto"/>
              <w:ind w:left="44" w:right="48" w:firstLine="416"/>
              <w:rPr>
                <w:sz w:val="20"/>
                <w:szCs w:val="20"/>
              </w:rPr>
            </w:pPr>
            <w:r>
              <w:rPr>
                <w:spacing w:val="2"/>
                <w:sz w:val="20"/>
                <w:szCs w:val="20"/>
              </w:rPr>
              <w:t>园区环境风险防控要求</w:t>
            </w:r>
            <w:r>
              <w:rPr>
                <w:rFonts w:hint="eastAsia"/>
                <w:spacing w:val="2"/>
                <w:sz w:val="20"/>
                <w:szCs w:val="20"/>
                <w:lang w:eastAsia="zh-CN"/>
              </w:rPr>
              <w:t>：</w:t>
            </w:r>
            <w:r>
              <w:rPr>
                <w:spacing w:val="2"/>
                <w:sz w:val="20"/>
                <w:szCs w:val="20"/>
              </w:rPr>
              <w:t>园区风险防控体系要求：</w:t>
            </w:r>
            <w:r>
              <w:rPr>
                <w:spacing w:val="1"/>
                <w:sz w:val="20"/>
                <w:szCs w:val="20"/>
              </w:rPr>
              <w:t xml:space="preserve"> </w:t>
            </w:r>
            <w:r>
              <w:rPr>
                <w:spacing w:val="-2"/>
                <w:sz w:val="20"/>
                <w:szCs w:val="20"/>
              </w:rPr>
              <w:t>构建三级环境风险防控体系，强化危化品泄漏应急处置</w:t>
            </w:r>
            <w:r>
              <w:rPr>
                <w:spacing w:val="15"/>
                <w:sz w:val="20"/>
                <w:szCs w:val="20"/>
              </w:rPr>
              <w:t xml:space="preserve"> </w:t>
            </w:r>
            <w:r>
              <w:rPr>
                <w:spacing w:val="-2"/>
                <w:sz w:val="20"/>
                <w:szCs w:val="20"/>
              </w:rPr>
              <w:t>措施，确保风险可控。针对化工园区进一步强化风险防</w:t>
            </w:r>
            <w:r>
              <w:rPr>
                <w:spacing w:val="17"/>
                <w:sz w:val="20"/>
                <w:szCs w:val="20"/>
              </w:rPr>
              <w:t xml:space="preserve"> </w:t>
            </w:r>
            <w:r>
              <w:rPr>
                <w:spacing w:val="-1"/>
                <w:sz w:val="20"/>
                <w:szCs w:val="20"/>
              </w:rPr>
              <w:t>控。杜绝危化品泄漏、事故排放等，确保环境安全。</w:t>
            </w:r>
          </w:p>
          <w:p w14:paraId="27F2F676">
            <w:pPr>
              <w:pStyle w:val="6"/>
              <w:spacing w:before="3" w:line="236" w:lineRule="auto"/>
              <w:ind w:left="44" w:firstLine="400"/>
              <w:jc w:val="both"/>
              <w:rPr>
                <w:sz w:val="20"/>
                <w:szCs w:val="20"/>
              </w:rPr>
            </w:pPr>
            <w:r>
              <w:rPr>
                <w:spacing w:val="2"/>
                <w:sz w:val="20"/>
                <w:szCs w:val="20"/>
              </w:rPr>
              <w:t>用地环境风险防控要求</w:t>
            </w:r>
            <w:r>
              <w:rPr>
                <w:rFonts w:hint="eastAsia"/>
                <w:spacing w:val="2"/>
                <w:sz w:val="20"/>
                <w:szCs w:val="20"/>
                <w:lang w:eastAsia="zh-CN"/>
              </w:rPr>
              <w:t>：</w:t>
            </w:r>
            <w:r>
              <w:rPr>
                <w:spacing w:val="2"/>
                <w:sz w:val="20"/>
                <w:szCs w:val="20"/>
              </w:rPr>
              <w:t xml:space="preserve">化工、电镀等行业企业拆 </w:t>
            </w:r>
            <w:r>
              <w:rPr>
                <w:spacing w:val="-2"/>
                <w:sz w:val="20"/>
                <w:szCs w:val="20"/>
              </w:rPr>
              <w:t>除生产设施设备、构筑物和污染治理设施，要事</w:t>
            </w:r>
            <w:r>
              <w:rPr>
                <w:spacing w:val="-3"/>
                <w:sz w:val="20"/>
                <w:szCs w:val="20"/>
              </w:rPr>
              <w:t>先制定</w:t>
            </w:r>
            <w:r>
              <w:rPr>
                <w:sz w:val="20"/>
                <w:szCs w:val="20"/>
              </w:rPr>
              <w:t xml:space="preserve"> </w:t>
            </w:r>
            <w:r>
              <w:rPr>
                <w:spacing w:val="-2"/>
                <w:sz w:val="20"/>
                <w:szCs w:val="20"/>
              </w:rPr>
              <w:t>残留污染物清理和安全处置方案，要严格按照</w:t>
            </w:r>
            <w:r>
              <w:rPr>
                <w:spacing w:val="-3"/>
                <w:sz w:val="20"/>
                <w:szCs w:val="20"/>
              </w:rPr>
              <w:t>有关规定</w:t>
            </w:r>
            <w:r>
              <w:rPr>
                <w:sz w:val="20"/>
                <w:szCs w:val="20"/>
              </w:rPr>
              <w:t xml:space="preserve"> </w:t>
            </w:r>
            <w:r>
              <w:rPr>
                <w:spacing w:val="-2"/>
                <w:sz w:val="20"/>
                <w:szCs w:val="20"/>
              </w:rPr>
              <w:t>实施安全处理处置，防范拆除活动污染土壤。有</w:t>
            </w:r>
            <w:r>
              <w:rPr>
                <w:spacing w:val="-3"/>
                <w:sz w:val="20"/>
                <w:szCs w:val="20"/>
              </w:rPr>
              <w:t>色金属</w:t>
            </w:r>
            <w:r>
              <w:rPr>
                <w:sz w:val="20"/>
                <w:szCs w:val="20"/>
              </w:rPr>
              <w:t xml:space="preserve"> </w:t>
            </w:r>
            <w:r>
              <w:rPr>
                <w:spacing w:val="-8"/>
                <w:sz w:val="20"/>
                <w:szCs w:val="20"/>
              </w:rPr>
              <w:t>矿采选、有色金属冶炼、石油加工、化工、焦化、电镀、</w:t>
            </w:r>
            <w:r>
              <w:rPr>
                <w:spacing w:val="17"/>
                <w:sz w:val="20"/>
                <w:szCs w:val="20"/>
              </w:rPr>
              <w:t xml:space="preserve"> </w:t>
            </w:r>
            <w:r>
              <w:rPr>
                <w:spacing w:val="-2"/>
                <w:sz w:val="20"/>
                <w:szCs w:val="20"/>
              </w:rPr>
              <w:t>制革、天然（页岩）气开采、铅蓄电池、汽</w:t>
            </w:r>
            <w:r>
              <w:rPr>
                <w:spacing w:val="-3"/>
                <w:sz w:val="20"/>
                <w:szCs w:val="20"/>
              </w:rPr>
              <w:t>车制造、农</w:t>
            </w:r>
            <w:r>
              <w:rPr>
                <w:sz w:val="20"/>
                <w:szCs w:val="20"/>
              </w:rPr>
              <w:t xml:space="preserve"> </w:t>
            </w:r>
            <w:r>
              <w:rPr>
                <w:spacing w:val="-2"/>
                <w:sz w:val="20"/>
                <w:szCs w:val="20"/>
              </w:rPr>
              <w:t>药、危废处置、电子拆解等行业企业及其他可能</w:t>
            </w:r>
            <w:r>
              <w:rPr>
                <w:spacing w:val="-3"/>
                <w:sz w:val="20"/>
                <w:szCs w:val="20"/>
              </w:rPr>
              <w:t>影响土</w:t>
            </w:r>
            <w:r>
              <w:rPr>
                <w:sz w:val="20"/>
                <w:szCs w:val="20"/>
              </w:rPr>
              <w:t xml:space="preserve"> </w:t>
            </w:r>
            <w:r>
              <w:rPr>
                <w:spacing w:val="-2"/>
                <w:sz w:val="20"/>
                <w:szCs w:val="20"/>
              </w:rPr>
              <w:t>壤环境质量的生产设施设备、构筑物和污染治</w:t>
            </w:r>
            <w:r>
              <w:rPr>
                <w:spacing w:val="-3"/>
                <w:sz w:val="20"/>
                <w:szCs w:val="20"/>
              </w:rPr>
              <w:t>理设施的</w:t>
            </w:r>
            <w:r>
              <w:rPr>
                <w:sz w:val="20"/>
                <w:szCs w:val="20"/>
              </w:rPr>
              <w:t xml:space="preserve"> </w:t>
            </w:r>
            <w:r>
              <w:rPr>
                <w:spacing w:val="-2"/>
                <w:sz w:val="20"/>
                <w:szCs w:val="20"/>
              </w:rPr>
              <w:t>拆除，按照有关规定制定残留污染物清理和安</w:t>
            </w:r>
            <w:r>
              <w:rPr>
                <w:spacing w:val="-3"/>
                <w:sz w:val="20"/>
                <w:szCs w:val="20"/>
              </w:rPr>
              <w:t>全处置方</w:t>
            </w:r>
            <w:r>
              <w:rPr>
                <w:sz w:val="20"/>
                <w:szCs w:val="20"/>
              </w:rPr>
              <w:t xml:space="preserve"> </w:t>
            </w:r>
            <w:r>
              <w:rPr>
                <w:spacing w:val="-2"/>
                <w:sz w:val="20"/>
                <w:szCs w:val="20"/>
              </w:rPr>
              <w:t>案，要严格按照有关规定实施安全处理处置，防</w:t>
            </w:r>
            <w:r>
              <w:rPr>
                <w:spacing w:val="-3"/>
                <w:sz w:val="20"/>
                <w:szCs w:val="20"/>
              </w:rPr>
              <w:t>范拆除</w:t>
            </w:r>
            <w:r>
              <w:rPr>
                <w:sz w:val="20"/>
                <w:szCs w:val="20"/>
              </w:rPr>
              <w:t xml:space="preserve"> </w:t>
            </w:r>
            <w:r>
              <w:rPr>
                <w:spacing w:val="-2"/>
                <w:sz w:val="20"/>
                <w:szCs w:val="20"/>
              </w:rPr>
              <w:t>活动污染土壤。</w:t>
            </w:r>
          </w:p>
        </w:tc>
        <w:tc>
          <w:tcPr>
            <w:tcW w:w="2632" w:type="dxa"/>
            <w:vAlign w:val="top"/>
          </w:tcPr>
          <w:p w14:paraId="54549B65">
            <w:pPr>
              <w:rPr>
                <w:rFonts w:ascii="Arial"/>
                <w:sz w:val="21"/>
              </w:rPr>
            </w:pPr>
          </w:p>
        </w:tc>
        <w:tc>
          <w:tcPr>
            <w:tcW w:w="513" w:type="dxa"/>
            <w:vAlign w:val="top"/>
          </w:tcPr>
          <w:p w14:paraId="4D4EE56A">
            <w:pPr>
              <w:rPr>
                <w:rFonts w:ascii="Arial"/>
                <w:sz w:val="21"/>
              </w:rPr>
            </w:pPr>
          </w:p>
        </w:tc>
        <w:tc>
          <w:tcPr>
            <w:tcW w:w="118" w:type="dxa"/>
            <w:tcBorders>
              <w:bottom w:val="nil"/>
            </w:tcBorders>
            <w:vAlign w:val="top"/>
          </w:tcPr>
          <w:p w14:paraId="533C8169">
            <w:pPr>
              <w:rPr>
                <w:rFonts w:ascii="Arial"/>
                <w:sz w:val="21"/>
              </w:rPr>
            </w:pPr>
          </w:p>
        </w:tc>
      </w:tr>
      <w:tr w14:paraId="096E7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4" w:hRule="atLeast"/>
        </w:trPr>
        <w:tc>
          <w:tcPr>
            <w:tcW w:w="1886" w:type="dxa"/>
            <w:vMerge w:val="continue"/>
            <w:tcBorders>
              <w:top w:val="nil"/>
              <w:bottom w:val="nil"/>
            </w:tcBorders>
            <w:vAlign w:val="top"/>
          </w:tcPr>
          <w:p w14:paraId="4DD7C6B5">
            <w:pPr>
              <w:rPr>
                <w:rFonts w:ascii="Arial"/>
                <w:sz w:val="21"/>
              </w:rPr>
            </w:pPr>
          </w:p>
        </w:tc>
        <w:tc>
          <w:tcPr>
            <w:tcW w:w="113" w:type="dxa"/>
            <w:tcBorders>
              <w:top w:val="nil"/>
              <w:bottom w:val="nil"/>
            </w:tcBorders>
            <w:vAlign w:val="top"/>
          </w:tcPr>
          <w:p w14:paraId="1312A59E">
            <w:pPr>
              <w:rPr>
                <w:rFonts w:ascii="Arial"/>
                <w:sz w:val="21"/>
              </w:rPr>
            </w:pPr>
          </w:p>
        </w:tc>
        <w:tc>
          <w:tcPr>
            <w:tcW w:w="1879" w:type="dxa"/>
            <w:vMerge w:val="continue"/>
            <w:tcBorders>
              <w:top w:val="nil"/>
            </w:tcBorders>
            <w:vAlign w:val="top"/>
          </w:tcPr>
          <w:p w14:paraId="5F79A4F3">
            <w:pPr>
              <w:rPr>
                <w:rFonts w:ascii="Arial"/>
                <w:sz w:val="21"/>
              </w:rPr>
            </w:pPr>
          </w:p>
        </w:tc>
        <w:tc>
          <w:tcPr>
            <w:tcW w:w="795" w:type="dxa"/>
            <w:vMerge w:val="continue"/>
            <w:tcBorders>
              <w:top w:val="nil"/>
            </w:tcBorders>
            <w:vAlign w:val="top"/>
          </w:tcPr>
          <w:p w14:paraId="14463AB4">
            <w:pPr>
              <w:rPr>
                <w:rFonts w:ascii="Arial"/>
                <w:sz w:val="21"/>
              </w:rPr>
            </w:pPr>
          </w:p>
        </w:tc>
        <w:tc>
          <w:tcPr>
            <w:tcW w:w="788" w:type="dxa"/>
            <w:vAlign w:val="top"/>
          </w:tcPr>
          <w:p w14:paraId="55ED7858">
            <w:pPr>
              <w:spacing w:line="277" w:lineRule="auto"/>
              <w:rPr>
                <w:rFonts w:ascii="Arial"/>
                <w:sz w:val="21"/>
              </w:rPr>
            </w:pPr>
          </w:p>
          <w:p w14:paraId="751521FB">
            <w:pPr>
              <w:spacing w:line="277" w:lineRule="auto"/>
              <w:rPr>
                <w:rFonts w:ascii="Arial"/>
                <w:sz w:val="21"/>
              </w:rPr>
            </w:pPr>
          </w:p>
          <w:p w14:paraId="0C243193">
            <w:pPr>
              <w:spacing w:line="277" w:lineRule="auto"/>
              <w:rPr>
                <w:rFonts w:ascii="Arial"/>
                <w:sz w:val="21"/>
              </w:rPr>
            </w:pPr>
          </w:p>
          <w:p w14:paraId="0358AB64">
            <w:pPr>
              <w:spacing w:line="277" w:lineRule="auto"/>
              <w:rPr>
                <w:rFonts w:ascii="Arial"/>
                <w:sz w:val="21"/>
              </w:rPr>
            </w:pPr>
          </w:p>
          <w:p w14:paraId="4AB60CA5">
            <w:pPr>
              <w:spacing w:line="277" w:lineRule="auto"/>
              <w:rPr>
                <w:rFonts w:ascii="Arial"/>
                <w:sz w:val="21"/>
              </w:rPr>
            </w:pPr>
          </w:p>
          <w:p w14:paraId="621FF907">
            <w:pPr>
              <w:pStyle w:val="6"/>
              <w:spacing w:before="65" w:line="221" w:lineRule="auto"/>
              <w:ind w:left="100"/>
              <w:rPr>
                <w:sz w:val="20"/>
                <w:szCs w:val="20"/>
              </w:rPr>
            </w:pPr>
            <w:r>
              <w:rPr>
                <w:spacing w:val="-4"/>
                <w:sz w:val="20"/>
                <w:szCs w:val="20"/>
              </w:rPr>
              <w:t>资源开</w:t>
            </w:r>
          </w:p>
          <w:p w14:paraId="24B4E6EE">
            <w:pPr>
              <w:pStyle w:val="6"/>
              <w:spacing w:before="19" w:line="221" w:lineRule="auto"/>
              <w:ind w:left="95"/>
              <w:rPr>
                <w:sz w:val="20"/>
                <w:szCs w:val="20"/>
              </w:rPr>
            </w:pPr>
            <w:r>
              <w:rPr>
                <w:spacing w:val="-3"/>
                <w:sz w:val="20"/>
                <w:szCs w:val="20"/>
              </w:rPr>
              <w:t>发利用</w:t>
            </w:r>
          </w:p>
          <w:p w14:paraId="7185BE6F">
            <w:pPr>
              <w:pStyle w:val="6"/>
              <w:spacing w:before="21" w:line="242" w:lineRule="auto"/>
              <w:ind w:left="293" w:right="97" w:hanging="197"/>
              <w:rPr>
                <w:sz w:val="20"/>
                <w:szCs w:val="20"/>
              </w:rPr>
            </w:pPr>
            <w:r>
              <w:rPr>
                <w:spacing w:val="-4"/>
                <w:sz w:val="20"/>
                <w:szCs w:val="20"/>
              </w:rPr>
              <w:t>效率要</w:t>
            </w:r>
            <w:r>
              <w:rPr>
                <w:sz w:val="20"/>
                <w:szCs w:val="20"/>
              </w:rPr>
              <w:t xml:space="preserve"> 求</w:t>
            </w:r>
          </w:p>
        </w:tc>
        <w:tc>
          <w:tcPr>
            <w:tcW w:w="4868" w:type="dxa"/>
            <w:vAlign w:val="top"/>
          </w:tcPr>
          <w:p w14:paraId="23CCCC64">
            <w:pPr>
              <w:pStyle w:val="6"/>
              <w:spacing w:before="31" w:line="220" w:lineRule="auto"/>
              <w:ind w:left="47"/>
              <w:rPr>
                <w:sz w:val="20"/>
                <w:szCs w:val="20"/>
              </w:rPr>
            </w:pPr>
            <w:r>
              <w:rPr>
                <w:spacing w:val="-2"/>
                <w:sz w:val="20"/>
                <w:szCs w:val="20"/>
              </w:rPr>
              <w:t>水资源利用总量要求</w:t>
            </w:r>
          </w:p>
          <w:p w14:paraId="683A3FA0">
            <w:pPr>
              <w:pStyle w:val="6"/>
              <w:spacing w:before="23" w:line="239" w:lineRule="auto"/>
              <w:ind w:left="44" w:right="48" w:firstLine="1"/>
              <w:rPr>
                <w:sz w:val="20"/>
                <w:szCs w:val="20"/>
              </w:rPr>
            </w:pPr>
            <w:r>
              <w:rPr>
                <w:spacing w:val="-2"/>
                <w:sz w:val="20"/>
                <w:szCs w:val="20"/>
              </w:rPr>
              <w:t>新、改扩建项目污染水耗指标满足《四川省省级生态工</w:t>
            </w:r>
            <w:r>
              <w:rPr>
                <w:spacing w:val="15"/>
                <w:sz w:val="20"/>
                <w:szCs w:val="20"/>
              </w:rPr>
              <w:t xml:space="preserve"> </w:t>
            </w:r>
            <w:r>
              <w:rPr>
                <w:spacing w:val="-1"/>
                <w:sz w:val="20"/>
                <w:szCs w:val="20"/>
              </w:rPr>
              <w:t>业园区指标》综合类生态工业园区要求；到 202</w:t>
            </w:r>
            <w:r>
              <w:rPr>
                <w:spacing w:val="-2"/>
                <w:sz w:val="20"/>
                <w:szCs w:val="20"/>
              </w:rPr>
              <w:t>2 年，</w:t>
            </w:r>
            <w:r>
              <w:rPr>
                <w:sz w:val="20"/>
                <w:szCs w:val="20"/>
              </w:rPr>
              <w:t xml:space="preserve"> </w:t>
            </w:r>
            <w:r>
              <w:rPr>
                <w:spacing w:val="7"/>
                <w:sz w:val="20"/>
                <w:szCs w:val="20"/>
              </w:rPr>
              <w:t>万元国内生产总值用水量、万元工业增加值用水量较</w:t>
            </w:r>
            <w:r>
              <w:rPr>
                <w:spacing w:val="1"/>
                <w:sz w:val="20"/>
                <w:szCs w:val="20"/>
              </w:rPr>
              <w:t xml:space="preserve"> </w:t>
            </w:r>
            <w:r>
              <w:rPr>
                <w:spacing w:val="-3"/>
                <w:sz w:val="20"/>
                <w:szCs w:val="20"/>
              </w:rPr>
              <w:t>2015</w:t>
            </w:r>
            <w:r>
              <w:rPr>
                <w:spacing w:val="-29"/>
                <w:sz w:val="20"/>
                <w:szCs w:val="20"/>
              </w:rPr>
              <w:t xml:space="preserve"> </w:t>
            </w:r>
            <w:r>
              <w:rPr>
                <w:spacing w:val="-3"/>
                <w:sz w:val="20"/>
                <w:szCs w:val="20"/>
              </w:rPr>
              <w:t>年分别下降</w:t>
            </w:r>
            <w:r>
              <w:rPr>
                <w:spacing w:val="-39"/>
                <w:sz w:val="20"/>
                <w:szCs w:val="20"/>
              </w:rPr>
              <w:t xml:space="preserve"> </w:t>
            </w:r>
            <w:r>
              <w:rPr>
                <w:spacing w:val="-3"/>
                <w:sz w:val="20"/>
                <w:szCs w:val="20"/>
              </w:rPr>
              <w:t>30%和</w:t>
            </w:r>
            <w:r>
              <w:rPr>
                <w:spacing w:val="-39"/>
                <w:sz w:val="20"/>
                <w:szCs w:val="20"/>
              </w:rPr>
              <w:t xml:space="preserve"> </w:t>
            </w:r>
            <w:r>
              <w:rPr>
                <w:spacing w:val="-3"/>
                <w:sz w:val="20"/>
                <w:szCs w:val="20"/>
              </w:rPr>
              <w:t>28%。</w:t>
            </w:r>
          </w:p>
          <w:p w14:paraId="67B500A9">
            <w:pPr>
              <w:pStyle w:val="6"/>
              <w:spacing w:line="219" w:lineRule="auto"/>
              <w:ind w:left="45"/>
              <w:rPr>
                <w:sz w:val="20"/>
                <w:szCs w:val="20"/>
              </w:rPr>
            </w:pPr>
            <w:r>
              <w:rPr>
                <w:spacing w:val="-1"/>
                <w:sz w:val="20"/>
                <w:szCs w:val="20"/>
              </w:rPr>
              <w:t>地下水开采要求</w:t>
            </w:r>
          </w:p>
          <w:p w14:paraId="2EBFA3D6">
            <w:pPr>
              <w:pStyle w:val="6"/>
              <w:spacing w:before="21" w:line="220" w:lineRule="auto"/>
              <w:ind w:left="68"/>
              <w:rPr>
                <w:sz w:val="20"/>
                <w:szCs w:val="20"/>
              </w:rPr>
            </w:pPr>
            <w:r>
              <w:rPr>
                <w:spacing w:val="-4"/>
                <w:sz w:val="20"/>
                <w:szCs w:val="20"/>
              </w:rPr>
              <w:t>以省市下发指标为准</w:t>
            </w:r>
          </w:p>
          <w:p w14:paraId="678219CB">
            <w:pPr>
              <w:pStyle w:val="6"/>
              <w:spacing w:before="21" w:line="220" w:lineRule="auto"/>
              <w:ind w:left="53"/>
              <w:rPr>
                <w:sz w:val="20"/>
                <w:szCs w:val="20"/>
              </w:rPr>
            </w:pPr>
            <w:r>
              <w:rPr>
                <w:spacing w:val="-2"/>
                <w:sz w:val="20"/>
                <w:szCs w:val="20"/>
              </w:rPr>
              <w:t>能源利用总量及效率要求</w:t>
            </w:r>
          </w:p>
          <w:p w14:paraId="1ABF5B3C">
            <w:pPr>
              <w:pStyle w:val="6"/>
              <w:spacing w:before="23" w:line="239" w:lineRule="auto"/>
              <w:ind w:left="46" w:right="48" w:firstLine="4"/>
              <w:jc w:val="both"/>
              <w:rPr>
                <w:sz w:val="20"/>
                <w:szCs w:val="20"/>
              </w:rPr>
            </w:pPr>
            <w:r>
              <w:rPr>
                <w:spacing w:val="6"/>
                <w:sz w:val="20"/>
                <w:szCs w:val="20"/>
              </w:rPr>
              <w:t>川东北区域实施新建项目与煤炭消费总量控制挂钩机</w:t>
            </w:r>
            <w:r>
              <w:rPr>
                <w:spacing w:val="18"/>
                <w:sz w:val="20"/>
                <w:szCs w:val="20"/>
              </w:rPr>
              <w:t xml:space="preserve"> </w:t>
            </w:r>
            <w:r>
              <w:rPr>
                <w:spacing w:val="-2"/>
                <w:sz w:val="20"/>
                <w:szCs w:val="20"/>
              </w:rPr>
              <w:t>制，耗煤建设项目实行煤炭消耗等量减量替代。提高煤</w:t>
            </w:r>
            <w:r>
              <w:rPr>
                <w:spacing w:val="15"/>
                <w:sz w:val="20"/>
                <w:szCs w:val="20"/>
              </w:rPr>
              <w:t xml:space="preserve"> </w:t>
            </w:r>
            <w:r>
              <w:rPr>
                <w:spacing w:val="-2"/>
                <w:sz w:val="20"/>
                <w:szCs w:val="20"/>
              </w:rPr>
              <w:t>炭利用效率和天然气利用占比，工业领域有序推进“煤</w:t>
            </w:r>
            <w:r>
              <w:rPr>
                <w:spacing w:val="15"/>
                <w:sz w:val="20"/>
                <w:szCs w:val="20"/>
              </w:rPr>
              <w:t xml:space="preserve"> </w:t>
            </w:r>
            <w:r>
              <w:rPr>
                <w:spacing w:val="-2"/>
                <w:sz w:val="20"/>
                <w:szCs w:val="20"/>
              </w:rPr>
              <w:t>改电”和有序推进“煤改气”。</w:t>
            </w:r>
          </w:p>
          <w:p w14:paraId="40DF381C">
            <w:pPr>
              <w:pStyle w:val="6"/>
              <w:spacing w:before="1" w:line="229" w:lineRule="auto"/>
              <w:ind w:left="50" w:right="53" w:hanging="7"/>
              <w:rPr>
                <w:sz w:val="20"/>
                <w:szCs w:val="20"/>
              </w:rPr>
            </w:pPr>
            <w:r>
              <w:rPr>
                <w:rFonts w:hint="eastAsia"/>
                <w:spacing w:val="2"/>
                <w:sz w:val="20"/>
                <w:szCs w:val="20"/>
                <w:lang w:eastAsia="zh-CN"/>
              </w:rPr>
              <w:t>－</w:t>
            </w:r>
            <w:r>
              <w:rPr>
                <w:spacing w:val="2"/>
                <w:sz w:val="20"/>
                <w:szCs w:val="20"/>
              </w:rPr>
              <w:t>大力实施和推广以电代煤、以电代油工程，重点在城</w:t>
            </w:r>
            <w:r>
              <w:rPr>
                <w:spacing w:val="16"/>
                <w:sz w:val="20"/>
                <w:szCs w:val="20"/>
              </w:rPr>
              <w:t xml:space="preserve"> </w:t>
            </w:r>
            <w:r>
              <w:rPr>
                <w:spacing w:val="-2"/>
                <w:sz w:val="20"/>
                <w:szCs w:val="20"/>
              </w:rPr>
              <w:t>市交通、工商业等领域实施以电代油、以电代煤。</w:t>
            </w:r>
          </w:p>
          <w:p w14:paraId="19855260">
            <w:pPr>
              <w:pStyle w:val="6"/>
              <w:spacing w:before="23" w:line="193" w:lineRule="auto"/>
              <w:ind w:left="43"/>
              <w:rPr>
                <w:sz w:val="20"/>
                <w:szCs w:val="20"/>
              </w:rPr>
            </w:pPr>
            <w:r>
              <w:rPr>
                <w:rFonts w:hint="eastAsia"/>
                <w:spacing w:val="2"/>
                <w:sz w:val="20"/>
                <w:szCs w:val="20"/>
                <w:lang w:eastAsia="zh-CN"/>
              </w:rPr>
              <w:t>－</w:t>
            </w:r>
            <w:r>
              <w:rPr>
                <w:spacing w:val="2"/>
                <w:sz w:val="20"/>
                <w:szCs w:val="20"/>
              </w:rPr>
              <w:t>增加天然气对煤炭和石油的替代，提高天然气民用、</w:t>
            </w:r>
          </w:p>
        </w:tc>
        <w:tc>
          <w:tcPr>
            <w:tcW w:w="2632" w:type="dxa"/>
            <w:vAlign w:val="top"/>
          </w:tcPr>
          <w:p w14:paraId="331BF47E">
            <w:pPr>
              <w:spacing w:line="277" w:lineRule="auto"/>
              <w:rPr>
                <w:rFonts w:ascii="Arial"/>
                <w:sz w:val="21"/>
              </w:rPr>
            </w:pPr>
          </w:p>
          <w:p w14:paraId="2259EAF9">
            <w:pPr>
              <w:spacing w:line="277" w:lineRule="auto"/>
              <w:rPr>
                <w:rFonts w:ascii="Arial"/>
                <w:sz w:val="21"/>
              </w:rPr>
            </w:pPr>
          </w:p>
          <w:p w14:paraId="4603F6D0">
            <w:pPr>
              <w:spacing w:line="277" w:lineRule="auto"/>
              <w:rPr>
                <w:rFonts w:ascii="Arial"/>
                <w:sz w:val="21"/>
              </w:rPr>
            </w:pPr>
          </w:p>
          <w:p w14:paraId="2C29EADA">
            <w:pPr>
              <w:spacing w:line="277" w:lineRule="auto"/>
              <w:rPr>
                <w:rFonts w:ascii="Arial"/>
                <w:sz w:val="21"/>
              </w:rPr>
            </w:pPr>
          </w:p>
          <w:p w14:paraId="49E7F927">
            <w:pPr>
              <w:spacing w:line="277" w:lineRule="auto"/>
              <w:rPr>
                <w:rFonts w:ascii="Arial"/>
                <w:sz w:val="21"/>
              </w:rPr>
            </w:pPr>
          </w:p>
          <w:p w14:paraId="413F83AB">
            <w:pPr>
              <w:pStyle w:val="6"/>
              <w:spacing w:before="65" w:line="219" w:lineRule="auto"/>
              <w:ind w:left="117"/>
              <w:rPr>
                <w:sz w:val="20"/>
                <w:szCs w:val="20"/>
              </w:rPr>
            </w:pPr>
            <w:r>
              <w:rPr>
                <w:spacing w:val="-1"/>
                <w:sz w:val="20"/>
                <w:szCs w:val="20"/>
              </w:rPr>
              <w:t>本项目生产过程使用生物质</w:t>
            </w:r>
          </w:p>
          <w:p w14:paraId="7C8FB647">
            <w:pPr>
              <w:pStyle w:val="6"/>
              <w:spacing w:before="22" w:line="220" w:lineRule="auto"/>
              <w:ind w:left="49"/>
              <w:rPr>
                <w:sz w:val="20"/>
                <w:szCs w:val="20"/>
              </w:rPr>
            </w:pPr>
            <w:r>
              <w:rPr>
                <w:spacing w:val="-6"/>
                <w:sz w:val="20"/>
                <w:szCs w:val="20"/>
              </w:rPr>
              <w:t>成型燃料做燃料，不涉及使用</w:t>
            </w:r>
          </w:p>
          <w:p w14:paraId="70B9072D">
            <w:pPr>
              <w:pStyle w:val="6"/>
              <w:spacing w:before="22" w:line="220" w:lineRule="auto"/>
              <w:ind w:left="48"/>
              <w:rPr>
                <w:sz w:val="20"/>
                <w:szCs w:val="20"/>
              </w:rPr>
            </w:pPr>
            <w:r>
              <w:rPr>
                <w:spacing w:val="-6"/>
                <w:sz w:val="20"/>
                <w:szCs w:val="20"/>
              </w:rPr>
              <w:t>燃煤等高污染物燃料。不涉及</w:t>
            </w:r>
          </w:p>
          <w:p w14:paraId="47192592">
            <w:pPr>
              <w:pStyle w:val="6"/>
              <w:spacing w:before="21" w:line="219" w:lineRule="auto"/>
              <w:ind w:left="317"/>
              <w:rPr>
                <w:sz w:val="20"/>
                <w:szCs w:val="20"/>
              </w:rPr>
            </w:pPr>
            <w:r>
              <w:rPr>
                <w:spacing w:val="-3"/>
                <w:sz w:val="20"/>
                <w:szCs w:val="20"/>
              </w:rPr>
              <w:t>新建明令禁止的锅炉。</w:t>
            </w:r>
          </w:p>
        </w:tc>
        <w:tc>
          <w:tcPr>
            <w:tcW w:w="513" w:type="dxa"/>
            <w:vAlign w:val="top"/>
          </w:tcPr>
          <w:p w14:paraId="6F720643">
            <w:pPr>
              <w:spacing w:line="253" w:lineRule="auto"/>
              <w:rPr>
                <w:rFonts w:ascii="Arial"/>
                <w:sz w:val="21"/>
              </w:rPr>
            </w:pPr>
          </w:p>
          <w:p w14:paraId="1D5EA46C">
            <w:pPr>
              <w:spacing w:line="253" w:lineRule="auto"/>
              <w:rPr>
                <w:rFonts w:ascii="Arial"/>
                <w:sz w:val="21"/>
              </w:rPr>
            </w:pPr>
          </w:p>
          <w:p w14:paraId="1255AF1E">
            <w:pPr>
              <w:spacing w:line="253" w:lineRule="auto"/>
              <w:rPr>
                <w:rFonts w:ascii="Arial"/>
                <w:sz w:val="21"/>
              </w:rPr>
            </w:pPr>
          </w:p>
          <w:p w14:paraId="0E3D9377">
            <w:pPr>
              <w:spacing w:line="253" w:lineRule="auto"/>
              <w:rPr>
                <w:rFonts w:ascii="Arial"/>
                <w:sz w:val="21"/>
              </w:rPr>
            </w:pPr>
          </w:p>
          <w:p w14:paraId="5167DC4E">
            <w:pPr>
              <w:spacing w:line="253" w:lineRule="auto"/>
              <w:rPr>
                <w:rFonts w:ascii="Arial"/>
                <w:sz w:val="21"/>
              </w:rPr>
            </w:pPr>
          </w:p>
          <w:p w14:paraId="20EB0FD9">
            <w:pPr>
              <w:spacing w:line="253" w:lineRule="auto"/>
              <w:rPr>
                <w:rFonts w:ascii="Arial"/>
                <w:sz w:val="21"/>
              </w:rPr>
            </w:pPr>
          </w:p>
          <w:p w14:paraId="2196F2E3">
            <w:pPr>
              <w:spacing w:line="253" w:lineRule="auto"/>
              <w:rPr>
                <w:rFonts w:ascii="Arial"/>
                <w:sz w:val="21"/>
              </w:rPr>
            </w:pPr>
          </w:p>
          <w:p w14:paraId="501479FE">
            <w:pPr>
              <w:pStyle w:val="6"/>
              <w:spacing w:before="65" w:line="220" w:lineRule="auto"/>
              <w:ind w:left="59"/>
              <w:rPr>
                <w:sz w:val="20"/>
                <w:szCs w:val="20"/>
              </w:rPr>
            </w:pPr>
            <w:r>
              <w:rPr>
                <w:spacing w:val="-3"/>
                <w:sz w:val="20"/>
                <w:szCs w:val="20"/>
              </w:rPr>
              <w:t>符合</w:t>
            </w:r>
          </w:p>
        </w:tc>
        <w:tc>
          <w:tcPr>
            <w:tcW w:w="118" w:type="dxa"/>
            <w:tcBorders>
              <w:top w:val="nil"/>
              <w:bottom w:val="nil"/>
            </w:tcBorders>
            <w:vAlign w:val="top"/>
          </w:tcPr>
          <w:p w14:paraId="3755804F">
            <w:pPr>
              <w:rPr>
                <w:rFonts w:ascii="Arial"/>
                <w:sz w:val="21"/>
              </w:rPr>
            </w:pPr>
          </w:p>
        </w:tc>
      </w:tr>
      <w:tr w14:paraId="0DB7A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1886" w:type="dxa"/>
            <w:vMerge w:val="continue"/>
            <w:tcBorders>
              <w:top w:val="nil"/>
            </w:tcBorders>
            <w:vAlign w:val="top"/>
          </w:tcPr>
          <w:p w14:paraId="4B4F476A">
            <w:pPr>
              <w:rPr>
                <w:rFonts w:ascii="Arial"/>
                <w:sz w:val="21"/>
              </w:rPr>
            </w:pPr>
          </w:p>
        </w:tc>
        <w:tc>
          <w:tcPr>
            <w:tcW w:w="11706" w:type="dxa"/>
            <w:gridSpan w:val="8"/>
            <w:vAlign w:val="top"/>
          </w:tcPr>
          <w:p w14:paraId="01DB9BE7">
            <w:pPr>
              <w:rPr>
                <w:rFonts w:ascii="Arial"/>
                <w:sz w:val="21"/>
              </w:rPr>
            </w:pPr>
          </w:p>
        </w:tc>
      </w:tr>
    </w:tbl>
    <w:p w14:paraId="52AFBD43">
      <w:pPr>
        <w:rPr>
          <w:rFonts w:ascii="Arial"/>
          <w:sz w:val="21"/>
        </w:rPr>
      </w:pPr>
    </w:p>
    <w:p w14:paraId="73AD820C">
      <w:pPr>
        <w:rPr>
          <w:rFonts w:ascii="Arial" w:hAnsi="Arial" w:eastAsia="Arial" w:cs="Arial"/>
          <w:sz w:val="21"/>
          <w:szCs w:val="21"/>
        </w:rPr>
        <w:sectPr>
          <w:footerReference r:id="rId16" w:type="default"/>
          <w:pgSz w:w="16839" w:h="11907"/>
          <w:pgMar w:top="1012" w:right="1620" w:bottom="1055" w:left="1621" w:header="0" w:footer="800" w:gutter="0"/>
          <w:cols w:space="720" w:num="1"/>
        </w:sectPr>
      </w:pPr>
    </w:p>
    <w:p w14:paraId="2E0D03F0">
      <w:pPr>
        <w:spacing w:before="18"/>
      </w:pPr>
    </w:p>
    <w:p w14:paraId="6A898E9A">
      <w:pPr>
        <w:spacing w:before="18"/>
      </w:pPr>
    </w:p>
    <w:tbl>
      <w:tblPr>
        <w:tblStyle w:val="5"/>
        <w:tblW w:w="135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6"/>
        <w:gridCol w:w="113"/>
        <w:gridCol w:w="1879"/>
        <w:gridCol w:w="795"/>
        <w:gridCol w:w="788"/>
        <w:gridCol w:w="4868"/>
        <w:gridCol w:w="2632"/>
        <w:gridCol w:w="513"/>
        <w:gridCol w:w="118"/>
      </w:tblGrid>
      <w:tr w14:paraId="74FB6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5" w:hRule="atLeast"/>
        </w:trPr>
        <w:tc>
          <w:tcPr>
            <w:tcW w:w="1886" w:type="dxa"/>
            <w:vMerge w:val="restart"/>
            <w:tcBorders>
              <w:bottom w:val="nil"/>
            </w:tcBorders>
            <w:vAlign w:val="top"/>
          </w:tcPr>
          <w:p w14:paraId="236B161D">
            <w:pPr>
              <w:rPr>
                <w:rFonts w:ascii="Arial"/>
                <w:sz w:val="21"/>
              </w:rPr>
            </w:pPr>
          </w:p>
        </w:tc>
        <w:tc>
          <w:tcPr>
            <w:tcW w:w="113" w:type="dxa"/>
            <w:tcBorders>
              <w:bottom w:val="nil"/>
            </w:tcBorders>
            <w:vAlign w:val="top"/>
          </w:tcPr>
          <w:p w14:paraId="42130251">
            <w:pPr>
              <w:rPr>
                <w:rFonts w:ascii="Arial"/>
                <w:sz w:val="21"/>
              </w:rPr>
            </w:pPr>
          </w:p>
        </w:tc>
        <w:tc>
          <w:tcPr>
            <w:tcW w:w="1879" w:type="dxa"/>
            <w:vAlign w:val="top"/>
          </w:tcPr>
          <w:p w14:paraId="08820326">
            <w:pPr>
              <w:rPr>
                <w:rFonts w:ascii="Arial"/>
                <w:sz w:val="21"/>
              </w:rPr>
            </w:pPr>
          </w:p>
        </w:tc>
        <w:tc>
          <w:tcPr>
            <w:tcW w:w="795" w:type="dxa"/>
            <w:vAlign w:val="top"/>
          </w:tcPr>
          <w:p w14:paraId="5F4D39BD">
            <w:pPr>
              <w:rPr>
                <w:rFonts w:ascii="Arial"/>
                <w:sz w:val="21"/>
              </w:rPr>
            </w:pPr>
          </w:p>
        </w:tc>
        <w:tc>
          <w:tcPr>
            <w:tcW w:w="788" w:type="dxa"/>
            <w:vAlign w:val="top"/>
          </w:tcPr>
          <w:p w14:paraId="195C9770">
            <w:pPr>
              <w:rPr>
                <w:rFonts w:ascii="Arial"/>
                <w:sz w:val="21"/>
              </w:rPr>
            </w:pPr>
          </w:p>
        </w:tc>
        <w:tc>
          <w:tcPr>
            <w:tcW w:w="4868" w:type="dxa"/>
            <w:vAlign w:val="top"/>
          </w:tcPr>
          <w:p w14:paraId="59B1C10C">
            <w:pPr>
              <w:pStyle w:val="6"/>
              <w:spacing w:before="44" w:line="221" w:lineRule="auto"/>
              <w:ind w:left="49"/>
              <w:rPr>
                <w:sz w:val="20"/>
                <w:szCs w:val="20"/>
              </w:rPr>
            </w:pPr>
            <w:r>
              <w:rPr>
                <w:spacing w:val="-2"/>
                <w:sz w:val="20"/>
                <w:szCs w:val="20"/>
              </w:rPr>
              <w:t>交通、发电、工业领域天然气消费比重。</w:t>
            </w:r>
          </w:p>
          <w:p w14:paraId="3D8AAB2C">
            <w:pPr>
              <w:pStyle w:val="6"/>
              <w:spacing w:before="17" w:line="237" w:lineRule="auto"/>
              <w:ind w:left="44" w:right="48" w:hanging="1"/>
              <w:rPr>
                <w:sz w:val="20"/>
                <w:szCs w:val="20"/>
              </w:rPr>
            </w:pPr>
            <w:r>
              <w:rPr>
                <w:rFonts w:hint="eastAsia"/>
                <w:spacing w:val="2"/>
                <w:sz w:val="20"/>
                <w:szCs w:val="20"/>
                <w:lang w:eastAsia="zh-CN"/>
              </w:rPr>
              <w:t>－</w:t>
            </w:r>
            <w:r>
              <w:rPr>
                <w:spacing w:val="2"/>
                <w:sz w:val="20"/>
                <w:szCs w:val="20"/>
              </w:rPr>
              <w:t>实施煤炭消费总量控制：严格控制煤炭消费总量；严</w:t>
            </w:r>
            <w:r>
              <w:rPr>
                <w:spacing w:val="16"/>
                <w:sz w:val="20"/>
                <w:szCs w:val="20"/>
              </w:rPr>
              <w:t xml:space="preserve"> </w:t>
            </w:r>
            <w:r>
              <w:rPr>
                <w:spacing w:val="-2"/>
                <w:sz w:val="20"/>
                <w:szCs w:val="20"/>
              </w:rPr>
              <w:t>格控制新建、改建、扩建耗煤项目，新增耗煤项目实行</w:t>
            </w:r>
            <w:r>
              <w:rPr>
                <w:spacing w:val="15"/>
                <w:sz w:val="20"/>
                <w:szCs w:val="20"/>
              </w:rPr>
              <w:t xml:space="preserve"> </w:t>
            </w:r>
            <w:r>
              <w:rPr>
                <w:spacing w:val="2"/>
                <w:sz w:val="20"/>
                <w:szCs w:val="20"/>
              </w:rPr>
              <w:t>煤炭消耗减量倍量替代。</w:t>
            </w:r>
            <w:r>
              <w:rPr>
                <w:rFonts w:hint="eastAsia"/>
                <w:spacing w:val="2"/>
                <w:sz w:val="20"/>
                <w:szCs w:val="20"/>
                <w:lang w:eastAsia="zh-CN"/>
              </w:rPr>
              <w:t>－</w:t>
            </w:r>
            <w:r>
              <w:rPr>
                <w:spacing w:val="2"/>
                <w:sz w:val="20"/>
                <w:szCs w:val="20"/>
              </w:rPr>
              <w:t>鼓励使用清洁燃料，重点区</w:t>
            </w:r>
            <w:r>
              <w:rPr>
                <w:spacing w:val="17"/>
                <w:sz w:val="20"/>
                <w:szCs w:val="20"/>
              </w:rPr>
              <w:t xml:space="preserve"> </w:t>
            </w:r>
            <w:r>
              <w:rPr>
                <w:spacing w:val="-2"/>
                <w:sz w:val="20"/>
                <w:szCs w:val="20"/>
              </w:rPr>
              <w:t>域建设项目原则上不新建燃煤自备锅炉。鼓励重点区域</w:t>
            </w:r>
            <w:r>
              <w:rPr>
                <w:spacing w:val="15"/>
                <w:sz w:val="20"/>
                <w:szCs w:val="20"/>
              </w:rPr>
              <w:t xml:space="preserve"> </w:t>
            </w:r>
            <w:r>
              <w:rPr>
                <w:spacing w:val="2"/>
                <w:sz w:val="20"/>
                <w:szCs w:val="20"/>
              </w:rPr>
              <w:t>高炉</w:t>
            </w:r>
            <w:r>
              <w:rPr>
                <w:rFonts w:hint="eastAsia"/>
                <w:spacing w:val="2"/>
                <w:sz w:val="20"/>
                <w:szCs w:val="20"/>
                <w:lang w:eastAsia="zh-CN"/>
              </w:rPr>
              <w:t>－</w:t>
            </w:r>
            <w:r>
              <w:rPr>
                <w:spacing w:val="2"/>
                <w:sz w:val="20"/>
                <w:szCs w:val="20"/>
              </w:rPr>
              <w:t>转炉长流程钢铁企业转型为电炉短流程企业。大</w:t>
            </w:r>
            <w:r>
              <w:rPr>
                <w:spacing w:val="15"/>
                <w:sz w:val="20"/>
                <w:szCs w:val="20"/>
              </w:rPr>
              <w:t xml:space="preserve"> </w:t>
            </w:r>
            <w:r>
              <w:rPr>
                <w:spacing w:val="-2"/>
                <w:sz w:val="20"/>
                <w:szCs w:val="20"/>
              </w:rPr>
              <w:t>宗物料优先采用铁路、管道或水路运输，短途接驳优先</w:t>
            </w:r>
            <w:r>
              <w:rPr>
                <w:spacing w:val="16"/>
                <w:sz w:val="20"/>
                <w:szCs w:val="20"/>
              </w:rPr>
              <w:t xml:space="preserve"> </w:t>
            </w:r>
            <w:r>
              <w:rPr>
                <w:spacing w:val="-3"/>
                <w:sz w:val="20"/>
                <w:szCs w:val="20"/>
              </w:rPr>
              <w:t>使用新能源车辆运输。</w:t>
            </w:r>
          </w:p>
          <w:p w14:paraId="3A993FCF">
            <w:pPr>
              <w:pStyle w:val="6"/>
              <w:spacing w:before="20" w:line="220" w:lineRule="auto"/>
              <w:jc w:val="right"/>
              <w:rPr>
                <w:sz w:val="20"/>
                <w:szCs w:val="20"/>
              </w:rPr>
            </w:pPr>
            <w:r>
              <w:rPr>
                <w:rFonts w:hint="eastAsia"/>
                <w:spacing w:val="-4"/>
                <w:sz w:val="20"/>
                <w:szCs w:val="20"/>
                <w:lang w:eastAsia="zh-CN"/>
              </w:rPr>
              <w:t>－</w:t>
            </w:r>
            <w:r>
              <w:rPr>
                <w:spacing w:val="-4"/>
                <w:sz w:val="20"/>
                <w:szCs w:val="20"/>
              </w:rPr>
              <w:t>推进清洁能源的推广使用，全面推进散煤清洁化整治；</w:t>
            </w:r>
          </w:p>
          <w:p w14:paraId="21522409">
            <w:pPr>
              <w:pStyle w:val="6"/>
              <w:spacing w:before="15" w:line="238" w:lineRule="auto"/>
              <w:ind w:left="43"/>
              <w:rPr>
                <w:sz w:val="20"/>
                <w:szCs w:val="20"/>
              </w:rPr>
            </w:pPr>
            <w:r>
              <w:rPr>
                <w:rFonts w:hint="eastAsia"/>
                <w:spacing w:val="-2"/>
                <w:sz w:val="20"/>
                <w:szCs w:val="20"/>
                <w:lang w:eastAsia="zh-CN"/>
              </w:rPr>
              <w:t>－</w:t>
            </w:r>
            <w:r>
              <w:rPr>
                <w:spacing w:val="-2"/>
                <w:sz w:val="20"/>
                <w:szCs w:val="20"/>
              </w:rPr>
              <w:t>全面淘汰 10 蒸吨/小时及以下燃煤锅炉，原则上不再</w:t>
            </w:r>
            <w:r>
              <w:rPr>
                <w:spacing w:val="2"/>
                <w:sz w:val="20"/>
                <w:szCs w:val="20"/>
              </w:rPr>
              <w:t xml:space="preserve"> </w:t>
            </w:r>
            <w:r>
              <w:rPr>
                <w:spacing w:val="-3"/>
                <w:sz w:val="20"/>
                <w:szCs w:val="20"/>
              </w:rPr>
              <w:t>新建</w:t>
            </w:r>
            <w:r>
              <w:rPr>
                <w:spacing w:val="-37"/>
                <w:sz w:val="20"/>
                <w:szCs w:val="20"/>
              </w:rPr>
              <w:t xml:space="preserve"> </w:t>
            </w:r>
            <w:r>
              <w:rPr>
                <w:spacing w:val="-3"/>
                <w:sz w:val="20"/>
                <w:szCs w:val="20"/>
              </w:rPr>
              <w:t>35</w:t>
            </w:r>
            <w:r>
              <w:rPr>
                <w:spacing w:val="-39"/>
                <w:sz w:val="20"/>
                <w:szCs w:val="20"/>
              </w:rPr>
              <w:t xml:space="preserve"> </w:t>
            </w:r>
            <w:r>
              <w:rPr>
                <w:spacing w:val="-3"/>
                <w:sz w:val="20"/>
                <w:szCs w:val="20"/>
              </w:rPr>
              <w:t>蒸吨/小时及以下的燃煤锅炉，推进县级及以上</w:t>
            </w:r>
            <w:r>
              <w:rPr>
                <w:sz w:val="20"/>
                <w:szCs w:val="20"/>
              </w:rPr>
              <w:t xml:space="preserve"> </w:t>
            </w:r>
            <w:r>
              <w:rPr>
                <w:spacing w:val="-3"/>
                <w:sz w:val="20"/>
                <w:szCs w:val="20"/>
              </w:rPr>
              <w:t>城市建成区淘汰</w:t>
            </w:r>
            <w:r>
              <w:rPr>
                <w:spacing w:val="-35"/>
                <w:sz w:val="20"/>
                <w:szCs w:val="20"/>
              </w:rPr>
              <w:t xml:space="preserve"> </w:t>
            </w:r>
            <w:r>
              <w:rPr>
                <w:spacing w:val="-3"/>
                <w:sz w:val="20"/>
                <w:szCs w:val="20"/>
              </w:rPr>
              <w:t>35</w:t>
            </w:r>
            <w:r>
              <w:rPr>
                <w:spacing w:val="-41"/>
                <w:sz w:val="20"/>
                <w:szCs w:val="20"/>
              </w:rPr>
              <w:t xml:space="preserve"> </w:t>
            </w:r>
            <w:r>
              <w:rPr>
                <w:spacing w:val="-3"/>
                <w:sz w:val="20"/>
                <w:szCs w:val="20"/>
              </w:rPr>
              <w:t>蒸吨/小时及以下燃煤锅炉，以工业</w:t>
            </w:r>
            <w:r>
              <w:rPr>
                <w:sz w:val="20"/>
                <w:szCs w:val="20"/>
              </w:rPr>
              <w:t xml:space="preserve"> </w:t>
            </w:r>
            <w:r>
              <w:rPr>
                <w:spacing w:val="-8"/>
                <w:sz w:val="20"/>
                <w:szCs w:val="20"/>
              </w:rPr>
              <w:t>余热、电厂热力、清洁能源等替代煤炭。加快推进火电、</w:t>
            </w:r>
            <w:r>
              <w:rPr>
                <w:spacing w:val="18"/>
                <w:sz w:val="20"/>
                <w:szCs w:val="20"/>
              </w:rPr>
              <w:t xml:space="preserve"> </w:t>
            </w:r>
            <w:r>
              <w:rPr>
                <w:spacing w:val="-2"/>
                <w:sz w:val="20"/>
                <w:szCs w:val="20"/>
              </w:rPr>
              <w:t>钢铁、铸造（含烧结、球团、高炉工序）水泥</w:t>
            </w:r>
            <w:r>
              <w:rPr>
                <w:spacing w:val="-3"/>
                <w:sz w:val="20"/>
                <w:szCs w:val="20"/>
              </w:rPr>
              <w:t>、焦化行</w:t>
            </w:r>
            <w:r>
              <w:rPr>
                <w:sz w:val="20"/>
                <w:szCs w:val="20"/>
              </w:rPr>
              <w:t xml:space="preserve"> </w:t>
            </w:r>
            <w:r>
              <w:rPr>
                <w:spacing w:val="-2"/>
                <w:sz w:val="20"/>
                <w:szCs w:val="20"/>
              </w:rPr>
              <w:t>业燃煤锅炉和工业炉窑超低排放改造及深度治理</w:t>
            </w:r>
            <w:r>
              <w:rPr>
                <w:spacing w:val="-3"/>
                <w:sz w:val="20"/>
                <w:szCs w:val="20"/>
              </w:rPr>
              <w:t>。稳步</w:t>
            </w:r>
            <w:r>
              <w:rPr>
                <w:sz w:val="20"/>
                <w:szCs w:val="20"/>
              </w:rPr>
              <w:t xml:space="preserve"> </w:t>
            </w:r>
            <w:r>
              <w:rPr>
                <w:spacing w:val="-2"/>
                <w:sz w:val="20"/>
                <w:szCs w:val="20"/>
              </w:rPr>
              <w:t>实施陶瓷、玻璃、铁合金、有色、砖瓦等行业企业</w:t>
            </w:r>
            <w:r>
              <w:rPr>
                <w:spacing w:val="-3"/>
                <w:sz w:val="20"/>
                <w:szCs w:val="20"/>
              </w:rPr>
              <w:t>深度</w:t>
            </w:r>
            <w:r>
              <w:rPr>
                <w:sz w:val="20"/>
                <w:szCs w:val="20"/>
              </w:rPr>
              <w:t xml:space="preserve"> </w:t>
            </w:r>
            <w:r>
              <w:rPr>
                <w:spacing w:val="-2"/>
                <w:sz w:val="20"/>
                <w:szCs w:val="20"/>
              </w:rPr>
              <w:t>治理，推进工业炉窑煤改电（气）和低氮燃烧改造</w:t>
            </w:r>
            <w:r>
              <w:rPr>
                <w:spacing w:val="-3"/>
                <w:sz w:val="20"/>
                <w:szCs w:val="20"/>
              </w:rPr>
              <w:t>。全</w:t>
            </w:r>
            <w:r>
              <w:rPr>
                <w:sz w:val="20"/>
                <w:szCs w:val="20"/>
              </w:rPr>
              <w:t xml:space="preserve"> </w:t>
            </w:r>
            <w:r>
              <w:rPr>
                <w:spacing w:val="-2"/>
                <w:sz w:val="20"/>
                <w:szCs w:val="20"/>
              </w:rPr>
              <w:t>面加强钢铁、建材、有色、焦化、铸造重点行业无</w:t>
            </w:r>
            <w:r>
              <w:rPr>
                <w:spacing w:val="-3"/>
                <w:sz w:val="20"/>
                <w:szCs w:val="20"/>
              </w:rPr>
              <w:t>组织</w:t>
            </w:r>
            <w:r>
              <w:rPr>
                <w:sz w:val="20"/>
                <w:szCs w:val="20"/>
              </w:rPr>
              <w:t xml:space="preserve"> </w:t>
            </w:r>
            <w:r>
              <w:rPr>
                <w:spacing w:val="-2"/>
                <w:sz w:val="20"/>
                <w:szCs w:val="20"/>
              </w:rPr>
              <w:t>排放治理。生物质锅炉采用专用锅炉，配套布袋等</w:t>
            </w:r>
            <w:r>
              <w:rPr>
                <w:spacing w:val="-3"/>
                <w:sz w:val="20"/>
                <w:szCs w:val="20"/>
              </w:rPr>
              <w:t>高效</w:t>
            </w:r>
            <w:r>
              <w:rPr>
                <w:sz w:val="20"/>
                <w:szCs w:val="20"/>
              </w:rPr>
              <w:t xml:space="preserve"> </w:t>
            </w:r>
            <w:r>
              <w:rPr>
                <w:spacing w:val="-2"/>
                <w:sz w:val="20"/>
                <w:szCs w:val="20"/>
              </w:rPr>
              <w:t>除尘设施，禁止掺烧煤炭、垃圾等其他物料。</w:t>
            </w:r>
          </w:p>
          <w:p w14:paraId="47F4DE88">
            <w:pPr>
              <w:pStyle w:val="6"/>
              <w:spacing w:before="21" w:line="235" w:lineRule="auto"/>
              <w:ind w:left="43" w:right="49"/>
              <w:rPr>
                <w:sz w:val="20"/>
                <w:szCs w:val="20"/>
              </w:rPr>
            </w:pPr>
            <w:r>
              <w:rPr>
                <w:rFonts w:hint="eastAsia"/>
                <w:spacing w:val="-2"/>
                <w:sz w:val="20"/>
                <w:szCs w:val="20"/>
                <w:lang w:eastAsia="zh-CN"/>
              </w:rPr>
              <w:t>－</w:t>
            </w:r>
            <w:r>
              <w:rPr>
                <w:spacing w:val="-2"/>
                <w:sz w:val="20"/>
                <w:szCs w:val="20"/>
              </w:rPr>
              <w:t>对</w:t>
            </w:r>
            <w:r>
              <w:rPr>
                <w:spacing w:val="-41"/>
                <w:sz w:val="20"/>
                <w:szCs w:val="20"/>
              </w:rPr>
              <w:t xml:space="preserve"> </w:t>
            </w:r>
            <w:r>
              <w:rPr>
                <w:spacing w:val="-2"/>
                <w:sz w:val="20"/>
                <w:szCs w:val="20"/>
              </w:rPr>
              <w:t>20</w:t>
            </w:r>
            <w:r>
              <w:rPr>
                <w:spacing w:val="-39"/>
                <w:sz w:val="20"/>
                <w:szCs w:val="20"/>
              </w:rPr>
              <w:t xml:space="preserve"> </w:t>
            </w:r>
            <w:r>
              <w:rPr>
                <w:spacing w:val="-2"/>
                <w:sz w:val="20"/>
                <w:szCs w:val="20"/>
              </w:rPr>
              <w:t>蒸吨及以上燃煤锅炉实施脱硫改造，建设高</w:t>
            </w:r>
            <w:r>
              <w:rPr>
                <w:spacing w:val="-3"/>
                <w:sz w:val="20"/>
                <w:szCs w:val="20"/>
              </w:rPr>
              <w:t>效脱</w:t>
            </w:r>
            <w:r>
              <w:rPr>
                <w:sz w:val="20"/>
                <w:szCs w:val="20"/>
              </w:rPr>
              <w:t xml:space="preserve"> </w:t>
            </w:r>
            <w:r>
              <w:rPr>
                <w:spacing w:val="-2"/>
                <w:sz w:val="20"/>
                <w:szCs w:val="20"/>
              </w:rPr>
              <w:t>硫设施；对循环流化床锅炉以外的燃煤发电机组一律安</w:t>
            </w:r>
            <w:r>
              <w:rPr>
                <w:spacing w:val="15"/>
                <w:sz w:val="20"/>
                <w:szCs w:val="20"/>
              </w:rPr>
              <w:t xml:space="preserve"> </w:t>
            </w:r>
            <w:r>
              <w:rPr>
                <w:spacing w:val="-2"/>
                <w:sz w:val="20"/>
                <w:szCs w:val="20"/>
              </w:rPr>
              <w:t>装脱硫设施，对燃煤锅炉和工业锅炉现有除尘设施实施</w:t>
            </w:r>
            <w:r>
              <w:rPr>
                <w:spacing w:val="15"/>
                <w:sz w:val="20"/>
                <w:szCs w:val="20"/>
              </w:rPr>
              <w:t xml:space="preserve"> </w:t>
            </w:r>
            <w:r>
              <w:rPr>
                <w:spacing w:val="-1"/>
                <w:sz w:val="20"/>
                <w:szCs w:val="20"/>
              </w:rPr>
              <w:t>升级改造，确保达到新的排放标准和特别排放限值。</w:t>
            </w:r>
          </w:p>
          <w:p w14:paraId="33019DD8">
            <w:pPr>
              <w:pStyle w:val="6"/>
              <w:spacing w:before="21" w:line="220" w:lineRule="auto"/>
              <w:ind w:left="45"/>
              <w:rPr>
                <w:sz w:val="20"/>
                <w:szCs w:val="20"/>
              </w:rPr>
            </w:pPr>
            <w:r>
              <w:rPr>
                <w:spacing w:val="-2"/>
                <w:sz w:val="20"/>
                <w:szCs w:val="20"/>
              </w:rPr>
              <w:t>禁燃区要求</w:t>
            </w:r>
          </w:p>
          <w:p w14:paraId="298590DA">
            <w:pPr>
              <w:pStyle w:val="6"/>
              <w:spacing w:before="20" w:line="236" w:lineRule="auto"/>
              <w:ind w:left="43"/>
              <w:rPr>
                <w:sz w:val="20"/>
                <w:szCs w:val="20"/>
              </w:rPr>
            </w:pPr>
            <w:r>
              <w:rPr>
                <w:rFonts w:hint="eastAsia"/>
                <w:spacing w:val="1"/>
                <w:sz w:val="20"/>
                <w:szCs w:val="20"/>
                <w:lang w:eastAsia="zh-CN"/>
              </w:rPr>
              <w:t>－</w:t>
            </w:r>
            <w:r>
              <w:rPr>
                <w:spacing w:val="1"/>
                <w:sz w:val="20"/>
                <w:szCs w:val="20"/>
              </w:rPr>
              <w:t>高污染燃料禁燃区内禁止燃用的燃料为《高污染燃料</w:t>
            </w:r>
            <w:r>
              <w:rPr>
                <w:spacing w:val="2"/>
                <w:sz w:val="20"/>
                <w:szCs w:val="20"/>
              </w:rPr>
              <w:t xml:space="preserve">  </w:t>
            </w:r>
            <w:r>
              <w:rPr>
                <w:spacing w:val="-12"/>
                <w:sz w:val="20"/>
                <w:szCs w:val="20"/>
              </w:rPr>
              <w:t xml:space="preserve">目录》（2017）中 </w:t>
            </w:r>
            <w:r>
              <w:rPr>
                <w:rFonts w:hint="eastAsia"/>
                <w:spacing w:val="-12"/>
                <w:sz w:val="20"/>
                <w:szCs w:val="20"/>
                <w:lang w:eastAsia="zh-CN"/>
              </w:rPr>
              <w:t>Ⅲ</w:t>
            </w:r>
            <w:r>
              <w:rPr>
                <w:spacing w:val="-43"/>
                <w:sz w:val="20"/>
                <w:szCs w:val="20"/>
              </w:rPr>
              <w:t xml:space="preserve"> </w:t>
            </w:r>
            <w:r>
              <w:rPr>
                <w:spacing w:val="-12"/>
                <w:sz w:val="20"/>
                <w:szCs w:val="20"/>
              </w:rPr>
              <w:t>类（严格）燃料组合，包括</w:t>
            </w:r>
            <w:r>
              <w:rPr>
                <w:spacing w:val="-52"/>
                <w:sz w:val="20"/>
                <w:szCs w:val="20"/>
              </w:rPr>
              <w:t>：（</w:t>
            </w:r>
            <w:r>
              <w:rPr>
                <w:spacing w:val="-12"/>
                <w:sz w:val="20"/>
                <w:szCs w:val="20"/>
              </w:rPr>
              <w:t>一）</w:t>
            </w:r>
            <w:r>
              <w:rPr>
                <w:sz w:val="20"/>
                <w:szCs w:val="20"/>
              </w:rPr>
              <w:t xml:space="preserve"> </w:t>
            </w:r>
            <w:r>
              <w:rPr>
                <w:spacing w:val="-2"/>
                <w:sz w:val="20"/>
                <w:szCs w:val="20"/>
              </w:rPr>
              <w:t>煤炭及其制品</w:t>
            </w:r>
            <w:r>
              <w:rPr>
                <w:spacing w:val="2"/>
                <w:sz w:val="20"/>
                <w:szCs w:val="20"/>
              </w:rPr>
              <w:t>；（</w:t>
            </w:r>
            <w:r>
              <w:rPr>
                <w:spacing w:val="-2"/>
                <w:sz w:val="20"/>
                <w:szCs w:val="20"/>
              </w:rPr>
              <w:t>二）石油焦、油页岩、原油、重油、</w:t>
            </w:r>
            <w:r>
              <w:rPr>
                <w:spacing w:val="1"/>
                <w:sz w:val="20"/>
                <w:szCs w:val="20"/>
              </w:rPr>
              <w:t xml:space="preserve"> </w:t>
            </w:r>
            <w:r>
              <w:rPr>
                <w:spacing w:val="-3"/>
                <w:sz w:val="20"/>
                <w:szCs w:val="20"/>
              </w:rPr>
              <w:t>渣油、煤焦油</w:t>
            </w:r>
            <w:r>
              <w:rPr>
                <w:spacing w:val="-1"/>
                <w:sz w:val="20"/>
                <w:szCs w:val="20"/>
              </w:rPr>
              <w:t>；（</w:t>
            </w:r>
            <w:r>
              <w:rPr>
                <w:spacing w:val="-3"/>
                <w:sz w:val="20"/>
                <w:szCs w:val="20"/>
              </w:rPr>
              <w:t>三）非专用锅炉或未配置高效除尘设</w:t>
            </w:r>
            <w:r>
              <w:rPr>
                <w:sz w:val="20"/>
                <w:szCs w:val="20"/>
              </w:rPr>
              <w:t xml:space="preserve">  </w:t>
            </w:r>
            <w:r>
              <w:rPr>
                <w:spacing w:val="-2"/>
                <w:sz w:val="20"/>
                <w:szCs w:val="20"/>
              </w:rPr>
              <w:t>施的专用锅炉燃用的生物质成型燃料。</w:t>
            </w:r>
          </w:p>
          <w:p w14:paraId="689492F6">
            <w:pPr>
              <w:pStyle w:val="6"/>
              <w:spacing w:before="20" w:line="224" w:lineRule="auto"/>
              <w:ind w:left="47" w:right="50" w:hanging="4"/>
              <w:rPr>
                <w:sz w:val="20"/>
                <w:szCs w:val="20"/>
              </w:rPr>
            </w:pPr>
            <w:r>
              <w:rPr>
                <w:rFonts w:hint="eastAsia"/>
                <w:spacing w:val="2"/>
                <w:sz w:val="20"/>
                <w:szCs w:val="20"/>
                <w:lang w:eastAsia="zh-CN"/>
              </w:rPr>
              <w:t>－</w:t>
            </w:r>
            <w:r>
              <w:rPr>
                <w:spacing w:val="2"/>
                <w:sz w:val="20"/>
                <w:szCs w:val="20"/>
              </w:rPr>
              <w:t>禁燃区内禁止销售、燃用高污染燃料；禁止新建、改</w:t>
            </w:r>
            <w:r>
              <w:rPr>
                <w:spacing w:val="16"/>
                <w:sz w:val="20"/>
                <w:szCs w:val="20"/>
              </w:rPr>
              <w:t xml:space="preserve"> </w:t>
            </w:r>
            <w:r>
              <w:rPr>
                <w:spacing w:val="2"/>
                <w:sz w:val="20"/>
                <w:szCs w:val="20"/>
              </w:rPr>
              <w:t>建、扩建燃用高污染燃料的设施和设备。</w:t>
            </w:r>
            <w:r>
              <w:rPr>
                <w:rFonts w:hint="eastAsia"/>
                <w:spacing w:val="2"/>
                <w:sz w:val="20"/>
                <w:szCs w:val="20"/>
                <w:lang w:eastAsia="zh-CN"/>
              </w:rPr>
              <w:t>－</w:t>
            </w:r>
            <w:r>
              <w:rPr>
                <w:spacing w:val="2"/>
                <w:sz w:val="20"/>
                <w:szCs w:val="20"/>
              </w:rPr>
              <w:t>禁燃区内已</w:t>
            </w:r>
            <w:r>
              <w:rPr>
                <w:spacing w:val="15"/>
                <w:sz w:val="20"/>
                <w:szCs w:val="20"/>
              </w:rPr>
              <w:t xml:space="preserve"> </w:t>
            </w:r>
            <w:r>
              <w:rPr>
                <w:spacing w:val="7"/>
                <w:sz w:val="20"/>
                <w:szCs w:val="20"/>
              </w:rPr>
              <w:t>建成的高污染燃料燃用设施由辖区人民政府制定</w:t>
            </w:r>
            <w:r>
              <w:rPr>
                <w:spacing w:val="6"/>
                <w:sz w:val="20"/>
                <w:szCs w:val="20"/>
              </w:rPr>
              <w:t>限期</w:t>
            </w:r>
          </w:p>
        </w:tc>
        <w:tc>
          <w:tcPr>
            <w:tcW w:w="2632" w:type="dxa"/>
            <w:vAlign w:val="top"/>
          </w:tcPr>
          <w:p w14:paraId="1A8A19BF">
            <w:pPr>
              <w:rPr>
                <w:rFonts w:ascii="Arial"/>
                <w:sz w:val="21"/>
              </w:rPr>
            </w:pPr>
          </w:p>
        </w:tc>
        <w:tc>
          <w:tcPr>
            <w:tcW w:w="513" w:type="dxa"/>
            <w:vAlign w:val="top"/>
          </w:tcPr>
          <w:p w14:paraId="2B7EA83C">
            <w:pPr>
              <w:rPr>
                <w:rFonts w:ascii="Arial"/>
                <w:sz w:val="21"/>
              </w:rPr>
            </w:pPr>
          </w:p>
        </w:tc>
        <w:tc>
          <w:tcPr>
            <w:tcW w:w="118" w:type="dxa"/>
            <w:tcBorders>
              <w:bottom w:val="nil"/>
            </w:tcBorders>
            <w:vAlign w:val="top"/>
          </w:tcPr>
          <w:p w14:paraId="6BE90F5E">
            <w:pPr>
              <w:rPr>
                <w:rFonts w:ascii="Arial"/>
                <w:sz w:val="21"/>
              </w:rPr>
            </w:pPr>
          </w:p>
        </w:tc>
      </w:tr>
      <w:tr w14:paraId="0E167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886" w:type="dxa"/>
            <w:vMerge w:val="continue"/>
            <w:tcBorders>
              <w:top w:val="nil"/>
            </w:tcBorders>
            <w:vAlign w:val="top"/>
          </w:tcPr>
          <w:p w14:paraId="7248AF59">
            <w:pPr>
              <w:rPr>
                <w:rFonts w:ascii="Arial"/>
                <w:sz w:val="21"/>
              </w:rPr>
            </w:pPr>
          </w:p>
        </w:tc>
        <w:tc>
          <w:tcPr>
            <w:tcW w:w="11706" w:type="dxa"/>
            <w:gridSpan w:val="8"/>
            <w:vAlign w:val="top"/>
          </w:tcPr>
          <w:p w14:paraId="72A54447">
            <w:pPr>
              <w:rPr>
                <w:rFonts w:ascii="Arial"/>
                <w:sz w:val="21"/>
              </w:rPr>
            </w:pPr>
          </w:p>
        </w:tc>
      </w:tr>
    </w:tbl>
    <w:p w14:paraId="60EE6650">
      <w:pPr>
        <w:rPr>
          <w:rFonts w:ascii="Arial"/>
          <w:sz w:val="21"/>
        </w:rPr>
      </w:pPr>
    </w:p>
    <w:p w14:paraId="79530778">
      <w:pPr>
        <w:rPr>
          <w:rFonts w:ascii="Arial" w:hAnsi="Arial" w:eastAsia="Arial" w:cs="Arial"/>
          <w:sz w:val="21"/>
          <w:szCs w:val="21"/>
        </w:rPr>
        <w:sectPr>
          <w:footerReference r:id="rId17" w:type="default"/>
          <w:pgSz w:w="16839" w:h="11907"/>
          <w:pgMar w:top="1012" w:right="1620" w:bottom="1055" w:left="1621" w:header="0" w:footer="802" w:gutter="0"/>
          <w:cols w:space="720" w:num="1"/>
        </w:sectPr>
      </w:pPr>
    </w:p>
    <w:p w14:paraId="60B4F142">
      <w:pPr>
        <w:spacing w:before="18"/>
      </w:pPr>
    </w:p>
    <w:p w14:paraId="41B0DC00">
      <w:pPr>
        <w:spacing w:before="18"/>
      </w:pPr>
    </w:p>
    <w:tbl>
      <w:tblPr>
        <w:tblStyle w:val="5"/>
        <w:tblW w:w="135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6"/>
        <w:gridCol w:w="113"/>
        <w:gridCol w:w="1879"/>
        <w:gridCol w:w="795"/>
        <w:gridCol w:w="788"/>
        <w:gridCol w:w="4868"/>
        <w:gridCol w:w="2632"/>
        <w:gridCol w:w="513"/>
        <w:gridCol w:w="118"/>
      </w:tblGrid>
      <w:tr w14:paraId="3507F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1886" w:type="dxa"/>
            <w:vMerge w:val="restart"/>
            <w:tcBorders>
              <w:bottom w:val="nil"/>
            </w:tcBorders>
            <w:vAlign w:val="top"/>
          </w:tcPr>
          <w:p w14:paraId="27EB8F9A">
            <w:pPr>
              <w:rPr>
                <w:rFonts w:ascii="Arial"/>
                <w:sz w:val="21"/>
              </w:rPr>
            </w:pPr>
          </w:p>
        </w:tc>
        <w:tc>
          <w:tcPr>
            <w:tcW w:w="113" w:type="dxa"/>
            <w:tcBorders>
              <w:bottom w:val="nil"/>
            </w:tcBorders>
            <w:vAlign w:val="top"/>
          </w:tcPr>
          <w:p w14:paraId="4B62C51D">
            <w:pPr>
              <w:rPr>
                <w:rFonts w:ascii="Arial"/>
                <w:sz w:val="21"/>
              </w:rPr>
            </w:pPr>
          </w:p>
        </w:tc>
        <w:tc>
          <w:tcPr>
            <w:tcW w:w="1879" w:type="dxa"/>
            <w:vMerge w:val="restart"/>
            <w:tcBorders>
              <w:bottom w:val="nil"/>
            </w:tcBorders>
            <w:vAlign w:val="top"/>
          </w:tcPr>
          <w:p w14:paraId="6AEBBF17">
            <w:pPr>
              <w:rPr>
                <w:rFonts w:ascii="Arial"/>
                <w:sz w:val="21"/>
              </w:rPr>
            </w:pPr>
          </w:p>
        </w:tc>
        <w:tc>
          <w:tcPr>
            <w:tcW w:w="795" w:type="dxa"/>
            <w:vAlign w:val="top"/>
          </w:tcPr>
          <w:p w14:paraId="69D9D924">
            <w:pPr>
              <w:rPr>
                <w:rFonts w:ascii="Arial"/>
                <w:sz w:val="21"/>
              </w:rPr>
            </w:pPr>
          </w:p>
        </w:tc>
        <w:tc>
          <w:tcPr>
            <w:tcW w:w="788" w:type="dxa"/>
            <w:vAlign w:val="top"/>
          </w:tcPr>
          <w:p w14:paraId="566922A0">
            <w:pPr>
              <w:rPr>
                <w:rFonts w:ascii="Arial"/>
                <w:sz w:val="21"/>
              </w:rPr>
            </w:pPr>
          </w:p>
        </w:tc>
        <w:tc>
          <w:tcPr>
            <w:tcW w:w="4868" w:type="dxa"/>
            <w:vAlign w:val="top"/>
          </w:tcPr>
          <w:p w14:paraId="08DCA48A">
            <w:pPr>
              <w:pStyle w:val="6"/>
              <w:spacing w:before="45" w:line="239" w:lineRule="auto"/>
              <w:ind w:left="45" w:right="48" w:firstLine="7"/>
              <w:rPr>
                <w:sz w:val="20"/>
                <w:szCs w:val="20"/>
              </w:rPr>
            </w:pPr>
            <w:r>
              <w:rPr>
                <w:spacing w:val="-2"/>
                <w:sz w:val="20"/>
                <w:szCs w:val="20"/>
              </w:rPr>
              <w:t>改造计划，改用天然气、页岩气、液化石油气、电或其</w:t>
            </w:r>
            <w:r>
              <w:rPr>
                <w:spacing w:val="9"/>
                <w:sz w:val="20"/>
                <w:szCs w:val="20"/>
              </w:rPr>
              <w:t xml:space="preserve"> </w:t>
            </w:r>
            <w:r>
              <w:rPr>
                <w:spacing w:val="-4"/>
                <w:sz w:val="20"/>
                <w:szCs w:val="20"/>
              </w:rPr>
              <w:t>他清洁能源。</w:t>
            </w:r>
          </w:p>
          <w:p w14:paraId="222ADF7A">
            <w:pPr>
              <w:pStyle w:val="6"/>
              <w:spacing w:line="206" w:lineRule="auto"/>
              <w:ind w:left="147"/>
              <w:rPr>
                <w:sz w:val="20"/>
                <w:szCs w:val="20"/>
              </w:rPr>
            </w:pPr>
            <w:r>
              <w:rPr>
                <w:spacing w:val="-2"/>
                <w:sz w:val="20"/>
                <w:szCs w:val="20"/>
              </w:rPr>
              <w:t>其他资源利用效率要求，暂无。</w:t>
            </w:r>
          </w:p>
        </w:tc>
        <w:tc>
          <w:tcPr>
            <w:tcW w:w="2632" w:type="dxa"/>
            <w:vAlign w:val="top"/>
          </w:tcPr>
          <w:p w14:paraId="0D466548">
            <w:pPr>
              <w:rPr>
                <w:rFonts w:ascii="Arial"/>
                <w:sz w:val="21"/>
              </w:rPr>
            </w:pPr>
          </w:p>
        </w:tc>
        <w:tc>
          <w:tcPr>
            <w:tcW w:w="513" w:type="dxa"/>
            <w:vAlign w:val="top"/>
          </w:tcPr>
          <w:p w14:paraId="7EEEF2A0">
            <w:pPr>
              <w:rPr>
                <w:rFonts w:ascii="Arial"/>
                <w:sz w:val="21"/>
              </w:rPr>
            </w:pPr>
          </w:p>
        </w:tc>
        <w:tc>
          <w:tcPr>
            <w:tcW w:w="118" w:type="dxa"/>
            <w:tcBorders>
              <w:bottom w:val="nil"/>
            </w:tcBorders>
            <w:vAlign w:val="top"/>
          </w:tcPr>
          <w:p w14:paraId="55E5E0DF">
            <w:pPr>
              <w:rPr>
                <w:rFonts w:ascii="Arial"/>
                <w:sz w:val="21"/>
              </w:rPr>
            </w:pPr>
          </w:p>
        </w:tc>
      </w:tr>
      <w:tr w14:paraId="3BBDE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7" w:hRule="atLeast"/>
        </w:trPr>
        <w:tc>
          <w:tcPr>
            <w:tcW w:w="1886" w:type="dxa"/>
            <w:vMerge w:val="continue"/>
            <w:tcBorders>
              <w:top w:val="nil"/>
              <w:bottom w:val="nil"/>
            </w:tcBorders>
            <w:vAlign w:val="top"/>
          </w:tcPr>
          <w:p w14:paraId="2E30FD22">
            <w:pPr>
              <w:rPr>
                <w:rFonts w:ascii="Arial"/>
                <w:sz w:val="21"/>
              </w:rPr>
            </w:pPr>
          </w:p>
        </w:tc>
        <w:tc>
          <w:tcPr>
            <w:tcW w:w="113" w:type="dxa"/>
            <w:tcBorders>
              <w:top w:val="nil"/>
              <w:bottom w:val="nil"/>
            </w:tcBorders>
            <w:vAlign w:val="top"/>
          </w:tcPr>
          <w:p w14:paraId="74A4BC67">
            <w:pPr>
              <w:rPr>
                <w:rFonts w:ascii="Arial"/>
                <w:sz w:val="21"/>
              </w:rPr>
            </w:pPr>
          </w:p>
        </w:tc>
        <w:tc>
          <w:tcPr>
            <w:tcW w:w="1879" w:type="dxa"/>
            <w:vMerge w:val="continue"/>
            <w:tcBorders>
              <w:top w:val="nil"/>
              <w:bottom w:val="nil"/>
            </w:tcBorders>
            <w:vAlign w:val="top"/>
          </w:tcPr>
          <w:p w14:paraId="4A352C5C">
            <w:pPr>
              <w:rPr>
                <w:rFonts w:ascii="Arial"/>
                <w:sz w:val="21"/>
              </w:rPr>
            </w:pPr>
          </w:p>
        </w:tc>
        <w:tc>
          <w:tcPr>
            <w:tcW w:w="795" w:type="dxa"/>
            <w:vMerge w:val="restart"/>
            <w:tcBorders>
              <w:bottom w:val="nil"/>
            </w:tcBorders>
            <w:vAlign w:val="top"/>
          </w:tcPr>
          <w:p w14:paraId="590B2F0A">
            <w:pPr>
              <w:spacing w:line="246" w:lineRule="auto"/>
              <w:rPr>
                <w:rFonts w:ascii="Arial"/>
                <w:sz w:val="21"/>
              </w:rPr>
            </w:pPr>
          </w:p>
          <w:p w14:paraId="66A8DB2D">
            <w:pPr>
              <w:spacing w:line="246" w:lineRule="auto"/>
              <w:rPr>
                <w:rFonts w:ascii="Arial"/>
                <w:sz w:val="21"/>
              </w:rPr>
            </w:pPr>
          </w:p>
          <w:p w14:paraId="78D2CCE2">
            <w:pPr>
              <w:spacing w:line="247" w:lineRule="auto"/>
              <w:rPr>
                <w:rFonts w:ascii="Arial"/>
                <w:sz w:val="21"/>
              </w:rPr>
            </w:pPr>
          </w:p>
          <w:p w14:paraId="3EBDC5FC">
            <w:pPr>
              <w:spacing w:line="247" w:lineRule="auto"/>
              <w:rPr>
                <w:rFonts w:ascii="Arial"/>
                <w:sz w:val="21"/>
              </w:rPr>
            </w:pPr>
          </w:p>
          <w:p w14:paraId="123A0371">
            <w:pPr>
              <w:spacing w:line="247" w:lineRule="auto"/>
              <w:rPr>
                <w:rFonts w:ascii="Arial"/>
                <w:sz w:val="21"/>
              </w:rPr>
            </w:pPr>
          </w:p>
          <w:p w14:paraId="320B00A4">
            <w:pPr>
              <w:spacing w:line="247" w:lineRule="auto"/>
              <w:rPr>
                <w:rFonts w:ascii="Arial"/>
                <w:sz w:val="21"/>
              </w:rPr>
            </w:pPr>
          </w:p>
          <w:p w14:paraId="79C9EB9A">
            <w:pPr>
              <w:spacing w:line="247" w:lineRule="auto"/>
              <w:rPr>
                <w:rFonts w:ascii="Arial"/>
                <w:sz w:val="21"/>
              </w:rPr>
            </w:pPr>
          </w:p>
          <w:p w14:paraId="0FB8873C">
            <w:pPr>
              <w:spacing w:line="247" w:lineRule="auto"/>
              <w:rPr>
                <w:rFonts w:ascii="Arial"/>
                <w:sz w:val="21"/>
              </w:rPr>
            </w:pPr>
          </w:p>
          <w:p w14:paraId="25277578">
            <w:pPr>
              <w:spacing w:line="247" w:lineRule="auto"/>
              <w:rPr>
                <w:rFonts w:ascii="Arial"/>
                <w:sz w:val="21"/>
              </w:rPr>
            </w:pPr>
          </w:p>
          <w:p w14:paraId="185A88C3">
            <w:pPr>
              <w:spacing w:line="247" w:lineRule="auto"/>
              <w:rPr>
                <w:rFonts w:ascii="Arial"/>
                <w:sz w:val="21"/>
              </w:rPr>
            </w:pPr>
          </w:p>
          <w:p w14:paraId="77E79521">
            <w:pPr>
              <w:spacing w:line="247" w:lineRule="auto"/>
              <w:rPr>
                <w:rFonts w:ascii="Arial"/>
                <w:sz w:val="21"/>
              </w:rPr>
            </w:pPr>
          </w:p>
          <w:p w14:paraId="54BE7C5E">
            <w:pPr>
              <w:spacing w:line="247" w:lineRule="auto"/>
              <w:rPr>
                <w:rFonts w:ascii="Arial"/>
                <w:sz w:val="21"/>
              </w:rPr>
            </w:pPr>
          </w:p>
          <w:p w14:paraId="148F2BAA">
            <w:pPr>
              <w:spacing w:line="247" w:lineRule="auto"/>
              <w:rPr>
                <w:rFonts w:ascii="Arial"/>
                <w:sz w:val="21"/>
              </w:rPr>
            </w:pPr>
          </w:p>
          <w:p w14:paraId="3742BFBA">
            <w:pPr>
              <w:spacing w:line="247" w:lineRule="auto"/>
              <w:rPr>
                <w:rFonts w:ascii="Arial"/>
                <w:sz w:val="21"/>
              </w:rPr>
            </w:pPr>
          </w:p>
          <w:p w14:paraId="47BCEEC9">
            <w:pPr>
              <w:pStyle w:val="6"/>
              <w:spacing w:before="65" w:line="221" w:lineRule="auto"/>
              <w:ind w:left="96"/>
              <w:rPr>
                <w:sz w:val="20"/>
                <w:szCs w:val="20"/>
              </w:rPr>
            </w:pPr>
            <w:r>
              <w:rPr>
                <w:spacing w:val="-2"/>
                <w:sz w:val="20"/>
                <w:szCs w:val="20"/>
              </w:rPr>
              <w:t>单元级</w:t>
            </w:r>
          </w:p>
          <w:p w14:paraId="5210F1BA">
            <w:pPr>
              <w:pStyle w:val="6"/>
              <w:spacing w:before="20" w:line="220" w:lineRule="auto"/>
              <w:ind w:left="94"/>
              <w:rPr>
                <w:sz w:val="20"/>
                <w:szCs w:val="20"/>
              </w:rPr>
            </w:pPr>
            <w:r>
              <w:rPr>
                <w:spacing w:val="-2"/>
                <w:sz w:val="20"/>
                <w:szCs w:val="20"/>
              </w:rPr>
              <w:t>清单管</w:t>
            </w:r>
          </w:p>
          <w:p w14:paraId="3E4F5BE0">
            <w:pPr>
              <w:pStyle w:val="6"/>
              <w:spacing w:before="20" w:line="221" w:lineRule="auto"/>
              <w:ind w:left="94"/>
              <w:rPr>
                <w:sz w:val="20"/>
                <w:szCs w:val="20"/>
              </w:rPr>
            </w:pPr>
            <w:r>
              <w:rPr>
                <w:spacing w:val="-2"/>
                <w:sz w:val="20"/>
                <w:szCs w:val="20"/>
              </w:rPr>
              <w:t>控要求</w:t>
            </w:r>
          </w:p>
        </w:tc>
        <w:tc>
          <w:tcPr>
            <w:tcW w:w="788" w:type="dxa"/>
            <w:vAlign w:val="top"/>
          </w:tcPr>
          <w:p w14:paraId="025D5CD2">
            <w:pPr>
              <w:spacing w:line="281" w:lineRule="auto"/>
              <w:rPr>
                <w:rFonts w:ascii="Arial"/>
                <w:sz w:val="21"/>
              </w:rPr>
            </w:pPr>
          </w:p>
          <w:p w14:paraId="4A604283">
            <w:pPr>
              <w:spacing w:line="281" w:lineRule="auto"/>
              <w:rPr>
                <w:rFonts w:ascii="Arial"/>
                <w:sz w:val="21"/>
              </w:rPr>
            </w:pPr>
          </w:p>
          <w:p w14:paraId="0AF367FD">
            <w:pPr>
              <w:spacing w:line="281" w:lineRule="auto"/>
              <w:rPr>
                <w:rFonts w:ascii="Arial"/>
                <w:sz w:val="21"/>
              </w:rPr>
            </w:pPr>
          </w:p>
          <w:p w14:paraId="60B32E15">
            <w:pPr>
              <w:spacing w:line="282" w:lineRule="auto"/>
              <w:rPr>
                <w:rFonts w:ascii="Arial"/>
                <w:sz w:val="21"/>
              </w:rPr>
            </w:pPr>
          </w:p>
          <w:p w14:paraId="2BA43786">
            <w:pPr>
              <w:pStyle w:val="6"/>
              <w:spacing w:before="65" w:line="219" w:lineRule="auto"/>
              <w:ind w:left="98"/>
              <w:rPr>
                <w:sz w:val="20"/>
                <w:szCs w:val="20"/>
              </w:rPr>
            </w:pPr>
            <w:r>
              <w:rPr>
                <w:spacing w:val="-3"/>
                <w:sz w:val="20"/>
                <w:szCs w:val="20"/>
              </w:rPr>
              <w:t>空间布</w:t>
            </w:r>
          </w:p>
          <w:p w14:paraId="7A579F03">
            <w:pPr>
              <w:pStyle w:val="6"/>
              <w:spacing w:before="21" w:line="220" w:lineRule="auto"/>
              <w:ind w:left="94"/>
              <w:rPr>
                <w:sz w:val="20"/>
                <w:szCs w:val="20"/>
              </w:rPr>
            </w:pPr>
            <w:r>
              <w:rPr>
                <w:spacing w:val="-3"/>
                <w:sz w:val="20"/>
                <w:szCs w:val="20"/>
              </w:rPr>
              <w:t>局约束</w:t>
            </w:r>
          </w:p>
        </w:tc>
        <w:tc>
          <w:tcPr>
            <w:tcW w:w="4868" w:type="dxa"/>
            <w:vAlign w:val="top"/>
          </w:tcPr>
          <w:p w14:paraId="59A2A856">
            <w:pPr>
              <w:pStyle w:val="6"/>
              <w:spacing w:before="29" w:line="220" w:lineRule="auto"/>
              <w:ind w:left="45"/>
              <w:rPr>
                <w:sz w:val="20"/>
                <w:szCs w:val="20"/>
              </w:rPr>
            </w:pPr>
            <w:r>
              <w:rPr>
                <w:spacing w:val="-1"/>
                <w:sz w:val="20"/>
                <w:szCs w:val="20"/>
              </w:rPr>
              <w:t>禁止开发建设活动的要求</w:t>
            </w:r>
          </w:p>
          <w:p w14:paraId="524E9DB5">
            <w:pPr>
              <w:pStyle w:val="6"/>
              <w:spacing w:before="23" w:line="239" w:lineRule="auto"/>
              <w:ind w:left="45" w:hanging="2"/>
              <w:rPr>
                <w:sz w:val="20"/>
                <w:szCs w:val="20"/>
              </w:rPr>
            </w:pPr>
            <w:r>
              <w:rPr>
                <w:rFonts w:hint="eastAsia"/>
                <w:spacing w:val="-1"/>
                <w:sz w:val="20"/>
                <w:szCs w:val="20"/>
                <w:lang w:eastAsia="zh-CN"/>
              </w:rPr>
              <w:t>－</w:t>
            </w:r>
            <w:r>
              <w:rPr>
                <w:spacing w:val="-1"/>
                <w:sz w:val="20"/>
                <w:szCs w:val="20"/>
              </w:rPr>
              <w:t>禁止引入如屠宰、电镀、制革、洗选、印染、</w:t>
            </w:r>
            <w:r>
              <w:rPr>
                <w:spacing w:val="-2"/>
                <w:sz w:val="20"/>
                <w:szCs w:val="20"/>
              </w:rPr>
              <w:t>含发酵</w:t>
            </w:r>
            <w:r>
              <w:rPr>
                <w:sz w:val="20"/>
                <w:szCs w:val="20"/>
              </w:rPr>
              <w:t xml:space="preserve">  </w:t>
            </w:r>
            <w:r>
              <w:rPr>
                <w:spacing w:val="-8"/>
                <w:sz w:val="20"/>
                <w:szCs w:val="20"/>
              </w:rPr>
              <w:t>工艺的生物制药等对水环境污染中的企业，电石、焦化、</w:t>
            </w:r>
            <w:r>
              <w:rPr>
                <w:spacing w:val="15"/>
                <w:sz w:val="20"/>
                <w:szCs w:val="20"/>
              </w:rPr>
              <w:t xml:space="preserve"> </w:t>
            </w:r>
            <w:r>
              <w:rPr>
                <w:spacing w:val="-3"/>
                <w:sz w:val="20"/>
                <w:szCs w:val="20"/>
              </w:rPr>
              <w:t>煤化工、黄磷等对大气环境污染重的企业，以及其他重</w:t>
            </w:r>
            <w:r>
              <w:rPr>
                <w:spacing w:val="18"/>
                <w:sz w:val="20"/>
                <w:szCs w:val="20"/>
              </w:rPr>
              <w:t xml:space="preserve"> </w:t>
            </w:r>
            <w:r>
              <w:rPr>
                <w:spacing w:val="-2"/>
                <w:sz w:val="20"/>
                <w:szCs w:val="20"/>
              </w:rPr>
              <w:t>污染的工业企业其它同达州市工业重点管控单元要求</w:t>
            </w:r>
            <w:r>
              <w:rPr>
                <w:spacing w:val="5"/>
                <w:sz w:val="20"/>
                <w:szCs w:val="20"/>
              </w:rPr>
              <w:t xml:space="preserve">   </w:t>
            </w:r>
            <w:r>
              <w:rPr>
                <w:spacing w:val="-2"/>
                <w:sz w:val="20"/>
                <w:szCs w:val="20"/>
              </w:rPr>
              <w:t>限制开发建设活动的要求</w:t>
            </w:r>
          </w:p>
          <w:p w14:paraId="006B3F32">
            <w:pPr>
              <w:pStyle w:val="6"/>
              <w:spacing w:line="239" w:lineRule="auto"/>
              <w:ind w:left="52" w:right="1424" w:hanging="7"/>
              <w:rPr>
                <w:sz w:val="20"/>
                <w:szCs w:val="20"/>
              </w:rPr>
            </w:pPr>
            <w:r>
              <w:rPr>
                <w:spacing w:val="-1"/>
                <w:sz w:val="20"/>
                <w:szCs w:val="20"/>
              </w:rPr>
              <w:t>执行达州市工业重点管控单元总体要求</w:t>
            </w:r>
            <w:r>
              <w:rPr>
                <w:spacing w:val="8"/>
                <w:sz w:val="20"/>
                <w:szCs w:val="20"/>
              </w:rPr>
              <w:t xml:space="preserve"> </w:t>
            </w:r>
            <w:r>
              <w:rPr>
                <w:spacing w:val="-2"/>
                <w:sz w:val="20"/>
                <w:szCs w:val="20"/>
              </w:rPr>
              <w:t>允许开发建设活动的要求</w:t>
            </w:r>
          </w:p>
          <w:p w14:paraId="17C14863">
            <w:pPr>
              <w:pStyle w:val="6"/>
              <w:spacing w:line="219" w:lineRule="auto"/>
              <w:ind w:left="48"/>
              <w:rPr>
                <w:sz w:val="20"/>
                <w:szCs w:val="20"/>
              </w:rPr>
            </w:pPr>
            <w:r>
              <w:rPr>
                <w:spacing w:val="-1"/>
                <w:sz w:val="20"/>
                <w:szCs w:val="20"/>
              </w:rPr>
              <w:t>不符合空间布局要求活动的退出要求</w:t>
            </w:r>
          </w:p>
          <w:p w14:paraId="3FF8F7AA">
            <w:pPr>
              <w:pStyle w:val="6"/>
              <w:spacing w:before="24" w:line="222" w:lineRule="auto"/>
              <w:ind w:left="45" w:right="1424"/>
              <w:rPr>
                <w:sz w:val="20"/>
                <w:szCs w:val="20"/>
              </w:rPr>
            </w:pPr>
            <w:r>
              <w:rPr>
                <w:spacing w:val="-1"/>
                <w:sz w:val="20"/>
                <w:szCs w:val="20"/>
              </w:rPr>
              <w:t>执行达州市工业重点管控单元总体要求</w:t>
            </w:r>
            <w:r>
              <w:rPr>
                <w:spacing w:val="8"/>
                <w:sz w:val="20"/>
                <w:szCs w:val="20"/>
              </w:rPr>
              <w:t xml:space="preserve"> </w:t>
            </w:r>
            <w:r>
              <w:rPr>
                <w:spacing w:val="-1"/>
                <w:sz w:val="20"/>
                <w:szCs w:val="20"/>
              </w:rPr>
              <w:t>其他空间布局约束要求</w:t>
            </w:r>
          </w:p>
        </w:tc>
        <w:tc>
          <w:tcPr>
            <w:tcW w:w="2632" w:type="dxa"/>
            <w:vAlign w:val="top"/>
          </w:tcPr>
          <w:p w14:paraId="5A3DA5BA">
            <w:pPr>
              <w:spacing w:line="245" w:lineRule="auto"/>
              <w:rPr>
                <w:rFonts w:ascii="Arial"/>
                <w:sz w:val="21"/>
              </w:rPr>
            </w:pPr>
          </w:p>
          <w:p w14:paraId="455C2751">
            <w:pPr>
              <w:spacing w:line="246" w:lineRule="auto"/>
              <w:rPr>
                <w:rFonts w:ascii="Arial"/>
                <w:sz w:val="21"/>
              </w:rPr>
            </w:pPr>
          </w:p>
          <w:p w14:paraId="1948BC17">
            <w:pPr>
              <w:spacing w:line="246" w:lineRule="auto"/>
              <w:rPr>
                <w:rFonts w:ascii="Arial"/>
                <w:sz w:val="21"/>
              </w:rPr>
            </w:pPr>
          </w:p>
          <w:p w14:paraId="29BBABB3">
            <w:pPr>
              <w:pStyle w:val="6"/>
              <w:spacing w:before="65" w:line="241" w:lineRule="auto"/>
              <w:ind w:left="47" w:right="15"/>
              <w:jc w:val="both"/>
              <w:rPr>
                <w:sz w:val="20"/>
                <w:szCs w:val="20"/>
              </w:rPr>
            </w:pPr>
            <w:r>
              <w:rPr>
                <w:spacing w:val="10"/>
                <w:sz w:val="20"/>
                <w:szCs w:val="20"/>
              </w:rPr>
              <w:t>本项目为生物质成型燃料生</w:t>
            </w:r>
            <w:r>
              <w:rPr>
                <w:spacing w:val="9"/>
                <w:sz w:val="20"/>
                <w:szCs w:val="20"/>
              </w:rPr>
              <w:t xml:space="preserve"> </w:t>
            </w:r>
            <w:r>
              <w:rPr>
                <w:spacing w:val="-3"/>
                <w:sz w:val="20"/>
                <w:szCs w:val="20"/>
              </w:rPr>
              <w:t>产项目，不属于屠宰、电镀、</w:t>
            </w:r>
            <w:r>
              <w:rPr>
                <w:spacing w:val="1"/>
                <w:sz w:val="20"/>
                <w:szCs w:val="20"/>
              </w:rPr>
              <w:t xml:space="preserve"> </w:t>
            </w:r>
            <w:r>
              <w:rPr>
                <w:spacing w:val="10"/>
                <w:sz w:val="20"/>
                <w:szCs w:val="20"/>
              </w:rPr>
              <w:t>制革、洗选等禁止引入类项</w:t>
            </w:r>
            <w:r>
              <w:rPr>
                <w:spacing w:val="9"/>
                <w:sz w:val="20"/>
                <w:szCs w:val="20"/>
              </w:rPr>
              <w:t xml:space="preserve"> </w:t>
            </w:r>
            <w:r>
              <w:rPr>
                <w:spacing w:val="10"/>
                <w:sz w:val="20"/>
                <w:szCs w:val="20"/>
              </w:rPr>
              <w:t>目，属于园区允许准入类项</w:t>
            </w:r>
            <w:r>
              <w:rPr>
                <w:spacing w:val="9"/>
                <w:sz w:val="20"/>
                <w:szCs w:val="20"/>
              </w:rPr>
              <w:t xml:space="preserve"> </w:t>
            </w:r>
            <w:r>
              <w:rPr>
                <w:spacing w:val="-10"/>
                <w:sz w:val="20"/>
                <w:szCs w:val="20"/>
              </w:rPr>
              <w:t>目。</w:t>
            </w:r>
          </w:p>
        </w:tc>
        <w:tc>
          <w:tcPr>
            <w:tcW w:w="513" w:type="dxa"/>
            <w:vAlign w:val="top"/>
          </w:tcPr>
          <w:p w14:paraId="616BD652">
            <w:pPr>
              <w:spacing w:line="250" w:lineRule="auto"/>
              <w:rPr>
                <w:rFonts w:ascii="Arial"/>
                <w:sz w:val="21"/>
              </w:rPr>
            </w:pPr>
          </w:p>
          <w:p w14:paraId="632A2C9B">
            <w:pPr>
              <w:spacing w:line="251" w:lineRule="auto"/>
              <w:rPr>
                <w:rFonts w:ascii="Arial"/>
                <w:sz w:val="21"/>
              </w:rPr>
            </w:pPr>
          </w:p>
          <w:p w14:paraId="2E508AF5">
            <w:pPr>
              <w:spacing w:line="251" w:lineRule="auto"/>
              <w:rPr>
                <w:rFonts w:ascii="Arial"/>
                <w:sz w:val="21"/>
              </w:rPr>
            </w:pPr>
          </w:p>
          <w:p w14:paraId="5881C51C">
            <w:pPr>
              <w:spacing w:line="251" w:lineRule="auto"/>
              <w:rPr>
                <w:rFonts w:ascii="Arial"/>
                <w:sz w:val="21"/>
              </w:rPr>
            </w:pPr>
          </w:p>
          <w:p w14:paraId="3F04CA14">
            <w:pPr>
              <w:spacing w:line="251" w:lineRule="auto"/>
              <w:rPr>
                <w:rFonts w:ascii="Arial"/>
                <w:sz w:val="21"/>
              </w:rPr>
            </w:pPr>
          </w:p>
          <w:p w14:paraId="3180EE5E">
            <w:pPr>
              <w:pStyle w:val="6"/>
              <w:spacing w:before="65" w:line="220" w:lineRule="auto"/>
              <w:ind w:left="59"/>
              <w:rPr>
                <w:sz w:val="20"/>
                <w:szCs w:val="20"/>
              </w:rPr>
            </w:pPr>
            <w:r>
              <w:rPr>
                <w:spacing w:val="-3"/>
                <w:sz w:val="20"/>
                <w:szCs w:val="20"/>
              </w:rPr>
              <w:t>符合</w:t>
            </w:r>
          </w:p>
        </w:tc>
        <w:tc>
          <w:tcPr>
            <w:tcW w:w="118" w:type="dxa"/>
            <w:tcBorders>
              <w:top w:val="nil"/>
              <w:bottom w:val="nil"/>
            </w:tcBorders>
            <w:vAlign w:val="top"/>
          </w:tcPr>
          <w:p w14:paraId="7065F88C">
            <w:pPr>
              <w:rPr>
                <w:rFonts w:ascii="Arial"/>
                <w:sz w:val="21"/>
              </w:rPr>
            </w:pPr>
          </w:p>
        </w:tc>
      </w:tr>
      <w:tr w14:paraId="4DECC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5" w:hRule="atLeast"/>
        </w:trPr>
        <w:tc>
          <w:tcPr>
            <w:tcW w:w="1886" w:type="dxa"/>
            <w:vMerge w:val="continue"/>
            <w:tcBorders>
              <w:top w:val="nil"/>
              <w:bottom w:val="nil"/>
            </w:tcBorders>
            <w:vAlign w:val="top"/>
          </w:tcPr>
          <w:p w14:paraId="08414FF9">
            <w:pPr>
              <w:rPr>
                <w:rFonts w:ascii="Arial"/>
                <w:sz w:val="21"/>
              </w:rPr>
            </w:pPr>
          </w:p>
        </w:tc>
        <w:tc>
          <w:tcPr>
            <w:tcW w:w="113" w:type="dxa"/>
            <w:tcBorders>
              <w:top w:val="nil"/>
              <w:bottom w:val="nil"/>
            </w:tcBorders>
            <w:vAlign w:val="top"/>
          </w:tcPr>
          <w:p w14:paraId="65B4CB7E">
            <w:pPr>
              <w:rPr>
                <w:rFonts w:ascii="Arial"/>
                <w:sz w:val="21"/>
              </w:rPr>
            </w:pPr>
          </w:p>
        </w:tc>
        <w:tc>
          <w:tcPr>
            <w:tcW w:w="1879" w:type="dxa"/>
            <w:vMerge w:val="continue"/>
            <w:tcBorders>
              <w:top w:val="nil"/>
              <w:bottom w:val="nil"/>
            </w:tcBorders>
            <w:vAlign w:val="top"/>
          </w:tcPr>
          <w:p w14:paraId="1B6B11FB">
            <w:pPr>
              <w:rPr>
                <w:rFonts w:ascii="Arial"/>
                <w:sz w:val="21"/>
              </w:rPr>
            </w:pPr>
          </w:p>
        </w:tc>
        <w:tc>
          <w:tcPr>
            <w:tcW w:w="795" w:type="dxa"/>
            <w:vMerge w:val="continue"/>
            <w:tcBorders>
              <w:top w:val="nil"/>
              <w:bottom w:val="nil"/>
            </w:tcBorders>
            <w:vAlign w:val="top"/>
          </w:tcPr>
          <w:p w14:paraId="6E1B9DA5">
            <w:pPr>
              <w:rPr>
                <w:rFonts w:ascii="Arial"/>
                <w:sz w:val="21"/>
              </w:rPr>
            </w:pPr>
          </w:p>
        </w:tc>
        <w:tc>
          <w:tcPr>
            <w:tcW w:w="788" w:type="dxa"/>
            <w:vAlign w:val="top"/>
          </w:tcPr>
          <w:p w14:paraId="60F1A0E6">
            <w:pPr>
              <w:spacing w:line="251" w:lineRule="auto"/>
              <w:rPr>
                <w:rFonts w:ascii="Arial"/>
                <w:sz w:val="21"/>
              </w:rPr>
            </w:pPr>
          </w:p>
          <w:p w14:paraId="66F8A980">
            <w:pPr>
              <w:spacing w:line="251" w:lineRule="auto"/>
              <w:rPr>
                <w:rFonts w:ascii="Arial"/>
                <w:sz w:val="21"/>
              </w:rPr>
            </w:pPr>
          </w:p>
          <w:p w14:paraId="596BC8BA">
            <w:pPr>
              <w:spacing w:line="251" w:lineRule="auto"/>
              <w:rPr>
                <w:rFonts w:ascii="Arial"/>
                <w:sz w:val="21"/>
              </w:rPr>
            </w:pPr>
          </w:p>
          <w:p w14:paraId="04ED5F66">
            <w:pPr>
              <w:spacing w:line="251" w:lineRule="auto"/>
              <w:rPr>
                <w:rFonts w:ascii="Arial"/>
                <w:sz w:val="21"/>
              </w:rPr>
            </w:pPr>
          </w:p>
          <w:p w14:paraId="7FE2FDC0">
            <w:pPr>
              <w:spacing w:line="251" w:lineRule="auto"/>
              <w:rPr>
                <w:rFonts w:ascii="Arial"/>
                <w:sz w:val="21"/>
              </w:rPr>
            </w:pPr>
          </w:p>
          <w:p w14:paraId="0933D0FF">
            <w:pPr>
              <w:pStyle w:val="6"/>
              <w:spacing w:before="65" w:line="221" w:lineRule="auto"/>
              <w:ind w:left="93"/>
              <w:rPr>
                <w:sz w:val="20"/>
                <w:szCs w:val="20"/>
              </w:rPr>
            </w:pPr>
            <w:r>
              <w:rPr>
                <w:spacing w:val="-2"/>
                <w:sz w:val="20"/>
                <w:szCs w:val="20"/>
              </w:rPr>
              <w:t>污染物</w:t>
            </w:r>
          </w:p>
          <w:p w14:paraId="731DB1AD">
            <w:pPr>
              <w:pStyle w:val="6"/>
              <w:spacing w:before="19" w:line="242" w:lineRule="auto"/>
              <w:ind w:left="290" w:right="97" w:hanging="199"/>
              <w:rPr>
                <w:sz w:val="20"/>
                <w:szCs w:val="20"/>
              </w:rPr>
            </w:pPr>
            <w:r>
              <w:rPr>
                <w:spacing w:val="-3"/>
                <w:sz w:val="20"/>
                <w:szCs w:val="20"/>
              </w:rPr>
              <w:t>排放管</w:t>
            </w:r>
            <w:r>
              <w:rPr>
                <w:spacing w:val="1"/>
                <w:sz w:val="20"/>
                <w:szCs w:val="20"/>
              </w:rPr>
              <w:t xml:space="preserve"> </w:t>
            </w:r>
            <w:r>
              <w:rPr>
                <w:sz w:val="20"/>
                <w:szCs w:val="20"/>
              </w:rPr>
              <w:t>控</w:t>
            </w:r>
          </w:p>
        </w:tc>
        <w:tc>
          <w:tcPr>
            <w:tcW w:w="4868" w:type="dxa"/>
            <w:vAlign w:val="top"/>
          </w:tcPr>
          <w:p w14:paraId="5DFD0FC0">
            <w:pPr>
              <w:pStyle w:val="6"/>
              <w:spacing w:before="31" w:line="220" w:lineRule="auto"/>
              <w:ind w:left="47"/>
              <w:rPr>
                <w:sz w:val="20"/>
                <w:szCs w:val="20"/>
              </w:rPr>
            </w:pPr>
            <w:r>
              <w:rPr>
                <w:spacing w:val="-1"/>
                <w:sz w:val="20"/>
                <w:szCs w:val="20"/>
              </w:rPr>
              <w:t>现有源提标升级改造</w:t>
            </w:r>
          </w:p>
          <w:p w14:paraId="310F10D4">
            <w:pPr>
              <w:pStyle w:val="6"/>
              <w:spacing w:before="23" w:line="239" w:lineRule="auto"/>
              <w:ind w:left="44" w:right="49" w:firstLine="4"/>
              <w:rPr>
                <w:sz w:val="20"/>
                <w:szCs w:val="20"/>
              </w:rPr>
            </w:pPr>
            <w:r>
              <w:rPr>
                <w:spacing w:val="-2"/>
                <w:sz w:val="20"/>
                <w:szCs w:val="20"/>
              </w:rPr>
              <w:t>项目产生的生产废水由企业自行处理达到《污水排放综</w:t>
            </w:r>
            <w:r>
              <w:rPr>
                <w:spacing w:val="11"/>
                <w:sz w:val="20"/>
                <w:szCs w:val="20"/>
              </w:rPr>
              <w:t xml:space="preserve"> </w:t>
            </w:r>
            <w:r>
              <w:rPr>
                <w:spacing w:val="-2"/>
                <w:sz w:val="20"/>
                <w:szCs w:val="20"/>
              </w:rPr>
              <w:t>合标准》三级或相应的行业排放标准后排入园区污水处</w:t>
            </w:r>
            <w:r>
              <w:rPr>
                <w:spacing w:val="15"/>
                <w:sz w:val="20"/>
                <w:szCs w:val="20"/>
              </w:rPr>
              <w:t xml:space="preserve"> </w:t>
            </w:r>
            <w:r>
              <w:rPr>
                <w:spacing w:val="-1"/>
                <w:sz w:val="20"/>
                <w:szCs w:val="20"/>
              </w:rPr>
              <w:t>理厂处理</w:t>
            </w:r>
            <w:r>
              <w:rPr>
                <w:rFonts w:hint="eastAsia"/>
                <w:spacing w:val="-1"/>
                <w:sz w:val="20"/>
                <w:szCs w:val="20"/>
                <w:lang w:eastAsia="zh-CN"/>
              </w:rPr>
              <w:t>达到</w:t>
            </w:r>
            <w:r>
              <w:rPr>
                <w:spacing w:val="-1"/>
                <w:sz w:val="20"/>
                <w:szCs w:val="20"/>
              </w:rPr>
              <w:t>《城镇污水处理厂污染物排放标准》一级</w:t>
            </w:r>
            <w:r>
              <w:rPr>
                <w:spacing w:val="-34"/>
                <w:sz w:val="20"/>
                <w:szCs w:val="20"/>
              </w:rPr>
              <w:t xml:space="preserve"> </w:t>
            </w:r>
            <w:r>
              <w:rPr>
                <w:spacing w:val="-1"/>
                <w:sz w:val="20"/>
                <w:szCs w:val="20"/>
              </w:rPr>
              <w:t>A</w:t>
            </w:r>
            <w:r>
              <w:rPr>
                <w:sz w:val="20"/>
                <w:szCs w:val="20"/>
              </w:rPr>
              <w:t xml:space="preserve"> </w:t>
            </w:r>
            <w:r>
              <w:rPr>
                <w:spacing w:val="-2"/>
                <w:sz w:val="20"/>
                <w:szCs w:val="20"/>
              </w:rPr>
              <w:t>标或更严格标准后排放；其他同达州市工业重点总体准</w:t>
            </w:r>
            <w:r>
              <w:rPr>
                <w:spacing w:val="15"/>
                <w:sz w:val="20"/>
                <w:szCs w:val="20"/>
              </w:rPr>
              <w:t xml:space="preserve"> </w:t>
            </w:r>
            <w:r>
              <w:rPr>
                <w:spacing w:val="-2"/>
                <w:sz w:val="20"/>
                <w:szCs w:val="20"/>
              </w:rPr>
              <w:t>入要求</w:t>
            </w:r>
          </w:p>
          <w:p w14:paraId="011E36C3">
            <w:pPr>
              <w:pStyle w:val="6"/>
              <w:spacing w:line="219" w:lineRule="auto"/>
              <w:ind w:left="46"/>
              <w:rPr>
                <w:sz w:val="20"/>
                <w:szCs w:val="20"/>
              </w:rPr>
            </w:pPr>
            <w:r>
              <w:rPr>
                <w:spacing w:val="-1"/>
                <w:sz w:val="20"/>
                <w:szCs w:val="20"/>
              </w:rPr>
              <w:t>新增源等量或倍量替代</w:t>
            </w:r>
          </w:p>
          <w:p w14:paraId="213FB676">
            <w:pPr>
              <w:pStyle w:val="6"/>
              <w:spacing w:before="21" w:line="219" w:lineRule="auto"/>
              <w:ind w:left="45"/>
              <w:rPr>
                <w:sz w:val="20"/>
                <w:szCs w:val="20"/>
              </w:rPr>
            </w:pPr>
            <w:r>
              <w:rPr>
                <w:spacing w:val="-1"/>
                <w:sz w:val="20"/>
                <w:szCs w:val="20"/>
              </w:rPr>
              <w:t>执行达州市工业重点管控单元总体要求</w:t>
            </w:r>
          </w:p>
          <w:p w14:paraId="2886CAB0">
            <w:pPr>
              <w:pStyle w:val="6"/>
              <w:spacing w:before="21" w:line="220" w:lineRule="auto"/>
              <w:ind w:left="46"/>
              <w:rPr>
                <w:sz w:val="20"/>
                <w:szCs w:val="20"/>
              </w:rPr>
            </w:pPr>
            <w:r>
              <w:rPr>
                <w:spacing w:val="-1"/>
                <w:sz w:val="20"/>
                <w:szCs w:val="20"/>
              </w:rPr>
              <w:t>新增源排放标准限值</w:t>
            </w:r>
          </w:p>
          <w:p w14:paraId="5625B02A">
            <w:pPr>
              <w:pStyle w:val="6"/>
              <w:spacing w:before="23" w:line="219" w:lineRule="auto"/>
              <w:ind w:left="65"/>
              <w:rPr>
                <w:sz w:val="20"/>
                <w:szCs w:val="20"/>
              </w:rPr>
            </w:pPr>
            <w:r>
              <w:rPr>
                <w:spacing w:val="-2"/>
                <w:sz w:val="20"/>
                <w:szCs w:val="20"/>
              </w:rPr>
              <w:t>同达州市工业重点总体准入要求</w:t>
            </w:r>
          </w:p>
          <w:p w14:paraId="35258952">
            <w:pPr>
              <w:pStyle w:val="6"/>
              <w:spacing w:before="21" w:line="220" w:lineRule="auto"/>
              <w:ind w:left="47"/>
              <w:rPr>
                <w:sz w:val="20"/>
                <w:szCs w:val="20"/>
              </w:rPr>
            </w:pPr>
            <w:r>
              <w:rPr>
                <w:spacing w:val="-1"/>
                <w:sz w:val="20"/>
                <w:szCs w:val="20"/>
              </w:rPr>
              <w:t>污染物排放绩效水平准入要求</w:t>
            </w:r>
          </w:p>
          <w:p w14:paraId="08F88CAA">
            <w:pPr>
              <w:pStyle w:val="6"/>
              <w:spacing w:before="22" w:line="219" w:lineRule="auto"/>
              <w:ind w:left="45"/>
              <w:rPr>
                <w:sz w:val="20"/>
                <w:szCs w:val="20"/>
              </w:rPr>
            </w:pPr>
            <w:r>
              <w:rPr>
                <w:spacing w:val="-1"/>
                <w:sz w:val="20"/>
                <w:szCs w:val="20"/>
              </w:rPr>
              <w:t>执行达州市工业重点管控单元总体要求</w:t>
            </w:r>
          </w:p>
          <w:p w14:paraId="12F26284">
            <w:pPr>
              <w:pStyle w:val="6"/>
              <w:spacing w:before="22" w:line="203" w:lineRule="auto"/>
              <w:ind w:left="46"/>
              <w:rPr>
                <w:sz w:val="20"/>
                <w:szCs w:val="20"/>
              </w:rPr>
            </w:pPr>
            <w:r>
              <w:rPr>
                <w:spacing w:val="-1"/>
                <w:sz w:val="20"/>
                <w:szCs w:val="20"/>
              </w:rPr>
              <w:t>其他污染物排放管控要求</w:t>
            </w:r>
          </w:p>
        </w:tc>
        <w:tc>
          <w:tcPr>
            <w:tcW w:w="2632" w:type="dxa"/>
            <w:vAlign w:val="top"/>
          </w:tcPr>
          <w:p w14:paraId="1AEA86DB">
            <w:pPr>
              <w:spacing w:line="251" w:lineRule="auto"/>
              <w:rPr>
                <w:rFonts w:ascii="Arial"/>
                <w:sz w:val="21"/>
              </w:rPr>
            </w:pPr>
          </w:p>
          <w:p w14:paraId="554F8361">
            <w:pPr>
              <w:spacing w:line="251" w:lineRule="auto"/>
              <w:rPr>
                <w:rFonts w:ascii="Arial"/>
                <w:sz w:val="21"/>
              </w:rPr>
            </w:pPr>
          </w:p>
          <w:p w14:paraId="422144A2">
            <w:pPr>
              <w:spacing w:line="251" w:lineRule="auto"/>
              <w:rPr>
                <w:rFonts w:ascii="Arial"/>
                <w:sz w:val="21"/>
              </w:rPr>
            </w:pPr>
          </w:p>
          <w:p w14:paraId="4058318C">
            <w:pPr>
              <w:spacing w:line="251" w:lineRule="auto"/>
              <w:rPr>
                <w:rFonts w:ascii="Arial"/>
                <w:sz w:val="21"/>
              </w:rPr>
            </w:pPr>
          </w:p>
          <w:p w14:paraId="7B2A71D6">
            <w:pPr>
              <w:spacing w:line="252" w:lineRule="auto"/>
              <w:rPr>
                <w:rFonts w:ascii="Arial"/>
                <w:sz w:val="21"/>
              </w:rPr>
            </w:pPr>
          </w:p>
          <w:p w14:paraId="2BEB4548">
            <w:pPr>
              <w:pStyle w:val="6"/>
              <w:spacing w:before="65" w:line="219" w:lineRule="auto"/>
              <w:ind w:left="49"/>
              <w:rPr>
                <w:sz w:val="20"/>
                <w:szCs w:val="20"/>
              </w:rPr>
            </w:pPr>
            <w:r>
              <w:rPr>
                <w:spacing w:val="-6"/>
                <w:sz w:val="20"/>
                <w:szCs w:val="20"/>
              </w:rPr>
              <w:t>参考上述分析，本项目满足达</w:t>
            </w:r>
          </w:p>
          <w:p w14:paraId="7026B1B8">
            <w:pPr>
              <w:pStyle w:val="6"/>
              <w:spacing w:before="21" w:line="219" w:lineRule="auto"/>
              <w:ind w:left="117"/>
              <w:rPr>
                <w:sz w:val="20"/>
                <w:szCs w:val="20"/>
              </w:rPr>
            </w:pPr>
            <w:r>
              <w:rPr>
                <w:spacing w:val="-1"/>
                <w:sz w:val="20"/>
                <w:szCs w:val="20"/>
              </w:rPr>
              <w:t>州市工业重点管控单元总体</w:t>
            </w:r>
          </w:p>
          <w:p w14:paraId="7C288275">
            <w:pPr>
              <w:pStyle w:val="6"/>
              <w:spacing w:before="22" w:line="221" w:lineRule="auto"/>
              <w:ind w:left="818"/>
              <w:rPr>
                <w:sz w:val="20"/>
                <w:szCs w:val="20"/>
              </w:rPr>
            </w:pPr>
            <w:r>
              <w:rPr>
                <w:spacing w:val="-2"/>
                <w:sz w:val="20"/>
                <w:szCs w:val="20"/>
              </w:rPr>
              <w:t>准入要求。</w:t>
            </w:r>
          </w:p>
        </w:tc>
        <w:tc>
          <w:tcPr>
            <w:tcW w:w="513" w:type="dxa"/>
            <w:vAlign w:val="top"/>
          </w:tcPr>
          <w:p w14:paraId="0A872CE5">
            <w:pPr>
              <w:spacing w:line="252" w:lineRule="auto"/>
              <w:rPr>
                <w:rFonts w:ascii="Arial"/>
                <w:sz w:val="21"/>
              </w:rPr>
            </w:pPr>
          </w:p>
          <w:p w14:paraId="5AE2F217">
            <w:pPr>
              <w:spacing w:line="252" w:lineRule="auto"/>
              <w:rPr>
                <w:rFonts w:ascii="Arial"/>
                <w:sz w:val="21"/>
              </w:rPr>
            </w:pPr>
          </w:p>
          <w:p w14:paraId="57050FFD">
            <w:pPr>
              <w:spacing w:line="252" w:lineRule="auto"/>
              <w:rPr>
                <w:rFonts w:ascii="Arial"/>
                <w:sz w:val="21"/>
              </w:rPr>
            </w:pPr>
          </w:p>
          <w:p w14:paraId="15AE2DB2">
            <w:pPr>
              <w:spacing w:line="252" w:lineRule="auto"/>
              <w:rPr>
                <w:rFonts w:ascii="Arial"/>
                <w:sz w:val="21"/>
              </w:rPr>
            </w:pPr>
          </w:p>
          <w:p w14:paraId="27BE413C">
            <w:pPr>
              <w:spacing w:line="252" w:lineRule="auto"/>
              <w:rPr>
                <w:rFonts w:ascii="Arial"/>
                <w:sz w:val="21"/>
              </w:rPr>
            </w:pPr>
          </w:p>
          <w:p w14:paraId="451759CC">
            <w:pPr>
              <w:spacing w:line="253" w:lineRule="auto"/>
              <w:rPr>
                <w:rFonts w:ascii="Arial"/>
                <w:sz w:val="21"/>
              </w:rPr>
            </w:pPr>
          </w:p>
          <w:p w14:paraId="51C8EF15">
            <w:pPr>
              <w:pStyle w:val="6"/>
              <w:spacing w:before="65" w:line="220" w:lineRule="auto"/>
              <w:ind w:left="59"/>
              <w:rPr>
                <w:sz w:val="20"/>
                <w:szCs w:val="20"/>
              </w:rPr>
            </w:pPr>
            <w:r>
              <w:rPr>
                <w:spacing w:val="-3"/>
                <w:sz w:val="20"/>
                <w:szCs w:val="20"/>
              </w:rPr>
              <w:t>符合</w:t>
            </w:r>
          </w:p>
        </w:tc>
        <w:tc>
          <w:tcPr>
            <w:tcW w:w="118" w:type="dxa"/>
            <w:tcBorders>
              <w:top w:val="nil"/>
              <w:bottom w:val="nil"/>
            </w:tcBorders>
            <w:vAlign w:val="top"/>
          </w:tcPr>
          <w:p w14:paraId="05A38E46">
            <w:pPr>
              <w:rPr>
                <w:rFonts w:ascii="Arial"/>
                <w:sz w:val="21"/>
              </w:rPr>
            </w:pPr>
          </w:p>
        </w:tc>
      </w:tr>
      <w:tr w14:paraId="2DD68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0" w:hRule="atLeast"/>
        </w:trPr>
        <w:tc>
          <w:tcPr>
            <w:tcW w:w="1886" w:type="dxa"/>
            <w:vMerge w:val="continue"/>
            <w:tcBorders>
              <w:top w:val="nil"/>
              <w:bottom w:val="nil"/>
            </w:tcBorders>
            <w:vAlign w:val="top"/>
          </w:tcPr>
          <w:p w14:paraId="6AE3A819">
            <w:pPr>
              <w:rPr>
                <w:rFonts w:ascii="Arial"/>
                <w:sz w:val="21"/>
              </w:rPr>
            </w:pPr>
          </w:p>
        </w:tc>
        <w:tc>
          <w:tcPr>
            <w:tcW w:w="113" w:type="dxa"/>
            <w:tcBorders>
              <w:top w:val="nil"/>
              <w:bottom w:val="nil"/>
            </w:tcBorders>
            <w:vAlign w:val="top"/>
          </w:tcPr>
          <w:p w14:paraId="5E9568DA">
            <w:pPr>
              <w:rPr>
                <w:rFonts w:ascii="Arial"/>
                <w:sz w:val="21"/>
              </w:rPr>
            </w:pPr>
          </w:p>
        </w:tc>
        <w:tc>
          <w:tcPr>
            <w:tcW w:w="1879" w:type="dxa"/>
            <w:vMerge w:val="continue"/>
            <w:tcBorders>
              <w:top w:val="nil"/>
            </w:tcBorders>
            <w:vAlign w:val="top"/>
          </w:tcPr>
          <w:p w14:paraId="62E48B9C">
            <w:pPr>
              <w:rPr>
                <w:rFonts w:ascii="Arial"/>
                <w:sz w:val="21"/>
              </w:rPr>
            </w:pPr>
          </w:p>
        </w:tc>
        <w:tc>
          <w:tcPr>
            <w:tcW w:w="795" w:type="dxa"/>
            <w:vMerge w:val="continue"/>
            <w:tcBorders>
              <w:top w:val="nil"/>
            </w:tcBorders>
            <w:vAlign w:val="top"/>
          </w:tcPr>
          <w:p w14:paraId="2524133F">
            <w:pPr>
              <w:rPr>
                <w:rFonts w:ascii="Arial"/>
                <w:sz w:val="21"/>
              </w:rPr>
            </w:pPr>
          </w:p>
        </w:tc>
        <w:tc>
          <w:tcPr>
            <w:tcW w:w="788" w:type="dxa"/>
            <w:vAlign w:val="top"/>
          </w:tcPr>
          <w:p w14:paraId="63B1D692">
            <w:pPr>
              <w:spacing w:line="242" w:lineRule="auto"/>
              <w:rPr>
                <w:rFonts w:ascii="Arial"/>
                <w:sz w:val="21"/>
              </w:rPr>
            </w:pPr>
          </w:p>
          <w:p w14:paraId="76AD0C16">
            <w:pPr>
              <w:spacing w:line="242" w:lineRule="auto"/>
              <w:rPr>
                <w:rFonts w:ascii="Arial"/>
                <w:sz w:val="21"/>
              </w:rPr>
            </w:pPr>
          </w:p>
          <w:p w14:paraId="40B17817">
            <w:pPr>
              <w:pStyle w:val="6"/>
              <w:spacing w:before="65" w:line="221" w:lineRule="auto"/>
              <w:ind w:left="91"/>
              <w:rPr>
                <w:sz w:val="20"/>
                <w:szCs w:val="20"/>
              </w:rPr>
            </w:pPr>
            <w:r>
              <w:rPr>
                <w:spacing w:val="-2"/>
                <w:sz w:val="20"/>
                <w:szCs w:val="20"/>
              </w:rPr>
              <w:t>环境风</w:t>
            </w:r>
          </w:p>
          <w:p w14:paraId="03DE5F63">
            <w:pPr>
              <w:pStyle w:val="6"/>
              <w:spacing w:before="19" w:line="221" w:lineRule="auto"/>
              <w:ind w:left="102"/>
              <w:rPr>
                <w:sz w:val="20"/>
                <w:szCs w:val="20"/>
              </w:rPr>
            </w:pPr>
            <w:r>
              <w:rPr>
                <w:spacing w:val="-4"/>
                <w:sz w:val="20"/>
                <w:szCs w:val="20"/>
              </w:rPr>
              <w:t>险防控</w:t>
            </w:r>
          </w:p>
        </w:tc>
        <w:tc>
          <w:tcPr>
            <w:tcW w:w="4868" w:type="dxa"/>
            <w:vAlign w:val="top"/>
          </w:tcPr>
          <w:p w14:paraId="170AC06E">
            <w:pPr>
              <w:pStyle w:val="6"/>
              <w:spacing w:before="33" w:line="220" w:lineRule="auto"/>
              <w:ind w:left="46"/>
              <w:rPr>
                <w:sz w:val="20"/>
                <w:szCs w:val="20"/>
              </w:rPr>
            </w:pPr>
            <w:r>
              <w:rPr>
                <w:spacing w:val="-1"/>
                <w:sz w:val="20"/>
                <w:szCs w:val="20"/>
              </w:rPr>
              <w:t>严格管控类农用地管控要求</w:t>
            </w:r>
          </w:p>
          <w:p w14:paraId="76B5CB66">
            <w:pPr>
              <w:pStyle w:val="6"/>
              <w:spacing w:before="22" w:line="239" w:lineRule="auto"/>
              <w:ind w:left="49" w:right="1424" w:hanging="4"/>
              <w:rPr>
                <w:sz w:val="20"/>
                <w:szCs w:val="20"/>
              </w:rPr>
            </w:pPr>
            <w:r>
              <w:rPr>
                <w:spacing w:val="-1"/>
                <w:sz w:val="20"/>
                <w:szCs w:val="20"/>
              </w:rPr>
              <w:t>执行达州市工业重点管控单元总体要求</w:t>
            </w:r>
            <w:r>
              <w:rPr>
                <w:spacing w:val="8"/>
                <w:sz w:val="20"/>
                <w:szCs w:val="20"/>
              </w:rPr>
              <w:t xml:space="preserve"> </w:t>
            </w:r>
            <w:r>
              <w:rPr>
                <w:spacing w:val="-1"/>
                <w:sz w:val="20"/>
                <w:szCs w:val="20"/>
              </w:rPr>
              <w:t>安全利用类农用地管控要求</w:t>
            </w:r>
          </w:p>
          <w:p w14:paraId="4CDD767A">
            <w:pPr>
              <w:pStyle w:val="6"/>
              <w:spacing w:line="239" w:lineRule="auto"/>
              <w:ind w:left="46" w:right="1424" w:hanging="1"/>
              <w:rPr>
                <w:sz w:val="20"/>
                <w:szCs w:val="20"/>
              </w:rPr>
            </w:pPr>
            <w:r>
              <w:rPr>
                <w:spacing w:val="-1"/>
                <w:sz w:val="20"/>
                <w:szCs w:val="20"/>
              </w:rPr>
              <w:t>执行达州市工业重点管控单元总体要求</w:t>
            </w:r>
            <w:r>
              <w:rPr>
                <w:spacing w:val="8"/>
                <w:sz w:val="20"/>
                <w:szCs w:val="20"/>
              </w:rPr>
              <w:t xml:space="preserve"> </w:t>
            </w:r>
            <w:r>
              <w:rPr>
                <w:spacing w:val="-2"/>
                <w:sz w:val="20"/>
                <w:szCs w:val="20"/>
              </w:rPr>
              <w:t>污染地块管控要求</w:t>
            </w:r>
          </w:p>
          <w:p w14:paraId="2ED683A3">
            <w:pPr>
              <w:pStyle w:val="6"/>
              <w:spacing w:line="193" w:lineRule="auto"/>
              <w:ind w:left="45"/>
              <w:rPr>
                <w:sz w:val="20"/>
                <w:szCs w:val="20"/>
              </w:rPr>
            </w:pPr>
            <w:r>
              <w:rPr>
                <w:spacing w:val="-1"/>
                <w:sz w:val="20"/>
                <w:szCs w:val="20"/>
              </w:rPr>
              <w:t>执行达州市工业重点管控单元总体要求</w:t>
            </w:r>
          </w:p>
        </w:tc>
        <w:tc>
          <w:tcPr>
            <w:tcW w:w="2632" w:type="dxa"/>
            <w:vAlign w:val="top"/>
          </w:tcPr>
          <w:p w14:paraId="1F3FBF94">
            <w:pPr>
              <w:spacing w:line="356" w:lineRule="auto"/>
              <w:rPr>
                <w:rFonts w:ascii="Arial"/>
                <w:sz w:val="21"/>
              </w:rPr>
            </w:pPr>
          </w:p>
          <w:p w14:paraId="5F5B114C">
            <w:pPr>
              <w:pStyle w:val="6"/>
              <w:spacing w:before="65" w:line="219" w:lineRule="auto"/>
              <w:ind w:left="49"/>
              <w:rPr>
                <w:sz w:val="20"/>
                <w:szCs w:val="20"/>
              </w:rPr>
            </w:pPr>
            <w:r>
              <w:rPr>
                <w:spacing w:val="-6"/>
                <w:sz w:val="20"/>
                <w:szCs w:val="20"/>
              </w:rPr>
              <w:t>参考上述分析，本项目满足达</w:t>
            </w:r>
          </w:p>
          <w:p w14:paraId="5284269F">
            <w:pPr>
              <w:pStyle w:val="6"/>
              <w:spacing w:before="21" w:line="219" w:lineRule="auto"/>
              <w:ind w:left="117"/>
              <w:rPr>
                <w:sz w:val="20"/>
                <w:szCs w:val="20"/>
              </w:rPr>
            </w:pPr>
            <w:r>
              <w:rPr>
                <w:spacing w:val="-1"/>
                <w:sz w:val="20"/>
                <w:szCs w:val="20"/>
              </w:rPr>
              <w:t>州市工业重点管控单元总体</w:t>
            </w:r>
          </w:p>
          <w:p w14:paraId="6997277E">
            <w:pPr>
              <w:pStyle w:val="6"/>
              <w:spacing w:before="22" w:line="221" w:lineRule="auto"/>
              <w:ind w:left="818"/>
              <w:rPr>
                <w:sz w:val="20"/>
                <w:szCs w:val="20"/>
              </w:rPr>
            </w:pPr>
            <w:r>
              <w:rPr>
                <w:spacing w:val="-2"/>
                <w:sz w:val="20"/>
                <w:szCs w:val="20"/>
              </w:rPr>
              <w:t>准入要求。</w:t>
            </w:r>
          </w:p>
        </w:tc>
        <w:tc>
          <w:tcPr>
            <w:tcW w:w="513" w:type="dxa"/>
            <w:vAlign w:val="top"/>
          </w:tcPr>
          <w:p w14:paraId="281C11CA">
            <w:pPr>
              <w:spacing w:line="306" w:lineRule="auto"/>
              <w:rPr>
                <w:rFonts w:ascii="Arial"/>
                <w:sz w:val="21"/>
              </w:rPr>
            </w:pPr>
          </w:p>
          <w:p w14:paraId="122D787D">
            <w:pPr>
              <w:spacing w:line="307" w:lineRule="auto"/>
              <w:rPr>
                <w:rFonts w:ascii="Arial"/>
                <w:sz w:val="21"/>
              </w:rPr>
            </w:pPr>
          </w:p>
          <w:p w14:paraId="1B0826CC">
            <w:pPr>
              <w:pStyle w:val="6"/>
              <w:spacing w:before="65" w:line="220" w:lineRule="auto"/>
              <w:ind w:left="59"/>
              <w:rPr>
                <w:sz w:val="20"/>
                <w:szCs w:val="20"/>
              </w:rPr>
            </w:pPr>
            <w:r>
              <w:rPr>
                <w:spacing w:val="-3"/>
                <w:sz w:val="20"/>
                <w:szCs w:val="20"/>
              </w:rPr>
              <w:t>符合</w:t>
            </w:r>
          </w:p>
        </w:tc>
        <w:tc>
          <w:tcPr>
            <w:tcW w:w="118" w:type="dxa"/>
            <w:tcBorders>
              <w:top w:val="nil"/>
              <w:bottom w:val="nil"/>
            </w:tcBorders>
            <w:vAlign w:val="top"/>
          </w:tcPr>
          <w:p w14:paraId="66CA0756">
            <w:pPr>
              <w:rPr>
                <w:rFonts w:ascii="Arial"/>
                <w:sz w:val="21"/>
              </w:rPr>
            </w:pPr>
          </w:p>
        </w:tc>
      </w:tr>
      <w:tr w14:paraId="35E43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886" w:type="dxa"/>
            <w:vMerge w:val="continue"/>
            <w:tcBorders>
              <w:top w:val="nil"/>
            </w:tcBorders>
            <w:vAlign w:val="top"/>
          </w:tcPr>
          <w:p w14:paraId="68F11503">
            <w:pPr>
              <w:rPr>
                <w:rFonts w:ascii="Arial"/>
                <w:sz w:val="21"/>
              </w:rPr>
            </w:pPr>
          </w:p>
        </w:tc>
        <w:tc>
          <w:tcPr>
            <w:tcW w:w="11706" w:type="dxa"/>
            <w:gridSpan w:val="8"/>
            <w:vAlign w:val="top"/>
          </w:tcPr>
          <w:p w14:paraId="061310A4">
            <w:pPr>
              <w:spacing w:line="225" w:lineRule="exact"/>
              <w:rPr>
                <w:rFonts w:ascii="Arial"/>
                <w:sz w:val="19"/>
              </w:rPr>
            </w:pPr>
          </w:p>
        </w:tc>
      </w:tr>
    </w:tbl>
    <w:p w14:paraId="4717C11D">
      <w:pPr>
        <w:rPr>
          <w:rFonts w:ascii="Arial"/>
          <w:sz w:val="21"/>
        </w:rPr>
      </w:pPr>
    </w:p>
    <w:p w14:paraId="2220501D">
      <w:pPr>
        <w:rPr>
          <w:rFonts w:ascii="Arial" w:hAnsi="Arial" w:eastAsia="Arial" w:cs="Arial"/>
          <w:sz w:val="21"/>
          <w:szCs w:val="21"/>
        </w:rPr>
        <w:sectPr>
          <w:footerReference r:id="rId18" w:type="default"/>
          <w:pgSz w:w="16839" w:h="11907"/>
          <w:pgMar w:top="1012" w:right="1620" w:bottom="1055" w:left="1621" w:header="0" w:footer="801" w:gutter="0"/>
          <w:cols w:space="720" w:num="1"/>
        </w:sectPr>
      </w:pPr>
    </w:p>
    <w:p w14:paraId="184739F2">
      <w:pPr>
        <w:spacing w:before="18"/>
      </w:pPr>
    </w:p>
    <w:p w14:paraId="65070C30">
      <w:pPr>
        <w:spacing w:before="18"/>
      </w:pPr>
    </w:p>
    <w:tbl>
      <w:tblPr>
        <w:tblStyle w:val="5"/>
        <w:tblW w:w="135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6"/>
        <w:gridCol w:w="113"/>
        <w:gridCol w:w="1879"/>
        <w:gridCol w:w="795"/>
        <w:gridCol w:w="788"/>
        <w:gridCol w:w="4868"/>
        <w:gridCol w:w="2632"/>
        <w:gridCol w:w="513"/>
        <w:gridCol w:w="118"/>
      </w:tblGrid>
      <w:tr w14:paraId="16ABF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5" w:hRule="atLeast"/>
        </w:trPr>
        <w:tc>
          <w:tcPr>
            <w:tcW w:w="1886" w:type="dxa"/>
            <w:vMerge w:val="restart"/>
            <w:tcBorders>
              <w:bottom w:val="nil"/>
            </w:tcBorders>
            <w:vAlign w:val="top"/>
          </w:tcPr>
          <w:p w14:paraId="7845E22E">
            <w:pPr>
              <w:rPr>
                <w:rFonts w:ascii="Arial"/>
                <w:sz w:val="21"/>
              </w:rPr>
            </w:pPr>
          </w:p>
        </w:tc>
        <w:tc>
          <w:tcPr>
            <w:tcW w:w="113" w:type="dxa"/>
            <w:tcBorders>
              <w:bottom w:val="nil"/>
            </w:tcBorders>
            <w:vAlign w:val="top"/>
          </w:tcPr>
          <w:p w14:paraId="5E0479FE">
            <w:pPr>
              <w:rPr>
                <w:rFonts w:ascii="Arial"/>
                <w:sz w:val="21"/>
              </w:rPr>
            </w:pPr>
          </w:p>
        </w:tc>
        <w:tc>
          <w:tcPr>
            <w:tcW w:w="1879" w:type="dxa"/>
            <w:vMerge w:val="restart"/>
            <w:tcBorders>
              <w:bottom w:val="nil"/>
            </w:tcBorders>
            <w:vAlign w:val="top"/>
          </w:tcPr>
          <w:p w14:paraId="172C2E6A">
            <w:pPr>
              <w:rPr>
                <w:rFonts w:ascii="Arial"/>
                <w:sz w:val="21"/>
              </w:rPr>
            </w:pPr>
          </w:p>
        </w:tc>
        <w:tc>
          <w:tcPr>
            <w:tcW w:w="795" w:type="dxa"/>
            <w:vMerge w:val="restart"/>
            <w:tcBorders>
              <w:bottom w:val="nil"/>
            </w:tcBorders>
            <w:vAlign w:val="top"/>
          </w:tcPr>
          <w:p w14:paraId="758BC787">
            <w:pPr>
              <w:rPr>
                <w:rFonts w:ascii="Arial"/>
                <w:sz w:val="21"/>
              </w:rPr>
            </w:pPr>
          </w:p>
        </w:tc>
        <w:tc>
          <w:tcPr>
            <w:tcW w:w="788" w:type="dxa"/>
            <w:vAlign w:val="top"/>
          </w:tcPr>
          <w:p w14:paraId="7C224833">
            <w:pPr>
              <w:rPr>
                <w:rFonts w:ascii="Arial"/>
                <w:sz w:val="21"/>
              </w:rPr>
            </w:pPr>
          </w:p>
        </w:tc>
        <w:tc>
          <w:tcPr>
            <w:tcW w:w="4868" w:type="dxa"/>
            <w:vAlign w:val="top"/>
          </w:tcPr>
          <w:p w14:paraId="31C58E83">
            <w:pPr>
              <w:pStyle w:val="6"/>
              <w:spacing w:before="44" w:line="221" w:lineRule="auto"/>
              <w:ind w:left="61"/>
              <w:rPr>
                <w:sz w:val="20"/>
                <w:szCs w:val="20"/>
              </w:rPr>
            </w:pPr>
            <w:r>
              <w:rPr>
                <w:spacing w:val="-3"/>
                <w:sz w:val="20"/>
                <w:szCs w:val="20"/>
              </w:rPr>
              <w:t>园区环境风险防控要求</w:t>
            </w:r>
          </w:p>
          <w:p w14:paraId="6A03327B">
            <w:pPr>
              <w:pStyle w:val="6"/>
              <w:spacing w:before="20" w:line="239" w:lineRule="auto"/>
              <w:ind w:left="48" w:right="1424" w:hanging="3"/>
              <w:rPr>
                <w:sz w:val="20"/>
                <w:szCs w:val="20"/>
              </w:rPr>
            </w:pPr>
            <w:r>
              <w:rPr>
                <w:spacing w:val="-1"/>
                <w:sz w:val="20"/>
                <w:szCs w:val="20"/>
              </w:rPr>
              <w:t>执行达州市工业重点管控单元总体要求</w:t>
            </w:r>
            <w:r>
              <w:rPr>
                <w:spacing w:val="8"/>
                <w:sz w:val="20"/>
                <w:szCs w:val="20"/>
              </w:rPr>
              <w:t xml:space="preserve"> </w:t>
            </w:r>
            <w:r>
              <w:rPr>
                <w:spacing w:val="-1"/>
                <w:sz w:val="20"/>
                <w:szCs w:val="20"/>
              </w:rPr>
              <w:t>企业环境风险防控要求</w:t>
            </w:r>
          </w:p>
          <w:p w14:paraId="0401950B">
            <w:pPr>
              <w:pStyle w:val="6"/>
              <w:spacing w:before="1" w:line="222" w:lineRule="auto"/>
              <w:ind w:left="45" w:right="1424"/>
              <w:rPr>
                <w:sz w:val="20"/>
                <w:szCs w:val="20"/>
              </w:rPr>
            </w:pPr>
            <w:r>
              <w:rPr>
                <w:spacing w:val="-1"/>
                <w:sz w:val="20"/>
                <w:szCs w:val="20"/>
              </w:rPr>
              <w:t>执行达州市工业重点管控单元总体要求</w:t>
            </w:r>
            <w:r>
              <w:rPr>
                <w:spacing w:val="8"/>
                <w:sz w:val="20"/>
                <w:szCs w:val="20"/>
              </w:rPr>
              <w:t xml:space="preserve"> </w:t>
            </w:r>
            <w:r>
              <w:rPr>
                <w:spacing w:val="-1"/>
                <w:sz w:val="20"/>
                <w:szCs w:val="20"/>
              </w:rPr>
              <w:t>其他环境风险防控要求</w:t>
            </w:r>
          </w:p>
        </w:tc>
        <w:tc>
          <w:tcPr>
            <w:tcW w:w="2632" w:type="dxa"/>
            <w:vAlign w:val="top"/>
          </w:tcPr>
          <w:p w14:paraId="041C753C">
            <w:pPr>
              <w:rPr>
                <w:rFonts w:ascii="Arial"/>
                <w:sz w:val="21"/>
              </w:rPr>
            </w:pPr>
          </w:p>
        </w:tc>
        <w:tc>
          <w:tcPr>
            <w:tcW w:w="513" w:type="dxa"/>
            <w:vAlign w:val="top"/>
          </w:tcPr>
          <w:p w14:paraId="68B1E72D">
            <w:pPr>
              <w:rPr>
                <w:rFonts w:ascii="Arial"/>
                <w:sz w:val="21"/>
              </w:rPr>
            </w:pPr>
          </w:p>
        </w:tc>
        <w:tc>
          <w:tcPr>
            <w:tcW w:w="118" w:type="dxa"/>
            <w:tcBorders>
              <w:bottom w:val="nil"/>
            </w:tcBorders>
            <w:vAlign w:val="top"/>
          </w:tcPr>
          <w:p w14:paraId="316D14C7">
            <w:pPr>
              <w:rPr>
                <w:rFonts w:ascii="Arial"/>
                <w:sz w:val="21"/>
              </w:rPr>
            </w:pPr>
          </w:p>
        </w:tc>
      </w:tr>
      <w:tr w14:paraId="39263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0" w:hRule="atLeast"/>
        </w:trPr>
        <w:tc>
          <w:tcPr>
            <w:tcW w:w="1886" w:type="dxa"/>
            <w:vMerge w:val="continue"/>
            <w:tcBorders>
              <w:top w:val="nil"/>
              <w:bottom w:val="nil"/>
            </w:tcBorders>
            <w:vAlign w:val="top"/>
          </w:tcPr>
          <w:p w14:paraId="3650C056">
            <w:pPr>
              <w:rPr>
                <w:rFonts w:ascii="Arial"/>
                <w:sz w:val="21"/>
              </w:rPr>
            </w:pPr>
          </w:p>
        </w:tc>
        <w:tc>
          <w:tcPr>
            <w:tcW w:w="113" w:type="dxa"/>
            <w:tcBorders>
              <w:top w:val="nil"/>
              <w:bottom w:val="nil"/>
            </w:tcBorders>
            <w:vAlign w:val="top"/>
          </w:tcPr>
          <w:p w14:paraId="1BDFF392">
            <w:pPr>
              <w:rPr>
                <w:rFonts w:ascii="Arial"/>
                <w:sz w:val="21"/>
              </w:rPr>
            </w:pPr>
          </w:p>
        </w:tc>
        <w:tc>
          <w:tcPr>
            <w:tcW w:w="1879" w:type="dxa"/>
            <w:vMerge w:val="continue"/>
            <w:tcBorders>
              <w:top w:val="nil"/>
            </w:tcBorders>
            <w:vAlign w:val="top"/>
          </w:tcPr>
          <w:p w14:paraId="2E35EC02">
            <w:pPr>
              <w:rPr>
                <w:rFonts w:ascii="Arial"/>
                <w:sz w:val="21"/>
              </w:rPr>
            </w:pPr>
          </w:p>
        </w:tc>
        <w:tc>
          <w:tcPr>
            <w:tcW w:w="795" w:type="dxa"/>
            <w:vMerge w:val="continue"/>
            <w:tcBorders>
              <w:top w:val="nil"/>
            </w:tcBorders>
            <w:vAlign w:val="top"/>
          </w:tcPr>
          <w:p w14:paraId="20294052">
            <w:pPr>
              <w:rPr>
                <w:rFonts w:ascii="Arial"/>
                <w:sz w:val="21"/>
              </w:rPr>
            </w:pPr>
          </w:p>
        </w:tc>
        <w:tc>
          <w:tcPr>
            <w:tcW w:w="788" w:type="dxa"/>
            <w:vAlign w:val="top"/>
          </w:tcPr>
          <w:p w14:paraId="0AE027D0">
            <w:pPr>
              <w:spacing w:line="305" w:lineRule="auto"/>
              <w:rPr>
                <w:rFonts w:ascii="Arial"/>
                <w:sz w:val="21"/>
              </w:rPr>
            </w:pPr>
          </w:p>
          <w:p w14:paraId="076961A6">
            <w:pPr>
              <w:spacing w:line="306" w:lineRule="auto"/>
              <w:rPr>
                <w:rFonts w:ascii="Arial"/>
                <w:sz w:val="21"/>
              </w:rPr>
            </w:pPr>
          </w:p>
          <w:p w14:paraId="5DB5EE16">
            <w:pPr>
              <w:pStyle w:val="6"/>
              <w:spacing w:before="65" w:line="221" w:lineRule="auto"/>
              <w:ind w:left="100"/>
              <w:rPr>
                <w:sz w:val="20"/>
                <w:szCs w:val="20"/>
              </w:rPr>
            </w:pPr>
            <w:r>
              <w:rPr>
                <w:spacing w:val="-4"/>
                <w:sz w:val="20"/>
                <w:szCs w:val="20"/>
              </w:rPr>
              <w:t>资源开</w:t>
            </w:r>
          </w:p>
          <w:p w14:paraId="2B3156E8">
            <w:pPr>
              <w:pStyle w:val="6"/>
              <w:spacing w:before="19" w:line="242" w:lineRule="auto"/>
              <w:ind w:left="193" w:right="97" w:hanging="98"/>
              <w:rPr>
                <w:sz w:val="20"/>
                <w:szCs w:val="20"/>
              </w:rPr>
            </w:pPr>
            <w:r>
              <w:rPr>
                <w:spacing w:val="-4"/>
                <w:sz w:val="20"/>
                <w:szCs w:val="20"/>
              </w:rPr>
              <w:t>发效率</w:t>
            </w:r>
            <w:r>
              <w:rPr>
                <w:spacing w:val="1"/>
                <w:sz w:val="20"/>
                <w:szCs w:val="20"/>
              </w:rPr>
              <w:t xml:space="preserve"> </w:t>
            </w:r>
            <w:r>
              <w:rPr>
                <w:spacing w:val="-2"/>
                <w:sz w:val="20"/>
                <w:szCs w:val="20"/>
              </w:rPr>
              <w:t>要求</w:t>
            </w:r>
          </w:p>
        </w:tc>
        <w:tc>
          <w:tcPr>
            <w:tcW w:w="4868" w:type="dxa"/>
            <w:vAlign w:val="top"/>
          </w:tcPr>
          <w:p w14:paraId="7E3A8590">
            <w:pPr>
              <w:pStyle w:val="6"/>
              <w:spacing w:before="31" w:line="220" w:lineRule="auto"/>
              <w:ind w:left="47"/>
              <w:rPr>
                <w:sz w:val="20"/>
                <w:szCs w:val="20"/>
              </w:rPr>
            </w:pPr>
            <w:r>
              <w:rPr>
                <w:spacing w:val="-2"/>
                <w:sz w:val="20"/>
                <w:szCs w:val="20"/>
              </w:rPr>
              <w:t>水资源利用效率要求</w:t>
            </w:r>
          </w:p>
          <w:p w14:paraId="6B5A782D">
            <w:pPr>
              <w:pStyle w:val="6"/>
              <w:spacing w:before="21" w:line="239" w:lineRule="auto"/>
              <w:ind w:left="45" w:right="1424"/>
              <w:rPr>
                <w:sz w:val="20"/>
                <w:szCs w:val="20"/>
              </w:rPr>
            </w:pPr>
            <w:r>
              <w:rPr>
                <w:spacing w:val="-1"/>
                <w:sz w:val="20"/>
                <w:szCs w:val="20"/>
              </w:rPr>
              <w:t>执行达州市工业重点管控单元总体要求</w:t>
            </w:r>
            <w:r>
              <w:rPr>
                <w:spacing w:val="8"/>
                <w:sz w:val="20"/>
                <w:szCs w:val="20"/>
              </w:rPr>
              <w:t xml:space="preserve"> </w:t>
            </w:r>
            <w:r>
              <w:rPr>
                <w:spacing w:val="-1"/>
                <w:sz w:val="20"/>
                <w:szCs w:val="20"/>
              </w:rPr>
              <w:t>地下水开采要求</w:t>
            </w:r>
          </w:p>
          <w:p w14:paraId="3DCE8E04">
            <w:pPr>
              <w:pStyle w:val="6"/>
              <w:spacing w:line="239" w:lineRule="auto"/>
              <w:ind w:left="52" w:right="1424" w:hanging="7"/>
              <w:rPr>
                <w:sz w:val="20"/>
                <w:szCs w:val="20"/>
              </w:rPr>
            </w:pPr>
            <w:r>
              <w:rPr>
                <w:spacing w:val="-1"/>
                <w:sz w:val="20"/>
                <w:szCs w:val="20"/>
              </w:rPr>
              <w:t>执行达州市工业重点管控单元总体要求</w:t>
            </w:r>
            <w:r>
              <w:rPr>
                <w:spacing w:val="8"/>
                <w:sz w:val="20"/>
                <w:szCs w:val="20"/>
              </w:rPr>
              <w:t xml:space="preserve"> </w:t>
            </w:r>
            <w:r>
              <w:rPr>
                <w:spacing w:val="-2"/>
                <w:sz w:val="20"/>
                <w:szCs w:val="20"/>
              </w:rPr>
              <w:t>能源利用效率要求</w:t>
            </w:r>
          </w:p>
          <w:p w14:paraId="34E66034">
            <w:pPr>
              <w:pStyle w:val="6"/>
              <w:ind w:left="45" w:right="1424"/>
              <w:rPr>
                <w:sz w:val="20"/>
                <w:szCs w:val="20"/>
              </w:rPr>
            </w:pPr>
            <w:r>
              <w:rPr>
                <w:spacing w:val="-1"/>
                <w:sz w:val="20"/>
                <w:szCs w:val="20"/>
              </w:rPr>
              <w:t>执行达州市工业重点管控单元总体要求</w:t>
            </w:r>
            <w:r>
              <w:rPr>
                <w:spacing w:val="8"/>
                <w:sz w:val="20"/>
                <w:szCs w:val="20"/>
              </w:rPr>
              <w:t xml:space="preserve"> </w:t>
            </w:r>
            <w:r>
              <w:rPr>
                <w:spacing w:val="-1"/>
                <w:sz w:val="20"/>
                <w:szCs w:val="20"/>
              </w:rPr>
              <w:t>其他资源利用效率要求</w:t>
            </w:r>
          </w:p>
          <w:p w14:paraId="7BE5637E">
            <w:pPr>
              <w:pStyle w:val="6"/>
              <w:spacing w:line="205" w:lineRule="auto"/>
              <w:ind w:left="45"/>
              <w:rPr>
                <w:sz w:val="20"/>
                <w:szCs w:val="20"/>
              </w:rPr>
            </w:pPr>
            <w:r>
              <w:rPr>
                <w:spacing w:val="-1"/>
                <w:sz w:val="20"/>
                <w:szCs w:val="20"/>
              </w:rPr>
              <w:t>禁燃区要求：同达州市工业重点总体准入要求</w:t>
            </w:r>
          </w:p>
        </w:tc>
        <w:tc>
          <w:tcPr>
            <w:tcW w:w="2632" w:type="dxa"/>
            <w:vAlign w:val="top"/>
          </w:tcPr>
          <w:p w14:paraId="2BE259EE">
            <w:pPr>
              <w:spacing w:line="305" w:lineRule="auto"/>
              <w:rPr>
                <w:rFonts w:ascii="Arial"/>
                <w:sz w:val="21"/>
              </w:rPr>
            </w:pPr>
          </w:p>
          <w:p w14:paraId="7B2A973E">
            <w:pPr>
              <w:spacing w:line="306" w:lineRule="auto"/>
              <w:rPr>
                <w:rFonts w:ascii="Arial"/>
                <w:sz w:val="21"/>
              </w:rPr>
            </w:pPr>
          </w:p>
          <w:p w14:paraId="54832CED">
            <w:pPr>
              <w:pStyle w:val="6"/>
              <w:spacing w:before="65" w:line="219" w:lineRule="auto"/>
              <w:ind w:left="49"/>
              <w:rPr>
                <w:sz w:val="20"/>
                <w:szCs w:val="20"/>
              </w:rPr>
            </w:pPr>
            <w:r>
              <w:rPr>
                <w:spacing w:val="-6"/>
                <w:sz w:val="20"/>
                <w:szCs w:val="20"/>
              </w:rPr>
              <w:t>参考上述分析，本项目满足达</w:t>
            </w:r>
          </w:p>
          <w:p w14:paraId="130DA8C5">
            <w:pPr>
              <w:pStyle w:val="6"/>
              <w:spacing w:before="21" w:line="219" w:lineRule="auto"/>
              <w:ind w:left="117"/>
              <w:rPr>
                <w:sz w:val="20"/>
                <w:szCs w:val="20"/>
              </w:rPr>
            </w:pPr>
            <w:r>
              <w:rPr>
                <w:spacing w:val="-1"/>
                <w:sz w:val="20"/>
                <w:szCs w:val="20"/>
              </w:rPr>
              <w:t>州市工业重点管控单元总体</w:t>
            </w:r>
          </w:p>
          <w:p w14:paraId="518E658E">
            <w:pPr>
              <w:pStyle w:val="6"/>
              <w:spacing w:before="22" w:line="221" w:lineRule="auto"/>
              <w:ind w:left="818"/>
              <w:rPr>
                <w:sz w:val="20"/>
                <w:szCs w:val="20"/>
              </w:rPr>
            </w:pPr>
            <w:r>
              <w:rPr>
                <w:spacing w:val="-2"/>
                <w:sz w:val="20"/>
                <w:szCs w:val="20"/>
              </w:rPr>
              <w:t>准入要求。</w:t>
            </w:r>
          </w:p>
        </w:tc>
        <w:tc>
          <w:tcPr>
            <w:tcW w:w="513" w:type="dxa"/>
            <w:vAlign w:val="top"/>
          </w:tcPr>
          <w:p w14:paraId="1C738B2C">
            <w:pPr>
              <w:spacing w:line="289" w:lineRule="auto"/>
              <w:rPr>
                <w:rFonts w:ascii="Arial"/>
                <w:sz w:val="21"/>
              </w:rPr>
            </w:pPr>
          </w:p>
          <w:p w14:paraId="62A11FEB">
            <w:pPr>
              <w:spacing w:line="289" w:lineRule="auto"/>
              <w:rPr>
                <w:rFonts w:ascii="Arial"/>
                <w:sz w:val="21"/>
              </w:rPr>
            </w:pPr>
          </w:p>
          <w:p w14:paraId="5DD627BE">
            <w:pPr>
              <w:spacing w:line="290" w:lineRule="auto"/>
              <w:rPr>
                <w:rFonts w:ascii="Arial"/>
                <w:sz w:val="21"/>
              </w:rPr>
            </w:pPr>
          </w:p>
          <w:p w14:paraId="03820D79">
            <w:pPr>
              <w:pStyle w:val="6"/>
              <w:spacing w:before="65" w:line="220" w:lineRule="auto"/>
              <w:ind w:left="59"/>
              <w:rPr>
                <w:sz w:val="20"/>
                <w:szCs w:val="20"/>
              </w:rPr>
            </w:pPr>
            <w:r>
              <w:rPr>
                <w:spacing w:val="-3"/>
                <w:sz w:val="20"/>
                <w:szCs w:val="20"/>
              </w:rPr>
              <w:t>符合</w:t>
            </w:r>
          </w:p>
        </w:tc>
        <w:tc>
          <w:tcPr>
            <w:tcW w:w="118" w:type="dxa"/>
            <w:tcBorders>
              <w:top w:val="nil"/>
              <w:bottom w:val="nil"/>
            </w:tcBorders>
            <w:vAlign w:val="top"/>
          </w:tcPr>
          <w:p w14:paraId="1D75DE9F">
            <w:pPr>
              <w:rPr>
                <w:rFonts w:ascii="Arial"/>
                <w:sz w:val="21"/>
              </w:rPr>
            </w:pPr>
          </w:p>
        </w:tc>
      </w:tr>
      <w:tr w14:paraId="0C8FF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1886" w:type="dxa"/>
            <w:vMerge w:val="continue"/>
            <w:tcBorders>
              <w:top w:val="nil"/>
              <w:bottom w:val="nil"/>
            </w:tcBorders>
            <w:vAlign w:val="top"/>
          </w:tcPr>
          <w:p w14:paraId="526B48B3">
            <w:pPr>
              <w:rPr>
                <w:rFonts w:ascii="Arial"/>
                <w:sz w:val="21"/>
              </w:rPr>
            </w:pPr>
          </w:p>
        </w:tc>
        <w:tc>
          <w:tcPr>
            <w:tcW w:w="113" w:type="dxa"/>
            <w:tcBorders>
              <w:top w:val="nil"/>
              <w:bottom w:val="nil"/>
            </w:tcBorders>
            <w:vAlign w:val="top"/>
          </w:tcPr>
          <w:p w14:paraId="3593B696">
            <w:pPr>
              <w:rPr>
                <w:rFonts w:ascii="Arial"/>
                <w:sz w:val="21"/>
              </w:rPr>
            </w:pPr>
          </w:p>
        </w:tc>
        <w:tc>
          <w:tcPr>
            <w:tcW w:w="1879" w:type="dxa"/>
            <w:vMerge w:val="restart"/>
            <w:tcBorders>
              <w:bottom w:val="nil"/>
            </w:tcBorders>
            <w:vAlign w:val="top"/>
          </w:tcPr>
          <w:p w14:paraId="2D1E21D8">
            <w:pPr>
              <w:spacing w:line="242" w:lineRule="auto"/>
              <w:rPr>
                <w:rFonts w:ascii="Arial"/>
                <w:sz w:val="21"/>
              </w:rPr>
            </w:pPr>
          </w:p>
          <w:p w14:paraId="6ADAEF14">
            <w:pPr>
              <w:spacing w:line="242" w:lineRule="auto"/>
              <w:rPr>
                <w:rFonts w:ascii="Arial"/>
                <w:sz w:val="21"/>
              </w:rPr>
            </w:pPr>
          </w:p>
          <w:p w14:paraId="31218E39">
            <w:pPr>
              <w:spacing w:line="242" w:lineRule="auto"/>
              <w:rPr>
                <w:rFonts w:ascii="Arial"/>
                <w:sz w:val="21"/>
              </w:rPr>
            </w:pPr>
          </w:p>
          <w:p w14:paraId="1203A6F8">
            <w:pPr>
              <w:spacing w:line="242" w:lineRule="auto"/>
              <w:rPr>
                <w:rFonts w:ascii="Arial"/>
                <w:sz w:val="21"/>
              </w:rPr>
            </w:pPr>
          </w:p>
          <w:p w14:paraId="53FF572C">
            <w:pPr>
              <w:spacing w:line="243" w:lineRule="auto"/>
              <w:rPr>
                <w:rFonts w:ascii="Arial"/>
                <w:sz w:val="21"/>
              </w:rPr>
            </w:pPr>
          </w:p>
          <w:p w14:paraId="78A245BC">
            <w:pPr>
              <w:spacing w:line="243" w:lineRule="auto"/>
              <w:rPr>
                <w:rFonts w:ascii="Arial"/>
                <w:sz w:val="21"/>
              </w:rPr>
            </w:pPr>
          </w:p>
          <w:p w14:paraId="75992D9D">
            <w:pPr>
              <w:spacing w:line="243" w:lineRule="auto"/>
              <w:rPr>
                <w:rFonts w:ascii="Arial"/>
                <w:sz w:val="21"/>
              </w:rPr>
            </w:pPr>
          </w:p>
          <w:p w14:paraId="30D428E6">
            <w:pPr>
              <w:spacing w:line="243" w:lineRule="auto"/>
              <w:rPr>
                <w:rFonts w:ascii="Arial"/>
                <w:sz w:val="21"/>
              </w:rPr>
            </w:pPr>
          </w:p>
          <w:p w14:paraId="2D1D12BC">
            <w:pPr>
              <w:pStyle w:val="6"/>
              <w:spacing w:before="65" w:line="239" w:lineRule="auto"/>
              <w:ind w:left="47" w:right="47" w:firstLine="5"/>
              <w:rPr>
                <w:sz w:val="20"/>
                <w:szCs w:val="20"/>
              </w:rPr>
            </w:pPr>
            <w:r>
              <w:rPr>
                <w:spacing w:val="21"/>
                <w:sz w:val="20"/>
                <w:szCs w:val="20"/>
              </w:rPr>
              <w:t>水环境工业污染重</w:t>
            </w:r>
            <w:r>
              <w:rPr>
                <w:spacing w:val="5"/>
                <w:sz w:val="20"/>
                <w:szCs w:val="20"/>
              </w:rPr>
              <w:t xml:space="preserve"> </w:t>
            </w:r>
            <w:r>
              <w:rPr>
                <w:spacing w:val="-14"/>
                <w:sz w:val="20"/>
                <w:szCs w:val="20"/>
              </w:rPr>
              <w:t>点</w:t>
            </w:r>
            <w:r>
              <w:rPr>
                <w:spacing w:val="4"/>
                <w:sz w:val="20"/>
                <w:szCs w:val="20"/>
              </w:rPr>
              <w:t xml:space="preserve">  </w:t>
            </w:r>
            <w:r>
              <w:rPr>
                <w:spacing w:val="-14"/>
                <w:sz w:val="20"/>
                <w:szCs w:val="20"/>
              </w:rPr>
              <w:t>管</w:t>
            </w:r>
            <w:r>
              <w:rPr>
                <w:spacing w:val="1"/>
                <w:sz w:val="20"/>
                <w:szCs w:val="20"/>
              </w:rPr>
              <w:t xml:space="preserve">  </w:t>
            </w:r>
            <w:r>
              <w:rPr>
                <w:spacing w:val="-14"/>
                <w:sz w:val="20"/>
                <w:szCs w:val="20"/>
              </w:rPr>
              <w:t>控</w:t>
            </w:r>
            <w:r>
              <w:rPr>
                <w:spacing w:val="9"/>
                <w:sz w:val="20"/>
                <w:szCs w:val="20"/>
              </w:rPr>
              <w:t xml:space="preserve">  </w:t>
            </w:r>
            <w:r>
              <w:rPr>
                <w:spacing w:val="-14"/>
                <w:sz w:val="20"/>
                <w:szCs w:val="20"/>
              </w:rPr>
              <w:t>区</w:t>
            </w:r>
            <w:r>
              <w:rPr>
                <w:spacing w:val="10"/>
                <w:sz w:val="20"/>
                <w:szCs w:val="20"/>
              </w:rPr>
              <w:t xml:space="preserve">  </w:t>
            </w:r>
            <w:r>
              <w:rPr>
                <w:spacing w:val="-14"/>
                <w:sz w:val="20"/>
                <w:szCs w:val="20"/>
              </w:rPr>
              <w:t>、</w:t>
            </w:r>
            <w:r>
              <w:rPr>
                <w:sz w:val="20"/>
                <w:szCs w:val="20"/>
              </w:rPr>
              <w:t xml:space="preserve"> </w:t>
            </w:r>
            <w:r>
              <w:rPr>
                <w:spacing w:val="-3"/>
                <w:sz w:val="20"/>
                <w:szCs w:val="20"/>
              </w:rPr>
              <w:t>YS5117022210002 、</w:t>
            </w:r>
          </w:p>
          <w:p w14:paraId="16F8497F">
            <w:pPr>
              <w:pStyle w:val="6"/>
              <w:spacing w:line="243" w:lineRule="auto"/>
              <w:ind w:left="49" w:right="47" w:firstLine="1"/>
              <w:rPr>
                <w:sz w:val="20"/>
                <w:szCs w:val="20"/>
              </w:rPr>
            </w:pPr>
            <w:r>
              <w:rPr>
                <w:spacing w:val="21"/>
                <w:sz w:val="20"/>
                <w:szCs w:val="20"/>
              </w:rPr>
              <w:t>州河通川区车家河</w:t>
            </w:r>
            <w:r>
              <w:rPr>
                <w:spacing w:val="6"/>
                <w:sz w:val="20"/>
                <w:szCs w:val="20"/>
              </w:rPr>
              <w:t xml:space="preserve"> </w:t>
            </w:r>
            <w:r>
              <w:rPr>
                <w:spacing w:val="-2"/>
                <w:sz w:val="20"/>
                <w:szCs w:val="20"/>
              </w:rPr>
              <w:t>控制单元</w:t>
            </w:r>
          </w:p>
        </w:tc>
        <w:tc>
          <w:tcPr>
            <w:tcW w:w="795" w:type="dxa"/>
            <w:vMerge w:val="restart"/>
            <w:tcBorders>
              <w:bottom w:val="nil"/>
            </w:tcBorders>
            <w:vAlign w:val="top"/>
          </w:tcPr>
          <w:p w14:paraId="18D8002A">
            <w:pPr>
              <w:spacing w:line="254" w:lineRule="auto"/>
              <w:rPr>
                <w:rFonts w:ascii="Arial"/>
                <w:sz w:val="21"/>
              </w:rPr>
            </w:pPr>
          </w:p>
          <w:p w14:paraId="0F1F0A75">
            <w:pPr>
              <w:spacing w:line="254" w:lineRule="auto"/>
              <w:rPr>
                <w:rFonts w:ascii="Arial"/>
                <w:sz w:val="21"/>
              </w:rPr>
            </w:pPr>
          </w:p>
          <w:p w14:paraId="38724556">
            <w:pPr>
              <w:spacing w:line="254" w:lineRule="auto"/>
              <w:rPr>
                <w:rFonts w:ascii="Arial"/>
                <w:sz w:val="21"/>
              </w:rPr>
            </w:pPr>
          </w:p>
          <w:p w14:paraId="0ACFF67A">
            <w:pPr>
              <w:spacing w:line="254" w:lineRule="auto"/>
              <w:rPr>
                <w:rFonts w:ascii="Arial"/>
                <w:sz w:val="21"/>
              </w:rPr>
            </w:pPr>
          </w:p>
          <w:p w14:paraId="5A86BC8E">
            <w:pPr>
              <w:spacing w:line="254" w:lineRule="auto"/>
              <w:rPr>
                <w:rFonts w:ascii="Arial"/>
                <w:sz w:val="21"/>
              </w:rPr>
            </w:pPr>
          </w:p>
          <w:p w14:paraId="3CB53664">
            <w:pPr>
              <w:pStyle w:val="6"/>
              <w:spacing w:before="65" w:line="219" w:lineRule="auto"/>
              <w:ind w:left="43"/>
              <w:rPr>
                <w:sz w:val="20"/>
                <w:szCs w:val="20"/>
              </w:rPr>
            </w:pPr>
            <w:r>
              <w:rPr>
                <w:spacing w:val="-2"/>
                <w:sz w:val="20"/>
                <w:szCs w:val="20"/>
              </w:rPr>
              <w:t>达州市</w:t>
            </w:r>
          </w:p>
          <w:p w14:paraId="198636E8">
            <w:pPr>
              <w:pStyle w:val="6"/>
              <w:spacing w:before="21" w:line="220" w:lineRule="auto"/>
              <w:ind w:left="43"/>
              <w:rPr>
                <w:sz w:val="20"/>
                <w:szCs w:val="20"/>
              </w:rPr>
            </w:pPr>
            <w:r>
              <w:rPr>
                <w:spacing w:val="-2"/>
                <w:sz w:val="20"/>
                <w:szCs w:val="20"/>
              </w:rPr>
              <w:t>普适性</w:t>
            </w:r>
          </w:p>
          <w:p w14:paraId="7AC744EE">
            <w:pPr>
              <w:pStyle w:val="6"/>
              <w:spacing w:before="22" w:line="220" w:lineRule="auto"/>
              <w:ind w:left="44"/>
              <w:rPr>
                <w:sz w:val="20"/>
                <w:szCs w:val="20"/>
              </w:rPr>
            </w:pPr>
            <w:r>
              <w:rPr>
                <w:spacing w:val="-2"/>
                <w:sz w:val="20"/>
                <w:szCs w:val="20"/>
              </w:rPr>
              <w:t>清单管</w:t>
            </w:r>
          </w:p>
          <w:p w14:paraId="1C23F55A">
            <w:pPr>
              <w:pStyle w:val="6"/>
              <w:spacing w:before="20" w:line="221" w:lineRule="auto"/>
              <w:ind w:left="43"/>
              <w:rPr>
                <w:sz w:val="20"/>
                <w:szCs w:val="20"/>
              </w:rPr>
            </w:pPr>
            <w:r>
              <w:rPr>
                <w:spacing w:val="-2"/>
                <w:sz w:val="20"/>
                <w:szCs w:val="20"/>
              </w:rPr>
              <w:t>控要求</w:t>
            </w:r>
          </w:p>
        </w:tc>
        <w:tc>
          <w:tcPr>
            <w:tcW w:w="788" w:type="dxa"/>
            <w:vAlign w:val="top"/>
          </w:tcPr>
          <w:p w14:paraId="446716E0">
            <w:pPr>
              <w:pStyle w:val="6"/>
              <w:spacing w:before="290" w:line="219" w:lineRule="auto"/>
              <w:ind w:left="98"/>
              <w:rPr>
                <w:sz w:val="20"/>
                <w:szCs w:val="20"/>
              </w:rPr>
            </w:pPr>
            <w:r>
              <w:rPr>
                <w:spacing w:val="-3"/>
                <w:sz w:val="20"/>
                <w:szCs w:val="20"/>
              </w:rPr>
              <w:t>空间布</w:t>
            </w:r>
          </w:p>
          <w:p w14:paraId="1641695C">
            <w:pPr>
              <w:pStyle w:val="6"/>
              <w:spacing w:before="21" w:line="220" w:lineRule="auto"/>
              <w:ind w:left="94"/>
              <w:rPr>
                <w:sz w:val="20"/>
                <w:szCs w:val="20"/>
              </w:rPr>
            </w:pPr>
            <w:r>
              <w:rPr>
                <w:spacing w:val="-3"/>
                <w:sz w:val="20"/>
                <w:szCs w:val="20"/>
              </w:rPr>
              <w:t>局约束</w:t>
            </w:r>
          </w:p>
        </w:tc>
        <w:tc>
          <w:tcPr>
            <w:tcW w:w="4868" w:type="dxa"/>
            <w:vAlign w:val="top"/>
          </w:tcPr>
          <w:p w14:paraId="7E084459">
            <w:pPr>
              <w:pStyle w:val="6"/>
              <w:spacing w:before="31" w:line="220" w:lineRule="auto"/>
              <w:ind w:left="45"/>
              <w:rPr>
                <w:sz w:val="20"/>
                <w:szCs w:val="20"/>
              </w:rPr>
            </w:pPr>
            <w:r>
              <w:rPr>
                <w:spacing w:val="-1"/>
                <w:sz w:val="20"/>
                <w:szCs w:val="20"/>
              </w:rPr>
              <w:t>禁止开发建设活动的要求暂无</w:t>
            </w:r>
          </w:p>
          <w:p w14:paraId="52A783F6">
            <w:pPr>
              <w:pStyle w:val="6"/>
              <w:spacing w:before="20" w:line="221" w:lineRule="auto"/>
              <w:ind w:left="59"/>
              <w:rPr>
                <w:sz w:val="20"/>
                <w:szCs w:val="20"/>
              </w:rPr>
            </w:pPr>
            <w:r>
              <w:rPr>
                <w:spacing w:val="-2"/>
                <w:sz w:val="20"/>
                <w:szCs w:val="20"/>
              </w:rPr>
              <w:t>限制开发建设活动的要求暂无</w:t>
            </w:r>
          </w:p>
          <w:p w14:paraId="6FF50ECF">
            <w:pPr>
              <w:pStyle w:val="6"/>
              <w:spacing w:before="19" w:line="223" w:lineRule="auto"/>
              <w:ind w:left="46" w:right="1224" w:firstLine="2"/>
              <w:rPr>
                <w:sz w:val="20"/>
                <w:szCs w:val="20"/>
              </w:rPr>
            </w:pPr>
            <w:r>
              <w:rPr>
                <w:spacing w:val="-1"/>
                <w:sz w:val="20"/>
                <w:szCs w:val="20"/>
              </w:rPr>
              <w:t>不符合空间布局要求活动的退出要求暂无</w:t>
            </w:r>
            <w:r>
              <w:rPr>
                <w:spacing w:val="7"/>
                <w:sz w:val="20"/>
                <w:szCs w:val="20"/>
              </w:rPr>
              <w:t xml:space="preserve"> </w:t>
            </w:r>
            <w:r>
              <w:rPr>
                <w:spacing w:val="-1"/>
                <w:sz w:val="20"/>
                <w:szCs w:val="20"/>
              </w:rPr>
              <w:t>其他空间布局约束要求暂无</w:t>
            </w:r>
          </w:p>
        </w:tc>
        <w:tc>
          <w:tcPr>
            <w:tcW w:w="2632" w:type="dxa"/>
            <w:vAlign w:val="top"/>
          </w:tcPr>
          <w:p w14:paraId="35327149">
            <w:pPr>
              <w:spacing w:line="353" w:lineRule="auto"/>
              <w:rPr>
                <w:rFonts w:ascii="Arial"/>
                <w:sz w:val="21"/>
              </w:rPr>
            </w:pPr>
          </w:p>
          <w:p w14:paraId="06C1E934">
            <w:pPr>
              <w:pStyle w:val="6"/>
              <w:spacing w:before="65" w:line="225" w:lineRule="auto"/>
              <w:ind w:left="1265"/>
              <w:rPr>
                <w:sz w:val="20"/>
                <w:szCs w:val="20"/>
              </w:rPr>
            </w:pPr>
            <w:r>
              <w:rPr>
                <w:sz w:val="20"/>
                <w:szCs w:val="20"/>
              </w:rPr>
              <w:t>/</w:t>
            </w:r>
          </w:p>
        </w:tc>
        <w:tc>
          <w:tcPr>
            <w:tcW w:w="513" w:type="dxa"/>
            <w:vAlign w:val="top"/>
          </w:tcPr>
          <w:p w14:paraId="21846EA5">
            <w:pPr>
              <w:spacing w:line="353" w:lineRule="auto"/>
              <w:rPr>
                <w:rFonts w:ascii="Arial"/>
                <w:sz w:val="21"/>
              </w:rPr>
            </w:pPr>
          </w:p>
          <w:p w14:paraId="7E0082D4">
            <w:pPr>
              <w:pStyle w:val="6"/>
              <w:spacing w:before="65" w:line="225" w:lineRule="auto"/>
              <w:ind w:left="207"/>
              <w:rPr>
                <w:sz w:val="20"/>
                <w:szCs w:val="20"/>
              </w:rPr>
            </w:pPr>
            <w:r>
              <w:rPr>
                <w:sz w:val="20"/>
                <w:szCs w:val="20"/>
              </w:rPr>
              <w:t>/</w:t>
            </w:r>
          </w:p>
        </w:tc>
        <w:tc>
          <w:tcPr>
            <w:tcW w:w="118" w:type="dxa"/>
            <w:tcBorders>
              <w:top w:val="nil"/>
              <w:bottom w:val="nil"/>
            </w:tcBorders>
            <w:vAlign w:val="top"/>
          </w:tcPr>
          <w:p w14:paraId="40FA73DB">
            <w:pPr>
              <w:rPr>
                <w:rFonts w:ascii="Arial"/>
                <w:sz w:val="21"/>
              </w:rPr>
            </w:pPr>
          </w:p>
        </w:tc>
      </w:tr>
      <w:tr w14:paraId="39EC0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886" w:type="dxa"/>
            <w:vMerge w:val="continue"/>
            <w:tcBorders>
              <w:top w:val="nil"/>
              <w:bottom w:val="nil"/>
            </w:tcBorders>
            <w:vAlign w:val="top"/>
          </w:tcPr>
          <w:p w14:paraId="478DA00C">
            <w:pPr>
              <w:rPr>
                <w:rFonts w:ascii="Arial"/>
                <w:sz w:val="21"/>
              </w:rPr>
            </w:pPr>
          </w:p>
        </w:tc>
        <w:tc>
          <w:tcPr>
            <w:tcW w:w="113" w:type="dxa"/>
            <w:tcBorders>
              <w:top w:val="nil"/>
              <w:bottom w:val="nil"/>
            </w:tcBorders>
            <w:vAlign w:val="top"/>
          </w:tcPr>
          <w:p w14:paraId="7A80F677">
            <w:pPr>
              <w:rPr>
                <w:rFonts w:ascii="Arial"/>
                <w:sz w:val="21"/>
              </w:rPr>
            </w:pPr>
          </w:p>
        </w:tc>
        <w:tc>
          <w:tcPr>
            <w:tcW w:w="1879" w:type="dxa"/>
            <w:vMerge w:val="continue"/>
            <w:tcBorders>
              <w:top w:val="nil"/>
              <w:bottom w:val="nil"/>
            </w:tcBorders>
            <w:vAlign w:val="top"/>
          </w:tcPr>
          <w:p w14:paraId="668419F5">
            <w:pPr>
              <w:rPr>
                <w:rFonts w:ascii="Arial"/>
                <w:sz w:val="21"/>
              </w:rPr>
            </w:pPr>
          </w:p>
        </w:tc>
        <w:tc>
          <w:tcPr>
            <w:tcW w:w="795" w:type="dxa"/>
            <w:vMerge w:val="continue"/>
            <w:tcBorders>
              <w:top w:val="nil"/>
              <w:bottom w:val="nil"/>
            </w:tcBorders>
            <w:vAlign w:val="top"/>
          </w:tcPr>
          <w:p w14:paraId="0DE29DC2">
            <w:pPr>
              <w:rPr>
                <w:rFonts w:ascii="Arial"/>
                <w:sz w:val="21"/>
              </w:rPr>
            </w:pPr>
          </w:p>
        </w:tc>
        <w:tc>
          <w:tcPr>
            <w:tcW w:w="788" w:type="dxa"/>
            <w:vAlign w:val="top"/>
          </w:tcPr>
          <w:p w14:paraId="72126E3C">
            <w:pPr>
              <w:pStyle w:val="6"/>
              <w:spacing w:before="31" w:line="221" w:lineRule="auto"/>
              <w:ind w:left="93"/>
              <w:rPr>
                <w:sz w:val="20"/>
                <w:szCs w:val="20"/>
              </w:rPr>
            </w:pPr>
            <w:r>
              <w:rPr>
                <w:spacing w:val="-2"/>
                <w:sz w:val="20"/>
                <w:szCs w:val="20"/>
              </w:rPr>
              <w:t>污染物</w:t>
            </w:r>
          </w:p>
          <w:p w14:paraId="626199D4">
            <w:pPr>
              <w:pStyle w:val="6"/>
              <w:spacing w:before="19" w:line="222" w:lineRule="auto"/>
              <w:ind w:left="290" w:right="97" w:hanging="199"/>
              <w:rPr>
                <w:sz w:val="20"/>
                <w:szCs w:val="20"/>
              </w:rPr>
            </w:pPr>
            <w:r>
              <w:rPr>
                <w:spacing w:val="-3"/>
                <w:sz w:val="20"/>
                <w:szCs w:val="20"/>
              </w:rPr>
              <w:t>排放管</w:t>
            </w:r>
            <w:r>
              <w:rPr>
                <w:spacing w:val="1"/>
                <w:sz w:val="20"/>
                <w:szCs w:val="20"/>
              </w:rPr>
              <w:t xml:space="preserve"> </w:t>
            </w:r>
            <w:r>
              <w:rPr>
                <w:sz w:val="20"/>
                <w:szCs w:val="20"/>
              </w:rPr>
              <w:t>控</w:t>
            </w:r>
          </w:p>
        </w:tc>
        <w:tc>
          <w:tcPr>
            <w:tcW w:w="4868" w:type="dxa"/>
            <w:vAlign w:val="top"/>
          </w:tcPr>
          <w:p w14:paraId="0A37965A">
            <w:pPr>
              <w:pStyle w:val="6"/>
              <w:spacing w:before="31" w:line="220" w:lineRule="auto"/>
              <w:ind w:left="52"/>
              <w:rPr>
                <w:sz w:val="20"/>
                <w:szCs w:val="20"/>
              </w:rPr>
            </w:pPr>
            <w:r>
              <w:rPr>
                <w:spacing w:val="-2"/>
                <w:sz w:val="20"/>
                <w:szCs w:val="20"/>
              </w:rPr>
              <w:t>允许排放量要求暂无</w:t>
            </w:r>
          </w:p>
          <w:p w14:paraId="49F2A8C4">
            <w:pPr>
              <w:pStyle w:val="6"/>
              <w:spacing w:before="20" w:line="220" w:lineRule="auto"/>
              <w:ind w:left="47"/>
              <w:rPr>
                <w:sz w:val="20"/>
                <w:szCs w:val="20"/>
              </w:rPr>
            </w:pPr>
            <w:r>
              <w:rPr>
                <w:spacing w:val="-1"/>
                <w:sz w:val="20"/>
                <w:szCs w:val="20"/>
              </w:rPr>
              <w:t>现有源提标升级改造暂无</w:t>
            </w:r>
          </w:p>
          <w:p w14:paraId="3EC28B7D">
            <w:pPr>
              <w:pStyle w:val="6"/>
              <w:spacing w:before="20" w:line="205" w:lineRule="auto"/>
              <w:ind w:left="46"/>
              <w:rPr>
                <w:sz w:val="20"/>
                <w:szCs w:val="20"/>
              </w:rPr>
            </w:pPr>
            <w:r>
              <w:rPr>
                <w:spacing w:val="-1"/>
                <w:sz w:val="20"/>
                <w:szCs w:val="20"/>
              </w:rPr>
              <w:t>其他污染物排放管控要求暂无</w:t>
            </w:r>
          </w:p>
        </w:tc>
        <w:tc>
          <w:tcPr>
            <w:tcW w:w="2632" w:type="dxa"/>
            <w:vAlign w:val="top"/>
          </w:tcPr>
          <w:p w14:paraId="5ED71CD5">
            <w:pPr>
              <w:pStyle w:val="6"/>
              <w:spacing w:before="291" w:line="225" w:lineRule="auto"/>
              <w:ind w:left="1265"/>
              <w:rPr>
                <w:sz w:val="20"/>
                <w:szCs w:val="20"/>
              </w:rPr>
            </w:pPr>
            <w:r>
              <w:rPr>
                <w:sz w:val="20"/>
                <w:szCs w:val="20"/>
              </w:rPr>
              <w:t>/</w:t>
            </w:r>
          </w:p>
        </w:tc>
        <w:tc>
          <w:tcPr>
            <w:tcW w:w="513" w:type="dxa"/>
            <w:vAlign w:val="top"/>
          </w:tcPr>
          <w:p w14:paraId="3D27869A">
            <w:pPr>
              <w:pStyle w:val="6"/>
              <w:spacing w:before="291" w:line="225" w:lineRule="auto"/>
              <w:ind w:left="207"/>
              <w:rPr>
                <w:sz w:val="20"/>
                <w:szCs w:val="20"/>
              </w:rPr>
            </w:pPr>
            <w:r>
              <w:rPr>
                <w:sz w:val="20"/>
                <w:szCs w:val="20"/>
              </w:rPr>
              <w:t>/</w:t>
            </w:r>
          </w:p>
        </w:tc>
        <w:tc>
          <w:tcPr>
            <w:tcW w:w="118" w:type="dxa"/>
            <w:tcBorders>
              <w:top w:val="nil"/>
              <w:bottom w:val="nil"/>
            </w:tcBorders>
            <w:vAlign w:val="top"/>
          </w:tcPr>
          <w:p w14:paraId="23AD9E75">
            <w:pPr>
              <w:rPr>
                <w:rFonts w:ascii="Arial"/>
                <w:sz w:val="21"/>
              </w:rPr>
            </w:pPr>
          </w:p>
        </w:tc>
      </w:tr>
      <w:tr w14:paraId="1CBFC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886" w:type="dxa"/>
            <w:vMerge w:val="continue"/>
            <w:tcBorders>
              <w:top w:val="nil"/>
              <w:bottom w:val="nil"/>
            </w:tcBorders>
            <w:vAlign w:val="top"/>
          </w:tcPr>
          <w:p w14:paraId="3EB071F8">
            <w:pPr>
              <w:rPr>
                <w:rFonts w:ascii="Arial"/>
                <w:sz w:val="21"/>
              </w:rPr>
            </w:pPr>
          </w:p>
        </w:tc>
        <w:tc>
          <w:tcPr>
            <w:tcW w:w="113" w:type="dxa"/>
            <w:tcBorders>
              <w:top w:val="nil"/>
              <w:bottom w:val="nil"/>
            </w:tcBorders>
            <w:vAlign w:val="top"/>
          </w:tcPr>
          <w:p w14:paraId="24D2078E">
            <w:pPr>
              <w:rPr>
                <w:rFonts w:ascii="Arial"/>
                <w:sz w:val="21"/>
              </w:rPr>
            </w:pPr>
          </w:p>
        </w:tc>
        <w:tc>
          <w:tcPr>
            <w:tcW w:w="1879" w:type="dxa"/>
            <w:vMerge w:val="continue"/>
            <w:tcBorders>
              <w:top w:val="nil"/>
              <w:bottom w:val="nil"/>
            </w:tcBorders>
            <w:vAlign w:val="top"/>
          </w:tcPr>
          <w:p w14:paraId="35313231">
            <w:pPr>
              <w:rPr>
                <w:rFonts w:ascii="Arial"/>
                <w:sz w:val="21"/>
              </w:rPr>
            </w:pPr>
          </w:p>
        </w:tc>
        <w:tc>
          <w:tcPr>
            <w:tcW w:w="795" w:type="dxa"/>
            <w:vMerge w:val="continue"/>
            <w:tcBorders>
              <w:top w:val="nil"/>
              <w:bottom w:val="nil"/>
            </w:tcBorders>
            <w:vAlign w:val="top"/>
          </w:tcPr>
          <w:p w14:paraId="06F7BE59">
            <w:pPr>
              <w:rPr>
                <w:rFonts w:ascii="Arial"/>
                <w:sz w:val="21"/>
              </w:rPr>
            </w:pPr>
          </w:p>
        </w:tc>
        <w:tc>
          <w:tcPr>
            <w:tcW w:w="788" w:type="dxa"/>
            <w:vAlign w:val="top"/>
          </w:tcPr>
          <w:p w14:paraId="12319E7C">
            <w:pPr>
              <w:pStyle w:val="6"/>
              <w:spacing w:before="33" w:line="221" w:lineRule="auto"/>
              <w:ind w:left="91"/>
              <w:rPr>
                <w:sz w:val="20"/>
                <w:szCs w:val="20"/>
              </w:rPr>
            </w:pPr>
            <w:r>
              <w:rPr>
                <w:spacing w:val="-2"/>
                <w:sz w:val="20"/>
                <w:szCs w:val="20"/>
              </w:rPr>
              <w:t>环境风</w:t>
            </w:r>
          </w:p>
          <w:p w14:paraId="1CC6B130">
            <w:pPr>
              <w:pStyle w:val="6"/>
              <w:spacing w:before="20" w:line="204" w:lineRule="auto"/>
              <w:ind w:left="102"/>
              <w:rPr>
                <w:sz w:val="20"/>
                <w:szCs w:val="20"/>
              </w:rPr>
            </w:pPr>
            <w:r>
              <w:rPr>
                <w:spacing w:val="-4"/>
                <w:sz w:val="20"/>
                <w:szCs w:val="20"/>
              </w:rPr>
              <w:t>险防控</w:t>
            </w:r>
          </w:p>
        </w:tc>
        <w:tc>
          <w:tcPr>
            <w:tcW w:w="4868" w:type="dxa"/>
            <w:vAlign w:val="top"/>
          </w:tcPr>
          <w:p w14:paraId="4F4A9AE6">
            <w:pPr>
              <w:pStyle w:val="6"/>
              <w:spacing w:before="33" w:line="221" w:lineRule="auto"/>
              <w:ind w:left="46"/>
              <w:rPr>
                <w:sz w:val="20"/>
                <w:szCs w:val="20"/>
              </w:rPr>
            </w:pPr>
            <w:r>
              <w:rPr>
                <w:spacing w:val="-1"/>
                <w:sz w:val="20"/>
                <w:szCs w:val="20"/>
              </w:rPr>
              <w:t>联防联控要求暂无</w:t>
            </w:r>
          </w:p>
          <w:p w14:paraId="49CEC4D6">
            <w:pPr>
              <w:pStyle w:val="6"/>
              <w:spacing w:before="20" w:line="204" w:lineRule="auto"/>
              <w:ind w:left="46"/>
              <w:rPr>
                <w:sz w:val="20"/>
                <w:szCs w:val="20"/>
              </w:rPr>
            </w:pPr>
            <w:r>
              <w:rPr>
                <w:spacing w:val="-1"/>
                <w:sz w:val="20"/>
                <w:szCs w:val="20"/>
              </w:rPr>
              <w:t>其他环境风险防控要求暂无</w:t>
            </w:r>
          </w:p>
        </w:tc>
        <w:tc>
          <w:tcPr>
            <w:tcW w:w="2632" w:type="dxa"/>
            <w:vAlign w:val="top"/>
          </w:tcPr>
          <w:p w14:paraId="5C18BFF2">
            <w:pPr>
              <w:pStyle w:val="6"/>
              <w:spacing w:before="162" w:line="225" w:lineRule="auto"/>
              <w:ind w:left="1265"/>
              <w:rPr>
                <w:sz w:val="20"/>
                <w:szCs w:val="20"/>
              </w:rPr>
            </w:pPr>
            <w:r>
              <w:rPr>
                <w:sz w:val="20"/>
                <w:szCs w:val="20"/>
              </w:rPr>
              <w:t>/</w:t>
            </w:r>
          </w:p>
        </w:tc>
        <w:tc>
          <w:tcPr>
            <w:tcW w:w="513" w:type="dxa"/>
            <w:vAlign w:val="top"/>
          </w:tcPr>
          <w:p w14:paraId="5FB7D331">
            <w:pPr>
              <w:pStyle w:val="6"/>
              <w:spacing w:before="162" w:line="225" w:lineRule="auto"/>
              <w:ind w:left="207"/>
              <w:rPr>
                <w:sz w:val="20"/>
                <w:szCs w:val="20"/>
              </w:rPr>
            </w:pPr>
            <w:r>
              <w:rPr>
                <w:sz w:val="20"/>
                <w:szCs w:val="20"/>
              </w:rPr>
              <w:t>/</w:t>
            </w:r>
          </w:p>
        </w:tc>
        <w:tc>
          <w:tcPr>
            <w:tcW w:w="118" w:type="dxa"/>
            <w:tcBorders>
              <w:top w:val="nil"/>
              <w:bottom w:val="nil"/>
            </w:tcBorders>
            <w:vAlign w:val="top"/>
          </w:tcPr>
          <w:p w14:paraId="24BAEFFA">
            <w:pPr>
              <w:rPr>
                <w:rFonts w:ascii="Arial"/>
                <w:sz w:val="21"/>
              </w:rPr>
            </w:pPr>
          </w:p>
        </w:tc>
      </w:tr>
      <w:tr w14:paraId="1B495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01" w:hRule="atLeast"/>
        </w:trPr>
        <w:tc>
          <w:tcPr>
            <w:tcW w:w="1886" w:type="dxa"/>
            <w:vMerge w:val="continue"/>
            <w:tcBorders>
              <w:top w:val="nil"/>
              <w:bottom w:val="nil"/>
            </w:tcBorders>
            <w:vAlign w:val="top"/>
          </w:tcPr>
          <w:p w14:paraId="12CCB723">
            <w:pPr>
              <w:rPr>
                <w:rFonts w:ascii="Arial"/>
                <w:sz w:val="21"/>
              </w:rPr>
            </w:pPr>
          </w:p>
        </w:tc>
        <w:tc>
          <w:tcPr>
            <w:tcW w:w="113" w:type="dxa"/>
            <w:tcBorders>
              <w:top w:val="nil"/>
              <w:bottom w:val="nil"/>
            </w:tcBorders>
            <w:vAlign w:val="top"/>
          </w:tcPr>
          <w:p w14:paraId="7DBDD5CC">
            <w:pPr>
              <w:rPr>
                <w:rFonts w:ascii="Arial"/>
                <w:sz w:val="21"/>
              </w:rPr>
            </w:pPr>
          </w:p>
        </w:tc>
        <w:tc>
          <w:tcPr>
            <w:tcW w:w="1879" w:type="dxa"/>
            <w:vMerge w:val="continue"/>
            <w:tcBorders>
              <w:top w:val="nil"/>
              <w:bottom w:val="nil"/>
            </w:tcBorders>
            <w:vAlign w:val="top"/>
          </w:tcPr>
          <w:p w14:paraId="650D6ECC">
            <w:pPr>
              <w:rPr>
                <w:rFonts w:ascii="Arial"/>
                <w:sz w:val="21"/>
              </w:rPr>
            </w:pPr>
          </w:p>
        </w:tc>
        <w:tc>
          <w:tcPr>
            <w:tcW w:w="795" w:type="dxa"/>
            <w:vMerge w:val="continue"/>
            <w:tcBorders>
              <w:top w:val="nil"/>
            </w:tcBorders>
            <w:vAlign w:val="top"/>
          </w:tcPr>
          <w:p w14:paraId="6D6E6FAA">
            <w:pPr>
              <w:rPr>
                <w:rFonts w:ascii="Arial"/>
                <w:sz w:val="21"/>
              </w:rPr>
            </w:pPr>
          </w:p>
        </w:tc>
        <w:tc>
          <w:tcPr>
            <w:tcW w:w="788" w:type="dxa"/>
            <w:vAlign w:val="top"/>
          </w:tcPr>
          <w:p w14:paraId="781CE107">
            <w:pPr>
              <w:pStyle w:val="6"/>
              <w:spacing w:before="293" w:line="221" w:lineRule="auto"/>
              <w:ind w:left="100"/>
              <w:rPr>
                <w:sz w:val="20"/>
                <w:szCs w:val="20"/>
              </w:rPr>
            </w:pPr>
            <w:r>
              <w:rPr>
                <w:spacing w:val="-4"/>
                <w:sz w:val="20"/>
                <w:szCs w:val="20"/>
              </w:rPr>
              <w:t>资源开</w:t>
            </w:r>
          </w:p>
          <w:p w14:paraId="2FDC37AE">
            <w:pPr>
              <w:pStyle w:val="6"/>
              <w:spacing w:before="19" w:line="242" w:lineRule="auto"/>
              <w:ind w:left="193" w:right="97" w:hanging="98"/>
              <w:rPr>
                <w:sz w:val="20"/>
                <w:szCs w:val="20"/>
              </w:rPr>
            </w:pPr>
            <w:r>
              <w:rPr>
                <w:spacing w:val="-4"/>
                <w:sz w:val="20"/>
                <w:szCs w:val="20"/>
              </w:rPr>
              <w:t>发效率</w:t>
            </w:r>
            <w:r>
              <w:rPr>
                <w:spacing w:val="1"/>
                <w:sz w:val="20"/>
                <w:szCs w:val="20"/>
              </w:rPr>
              <w:t xml:space="preserve"> </w:t>
            </w:r>
            <w:r>
              <w:rPr>
                <w:spacing w:val="-2"/>
                <w:sz w:val="20"/>
                <w:szCs w:val="20"/>
              </w:rPr>
              <w:t>要求</w:t>
            </w:r>
          </w:p>
        </w:tc>
        <w:tc>
          <w:tcPr>
            <w:tcW w:w="4868" w:type="dxa"/>
            <w:vAlign w:val="top"/>
          </w:tcPr>
          <w:p w14:paraId="119CF7BE">
            <w:pPr>
              <w:pStyle w:val="6"/>
              <w:spacing w:before="32"/>
              <w:ind w:left="45" w:right="2624" w:firstLine="2"/>
              <w:rPr>
                <w:sz w:val="20"/>
                <w:szCs w:val="20"/>
              </w:rPr>
            </w:pPr>
            <w:r>
              <w:rPr>
                <w:spacing w:val="-1"/>
                <w:sz w:val="20"/>
                <w:szCs w:val="20"/>
              </w:rPr>
              <w:t>水资源利用总量要求暂无</w:t>
            </w:r>
            <w:r>
              <w:rPr>
                <w:sz w:val="20"/>
                <w:szCs w:val="20"/>
              </w:rPr>
              <w:t xml:space="preserve"> </w:t>
            </w:r>
            <w:r>
              <w:rPr>
                <w:spacing w:val="-1"/>
                <w:sz w:val="20"/>
                <w:szCs w:val="20"/>
              </w:rPr>
              <w:t>地下水开采要求暂无</w:t>
            </w:r>
          </w:p>
          <w:p w14:paraId="177DB734">
            <w:pPr>
              <w:pStyle w:val="6"/>
              <w:spacing w:line="239" w:lineRule="auto"/>
              <w:ind w:left="45" w:right="2225" w:firstLine="7"/>
              <w:rPr>
                <w:sz w:val="20"/>
                <w:szCs w:val="20"/>
              </w:rPr>
            </w:pPr>
            <w:r>
              <w:rPr>
                <w:spacing w:val="-2"/>
                <w:sz w:val="20"/>
                <w:szCs w:val="20"/>
              </w:rPr>
              <w:t>能源利用总量及效率要求暂无</w:t>
            </w:r>
            <w:r>
              <w:rPr>
                <w:spacing w:val="9"/>
                <w:sz w:val="20"/>
                <w:szCs w:val="20"/>
              </w:rPr>
              <w:t xml:space="preserve"> </w:t>
            </w:r>
            <w:r>
              <w:rPr>
                <w:spacing w:val="-1"/>
                <w:sz w:val="20"/>
                <w:szCs w:val="20"/>
              </w:rPr>
              <w:t>禁燃区要求暂无</w:t>
            </w:r>
          </w:p>
          <w:p w14:paraId="7998F030">
            <w:pPr>
              <w:pStyle w:val="6"/>
              <w:spacing w:line="203" w:lineRule="auto"/>
              <w:ind w:left="46"/>
              <w:rPr>
                <w:sz w:val="20"/>
                <w:szCs w:val="20"/>
              </w:rPr>
            </w:pPr>
            <w:r>
              <w:rPr>
                <w:spacing w:val="-1"/>
                <w:sz w:val="20"/>
                <w:szCs w:val="20"/>
              </w:rPr>
              <w:t>其他资源利用效率要求暂无</w:t>
            </w:r>
          </w:p>
        </w:tc>
        <w:tc>
          <w:tcPr>
            <w:tcW w:w="2632" w:type="dxa"/>
            <w:vAlign w:val="top"/>
          </w:tcPr>
          <w:p w14:paraId="3CF23C34">
            <w:pPr>
              <w:spacing w:line="242" w:lineRule="auto"/>
              <w:rPr>
                <w:rFonts w:ascii="Arial"/>
                <w:sz w:val="21"/>
              </w:rPr>
            </w:pPr>
          </w:p>
          <w:p w14:paraId="7FFA7011">
            <w:pPr>
              <w:spacing w:line="242" w:lineRule="auto"/>
              <w:rPr>
                <w:rFonts w:ascii="Arial"/>
                <w:sz w:val="21"/>
              </w:rPr>
            </w:pPr>
          </w:p>
          <w:p w14:paraId="0390993A">
            <w:pPr>
              <w:pStyle w:val="6"/>
              <w:spacing w:before="65" w:line="225" w:lineRule="auto"/>
              <w:ind w:left="1265"/>
              <w:rPr>
                <w:sz w:val="20"/>
                <w:szCs w:val="20"/>
              </w:rPr>
            </w:pPr>
            <w:r>
              <w:rPr>
                <w:sz w:val="20"/>
                <w:szCs w:val="20"/>
              </w:rPr>
              <w:t>/</w:t>
            </w:r>
          </w:p>
        </w:tc>
        <w:tc>
          <w:tcPr>
            <w:tcW w:w="513" w:type="dxa"/>
            <w:vAlign w:val="top"/>
          </w:tcPr>
          <w:p w14:paraId="19E91D8C">
            <w:pPr>
              <w:spacing w:line="242" w:lineRule="auto"/>
              <w:rPr>
                <w:rFonts w:ascii="Arial"/>
                <w:sz w:val="21"/>
              </w:rPr>
            </w:pPr>
          </w:p>
          <w:p w14:paraId="09C6E274">
            <w:pPr>
              <w:spacing w:line="242" w:lineRule="auto"/>
              <w:rPr>
                <w:rFonts w:ascii="Arial"/>
                <w:sz w:val="21"/>
              </w:rPr>
            </w:pPr>
          </w:p>
          <w:p w14:paraId="7AF044B2">
            <w:pPr>
              <w:pStyle w:val="6"/>
              <w:spacing w:before="65" w:line="225" w:lineRule="auto"/>
              <w:ind w:left="207"/>
              <w:rPr>
                <w:sz w:val="20"/>
                <w:szCs w:val="20"/>
              </w:rPr>
            </w:pPr>
            <w:r>
              <w:rPr>
                <w:sz w:val="20"/>
                <w:szCs w:val="20"/>
              </w:rPr>
              <w:t>/</w:t>
            </w:r>
          </w:p>
        </w:tc>
        <w:tc>
          <w:tcPr>
            <w:tcW w:w="118" w:type="dxa"/>
            <w:tcBorders>
              <w:top w:val="nil"/>
              <w:bottom w:val="nil"/>
            </w:tcBorders>
            <w:vAlign w:val="top"/>
          </w:tcPr>
          <w:p w14:paraId="014D5F77">
            <w:pPr>
              <w:rPr>
                <w:rFonts w:ascii="Arial"/>
                <w:sz w:val="21"/>
              </w:rPr>
            </w:pPr>
          </w:p>
        </w:tc>
      </w:tr>
      <w:tr w14:paraId="3126B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0" w:hRule="atLeast"/>
        </w:trPr>
        <w:tc>
          <w:tcPr>
            <w:tcW w:w="1886" w:type="dxa"/>
            <w:vMerge w:val="continue"/>
            <w:tcBorders>
              <w:top w:val="nil"/>
              <w:bottom w:val="nil"/>
            </w:tcBorders>
            <w:vAlign w:val="top"/>
          </w:tcPr>
          <w:p w14:paraId="12243105">
            <w:pPr>
              <w:rPr>
                <w:rFonts w:ascii="Arial"/>
                <w:sz w:val="21"/>
              </w:rPr>
            </w:pPr>
          </w:p>
        </w:tc>
        <w:tc>
          <w:tcPr>
            <w:tcW w:w="113" w:type="dxa"/>
            <w:tcBorders>
              <w:top w:val="nil"/>
              <w:bottom w:val="nil"/>
            </w:tcBorders>
            <w:vAlign w:val="top"/>
          </w:tcPr>
          <w:p w14:paraId="7F73AC30">
            <w:pPr>
              <w:rPr>
                <w:rFonts w:ascii="Arial"/>
                <w:sz w:val="21"/>
              </w:rPr>
            </w:pPr>
          </w:p>
        </w:tc>
        <w:tc>
          <w:tcPr>
            <w:tcW w:w="1879" w:type="dxa"/>
            <w:vMerge w:val="continue"/>
            <w:tcBorders>
              <w:top w:val="nil"/>
            </w:tcBorders>
            <w:vAlign w:val="top"/>
          </w:tcPr>
          <w:p w14:paraId="1156BA22">
            <w:pPr>
              <w:rPr>
                <w:rFonts w:ascii="Arial"/>
                <w:sz w:val="21"/>
              </w:rPr>
            </w:pPr>
          </w:p>
        </w:tc>
        <w:tc>
          <w:tcPr>
            <w:tcW w:w="795" w:type="dxa"/>
            <w:vAlign w:val="top"/>
          </w:tcPr>
          <w:p w14:paraId="7811270C">
            <w:pPr>
              <w:spacing w:line="375" w:lineRule="auto"/>
              <w:rPr>
                <w:rFonts w:ascii="Arial"/>
                <w:sz w:val="21"/>
              </w:rPr>
            </w:pPr>
          </w:p>
          <w:p w14:paraId="3835ABD8">
            <w:pPr>
              <w:pStyle w:val="6"/>
              <w:spacing w:before="65" w:line="221" w:lineRule="auto"/>
              <w:ind w:left="96"/>
              <w:rPr>
                <w:sz w:val="20"/>
                <w:szCs w:val="20"/>
              </w:rPr>
            </w:pPr>
            <w:r>
              <w:rPr>
                <w:spacing w:val="-2"/>
                <w:sz w:val="20"/>
                <w:szCs w:val="20"/>
              </w:rPr>
              <w:t>单元级</w:t>
            </w:r>
          </w:p>
          <w:p w14:paraId="6BB71E54">
            <w:pPr>
              <w:pStyle w:val="6"/>
              <w:spacing w:before="20" w:line="220" w:lineRule="auto"/>
              <w:ind w:left="94"/>
              <w:rPr>
                <w:sz w:val="20"/>
                <w:szCs w:val="20"/>
              </w:rPr>
            </w:pPr>
            <w:r>
              <w:rPr>
                <w:spacing w:val="-2"/>
                <w:sz w:val="20"/>
                <w:szCs w:val="20"/>
              </w:rPr>
              <w:t>清单管</w:t>
            </w:r>
          </w:p>
          <w:p w14:paraId="4444C860">
            <w:pPr>
              <w:pStyle w:val="6"/>
              <w:spacing w:before="20" w:line="221" w:lineRule="auto"/>
              <w:ind w:left="94"/>
              <w:rPr>
                <w:sz w:val="20"/>
                <w:szCs w:val="20"/>
              </w:rPr>
            </w:pPr>
            <w:r>
              <w:rPr>
                <w:spacing w:val="-2"/>
                <w:sz w:val="20"/>
                <w:szCs w:val="20"/>
              </w:rPr>
              <w:t>控要求</w:t>
            </w:r>
          </w:p>
        </w:tc>
        <w:tc>
          <w:tcPr>
            <w:tcW w:w="788" w:type="dxa"/>
            <w:vAlign w:val="top"/>
          </w:tcPr>
          <w:p w14:paraId="664A09ED">
            <w:pPr>
              <w:spacing w:line="252" w:lineRule="auto"/>
              <w:rPr>
                <w:rFonts w:ascii="Arial"/>
                <w:sz w:val="21"/>
              </w:rPr>
            </w:pPr>
          </w:p>
          <w:p w14:paraId="4D99611C">
            <w:pPr>
              <w:spacing w:line="252" w:lineRule="auto"/>
              <w:rPr>
                <w:rFonts w:ascii="Arial"/>
                <w:sz w:val="21"/>
              </w:rPr>
            </w:pPr>
          </w:p>
          <w:p w14:paraId="6DD021C3">
            <w:pPr>
              <w:pStyle w:val="6"/>
              <w:spacing w:before="65" w:line="219" w:lineRule="auto"/>
              <w:ind w:left="98"/>
              <w:rPr>
                <w:sz w:val="20"/>
                <w:szCs w:val="20"/>
              </w:rPr>
            </w:pPr>
            <w:r>
              <w:rPr>
                <w:spacing w:val="-3"/>
                <w:sz w:val="20"/>
                <w:szCs w:val="20"/>
              </w:rPr>
              <w:t>空间布</w:t>
            </w:r>
          </w:p>
          <w:p w14:paraId="179FD578">
            <w:pPr>
              <w:pStyle w:val="6"/>
              <w:spacing w:before="21" w:line="220" w:lineRule="auto"/>
              <w:ind w:left="94"/>
              <w:rPr>
                <w:sz w:val="20"/>
                <w:szCs w:val="20"/>
              </w:rPr>
            </w:pPr>
            <w:r>
              <w:rPr>
                <w:spacing w:val="-3"/>
                <w:sz w:val="20"/>
                <w:szCs w:val="20"/>
              </w:rPr>
              <w:t>局约束</w:t>
            </w:r>
          </w:p>
        </w:tc>
        <w:tc>
          <w:tcPr>
            <w:tcW w:w="4868" w:type="dxa"/>
            <w:vAlign w:val="top"/>
          </w:tcPr>
          <w:p w14:paraId="7E8637F5">
            <w:pPr>
              <w:pStyle w:val="6"/>
              <w:spacing w:before="33" w:line="220" w:lineRule="auto"/>
              <w:ind w:left="45"/>
              <w:rPr>
                <w:sz w:val="20"/>
                <w:szCs w:val="20"/>
              </w:rPr>
            </w:pPr>
            <w:r>
              <w:rPr>
                <w:spacing w:val="-1"/>
                <w:sz w:val="20"/>
                <w:szCs w:val="20"/>
              </w:rPr>
              <w:t>禁止开发建设活动的要求</w:t>
            </w:r>
          </w:p>
          <w:p w14:paraId="78399CB0">
            <w:pPr>
              <w:pStyle w:val="6"/>
              <w:spacing w:before="21" w:line="221" w:lineRule="auto"/>
              <w:ind w:left="59"/>
              <w:rPr>
                <w:sz w:val="20"/>
                <w:szCs w:val="20"/>
              </w:rPr>
            </w:pPr>
            <w:r>
              <w:rPr>
                <w:spacing w:val="-2"/>
                <w:sz w:val="20"/>
                <w:szCs w:val="20"/>
              </w:rPr>
              <w:t>限制开发建设活动的要求</w:t>
            </w:r>
          </w:p>
          <w:p w14:paraId="2BA8053D">
            <w:pPr>
              <w:pStyle w:val="6"/>
              <w:spacing w:before="21" w:line="239" w:lineRule="auto"/>
              <w:ind w:left="44" w:right="50" w:firstLine="1"/>
            </w:pPr>
            <w:r>
              <w:rPr>
                <w:spacing w:val="-3"/>
              </w:rPr>
              <w:t>严控磷铵、黄磷等产业违规新增产能加快退出不符合</w:t>
            </w:r>
            <w:r>
              <w:rPr>
                <w:spacing w:val="3"/>
              </w:rPr>
              <w:t xml:space="preserve"> </w:t>
            </w:r>
            <w:r>
              <w:rPr>
                <w:spacing w:val="-3"/>
              </w:rPr>
              <w:t>产业政策和环保要求、不满足安全生产条件的涉磷企</w:t>
            </w:r>
            <w:r>
              <w:rPr>
                <w:spacing w:val="5"/>
              </w:rPr>
              <w:t xml:space="preserve"> </w:t>
            </w:r>
            <w:r>
              <w:t>业</w:t>
            </w:r>
          </w:p>
          <w:p w14:paraId="1C202895">
            <w:pPr>
              <w:pStyle w:val="6"/>
              <w:spacing w:line="193" w:lineRule="auto"/>
              <w:ind w:left="52"/>
              <w:rPr>
                <w:sz w:val="20"/>
                <w:szCs w:val="20"/>
              </w:rPr>
            </w:pPr>
            <w:r>
              <w:rPr>
                <w:spacing w:val="-2"/>
                <w:sz w:val="20"/>
                <w:szCs w:val="20"/>
              </w:rPr>
              <w:t>允许开发建设活动的要求</w:t>
            </w:r>
          </w:p>
        </w:tc>
        <w:tc>
          <w:tcPr>
            <w:tcW w:w="2632" w:type="dxa"/>
            <w:vAlign w:val="top"/>
          </w:tcPr>
          <w:p w14:paraId="53BE94AA">
            <w:pPr>
              <w:spacing w:line="244" w:lineRule="auto"/>
              <w:rPr>
                <w:rFonts w:ascii="Arial"/>
                <w:sz w:val="21"/>
              </w:rPr>
            </w:pPr>
          </w:p>
          <w:p w14:paraId="3886D314">
            <w:pPr>
              <w:spacing w:line="244" w:lineRule="auto"/>
              <w:rPr>
                <w:rFonts w:ascii="Arial"/>
                <w:sz w:val="21"/>
              </w:rPr>
            </w:pPr>
          </w:p>
          <w:p w14:paraId="4E23B40D">
            <w:pPr>
              <w:pStyle w:val="6"/>
              <w:spacing w:before="69" w:line="220" w:lineRule="auto"/>
              <w:ind w:left="87"/>
            </w:pPr>
            <w:r>
              <w:rPr>
                <w:spacing w:val="-1"/>
                <w:sz w:val="20"/>
                <w:szCs w:val="20"/>
              </w:rPr>
              <w:t>本项目不属于</w:t>
            </w:r>
            <w:r>
              <w:rPr>
                <w:spacing w:val="-1"/>
              </w:rPr>
              <w:t>磷铵、黄磷等</w:t>
            </w:r>
          </w:p>
          <w:p w14:paraId="505CBF15">
            <w:pPr>
              <w:pStyle w:val="6"/>
              <w:spacing w:before="22" w:line="220" w:lineRule="auto"/>
              <w:ind w:left="1001"/>
            </w:pPr>
            <w:r>
              <w:rPr>
                <w:spacing w:val="-9"/>
              </w:rPr>
              <w:t>产业。</w:t>
            </w:r>
          </w:p>
        </w:tc>
        <w:tc>
          <w:tcPr>
            <w:tcW w:w="513" w:type="dxa"/>
            <w:vAlign w:val="top"/>
          </w:tcPr>
          <w:p w14:paraId="4314EB88">
            <w:pPr>
              <w:spacing w:line="316" w:lineRule="auto"/>
              <w:rPr>
                <w:rFonts w:ascii="Arial"/>
                <w:sz w:val="21"/>
              </w:rPr>
            </w:pPr>
          </w:p>
          <w:p w14:paraId="76811EC8">
            <w:pPr>
              <w:spacing w:line="317" w:lineRule="auto"/>
              <w:rPr>
                <w:rFonts w:ascii="Arial"/>
                <w:sz w:val="21"/>
              </w:rPr>
            </w:pPr>
          </w:p>
          <w:p w14:paraId="5FAAC0FA">
            <w:pPr>
              <w:pStyle w:val="6"/>
              <w:spacing w:before="65" w:line="225" w:lineRule="auto"/>
              <w:ind w:left="207"/>
              <w:rPr>
                <w:sz w:val="20"/>
                <w:szCs w:val="20"/>
              </w:rPr>
            </w:pPr>
            <w:r>
              <w:rPr>
                <w:sz w:val="20"/>
                <w:szCs w:val="20"/>
              </w:rPr>
              <w:t>/</w:t>
            </w:r>
          </w:p>
        </w:tc>
        <w:tc>
          <w:tcPr>
            <w:tcW w:w="118" w:type="dxa"/>
            <w:tcBorders>
              <w:top w:val="nil"/>
              <w:bottom w:val="nil"/>
            </w:tcBorders>
            <w:vAlign w:val="top"/>
          </w:tcPr>
          <w:p w14:paraId="56FAD5DE">
            <w:pPr>
              <w:rPr>
                <w:rFonts w:ascii="Arial"/>
                <w:sz w:val="21"/>
              </w:rPr>
            </w:pPr>
          </w:p>
        </w:tc>
      </w:tr>
      <w:tr w14:paraId="06603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5" w:hRule="atLeast"/>
        </w:trPr>
        <w:tc>
          <w:tcPr>
            <w:tcW w:w="1886" w:type="dxa"/>
            <w:vMerge w:val="continue"/>
            <w:tcBorders>
              <w:top w:val="nil"/>
            </w:tcBorders>
            <w:vAlign w:val="top"/>
          </w:tcPr>
          <w:p w14:paraId="0DE453C7">
            <w:pPr>
              <w:rPr>
                <w:rFonts w:ascii="Arial"/>
                <w:sz w:val="21"/>
              </w:rPr>
            </w:pPr>
          </w:p>
        </w:tc>
        <w:tc>
          <w:tcPr>
            <w:tcW w:w="11706" w:type="dxa"/>
            <w:gridSpan w:val="8"/>
            <w:vAlign w:val="top"/>
          </w:tcPr>
          <w:p w14:paraId="24CA22E4">
            <w:pPr>
              <w:spacing w:line="155" w:lineRule="exact"/>
              <w:rPr>
                <w:rFonts w:ascii="Arial"/>
                <w:sz w:val="13"/>
              </w:rPr>
            </w:pPr>
          </w:p>
        </w:tc>
      </w:tr>
    </w:tbl>
    <w:p w14:paraId="6C3EA00F">
      <w:pPr>
        <w:rPr>
          <w:rFonts w:ascii="Arial"/>
          <w:sz w:val="21"/>
        </w:rPr>
      </w:pPr>
    </w:p>
    <w:p w14:paraId="48061AAE">
      <w:pPr>
        <w:rPr>
          <w:rFonts w:ascii="Arial" w:hAnsi="Arial" w:eastAsia="Arial" w:cs="Arial"/>
          <w:sz w:val="21"/>
          <w:szCs w:val="21"/>
        </w:rPr>
        <w:sectPr>
          <w:footerReference r:id="rId19" w:type="default"/>
          <w:pgSz w:w="16839" w:h="11907"/>
          <w:pgMar w:top="1012" w:right="1620" w:bottom="1055" w:left="1621" w:header="0" w:footer="802" w:gutter="0"/>
          <w:cols w:space="720" w:num="1"/>
        </w:sectPr>
      </w:pPr>
    </w:p>
    <w:p w14:paraId="2242486C">
      <w:pPr>
        <w:spacing w:before="18"/>
      </w:pPr>
    </w:p>
    <w:p w14:paraId="1C3B719A">
      <w:pPr>
        <w:spacing w:before="18"/>
      </w:pPr>
    </w:p>
    <w:tbl>
      <w:tblPr>
        <w:tblStyle w:val="5"/>
        <w:tblW w:w="135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6"/>
        <w:gridCol w:w="113"/>
        <w:gridCol w:w="1879"/>
        <w:gridCol w:w="795"/>
        <w:gridCol w:w="788"/>
        <w:gridCol w:w="4868"/>
        <w:gridCol w:w="2632"/>
        <w:gridCol w:w="513"/>
        <w:gridCol w:w="118"/>
      </w:tblGrid>
      <w:tr w14:paraId="741AC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1886" w:type="dxa"/>
            <w:vMerge w:val="restart"/>
            <w:tcBorders>
              <w:bottom w:val="nil"/>
            </w:tcBorders>
            <w:vAlign w:val="top"/>
          </w:tcPr>
          <w:p w14:paraId="5C6173D9">
            <w:pPr>
              <w:rPr>
                <w:rFonts w:ascii="Arial"/>
                <w:sz w:val="21"/>
              </w:rPr>
            </w:pPr>
          </w:p>
        </w:tc>
        <w:tc>
          <w:tcPr>
            <w:tcW w:w="113" w:type="dxa"/>
            <w:tcBorders>
              <w:bottom w:val="nil"/>
            </w:tcBorders>
            <w:vAlign w:val="top"/>
          </w:tcPr>
          <w:p w14:paraId="4E640828">
            <w:pPr>
              <w:rPr>
                <w:rFonts w:ascii="Arial"/>
                <w:sz w:val="21"/>
              </w:rPr>
            </w:pPr>
          </w:p>
        </w:tc>
        <w:tc>
          <w:tcPr>
            <w:tcW w:w="1879" w:type="dxa"/>
            <w:vMerge w:val="restart"/>
            <w:tcBorders>
              <w:bottom w:val="nil"/>
            </w:tcBorders>
            <w:vAlign w:val="top"/>
          </w:tcPr>
          <w:p w14:paraId="5DA21A4D">
            <w:pPr>
              <w:rPr>
                <w:rFonts w:ascii="Arial"/>
                <w:sz w:val="21"/>
              </w:rPr>
            </w:pPr>
          </w:p>
        </w:tc>
        <w:tc>
          <w:tcPr>
            <w:tcW w:w="795" w:type="dxa"/>
            <w:vMerge w:val="restart"/>
            <w:tcBorders>
              <w:bottom w:val="nil"/>
            </w:tcBorders>
            <w:vAlign w:val="top"/>
          </w:tcPr>
          <w:p w14:paraId="0C2032E2">
            <w:pPr>
              <w:rPr>
                <w:rFonts w:ascii="Arial"/>
                <w:sz w:val="21"/>
              </w:rPr>
            </w:pPr>
          </w:p>
        </w:tc>
        <w:tc>
          <w:tcPr>
            <w:tcW w:w="788" w:type="dxa"/>
            <w:vAlign w:val="top"/>
          </w:tcPr>
          <w:p w14:paraId="32C21A5B">
            <w:pPr>
              <w:rPr>
                <w:rFonts w:ascii="Arial"/>
                <w:sz w:val="21"/>
              </w:rPr>
            </w:pPr>
          </w:p>
        </w:tc>
        <w:tc>
          <w:tcPr>
            <w:tcW w:w="4868" w:type="dxa"/>
            <w:vAlign w:val="top"/>
          </w:tcPr>
          <w:p w14:paraId="27460EA4">
            <w:pPr>
              <w:pStyle w:val="6"/>
              <w:spacing w:before="44" w:line="241" w:lineRule="auto"/>
              <w:ind w:left="46" w:right="1623" w:firstLine="2"/>
              <w:rPr>
                <w:sz w:val="20"/>
                <w:szCs w:val="20"/>
              </w:rPr>
            </w:pPr>
            <w:r>
              <w:rPr>
                <w:spacing w:val="-1"/>
                <w:sz w:val="20"/>
                <w:szCs w:val="20"/>
              </w:rPr>
              <w:t>不符合空间布局要求活动的退出要求</w:t>
            </w:r>
            <w:r>
              <w:rPr>
                <w:spacing w:val="5"/>
                <w:sz w:val="20"/>
                <w:szCs w:val="20"/>
              </w:rPr>
              <w:t xml:space="preserve"> </w:t>
            </w:r>
            <w:r>
              <w:rPr>
                <w:spacing w:val="-1"/>
                <w:sz w:val="20"/>
                <w:szCs w:val="20"/>
              </w:rPr>
              <w:t>其他空间布局约束要求</w:t>
            </w:r>
          </w:p>
        </w:tc>
        <w:tc>
          <w:tcPr>
            <w:tcW w:w="2632" w:type="dxa"/>
            <w:vAlign w:val="top"/>
          </w:tcPr>
          <w:p w14:paraId="0D6511F0">
            <w:pPr>
              <w:rPr>
                <w:rFonts w:ascii="Arial"/>
                <w:sz w:val="21"/>
              </w:rPr>
            </w:pPr>
          </w:p>
        </w:tc>
        <w:tc>
          <w:tcPr>
            <w:tcW w:w="513" w:type="dxa"/>
            <w:vAlign w:val="top"/>
          </w:tcPr>
          <w:p w14:paraId="0371D973">
            <w:pPr>
              <w:rPr>
                <w:rFonts w:ascii="Arial"/>
                <w:sz w:val="21"/>
              </w:rPr>
            </w:pPr>
          </w:p>
        </w:tc>
        <w:tc>
          <w:tcPr>
            <w:tcW w:w="118" w:type="dxa"/>
            <w:tcBorders>
              <w:bottom w:val="nil"/>
            </w:tcBorders>
            <w:vAlign w:val="top"/>
          </w:tcPr>
          <w:p w14:paraId="1B1264BF">
            <w:pPr>
              <w:rPr>
                <w:rFonts w:ascii="Arial"/>
                <w:sz w:val="21"/>
              </w:rPr>
            </w:pPr>
          </w:p>
        </w:tc>
      </w:tr>
      <w:tr w14:paraId="1D0FC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9" w:hRule="atLeast"/>
        </w:trPr>
        <w:tc>
          <w:tcPr>
            <w:tcW w:w="1886" w:type="dxa"/>
            <w:vMerge w:val="continue"/>
            <w:tcBorders>
              <w:top w:val="nil"/>
              <w:bottom w:val="nil"/>
            </w:tcBorders>
            <w:vAlign w:val="top"/>
          </w:tcPr>
          <w:p w14:paraId="37305833">
            <w:pPr>
              <w:rPr>
                <w:rFonts w:ascii="Arial"/>
                <w:sz w:val="21"/>
              </w:rPr>
            </w:pPr>
          </w:p>
        </w:tc>
        <w:tc>
          <w:tcPr>
            <w:tcW w:w="113" w:type="dxa"/>
            <w:tcBorders>
              <w:top w:val="nil"/>
              <w:bottom w:val="nil"/>
            </w:tcBorders>
            <w:vAlign w:val="top"/>
          </w:tcPr>
          <w:p w14:paraId="1678ACD6">
            <w:pPr>
              <w:rPr>
                <w:rFonts w:ascii="Arial"/>
                <w:sz w:val="21"/>
              </w:rPr>
            </w:pPr>
          </w:p>
        </w:tc>
        <w:tc>
          <w:tcPr>
            <w:tcW w:w="1879" w:type="dxa"/>
            <w:vMerge w:val="continue"/>
            <w:tcBorders>
              <w:top w:val="nil"/>
              <w:bottom w:val="nil"/>
            </w:tcBorders>
            <w:vAlign w:val="top"/>
          </w:tcPr>
          <w:p w14:paraId="106A3082">
            <w:pPr>
              <w:rPr>
                <w:rFonts w:ascii="Arial"/>
                <w:sz w:val="21"/>
              </w:rPr>
            </w:pPr>
          </w:p>
        </w:tc>
        <w:tc>
          <w:tcPr>
            <w:tcW w:w="795" w:type="dxa"/>
            <w:vMerge w:val="continue"/>
            <w:tcBorders>
              <w:top w:val="nil"/>
              <w:bottom w:val="nil"/>
            </w:tcBorders>
            <w:vAlign w:val="top"/>
          </w:tcPr>
          <w:p w14:paraId="3D2322E6">
            <w:pPr>
              <w:rPr>
                <w:rFonts w:ascii="Arial"/>
                <w:sz w:val="21"/>
              </w:rPr>
            </w:pPr>
          </w:p>
        </w:tc>
        <w:tc>
          <w:tcPr>
            <w:tcW w:w="788" w:type="dxa"/>
            <w:vAlign w:val="top"/>
          </w:tcPr>
          <w:p w14:paraId="50CA0A8C">
            <w:pPr>
              <w:spacing w:line="269" w:lineRule="auto"/>
              <w:rPr>
                <w:rFonts w:ascii="Arial"/>
                <w:sz w:val="21"/>
              </w:rPr>
            </w:pPr>
          </w:p>
          <w:p w14:paraId="0E95C51F">
            <w:pPr>
              <w:spacing w:line="269" w:lineRule="auto"/>
              <w:rPr>
                <w:rFonts w:ascii="Arial"/>
                <w:sz w:val="21"/>
              </w:rPr>
            </w:pPr>
          </w:p>
          <w:p w14:paraId="4161216D">
            <w:pPr>
              <w:spacing w:line="269" w:lineRule="auto"/>
              <w:rPr>
                <w:rFonts w:ascii="Arial"/>
                <w:sz w:val="21"/>
              </w:rPr>
            </w:pPr>
          </w:p>
          <w:p w14:paraId="2BA8E031">
            <w:pPr>
              <w:spacing w:line="269" w:lineRule="auto"/>
              <w:rPr>
                <w:rFonts w:ascii="Arial"/>
                <w:sz w:val="21"/>
              </w:rPr>
            </w:pPr>
          </w:p>
          <w:p w14:paraId="6D8DF3D2">
            <w:pPr>
              <w:spacing w:line="270" w:lineRule="auto"/>
              <w:rPr>
                <w:rFonts w:ascii="Arial"/>
                <w:sz w:val="21"/>
              </w:rPr>
            </w:pPr>
          </w:p>
          <w:p w14:paraId="171BCEE7">
            <w:pPr>
              <w:spacing w:line="270" w:lineRule="auto"/>
              <w:rPr>
                <w:rFonts w:ascii="Arial"/>
                <w:sz w:val="21"/>
              </w:rPr>
            </w:pPr>
          </w:p>
          <w:p w14:paraId="094D08E2">
            <w:pPr>
              <w:spacing w:line="270" w:lineRule="auto"/>
              <w:rPr>
                <w:rFonts w:ascii="Arial"/>
                <w:sz w:val="21"/>
              </w:rPr>
            </w:pPr>
          </w:p>
          <w:p w14:paraId="4699E5D4">
            <w:pPr>
              <w:spacing w:line="270" w:lineRule="auto"/>
              <w:rPr>
                <w:rFonts w:ascii="Arial"/>
                <w:sz w:val="21"/>
              </w:rPr>
            </w:pPr>
          </w:p>
          <w:p w14:paraId="3D7A8397">
            <w:pPr>
              <w:pStyle w:val="6"/>
              <w:spacing w:before="65" w:line="221" w:lineRule="auto"/>
              <w:ind w:left="93"/>
              <w:rPr>
                <w:sz w:val="20"/>
                <w:szCs w:val="20"/>
              </w:rPr>
            </w:pPr>
            <w:r>
              <w:rPr>
                <w:spacing w:val="-2"/>
                <w:sz w:val="20"/>
                <w:szCs w:val="20"/>
              </w:rPr>
              <w:t>污染物</w:t>
            </w:r>
          </w:p>
          <w:p w14:paraId="2C2B2B62">
            <w:pPr>
              <w:pStyle w:val="6"/>
              <w:spacing w:before="19" w:line="243" w:lineRule="auto"/>
              <w:ind w:left="290" w:right="97" w:hanging="199"/>
              <w:rPr>
                <w:sz w:val="20"/>
                <w:szCs w:val="20"/>
              </w:rPr>
            </w:pPr>
            <w:r>
              <w:rPr>
                <w:spacing w:val="-3"/>
                <w:sz w:val="20"/>
                <w:szCs w:val="20"/>
              </w:rPr>
              <w:t>排放管</w:t>
            </w:r>
            <w:r>
              <w:rPr>
                <w:spacing w:val="1"/>
                <w:sz w:val="20"/>
                <w:szCs w:val="20"/>
              </w:rPr>
              <w:t xml:space="preserve"> </w:t>
            </w:r>
            <w:r>
              <w:rPr>
                <w:sz w:val="20"/>
                <w:szCs w:val="20"/>
              </w:rPr>
              <w:t>控</w:t>
            </w:r>
          </w:p>
        </w:tc>
        <w:tc>
          <w:tcPr>
            <w:tcW w:w="4868" w:type="dxa"/>
            <w:vAlign w:val="top"/>
          </w:tcPr>
          <w:p w14:paraId="3F13F08A">
            <w:pPr>
              <w:pStyle w:val="6"/>
              <w:spacing w:before="30" w:line="239" w:lineRule="auto"/>
              <w:ind w:left="47" w:right="2424" w:hanging="2"/>
              <w:rPr>
                <w:sz w:val="20"/>
                <w:szCs w:val="20"/>
              </w:rPr>
            </w:pPr>
            <w:r>
              <w:rPr>
                <w:spacing w:val="-1"/>
                <w:sz w:val="20"/>
                <w:szCs w:val="20"/>
              </w:rPr>
              <w:t>城镇污水污染控制措施要求</w:t>
            </w:r>
            <w:r>
              <w:rPr>
                <w:spacing w:val="4"/>
                <w:sz w:val="20"/>
                <w:szCs w:val="20"/>
              </w:rPr>
              <w:t xml:space="preserve"> </w:t>
            </w:r>
            <w:r>
              <w:rPr>
                <w:spacing w:val="-1"/>
                <w:sz w:val="20"/>
                <w:szCs w:val="20"/>
              </w:rPr>
              <w:t>工业废水污染控制措施要求</w:t>
            </w:r>
          </w:p>
          <w:p w14:paraId="56087E60">
            <w:pPr>
              <w:pStyle w:val="6"/>
              <w:spacing w:before="1" w:line="239" w:lineRule="auto"/>
              <w:ind w:left="47" w:right="134" w:firstLine="13"/>
              <w:rPr>
                <w:sz w:val="20"/>
                <w:szCs w:val="20"/>
              </w:rPr>
            </w:pPr>
            <w:r>
              <w:rPr>
                <w:spacing w:val="-2"/>
                <w:sz w:val="20"/>
                <w:szCs w:val="20"/>
              </w:rPr>
              <w:t>1、深入实施工业企业污水处理设施升级改造，全面实</w:t>
            </w:r>
            <w:r>
              <w:rPr>
                <w:spacing w:val="15"/>
                <w:sz w:val="20"/>
                <w:szCs w:val="20"/>
              </w:rPr>
              <w:t xml:space="preserve"> </w:t>
            </w:r>
            <w:r>
              <w:rPr>
                <w:spacing w:val="-2"/>
                <w:sz w:val="20"/>
                <w:szCs w:val="20"/>
              </w:rPr>
              <w:t>现工业废水达标排放。2、强化工业集聚区污水治理，</w:t>
            </w:r>
          </w:p>
          <w:p w14:paraId="5FA6E416">
            <w:pPr>
              <w:pStyle w:val="6"/>
              <w:spacing w:before="5" w:line="239" w:lineRule="auto"/>
              <w:ind w:left="45"/>
              <w:rPr>
                <w:sz w:val="20"/>
                <w:szCs w:val="20"/>
              </w:rPr>
            </w:pPr>
            <w:r>
              <w:rPr>
                <w:spacing w:val="-2"/>
                <w:sz w:val="20"/>
                <w:szCs w:val="20"/>
              </w:rPr>
              <w:t>推进工业污水集中处理设施及配套收集系统建设与提</w:t>
            </w:r>
            <w:r>
              <w:rPr>
                <w:spacing w:val="5"/>
                <w:sz w:val="20"/>
                <w:szCs w:val="20"/>
              </w:rPr>
              <w:t xml:space="preserve">   </w:t>
            </w:r>
            <w:r>
              <w:rPr>
                <w:spacing w:val="-3"/>
                <w:sz w:val="20"/>
                <w:szCs w:val="20"/>
              </w:rPr>
              <w:t>标升级改造，大力推进现有污水收集、处理设施问题排</w:t>
            </w:r>
            <w:r>
              <w:rPr>
                <w:spacing w:val="18"/>
                <w:sz w:val="20"/>
                <w:szCs w:val="20"/>
              </w:rPr>
              <w:t xml:space="preserve"> </w:t>
            </w:r>
            <w:r>
              <w:rPr>
                <w:spacing w:val="-3"/>
                <w:sz w:val="20"/>
                <w:szCs w:val="20"/>
              </w:rPr>
              <w:t>查及整治；完善园区及企业雨污分流系统，全面推进医</w:t>
            </w:r>
            <w:r>
              <w:rPr>
                <w:spacing w:val="18"/>
                <w:sz w:val="20"/>
                <w:szCs w:val="20"/>
              </w:rPr>
              <w:t xml:space="preserve"> </w:t>
            </w:r>
            <w:r>
              <w:rPr>
                <w:spacing w:val="-3"/>
                <w:sz w:val="20"/>
                <w:szCs w:val="20"/>
              </w:rPr>
              <w:t>药、化工等行业初期雨水收集处理，推动有条件的园区</w:t>
            </w:r>
            <w:r>
              <w:rPr>
                <w:spacing w:val="18"/>
                <w:sz w:val="20"/>
                <w:szCs w:val="20"/>
              </w:rPr>
              <w:t xml:space="preserve"> </w:t>
            </w:r>
            <w:r>
              <w:rPr>
                <w:spacing w:val="-4"/>
                <w:sz w:val="20"/>
                <w:szCs w:val="20"/>
              </w:rPr>
              <w:t>实施入园企业“一企一管、明管输送、实时监测”。3、</w:t>
            </w:r>
            <w:r>
              <w:rPr>
                <w:spacing w:val="16"/>
                <w:sz w:val="20"/>
                <w:szCs w:val="20"/>
              </w:rPr>
              <w:t xml:space="preserve"> </w:t>
            </w:r>
            <w:r>
              <w:rPr>
                <w:spacing w:val="-3"/>
                <w:sz w:val="20"/>
                <w:szCs w:val="20"/>
              </w:rPr>
              <w:t>加强工业园区集中污水处理设施运行监管</w:t>
            </w:r>
            <w:r>
              <w:rPr>
                <w:rFonts w:hint="eastAsia"/>
                <w:spacing w:val="-3"/>
                <w:sz w:val="20"/>
                <w:szCs w:val="20"/>
                <w:lang w:eastAsia="zh-CN"/>
              </w:rPr>
              <w:t>，加</w:t>
            </w:r>
            <w:r>
              <w:rPr>
                <w:spacing w:val="-3"/>
                <w:sz w:val="20"/>
                <w:szCs w:val="20"/>
              </w:rPr>
              <w:t>强企业废水</w:t>
            </w:r>
            <w:r>
              <w:rPr>
                <w:spacing w:val="16"/>
                <w:sz w:val="20"/>
                <w:szCs w:val="20"/>
              </w:rPr>
              <w:t xml:space="preserve"> </w:t>
            </w:r>
            <w:r>
              <w:rPr>
                <w:spacing w:val="-3"/>
                <w:sz w:val="20"/>
                <w:szCs w:val="20"/>
              </w:rPr>
              <w:t>预处理和排水管理，鼓励纳管企业与园区污水处理厂运</w:t>
            </w:r>
            <w:r>
              <w:rPr>
                <w:spacing w:val="16"/>
                <w:sz w:val="20"/>
                <w:szCs w:val="20"/>
              </w:rPr>
              <w:t xml:space="preserve"> </w:t>
            </w:r>
            <w:r>
              <w:rPr>
                <w:spacing w:val="-4"/>
                <w:sz w:val="20"/>
                <w:szCs w:val="20"/>
              </w:rPr>
              <w:t>营单位通过签订委托处理合同等方式协同处理废水。4、</w:t>
            </w:r>
            <w:r>
              <w:rPr>
                <w:spacing w:val="16"/>
                <w:sz w:val="20"/>
                <w:szCs w:val="20"/>
              </w:rPr>
              <w:t xml:space="preserve"> </w:t>
            </w:r>
            <w:r>
              <w:rPr>
                <w:spacing w:val="-3"/>
                <w:sz w:val="20"/>
                <w:szCs w:val="20"/>
              </w:rPr>
              <w:t>加强新化学物质环境管理，严格执行《新化学物质环境</w:t>
            </w:r>
            <w:r>
              <w:rPr>
                <w:spacing w:val="18"/>
                <w:sz w:val="20"/>
                <w:szCs w:val="20"/>
              </w:rPr>
              <w:t xml:space="preserve"> </w:t>
            </w:r>
            <w:r>
              <w:rPr>
                <w:spacing w:val="-1"/>
                <w:sz w:val="20"/>
                <w:szCs w:val="20"/>
              </w:rPr>
              <w:t>管理登记办法》</w:t>
            </w:r>
            <w:r>
              <w:rPr>
                <w:rFonts w:hint="eastAsia"/>
                <w:spacing w:val="-1"/>
                <w:sz w:val="20"/>
                <w:szCs w:val="20"/>
                <w:lang w:eastAsia="zh-CN"/>
              </w:rPr>
              <w:t>，</w:t>
            </w:r>
            <w:r>
              <w:rPr>
                <w:spacing w:val="-1"/>
                <w:sz w:val="20"/>
                <w:szCs w:val="20"/>
              </w:rPr>
              <w:t>落实企业新化学物质环境</w:t>
            </w:r>
            <w:r>
              <w:rPr>
                <w:spacing w:val="-2"/>
                <w:sz w:val="20"/>
                <w:szCs w:val="20"/>
              </w:rPr>
              <w:t>风险防控主</w:t>
            </w:r>
            <w:r>
              <w:rPr>
                <w:sz w:val="20"/>
                <w:szCs w:val="20"/>
              </w:rPr>
              <w:t xml:space="preserve">  </w:t>
            </w:r>
            <w:r>
              <w:rPr>
                <w:spacing w:val="-2"/>
                <w:sz w:val="20"/>
                <w:szCs w:val="20"/>
              </w:rPr>
              <w:t>体责任。落实国家《优先控制化学品名录（第一批）》</w:t>
            </w:r>
            <w:r>
              <w:rPr>
                <w:spacing w:val="10"/>
                <w:sz w:val="20"/>
                <w:szCs w:val="20"/>
              </w:rPr>
              <w:t xml:space="preserve"> </w:t>
            </w:r>
            <w:r>
              <w:rPr>
                <w:spacing w:val="-3"/>
                <w:sz w:val="20"/>
                <w:szCs w:val="20"/>
              </w:rPr>
              <w:t>《优先控制化学品名录（第二批）》《重点管控新污染</w:t>
            </w:r>
            <w:r>
              <w:rPr>
                <w:spacing w:val="16"/>
                <w:sz w:val="20"/>
                <w:szCs w:val="20"/>
              </w:rPr>
              <w:t xml:space="preserve"> </w:t>
            </w:r>
            <w:r>
              <w:rPr>
                <w:spacing w:val="-3"/>
                <w:sz w:val="20"/>
                <w:szCs w:val="20"/>
              </w:rPr>
              <w:t>物清单（2023</w:t>
            </w:r>
            <w:r>
              <w:rPr>
                <w:spacing w:val="-26"/>
                <w:sz w:val="20"/>
                <w:szCs w:val="20"/>
              </w:rPr>
              <w:t xml:space="preserve"> </w:t>
            </w:r>
            <w:r>
              <w:rPr>
                <w:spacing w:val="-3"/>
                <w:sz w:val="20"/>
                <w:szCs w:val="20"/>
              </w:rPr>
              <w:t>年版）》环境风险管控措施。</w:t>
            </w:r>
          </w:p>
          <w:p w14:paraId="4828F067">
            <w:pPr>
              <w:pStyle w:val="6"/>
              <w:spacing w:line="219" w:lineRule="auto"/>
              <w:ind w:left="45"/>
              <w:rPr>
                <w:sz w:val="20"/>
                <w:szCs w:val="20"/>
              </w:rPr>
            </w:pPr>
            <w:r>
              <w:rPr>
                <w:spacing w:val="-1"/>
                <w:sz w:val="20"/>
                <w:szCs w:val="20"/>
              </w:rPr>
              <w:t>农业面源水污染控制措施要求</w:t>
            </w:r>
          </w:p>
          <w:p w14:paraId="29D28E1F">
            <w:pPr>
              <w:pStyle w:val="6"/>
              <w:spacing w:before="22" w:line="220" w:lineRule="auto"/>
              <w:ind w:left="45"/>
              <w:rPr>
                <w:sz w:val="20"/>
                <w:szCs w:val="20"/>
              </w:rPr>
            </w:pPr>
            <w:r>
              <w:rPr>
                <w:spacing w:val="-1"/>
                <w:sz w:val="20"/>
                <w:szCs w:val="20"/>
              </w:rPr>
              <w:t>船舶港口水污染控制措施要求</w:t>
            </w:r>
          </w:p>
          <w:p w14:paraId="772EF8A6">
            <w:pPr>
              <w:pStyle w:val="6"/>
              <w:spacing w:before="21" w:line="203" w:lineRule="auto"/>
              <w:ind w:left="45"/>
              <w:rPr>
                <w:sz w:val="20"/>
                <w:szCs w:val="20"/>
              </w:rPr>
            </w:pPr>
            <w:r>
              <w:rPr>
                <w:spacing w:val="-1"/>
                <w:sz w:val="20"/>
                <w:szCs w:val="20"/>
              </w:rPr>
              <w:t>饮用水水源和</w:t>
            </w:r>
            <w:r>
              <w:rPr>
                <w:rFonts w:hint="eastAsia"/>
                <w:spacing w:val="-1"/>
                <w:sz w:val="20"/>
                <w:szCs w:val="20"/>
                <w:lang w:eastAsia="zh-CN"/>
              </w:rPr>
              <w:t>其他</w:t>
            </w:r>
            <w:r>
              <w:rPr>
                <w:spacing w:val="-1"/>
                <w:sz w:val="20"/>
                <w:szCs w:val="20"/>
              </w:rPr>
              <w:t>特殊水体保护要求</w:t>
            </w:r>
          </w:p>
        </w:tc>
        <w:tc>
          <w:tcPr>
            <w:tcW w:w="2632" w:type="dxa"/>
            <w:vAlign w:val="top"/>
          </w:tcPr>
          <w:p w14:paraId="5BBAC88D">
            <w:pPr>
              <w:spacing w:line="253" w:lineRule="auto"/>
              <w:rPr>
                <w:rFonts w:ascii="Arial"/>
                <w:sz w:val="21"/>
              </w:rPr>
            </w:pPr>
          </w:p>
          <w:p w14:paraId="25F7CA78">
            <w:pPr>
              <w:spacing w:line="253" w:lineRule="auto"/>
              <w:rPr>
                <w:rFonts w:ascii="Arial"/>
                <w:sz w:val="21"/>
              </w:rPr>
            </w:pPr>
          </w:p>
          <w:p w14:paraId="74822EAF">
            <w:pPr>
              <w:spacing w:line="253" w:lineRule="auto"/>
              <w:rPr>
                <w:rFonts w:ascii="Arial"/>
                <w:sz w:val="21"/>
              </w:rPr>
            </w:pPr>
          </w:p>
          <w:p w14:paraId="777D291E">
            <w:pPr>
              <w:spacing w:line="253" w:lineRule="auto"/>
              <w:rPr>
                <w:rFonts w:ascii="Arial"/>
                <w:sz w:val="21"/>
              </w:rPr>
            </w:pPr>
          </w:p>
          <w:p w14:paraId="0D1E35F8">
            <w:pPr>
              <w:spacing w:line="253" w:lineRule="auto"/>
              <w:rPr>
                <w:rFonts w:ascii="Arial"/>
                <w:sz w:val="21"/>
              </w:rPr>
            </w:pPr>
          </w:p>
          <w:p w14:paraId="5943A7E5">
            <w:pPr>
              <w:spacing w:line="253" w:lineRule="auto"/>
              <w:rPr>
                <w:rFonts w:ascii="Arial"/>
                <w:sz w:val="21"/>
              </w:rPr>
            </w:pPr>
          </w:p>
          <w:p w14:paraId="1AC6409D">
            <w:pPr>
              <w:spacing w:line="254" w:lineRule="auto"/>
              <w:rPr>
                <w:rFonts w:ascii="Arial"/>
                <w:sz w:val="21"/>
              </w:rPr>
            </w:pPr>
          </w:p>
          <w:p w14:paraId="1CB08FB4">
            <w:pPr>
              <w:spacing w:line="254" w:lineRule="auto"/>
              <w:rPr>
                <w:rFonts w:ascii="Arial"/>
                <w:sz w:val="21"/>
              </w:rPr>
            </w:pPr>
          </w:p>
          <w:p w14:paraId="17C29D48">
            <w:pPr>
              <w:pStyle w:val="6"/>
              <w:spacing w:before="65" w:line="241" w:lineRule="auto"/>
              <w:ind w:left="52" w:right="47" w:firstLine="65"/>
              <w:jc w:val="both"/>
              <w:rPr>
                <w:sz w:val="20"/>
                <w:szCs w:val="20"/>
              </w:rPr>
            </w:pPr>
            <w:r>
              <w:rPr>
                <w:spacing w:val="-1"/>
                <w:sz w:val="20"/>
                <w:szCs w:val="20"/>
              </w:rPr>
              <w:t>本项目生产废水处理后能够</w:t>
            </w:r>
            <w:r>
              <w:rPr>
                <w:spacing w:val="3"/>
                <w:sz w:val="20"/>
                <w:szCs w:val="20"/>
              </w:rPr>
              <w:t xml:space="preserve"> </w:t>
            </w:r>
            <w:r>
              <w:rPr>
                <w:spacing w:val="-6"/>
                <w:sz w:val="20"/>
                <w:szCs w:val="20"/>
              </w:rPr>
              <w:t>实现循环回用不外排。生活污</w:t>
            </w:r>
            <w:r>
              <w:rPr>
                <w:spacing w:val="3"/>
                <w:sz w:val="20"/>
                <w:szCs w:val="20"/>
              </w:rPr>
              <w:t xml:space="preserve"> </w:t>
            </w:r>
            <w:r>
              <w:rPr>
                <w:spacing w:val="4"/>
                <w:sz w:val="20"/>
                <w:szCs w:val="20"/>
              </w:rPr>
              <w:t>水排入市政污水管网再进入</w:t>
            </w:r>
            <w:r>
              <w:rPr>
                <w:spacing w:val="9"/>
                <w:sz w:val="20"/>
                <w:szCs w:val="20"/>
              </w:rPr>
              <w:t xml:space="preserve"> </w:t>
            </w:r>
            <w:r>
              <w:rPr>
                <w:spacing w:val="3"/>
                <w:sz w:val="20"/>
                <w:szCs w:val="20"/>
              </w:rPr>
              <w:t>东岳场镇污水处理厂处理。</w:t>
            </w:r>
          </w:p>
        </w:tc>
        <w:tc>
          <w:tcPr>
            <w:tcW w:w="513" w:type="dxa"/>
            <w:vAlign w:val="top"/>
          </w:tcPr>
          <w:p w14:paraId="158F6CFE">
            <w:pPr>
              <w:spacing w:line="241" w:lineRule="auto"/>
              <w:rPr>
                <w:rFonts w:ascii="Arial"/>
                <w:sz w:val="21"/>
              </w:rPr>
            </w:pPr>
          </w:p>
          <w:p w14:paraId="70D8674D">
            <w:pPr>
              <w:spacing w:line="241" w:lineRule="auto"/>
              <w:rPr>
                <w:rFonts w:ascii="Arial"/>
                <w:sz w:val="21"/>
              </w:rPr>
            </w:pPr>
          </w:p>
          <w:p w14:paraId="7A0E93F7">
            <w:pPr>
              <w:spacing w:line="241" w:lineRule="auto"/>
              <w:rPr>
                <w:rFonts w:ascii="Arial"/>
                <w:sz w:val="21"/>
              </w:rPr>
            </w:pPr>
          </w:p>
          <w:p w14:paraId="66930AFF">
            <w:pPr>
              <w:spacing w:line="241" w:lineRule="auto"/>
              <w:rPr>
                <w:rFonts w:ascii="Arial"/>
                <w:sz w:val="21"/>
              </w:rPr>
            </w:pPr>
          </w:p>
          <w:p w14:paraId="0527308F">
            <w:pPr>
              <w:spacing w:line="241" w:lineRule="auto"/>
              <w:rPr>
                <w:rFonts w:ascii="Arial"/>
                <w:sz w:val="21"/>
              </w:rPr>
            </w:pPr>
          </w:p>
          <w:p w14:paraId="4852EE09">
            <w:pPr>
              <w:spacing w:line="241" w:lineRule="auto"/>
              <w:rPr>
                <w:rFonts w:ascii="Arial"/>
                <w:sz w:val="21"/>
              </w:rPr>
            </w:pPr>
          </w:p>
          <w:p w14:paraId="02C88122">
            <w:pPr>
              <w:spacing w:line="242" w:lineRule="auto"/>
              <w:rPr>
                <w:rFonts w:ascii="Arial"/>
                <w:sz w:val="21"/>
              </w:rPr>
            </w:pPr>
          </w:p>
          <w:p w14:paraId="75F08011">
            <w:pPr>
              <w:spacing w:line="242" w:lineRule="auto"/>
              <w:rPr>
                <w:rFonts w:ascii="Arial"/>
                <w:sz w:val="21"/>
              </w:rPr>
            </w:pPr>
          </w:p>
          <w:p w14:paraId="7F18E6FE">
            <w:pPr>
              <w:spacing w:line="242" w:lineRule="auto"/>
              <w:rPr>
                <w:rFonts w:ascii="Arial"/>
                <w:sz w:val="21"/>
              </w:rPr>
            </w:pPr>
          </w:p>
          <w:p w14:paraId="0F7542B9">
            <w:pPr>
              <w:spacing w:line="242" w:lineRule="auto"/>
              <w:rPr>
                <w:rFonts w:ascii="Arial"/>
                <w:sz w:val="21"/>
              </w:rPr>
            </w:pPr>
          </w:p>
          <w:p w14:paraId="4A28F58A">
            <w:pPr>
              <w:pStyle w:val="6"/>
              <w:spacing w:before="65" w:line="220" w:lineRule="auto"/>
              <w:ind w:left="59"/>
              <w:rPr>
                <w:sz w:val="20"/>
                <w:szCs w:val="20"/>
              </w:rPr>
            </w:pPr>
            <w:r>
              <w:rPr>
                <w:spacing w:val="-3"/>
                <w:sz w:val="20"/>
                <w:szCs w:val="20"/>
              </w:rPr>
              <w:t>符合</w:t>
            </w:r>
          </w:p>
        </w:tc>
        <w:tc>
          <w:tcPr>
            <w:tcW w:w="118" w:type="dxa"/>
            <w:tcBorders>
              <w:top w:val="nil"/>
              <w:bottom w:val="nil"/>
            </w:tcBorders>
            <w:vAlign w:val="top"/>
          </w:tcPr>
          <w:p w14:paraId="7AB473E6">
            <w:pPr>
              <w:rPr>
                <w:rFonts w:ascii="Arial"/>
                <w:sz w:val="21"/>
              </w:rPr>
            </w:pPr>
          </w:p>
        </w:tc>
      </w:tr>
      <w:tr w14:paraId="428ED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1886" w:type="dxa"/>
            <w:vMerge w:val="continue"/>
            <w:tcBorders>
              <w:top w:val="nil"/>
              <w:bottom w:val="nil"/>
            </w:tcBorders>
            <w:vAlign w:val="top"/>
          </w:tcPr>
          <w:p w14:paraId="1DDD0BAF">
            <w:pPr>
              <w:rPr>
                <w:rFonts w:ascii="Arial"/>
                <w:sz w:val="21"/>
              </w:rPr>
            </w:pPr>
          </w:p>
        </w:tc>
        <w:tc>
          <w:tcPr>
            <w:tcW w:w="113" w:type="dxa"/>
            <w:tcBorders>
              <w:top w:val="nil"/>
              <w:bottom w:val="nil"/>
            </w:tcBorders>
            <w:vAlign w:val="top"/>
          </w:tcPr>
          <w:p w14:paraId="52012AA4">
            <w:pPr>
              <w:rPr>
                <w:rFonts w:ascii="Arial"/>
                <w:sz w:val="21"/>
              </w:rPr>
            </w:pPr>
          </w:p>
        </w:tc>
        <w:tc>
          <w:tcPr>
            <w:tcW w:w="1879" w:type="dxa"/>
            <w:vMerge w:val="continue"/>
            <w:tcBorders>
              <w:top w:val="nil"/>
            </w:tcBorders>
            <w:vAlign w:val="top"/>
          </w:tcPr>
          <w:p w14:paraId="077FDBE3">
            <w:pPr>
              <w:rPr>
                <w:rFonts w:ascii="Arial"/>
                <w:sz w:val="21"/>
              </w:rPr>
            </w:pPr>
          </w:p>
        </w:tc>
        <w:tc>
          <w:tcPr>
            <w:tcW w:w="795" w:type="dxa"/>
            <w:vMerge w:val="continue"/>
            <w:tcBorders>
              <w:top w:val="nil"/>
            </w:tcBorders>
            <w:vAlign w:val="top"/>
          </w:tcPr>
          <w:p w14:paraId="76B33F54">
            <w:pPr>
              <w:rPr>
                <w:rFonts w:ascii="Arial"/>
                <w:sz w:val="21"/>
              </w:rPr>
            </w:pPr>
          </w:p>
        </w:tc>
        <w:tc>
          <w:tcPr>
            <w:tcW w:w="788" w:type="dxa"/>
            <w:vAlign w:val="top"/>
          </w:tcPr>
          <w:p w14:paraId="4EC6E73F">
            <w:pPr>
              <w:spacing w:line="264" w:lineRule="auto"/>
              <w:rPr>
                <w:rFonts w:ascii="Arial"/>
                <w:sz w:val="21"/>
              </w:rPr>
            </w:pPr>
          </w:p>
          <w:p w14:paraId="1AA6039F">
            <w:pPr>
              <w:spacing w:line="265" w:lineRule="auto"/>
              <w:rPr>
                <w:rFonts w:ascii="Arial"/>
                <w:sz w:val="21"/>
              </w:rPr>
            </w:pPr>
          </w:p>
          <w:p w14:paraId="357499F4">
            <w:pPr>
              <w:spacing w:line="265" w:lineRule="auto"/>
              <w:rPr>
                <w:rFonts w:ascii="Arial"/>
                <w:sz w:val="21"/>
              </w:rPr>
            </w:pPr>
          </w:p>
          <w:p w14:paraId="399C28F9">
            <w:pPr>
              <w:pStyle w:val="6"/>
              <w:spacing w:before="65" w:line="221" w:lineRule="auto"/>
              <w:ind w:left="91"/>
              <w:rPr>
                <w:sz w:val="20"/>
                <w:szCs w:val="20"/>
              </w:rPr>
            </w:pPr>
            <w:r>
              <w:rPr>
                <w:spacing w:val="-2"/>
                <w:sz w:val="20"/>
                <w:szCs w:val="20"/>
              </w:rPr>
              <w:t>环境风</w:t>
            </w:r>
          </w:p>
          <w:p w14:paraId="390A92C4">
            <w:pPr>
              <w:pStyle w:val="6"/>
              <w:spacing w:before="19" w:line="221" w:lineRule="auto"/>
              <w:ind w:left="102"/>
              <w:rPr>
                <w:sz w:val="20"/>
                <w:szCs w:val="20"/>
              </w:rPr>
            </w:pPr>
            <w:r>
              <w:rPr>
                <w:spacing w:val="-4"/>
                <w:sz w:val="20"/>
                <w:szCs w:val="20"/>
              </w:rPr>
              <w:t>险防控</w:t>
            </w:r>
          </w:p>
        </w:tc>
        <w:tc>
          <w:tcPr>
            <w:tcW w:w="4868" w:type="dxa"/>
            <w:vAlign w:val="top"/>
          </w:tcPr>
          <w:p w14:paraId="5DACAF68">
            <w:pPr>
              <w:pStyle w:val="6"/>
              <w:spacing w:before="34" w:line="235" w:lineRule="auto"/>
              <w:ind w:left="45" w:right="42"/>
              <w:jc w:val="both"/>
            </w:pPr>
            <w:r>
              <w:rPr>
                <w:spacing w:val="-3"/>
              </w:rPr>
              <w:t>禁止在长江干支流岸线一公里范围内新建、扩建化工</w:t>
            </w:r>
            <w:r>
              <w:rPr>
                <w:spacing w:val="4"/>
              </w:rPr>
              <w:t xml:space="preserve"> </w:t>
            </w:r>
            <w:r>
              <w:rPr>
                <w:spacing w:val="-7"/>
              </w:rPr>
              <w:t>园区和化工项目。按要求设置生态隔离带， 建设</w:t>
            </w:r>
            <w:r>
              <w:rPr>
                <w:spacing w:val="-8"/>
              </w:rPr>
              <w:t>相应</w:t>
            </w:r>
            <w:r>
              <w:t xml:space="preserve"> </w:t>
            </w:r>
            <w:r>
              <w:rPr>
                <w:spacing w:val="-3"/>
              </w:rPr>
              <w:t>的防护工程。合理设置与抗风险能力相匹配的事故调</w:t>
            </w:r>
            <w:r>
              <w:rPr>
                <w:spacing w:val="4"/>
              </w:rPr>
              <w:t xml:space="preserve"> </w:t>
            </w:r>
            <w:r>
              <w:rPr>
                <w:spacing w:val="-3"/>
              </w:rPr>
              <w:t>蓄设施和环境应急措施。强化工业园区环境风险防控</w:t>
            </w:r>
            <w:r>
              <w:rPr>
                <w:spacing w:val="4"/>
              </w:rPr>
              <w:t xml:space="preserve"> </w:t>
            </w:r>
            <w:r>
              <w:rPr>
                <w:spacing w:val="-3"/>
              </w:rPr>
              <w:t>工作，突出全防全控，完善各项环境风险防范制度，</w:t>
            </w:r>
            <w:r>
              <w:rPr>
                <w:spacing w:val="12"/>
              </w:rPr>
              <w:t xml:space="preserve"> </w:t>
            </w:r>
            <w:r>
              <w:rPr>
                <w:spacing w:val="-3"/>
              </w:rPr>
              <w:t>确保将风险防范纳入日常环境管理制度体系。加强执</w:t>
            </w:r>
            <w:r>
              <w:rPr>
                <w:spacing w:val="4"/>
              </w:rPr>
              <w:t xml:space="preserve"> </w:t>
            </w:r>
            <w:r>
              <w:rPr>
                <w:spacing w:val="-3"/>
              </w:rPr>
              <w:t>法监督，实现对工业园区、重点工矿企业和主要环境</w:t>
            </w:r>
            <w:r>
              <w:rPr>
                <w:spacing w:val="4"/>
              </w:rPr>
              <w:t xml:space="preserve"> </w:t>
            </w:r>
            <w:r>
              <w:rPr>
                <w:spacing w:val="-1"/>
              </w:rPr>
              <w:t>风险类型的动态监控</w:t>
            </w:r>
          </w:p>
        </w:tc>
        <w:tc>
          <w:tcPr>
            <w:tcW w:w="2632" w:type="dxa"/>
            <w:vAlign w:val="top"/>
          </w:tcPr>
          <w:p w14:paraId="65162A98">
            <w:pPr>
              <w:spacing w:line="264" w:lineRule="auto"/>
              <w:rPr>
                <w:rFonts w:ascii="Arial"/>
                <w:sz w:val="21"/>
              </w:rPr>
            </w:pPr>
          </w:p>
          <w:p w14:paraId="3DDCB631">
            <w:pPr>
              <w:spacing w:line="265" w:lineRule="auto"/>
              <w:rPr>
                <w:rFonts w:ascii="Arial"/>
                <w:sz w:val="21"/>
              </w:rPr>
            </w:pPr>
          </w:p>
          <w:p w14:paraId="08DAC58F">
            <w:pPr>
              <w:spacing w:line="265" w:lineRule="auto"/>
              <w:rPr>
                <w:rFonts w:ascii="Arial"/>
                <w:sz w:val="21"/>
              </w:rPr>
            </w:pPr>
          </w:p>
          <w:p w14:paraId="3BD3A614">
            <w:pPr>
              <w:pStyle w:val="6"/>
              <w:spacing w:before="65" w:line="219" w:lineRule="auto"/>
              <w:ind w:left="117"/>
              <w:rPr>
                <w:sz w:val="20"/>
                <w:szCs w:val="20"/>
              </w:rPr>
            </w:pPr>
            <w:r>
              <w:rPr>
                <w:spacing w:val="-1"/>
                <w:sz w:val="20"/>
                <w:szCs w:val="20"/>
              </w:rPr>
              <w:t>本项目不属于化工园区或者</w:t>
            </w:r>
          </w:p>
          <w:p w14:paraId="790A018B">
            <w:pPr>
              <w:pStyle w:val="6"/>
              <w:spacing w:before="21" w:line="221" w:lineRule="auto"/>
              <w:ind w:left="817"/>
              <w:rPr>
                <w:sz w:val="20"/>
                <w:szCs w:val="20"/>
              </w:rPr>
            </w:pPr>
            <w:r>
              <w:rPr>
                <w:spacing w:val="-2"/>
                <w:sz w:val="20"/>
                <w:szCs w:val="20"/>
              </w:rPr>
              <w:t>化工项目。</w:t>
            </w:r>
          </w:p>
        </w:tc>
        <w:tc>
          <w:tcPr>
            <w:tcW w:w="513" w:type="dxa"/>
            <w:vAlign w:val="top"/>
          </w:tcPr>
          <w:p w14:paraId="22B72916">
            <w:pPr>
              <w:spacing w:line="307" w:lineRule="auto"/>
              <w:rPr>
                <w:rFonts w:ascii="Arial"/>
                <w:sz w:val="21"/>
              </w:rPr>
            </w:pPr>
          </w:p>
          <w:p w14:paraId="03DFEDE1">
            <w:pPr>
              <w:spacing w:line="308" w:lineRule="auto"/>
              <w:rPr>
                <w:rFonts w:ascii="Arial"/>
                <w:sz w:val="21"/>
              </w:rPr>
            </w:pPr>
          </w:p>
          <w:p w14:paraId="2510E32B">
            <w:pPr>
              <w:spacing w:line="308" w:lineRule="auto"/>
              <w:rPr>
                <w:rFonts w:ascii="Arial"/>
                <w:sz w:val="21"/>
              </w:rPr>
            </w:pPr>
          </w:p>
          <w:p w14:paraId="22C9AACB">
            <w:pPr>
              <w:pStyle w:val="6"/>
              <w:spacing w:before="65" w:line="220" w:lineRule="auto"/>
              <w:ind w:left="59"/>
              <w:rPr>
                <w:sz w:val="20"/>
                <w:szCs w:val="20"/>
              </w:rPr>
            </w:pPr>
            <w:r>
              <w:rPr>
                <w:spacing w:val="-3"/>
                <w:sz w:val="20"/>
                <w:szCs w:val="20"/>
              </w:rPr>
              <w:t>符合</w:t>
            </w:r>
          </w:p>
        </w:tc>
        <w:tc>
          <w:tcPr>
            <w:tcW w:w="118" w:type="dxa"/>
            <w:tcBorders>
              <w:top w:val="nil"/>
              <w:bottom w:val="nil"/>
            </w:tcBorders>
            <w:vAlign w:val="top"/>
          </w:tcPr>
          <w:p w14:paraId="53ABC2BC">
            <w:pPr>
              <w:rPr>
                <w:rFonts w:ascii="Arial"/>
                <w:sz w:val="21"/>
              </w:rPr>
            </w:pPr>
          </w:p>
        </w:tc>
      </w:tr>
      <w:tr w14:paraId="690F0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886" w:type="dxa"/>
            <w:vMerge w:val="continue"/>
            <w:tcBorders>
              <w:top w:val="nil"/>
            </w:tcBorders>
            <w:vAlign w:val="top"/>
          </w:tcPr>
          <w:p w14:paraId="4781973C">
            <w:pPr>
              <w:rPr>
                <w:rFonts w:ascii="Arial"/>
                <w:sz w:val="21"/>
              </w:rPr>
            </w:pPr>
          </w:p>
        </w:tc>
        <w:tc>
          <w:tcPr>
            <w:tcW w:w="11706" w:type="dxa"/>
            <w:gridSpan w:val="8"/>
            <w:vAlign w:val="top"/>
          </w:tcPr>
          <w:p w14:paraId="4A6E530D">
            <w:pPr>
              <w:rPr>
                <w:rFonts w:ascii="Arial"/>
                <w:sz w:val="21"/>
              </w:rPr>
            </w:pPr>
          </w:p>
        </w:tc>
      </w:tr>
    </w:tbl>
    <w:p w14:paraId="02EC40FE">
      <w:pPr>
        <w:rPr>
          <w:rFonts w:ascii="Arial"/>
          <w:sz w:val="21"/>
        </w:rPr>
      </w:pPr>
    </w:p>
    <w:p w14:paraId="3C6F90D6">
      <w:pPr>
        <w:rPr>
          <w:rFonts w:ascii="Arial" w:hAnsi="Arial" w:eastAsia="Arial" w:cs="Arial"/>
          <w:sz w:val="21"/>
          <w:szCs w:val="21"/>
        </w:rPr>
        <w:sectPr>
          <w:footerReference r:id="rId20" w:type="default"/>
          <w:pgSz w:w="16839" w:h="11907"/>
          <w:pgMar w:top="1012" w:right="1620" w:bottom="1055" w:left="1621" w:header="0" w:footer="802" w:gutter="0"/>
          <w:cols w:space="720" w:num="1"/>
        </w:sectPr>
      </w:pPr>
    </w:p>
    <w:p w14:paraId="6523DA2A">
      <w:pPr>
        <w:spacing w:before="18"/>
      </w:pPr>
    </w:p>
    <w:p w14:paraId="2B9E3F8F">
      <w:pPr>
        <w:spacing w:before="18"/>
      </w:pPr>
    </w:p>
    <w:tbl>
      <w:tblPr>
        <w:tblStyle w:val="5"/>
        <w:tblW w:w="135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6"/>
        <w:gridCol w:w="113"/>
        <w:gridCol w:w="1879"/>
        <w:gridCol w:w="795"/>
        <w:gridCol w:w="788"/>
        <w:gridCol w:w="4868"/>
        <w:gridCol w:w="2632"/>
        <w:gridCol w:w="513"/>
        <w:gridCol w:w="118"/>
      </w:tblGrid>
      <w:tr w14:paraId="67590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1886" w:type="dxa"/>
            <w:vMerge w:val="restart"/>
            <w:tcBorders>
              <w:bottom w:val="nil"/>
            </w:tcBorders>
            <w:vAlign w:val="top"/>
          </w:tcPr>
          <w:p w14:paraId="1BC9D3B3">
            <w:pPr>
              <w:rPr>
                <w:rFonts w:ascii="Arial"/>
                <w:sz w:val="21"/>
              </w:rPr>
            </w:pPr>
          </w:p>
        </w:tc>
        <w:tc>
          <w:tcPr>
            <w:tcW w:w="113" w:type="dxa"/>
            <w:tcBorders>
              <w:bottom w:val="nil"/>
            </w:tcBorders>
            <w:vAlign w:val="top"/>
          </w:tcPr>
          <w:p w14:paraId="72AEC619">
            <w:pPr>
              <w:rPr>
                <w:rFonts w:ascii="Arial"/>
                <w:sz w:val="21"/>
              </w:rPr>
            </w:pPr>
          </w:p>
        </w:tc>
        <w:tc>
          <w:tcPr>
            <w:tcW w:w="1879" w:type="dxa"/>
            <w:vAlign w:val="top"/>
          </w:tcPr>
          <w:p w14:paraId="1789CA2D">
            <w:pPr>
              <w:rPr>
                <w:rFonts w:ascii="Arial"/>
                <w:sz w:val="21"/>
              </w:rPr>
            </w:pPr>
          </w:p>
        </w:tc>
        <w:tc>
          <w:tcPr>
            <w:tcW w:w="795" w:type="dxa"/>
            <w:vAlign w:val="top"/>
          </w:tcPr>
          <w:p w14:paraId="798BFFE7">
            <w:pPr>
              <w:rPr>
                <w:rFonts w:ascii="Arial"/>
                <w:sz w:val="21"/>
              </w:rPr>
            </w:pPr>
          </w:p>
        </w:tc>
        <w:tc>
          <w:tcPr>
            <w:tcW w:w="788" w:type="dxa"/>
            <w:vAlign w:val="top"/>
          </w:tcPr>
          <w:p w14:paraId="44D49BF0">
            <w:pPr>
              <w:pStyle w:val="6"/>
              <w:spacing w:before="45" w:line="221" w:lineRule="auto"/>
              <w:ind w:left="100"/>
              <w:rPr>
                <w:sz w:val="20"/>
                <w:szCs w:val="20"/>
              </w:rPr>
            </w:pPr>
            <w:r>
              <w:rPr>
                <w:spacing w:val="-4"/>
                <w:sz w:val="20"/>
                <w:szCs w:val="20"/>
              </w:rPr>
              <w:t>资源开</w:t>
            </w:r>
          </w:p>
          <w:p w14:paraId="731BD446">
            <w:pPr>
              <w:pStyle w:val="6"/>
              <w:spacing w:before="19" w:line="223" w:lineRule="auto"/>
              <w:ind w:left="193" w:right="97" w:hanging="98"/>
              <w:rPr>
                <w:sz w:val="20"/>
                <w:szCs w:val="20"/>
              </w:rPr>
            </w:pPr>
            <w:r>
              <w:rPr>
                <w:spacing w:val="-4"/>
                <w:sz w:val="20"/>
                <w:szCs w:val="20"/>
              </w:rPr>
              <w:t>发效率</w:t>
            </w:r>
            <w:r>
              <w:rPr>
                <w:spacing w:val="1"/>
                <w:sz w:val="20"/>
                <w:szCs w:val="20"/>
              </w:rPr>
              <w:t xml:space="preserve"> </w:t>
            </w:r>
            <w:r>
              <w:rPr>
                <w:spacing w:val="-2"/>
                <w:sz w:val="20"/>
                <w:szCs w:val="20"/>
              </w:rPr>
              <w:t>要求</w:t>
            </w:r>
          </w:p>
        </w:tc>
        <w:tc>
          <w:tcPr>
            <w:tcW w:w="4868" w:type="dxa"/>
            <w:vAlign w:val="top"/>
          </w:tcPr>
          <w:p w14:paraId="3EF9F545">
            <w:pPr>
              <w:pStyle w:val="6"/>
              <w:spacing w:before="161" w:line="242" w:lineRule="auto"/>
              <w:ind w:left="50" w:right="50" w:hanging="5"/>
            </w:pPr>
            <w:r>
              <w:rPr>
                <w:spacing w:val="-3"/>
              </w:rPr>
              <w:t>加强高耗水行业用水定额管理，以水定产，严格控制</w:t>
            </w:r>
            <w:r>
              <w:rPr>
                <w:spacing w:val="4"/>
              </w:rPr>
              <w:t xml:space="preserve"> </w:t>
            </w:r>
            <w:r>
              <w:rPr>
                <w:spacing w:val="-3"/>
              </w:rPr>
              <w:t>高耗水新建、改建、扩建项目。</w:t>
            </w:r>
          </w:p>
        </w:tc>
        <w:tc>
          <w:tcPr>
            <w:tcW w:w="2632" w:type="dxa"/>
            <w:vAlign w:val="top"/>
          </w:tcPr>
          <w:p w14:paraId="182AB918">
            <w:pPr>
              <w:pStyle w:val="6"/>
              <w:spacing w:before="174" w:line="219" w:lineRule="auto"/>
              <w:ind w:left="48"/>
              <w:rPr>
                <w:sz w:val="20"/>
                <w:szCs w:val="20"/>
              </w:rPr>
            </w:pPr>
            <w:r>
              <w:rPr>
                <w:spacing w:val="-6"/>
                <w:sz w:val="20"/>
                <w:szCs w:val="20"/>
              </w:rPr>
              <w:t>本项目生产用水量较少，不属</w:t>
            </w:r>
          </w:p>
          <w:p w14:paraId="446203DE">
            <w:pPr>
              <w:pStyle w:val="6"/>
              <w:spacing w:before="21" w:line="220" w:lineRule="auto"/>
              <w:ind w:left="619"/>
              <w:rPr>
                <w:sz w:val="20"/>
                <w:szCs w:val="20"/>
              </w:rPr>
            </w:pPr>
            <w:r>
              <w:rPr>
                <w:spacing w:val="-2"/>
                <w:sz w:val="20"/>
                <w:szCs w:val="20"/>
              </w:rPr>
              <w:t>于高耗水项目。</w:t>
            </w:r>
          </w:p>
        </w:tc>
        <w:tc>
          <w:tcPr>
            <w:tcW w:w="513" w:type="dxa"/>
            <w:vAlign w:val="top"/>
          </w:tcPr>
          <w:p w14:paraId="430054C5">
            <w:pPr>
              <w:pStyle w:val="6"/>
              <w:spacing w:before="303" w:line="225" w:lineRule="auto"/>
              <w:ind w:left="207"/>
              <w:rPr>
                <w:sz w:val="20"/>
                <w:szCs w:val="20"/>
              </w:rPr>
            </w:pPr>
            <w:r>
              <w:rPr>
                <w:sz w:val="20"/>
                <w:szCs w:val="20"/>
              </w:rPr>
              <w:t>/</w:t>
            </w:r>
          </w:p>
        </w:tc>
        <w:tc>
          <w:tcPr>
            <w:tcW w:w="118" w:type="dxa"/>
            <w:tcBorders>
              <w:bottom w:val="nil"/>
            </w:tcBorders>
            <w:vAlign w:val="top"/>
          </w:tcPr>
          <w:p w14:paraId="633CF5DC">
            <w:pPr>
              <w:rPr>
                <w:rFonts w:ascii="Arial"/>
                <w:sz w:val="21"/>
              </w:rPr>
            </w:pPr>
          </w:p>
        </w:tc>
      </w:tr>
      <w:tr w14:paraId="15F31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1886" w:type="dxa"/>
            <w:vMerge w:val="continue"/>
            <w:tcBorders>
              <w:top w:val="nil"/>
              <w:bottom w:val="nil"/>
            </w:tcBorders>
            <w:vAlign w:val="top"/>
          </w:tcPr>
          <w:p w14:paraId="668C9799">
            <w:pPr>
              <w:rPr>
                <w:rFonts w:ascii="Arial"/>
                <w:sz w:val="21"/>
              </w:rPr>
            </w:pPr>
          </w:p>
        </w:tc>
        <w:tc>
          <w:tcPr>
            <w:tcW w:w="113" w:type="dxa"/>
            <w:tcBorders>
              <w:top w:val="nil"/>
              <w:bottom w:val="nil"/>
            </w:tcBorders>
            <w:vAlign w:val="top"/>
          </w:tcPr>
          <w:p w14:paraId="55FA4A5C">
            <w:pPr>
              <w:rPr>
                <w:rFonts w:ascii="Arial"/>
                <w:sz w:val="21"/>
              </w:rPr>
            </w:pPr>
          </w:p>
        </w:tc>
        <w:tc>
          <w:tcPr>
            <w:tcW w:w="1879" w:type="dxa"/>
            <w:vMerge w:val="restart"/>
            <w:tcBorders>
              <w:bottom w:val="nil"/>
            </w:tcBorders>
            <w:vAlign w:val="top"/>
          </w:tcPr>
          <w:p w14:paraId="18237934">
            <w:pPr>
              <w:spacing w:line="247" w:lineRule="auto"/>
              <w:rPr>
                <w:rFonts w:ascii="Arial"/>
                <w:sz w:val="21"/>
              </w:rPr>
            </w:pPr>
          </w:p>
          <w:p w14:paraId="3E936E31">
            <w:pPr>
              <w:spacing w:line="247" w:lineRule="auto"/>
              <w:rPr>
                <w:rFonts w:ascii="Arial"/>
                <w:sz w:val="21"/>
              </w:rPr>
            </w:pPr>
          </w:p>
          <w:p w14:paraId="11A51846">
            <w:pPr>
              <w:spacing w:line="247" w:lineRule="auto"/>
              <w:rPr>
                <w:rFonts w:ascii="Arial"/>
                <w:sz w:val="21"/>
              </w:rPr>
            </w:pPr>
          </w:p>
          <w:p w14:paraId="35219703">
            <w:pPr>
              <w:spacing w:line="247" w:lineRule="auto"/>
              <w:rPr>
                <w:rFonts w:ascii="Arial"/>
                <w:sz w:val="21"/>
              </w:rPr>
            </w:pPr>
          </w:p>
          <w:p w14:paraId="32123C63">
            <w:pPr>
              <w:spacing w:line="247" w:lineRule="auto"/>
              <w:rPr>
                <w:rFonts w:ascii="Arial"/>
                <w:sz w:val="21"/>
              </w:rPr>
            </w:pPr>
          </w:p>
          <w:p w14:paraId="13B13D3D">
            <w:pPr>
              <w:spacing w:line="247" w:lineRule="auto"/>
              <w:rPr>
                <w:rFonts w:ascii="Arial"/>
                <w:sz w:val="21"/>
              </w:rPr>
            </w:pPr>
          </w:p>
          <w:p w14:paraId="55956428">
            <w:pPr>
              <w:spacing w:line="247" w:lineRule="auto"/>
              <w:rPr>
                <w:rFonts w:ascii="Arial"/>
                <w:sz w:val="21"/>
              </w:rPr>
            </w:pPr>
          </w:p>
          <w:p w14:paraId="711478D5">
            <w:pPr>
              <w:spacing w:line="247" w:lineRule="auto"/>
              <w:rPr>
                <w:rFonts w:ascii="Arial"/>
                <w:sz w:val="21"/>
              </w:rPr>
            </w:pPr>
          </w:p>
          <w:p w14:paraId="483D63A0">
            <w:pPr>
              <w:spacing w:line="247" w:lineRule="auto"/>
              <w:rPr>
                <w:rFonts w:ascii="Arial"/>
                <w:sz w:val="21"/>
              </w:rPr>
            </w:pPr>
          </w:p>
          <w:p w14:paraId="434F8C65">
            <w:pPr>
              <w:spacing w:line="247" w:lineRule="auto"/>
              <w:rPr>
                <w:rFonts w:ascii="Arial"/>
                <w:sz w:val="21"/>
              </w:rPr>
            </w:pPr>
          </w:p>
          <w:p w14:paraId="6705A1C9">
            <w:pPr>
              <w:spacing w:line="248" w:lineRule="auto"/>
              <w:rPr>
                <w:rFonts w:ascii="Arial"/>
                <w:sz w:val="21"/>
              </w:rPr>
            </w:pPr>
          </w:p>
          <w:p w14:paraId="7A9BD4AE">
            <w:pPr>
              <w:spacing w:line="248" w:lineRule="auto"/>
              <w:rPr>
                <w:rFonts w:ascii="Arial"/>
                <w:sz w:val="21"/>
              </w:rPr>
            </w:pPr>
          </w:p>
          <w:p w14:paraId="751CD2F4">
            <w:pPr>
              <w:spacing w:line="248" w:lineRule="auto"/>
              <w:rPr>
                <w:rFonts w:ascii="Arial"/>
                <w:sz w:val="21"/>
              </w:rPr>
            </w:pPr>
          </w:p>
          <w:p w14:paraId="3F01B9BF">
            <w:pPr>
              <w:pStyle w:val="6"/>
              <w:spacing w:before="65" w:line="239" w:lineRule="auto"/>
              <w:ind w:left="47" w:right="47" w:firstLine="5"/>
              <w:rPr>
                <w:sz w:val="20"/>
                <w:szCs w:val="20"/>
              </w:rPr>
            </w:pPr>
            <w:r>
              <w:rPr>
                <w:spacing w:val="21"/>
                <w:sz w:val="20"/>
                <w:szCs w:val="20"/>
              </w:rPr>
              <w:t>大气环境高排放重</w:t>
            </w:r>
            <w:r>
              <w:rPr>
                <w:spacing w:val="5"/>
                <w:sz w:val="20"/>
                <w:szCs w:val="20"/>
              </w:rPr>
              <w:t xml:space="preserve"> </w:t>
            </w:r>
            <w:r>
              <w:rPr>
                <w:spacing w:val="-14"/>
                <w:sz w:val="20"/>
                <w:szCs w:val="20"/>
              </w:rPr>
              <w:t>点</w:t>
            </w:r>
            <w:r>
              <w:rPr>
                <w:spacing w:val="4"/>
                <w:sz w:val="20"/>
                <w:szCs w:val="20"/>
              </w:rPr>
              <w:t xml:space="preserve">  </w:t>
            </w:r>
            <w:r>
              <w:rPr>
                <w:spacing w:val="-14"/>
                <w:sz w:val="20"/>
                <w:szCs w:val="20"/>
              </w:rPr>
              <w:t>管</w:t>
            </w:r>
            <w:r>
              <w:rPr>
                <w:spacing w:val="1"/>
                <w:sz w:val="20"/>
                <w:szCs w:val="20"/>
              </w:rPr>
              <w:t xml:space="preserve">  </w:t>
            </w:r>
            <w:r>
              <w:rPr>
                <w:spacing w:val="-14"/>
                <w:sz w:val="20"/>
                <w:szCs w:val="20"/>
              </w:rPr>
              <w:t>控</w:t>
            </w:r>
            <w:r>
              <w:rPr>
                <w:spacing w:val="9"/>
                <w:sz w:val="20"/>
                <w:szCs w:val="20"/>
              </w:rPr>
              <w:t xml:space="preserve">  </w:t>
            </w:r>
            <w:r>
              <w:rPr>
                <w:spacing w:val="-14"/>
                <w:sz w:val="20"/>
                <w:szCs w:val="20"/>
              </w:rPr>
              <w:t>区</w:t>
            </w:r>
            <w:r>
              <w:rPr>
                <w:spacing w:val="10"/>
                <w:sz w:val="20"/>
                <w:szCs w:val="20"/>
              </w:rPr>
              <w:t xml:space="preserve">  </w:t>
            </w:r>
            <w:r>
              <w:rPr>
                <w:spacing w:val="-14"/>
                <w:sz w:val="20"/>
                <w:szCs w:val="20"/>
              </w:rPr>
              <w:t>、</w:t>
            </w:r>
            <w:r>
              <w:rPr>
                <w:sz w:val="20"/>
                <w:szCs w:val="20"/>
              </w:rPr>
              <w:t xml:space="preserve"> </w:t>
            </w:r>
            <w:r>
              <w:rPr>
                <w:spacing w:val="-3"/>
                <w:sz w:val="20"/>
                <w:szCs w:val="20"/>
              </w:rPr>
              <w:t>YS5117022310002 、</w:t>
            </w:r>
          </w:p>
          <w:p w14:paraId="70102F31">
            <w:pPr>
              <w:pStyle w:val="6"/>
              <w:spacing w:before="2" w:line="244" w:lineRule="auto"/>
              <w:ind w:left="64" w:right="47" w:hanging="7"/>
              <w:rPr>
                <w:sz w:val="20"/>
                <w:szCs w:val="20"/>
              </w:rPr>
            </w:pPr>
            <w:r>
              <w:rPr>
                <w:spacing w:val="21"/>
                <w:sz w:val="20"/>
                <w:szCs w:val="20"/>
              </w:rPr>
              <w:t>东岳新型工业集聚</w:t>
            </w:r>
            <w:r>
              <w:rPr>
                <w:sz w:val="20"/>
                <w:szCs w:val="20"/>
              </w:rPr>
              <w:t xml:space="preserve"> 区</w:t>
            </w:r>
          </w:p>
        </w:tc>
        <w:tc>
          <w:tcPr>
            <w:tcW w:w="795" w:type="dxa"/>
            <w:vMerge w:val="restart"/>
            <w:tcBorders>
              <w:bottom w:val="nil"/>
            </w:tcBorders>
            <w:vAlign w:val="top"/>
          </w:tcPr>
          <w:p w14:paraId="67330230">
            <w:pPr>
              <w:spacing w:line="254" w:lineRule="auto"/>
              <w:rPr>
                <w:rFonts w:ascii="Arial"/>
                <w:sz w:val="21"/>
              </w:rPr>
            </w:pPr>
          </w:p>
          <w:p w14:paraId="1ED4875A">
            <w:pPr>
              <w:spacing w:line="254" w:lineRule="auto"/>
              <w:rPr>
                <w:rFonts w:ascii="Arial"/>
                <w:sz w:val="21"/>
              </w:rPr>
            </w:pPr>
          </w:p>
          <w:p w14:paraId="491E75F3">
            <w:pPr>
              <w:spacing w:line="254" w:lineRule="auto"/>
              <w:rPr>
                <w:rFonts w:ascii="Arial"/>
                <w:sz w:val="21"/>
              </w:rPr>
            </w:pPr>
          </w:p>
          <w:p w14:paraId="363625FF">
            <w:pPr>
              <w:spacing w:line="254" w:lineRule="auto"/>
              <w:rPr>
                <w:rFonts w:ascii="Arial"/>
                <w:sz w:val="21"/>
              </w:rPr>
            </w:pPr>
          </w:p>
          <w:p w14:paraId="387742EF">
            <w:pPr>
              <w:spacing w:line="254" w:lineRule="auto"/>
              <w:rPr>
                <w:rFonts w:ascii="Arial"/>
                <w:sz w:val="21"/>
              </w:rPr>
            </w:pPr>
          </w:p>
          <w:p w14:paraId="64C35995">
            <w:pPr>
              <w:pStyle w:val="6"/>
              <w:spacing w:before="65" w:line="219" w:lineRule="auto"/>
              <w:ind w:left="43"/>
              <w:rPr>
                <w:sz w:val="20"/>
                <w:szCs w:val="20"/>
              </w:rPr>
            </w:pPr>
            <w:r>
              <w:rPr>
                <w:spacing w:val="-2"/>
                <w:sz w:val="20"/>
                <w:szCs w:val="20"/>
              </w:rPr>
              <w:t>达州市</w:t>
            </w:r>
          </w:p>
          <w:p w14:paraId="591B7DF5">
            <w:pPr>
              <w:pStyle w:val="6"/>
              <w:spacing w:before="21" w:line="220" w:lineRule="auto"/>
              <w:ind w:left="43"/>
              <w:rPr>
                <w:sz w:val="20"/>
                <w:szCs w:val="20"/>
              </w:rPr>
            </w:pPr>
            <w:r>
              <w:rPr>
                <w:spacing w:val="-2"/>
                <w:sz w:val="20"/>
                <w:szCs w:val="20"/>
              </w:rPr>
              <w:t>普适性</w:t>
            </w:r>
          </w:p>
          <w:p w14:paraId="4D2C22F8">
            <w:pPr>
              <w:pStyle w:val="6"/>
              <w:spacing w:before="20" w:line="220" w:lineRule="auto"/>
              <w:ind w:left="44"/>
              <w:rPr>
                <w:sz w:val="20"/>
                <w:szCs w:val="20"/>
              </w:rPr>
            </w:pPr>
            <w:r>
              <w:rPr>
                <w:spacing w:val="-2"/>
                <w:sz w:val="20"/>
                <w:szCs w:val="20"/>
              </w:rPr>
              <w:t>清单管</w:t>
            </w:r>
          </w:p>
          <w:p w14:paraId="08AD68D3">
            <w:pPr>
              <w:pStyle w:val="6"/>
              <w:spacing w:before="20" w:line="221" w:lineRule="auto"/>
              <w:ind w:left="43"/>
              <w:rPr>
                <w:sz w:val="20"/>
                <w:szCs w:val="20"/>
              </w:rPr>
            </w:pPr>
            <w:r>
              <w:rPr>
                <w:spacing w:val="-2"/>
                <w:sz w:val="20"/>
                <w:szCs w:val="20"/>
              </w:rPr>
              <w:t>控要求</w:t>
            </w:r>
          </w:p>
        </w:tc>
        <w:tc>
          <w:tcPr>
            <w:tcW w:w="788" w:type="dxa"/>
            <w:vAlign w:val="top"/>
          </w:tcPr>
          <w:p w14:paraId="2B279973">
            <w:pPr>
              <w:pStyle w:val="6"/>
              <w:spacing w:before="289" w:line="219" w:lineRule="auto"/>
              <w:ind w:left="98"/>
              <w:rPr>
                <w:sz w:val="20"/>
                <w:szCs w:val="20"/>
              </w:rPr>
            </w:pPr>
            <w:r>
              <w:rPr>
                <w:spacing w:val="-3"/>
                <w:sz w:val="20"/>
                <w:szCs w:val="20"/>
              </w:rPr>
              <w:t>空间布</w:t>
            </w:r>
          </w:p>
          <w:p w14:paraId="64BD7A31">
            <w:pPr>
              <w:pStyle w:val="6"/>
              <w:spacing w:before="22" w:line="220" w:lineRule="auto"/>
              <w:ind w:left="94"/>
              <w:rPr>
                <w:sz w:val="20"/>
                <w:szCs w:val="20"/>
              </w:rPr>
            </w:pPr>
            <w:r>
              <w:rPr>
                <w:spacing w:val="-3"/>
                <w:sz w:val="20"/>
                <w:szCs w:val="20"/>
              </w:rPr>
              <w:t>局约束</w:t>
            </w:r>
          </w:p>
        </w:tc>
        <w:tc>
          <w:tcPr>
            <w:tcW w:w="4868" w:type="dxa"/>
            <w:vAlign w:val="top"/>
          </w:tcPr>
          <w:p w14:paraId="212495FE">
            <w:pPr>
              <w:pStyle w:val="6"/>
              <w:spacing w:before="29" w:line="220" w:lineRule="auto"/>
              <w:ind w:left="45"/>
              <w:rPr>
                <w:sz w:val="20"/>
                <w:szCs w:val="20"/>
              </w:rPr>
            </w:pPr>
            <w:r>
              <w:rPr>
                <w:spacing w:val="-1"/>
                <w:sz w:val="20"/>
                <w:szCs w:val="20"/>
              </w:rPr>
              <w:t>禁止开发建设活动的要求暂无</w:t>
            </w:r>
          </w:p>
          <w:p w14:paraId="2DCC5094">
            <w:pPr>
              <w:pStyle w:val="6"/>
              <w:spacing w:before="20" w:line="221" w:lineRule="auto"/>
              <w:ind w:left="59"/>
              <w:rPr>
                <w:sz w:val="20"/>
                <w:szCs w:val="20"/>
              </w:rPr>
            </w:pPr>
            <w:r>
              <w:rPr>
                <w:spacing w:val="-2"/>
                <w:sz w:val="20"/>
                <w:szCs w:val="20"/>
              </w:rPr>
              <w:t>限制开发建设活动的要求暂无</w:t>
            </w:r>
          </w:p>
          <w:p w14:paraId="1A2F3344">
            <w:pPr>
              <w:pStyle w:val="6"/>
              <w:spacing w:before="20" w:line="223" w:lineRule="auto"/>
              <w:ind w:left="46" w:right="1224" w:firstLine="2"/>
              <w:rPr>
                <w:sz w:val="20"/>
                <w:szCs w:val="20"/>
              </w:rPr>
            </w:pPr>
            <w:r>
              <w:rPr>
                <w:spacing w:val="-1"/>
                <w:sz w:val="20"/>
                <w:szCs w:val="20"/>
              </w:rPr>
              <w:t>不符合空间布局要求活动的退出要求暂无</w:t>
            </w:r>
            <w:r>
              <w:rPr>
                <w:spacing w:val="7"/>
                <w:sz w:val="20"/>
                <w:szCs w:val="20"/>
              </w:rPr>
              <w:t xml:space="preserve"> </w:t>
            </w:r>
            <w:r>
              <w:rPr>
                <w:spacing w:val="-1"/>
                <w:sz w:val="20"/>
                <w:szCs w:val="20"/>
              </w:rPr>
              <w:t>其他空间布局约束要求暂无</w:t>
            </w:r>
          </w:p>
        </w:tc>
        <w:tc>
          <w:tcPr>
            <w:tcW w:w="2632" w:type="dxa"/>
            <w:vAlign w:val="top"/>
          </w:tcPr>
          <w:p w14:paraId="055F90B5">
            <w:pPr>
              <w:spacing w:line="351" w:lineRule="auto"/>
              <w:rPr>
                <w:rFonts w:ascii="Arial"/>
                <w:sz w:val="21"/>
              </w:rPr>
            </w:pPr>
          </w:p>
          <w:p w14:paraId="555D15EE">
            <w:pPr>
              <w:pStyle w:val="6"/>
              <w:spacing w:before="65" w:line="225" w:lineRule="auto"/>
              <w:ind w:left="1265"/>
              <w:rPr>
                <w:sz w:val="20"/>
                <w:szCs w:val="20"/>
              </w:rPr>
            </w:pPr>
            <w:r>
              <w:rPr>
                <w:sz w:val="20"/>
                <w:szCs w:val="20"/>
              </w:rPr>
              <w:t>/</w:t>
            </w:r>
          </w:p>
        </w:tc>
        <w:tc>
          <w:tcPr>
            <w:tcW w:w="513" w:type="dxa"/>
            <w:vAlign w:val="top"/>
          </w:tcPr>
          <w:p w14:paraId="68888D57">
            <w:pPr>
              <w:spacing w:line="351" w:lineRule="auto"/>
              <w:rPr>
                <w:rFonts w:ascii="Arial"/>
                <w:sz w:val="21"/>
              </w:rPr>
            </w:pPr>
          </w:p>
          <w:p w14:paraId="4611B752">
            <w:pPr>
              <w:pStyle w:val="6"/>
              <w:spacing w:before="65" w:line="225" w:lineRule="auto"/>
              <w:ind w:left="207"/>
              <w:rPr>
                <w:sz w:val="20"/>
                <w:szCs w:val="20"/>
              </w:rPr>
            </w:pPr>
            <w:r>
              <w:rPr>
                <w:sz w:val="20"/>
                <w:szCs w:val="20"/>
              </w:rPr>
              <w:t>/</w:t>
            </w:r>
          </w:p>
        </w:tc>
        <w:tc>
          <w:tcPr>
            <w:tcW w:w="118" w:type="dxa"/>
            <w:tcBorders>
              <w:top w:val="nil"/>
              <w:bottom w:val="nil"/>
            </w:tcBorders>
            <w:vAlign w:val="top"/>
          </w:tcPr>
          <w:p w14:paraId="60656EBC">
            <w:pPr>
              <w:rPr>
                <w:rFonts w:ascii="Arial"/>
                <w:sz w:val="21"/>
              </w:rPr>
            </w:pPr>
          </w:p>
        </w:tc>
      </w:tr>
      <w:tr w14:paraId="57E66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1886" w:type="dxa"/>
            <w:vMerge w:val="continue"/>
            <w:tcBorders>
              <w:top w:val="nil"/>
              <w:bottom w:val="nil"/>
            </w:tcBorders>
            <w:vAlign w:val="top"/>
          </w:tcPr>
          <w:p w14:paraId="7C63A65A">
            <w:pPr>
              <w:rPr>
                <w:rFonts w:ascii="Arial"/>
                <w:sz w:val="21"/>
              </w:rPr>
            </w:pPr>
          </w:p>
        </w:tc>
        <w:tc>
          <w:tcPr>
            <w:tcW w:w="113" w:type="dxa"/>
            <w:tcBorders>
              <w:top w:val="nil"/>
              <w:bottom w:val="nil"/>
            </w:tcBorders>
            <w:vAlign w:val="top"/>
          </w:tcPr>
          <w:p w14:paraId="353ECDBA">
            <w:pPr>
              <w:rPr>
                <w:rFonts w:ascii="Arial"/>
                <w:sz w:val="21"/>
              </w:rPr>
            </w:pPr>
          </w:p>
        </w:tc>
        <w:tc>
          <w:tcPr>
            <w:tcW w:w="1879" w:type="dxa"/>
            <w:vMerge w:val="continue"/>
            <w:tcBorders>
              <w:top w:val="nil"/>
              <w:bottom w:val="nil"/>
            </w:tcBorders>
            <w:vAlign w:val="top"/>
          </w:tcPr>
          <w:p w14:paraId="295EFA2E">
            <w:pPr>
              <w:rPr>
                <w:rFonts w:ascii="Arial"/>
                <w:sz w:val="21"/>
              </w:rPr>
            </w:pPr>
          </w:p>
        </w:tc>
        <w:tc>
          <w:tcPr>
            <w:tcW w:w="795" w:type="dxa"/>
            <w:vMerge w:val="continue"/>
            <w:tcBorders>
              <w:top w:val="nil"/>
              <w:bottom w:val="nil"/>
            </w:tcBorders>
            <w:vAlign w:val="top"/>
          </w:tcPr>
          <w:p w14:paraId="1031AED5">
            <w:pPr>
              <w:rPr>
                <w:rFonts w:ascii="Arial"/>
                <w:sz w:val="21"/>
              </w:rPr>
            </w:pPr>
          </w:p>
        </w:tc>
        <w:tc>
          <w:tcPr>
            <w:tcW w:w="788" w:type="dxa"/>
            <w:vAlign w:val="top"/>
          </w:tcPr>
          <w:p w14:paraId="79328BF2">
            <w:pPr>
              <w:pStyle w:val="6"/>
              <w:spacing w:before="30" w:line="221" w:lineRule="auto"/>
              <w:ind w:left="93"/>
              <w:rPr>
                <w:sz w:val="20"/>
                <w:szCs w:val="20"/>
              </w:rPr>
            </w:pPr>
            <w:r>
              <w:rPr>
                <w:spacing w:val="-2"/>
                <w:sz w:val="20"/>
                <w:szCs w:val="20"/>
              </w:rPr>
              <w:t>污染物</w:t>
            </w:r>
          </w:p>
          <w:p w14:paraId="4A69B18F">
            <w:pPr>
              <w:pStyle w:val="6"/>
              <w:spacing w:before="20" w:line="223" w:lineRule="auto"/>
              <w:ind w:left="290" w:right="97" w:hanging="199"/>
              <w:rPr>
                <w:sz w:val="20"/>
                <w:szCs w:val="20"/>
              </w:rPr>
            </w:pPr>
            <w:r>
              <w:rPr>
                <w:spacing w:val="-3"/>
                <w:sz w:val="20"/>
                <w:szCs w:val="20"/>
              </w:rPr>
              <w:t>排放管</w:t>
            </w:r>
            <w:r>
              <w:rPr>
                <w:spacing w:val="1"/>
                <w:sz w:val="20"/>
                <w:szCs w:val="20"/>
              </w:rPr>
              <w:t xml:space="preserve"> </w:t>
            </w:r>
            <w:r>
              <w:rPr>
                <w:sz w:val="20"/>
                <w:szCs w:val="20"/>
              </w:rPr>
              <w:t>控</w:t>
            </w:r>
          </w:p>
        </w:tc>
        <w:tc>
          <w:tcPr>
            <w:tcW w:w="4868" w:type="dxa"/>
            <w:vAlign w:val="top"/>
          </w:tcPr>
          <w:p w14:paraId="5A4B2649">
            <w:pPr>
              <w:pStyle w:val="6"/>
              <w:spacing w:before="30" w:line="220" w:lineRule="auto"/>
              <w:ind w:left="52"/>
              <w:rPr>
                <w:sz w:val="20"/>
                <w:szCs w:val="20"/>
              </w:rPr>
            </w:pPr>
            <w:r>
              <w:rPr>
                <w:spacing w:val="-2"/>
                <w:sz w:val="20"/>
                <w:szCs w:val="20"/>
              </w:rPr>
              <w:t>允许排放量要求暂无</w:t>
            </w:r>
          </w:p>
          <w:p w14:paraId="70E0FD65">
            <w:pPr>
              <w:pStyle w:val="6"/>
              <w:spacing w:before="20" w:line="220" w:lineRule="auto"/>
              <w:ind w:left="47"/>
              <w:rPr>
                <w:sz w:val="20"/>
                <w:szCs w:val="20"/>
              </w:rPr>
            </w:pPr>
            <w:r>
              <w:rPr>
                <w:spacing w:val="-1"/>
                <w:sz w:val="20"/>
                <w:szCs w:val="20"/>
              </w:rPr>
              <w:t>现有源提标升级改造暂无</w:t>
            </w:r>
          </w:p>
          <w:p w14:paraId="025C49EF">
            <w:pPr>
              <w:pStyle w:val="6"/>
              <w:spacing w:before="20" w:line="207" w:lineRule="auto"/>
              <w:ind w:left="46"/>
              <w:rPr>
                <w:sz w:val="20"/>
                <w:szCs w:val="20"/>
              </w:rPr>
            </w:pPr>
            <w:r>
              <w:rPr>
                <w:spacing w:val="-1"/>
                <w:sz w:val="20"/>
                <w:szCs w:val="20"/>
              </w:rPr>
              <w:t>其他污染物排放管控要求暂无</w:t>
            </w:r>
          </w:p>
        </w:tc>
        <w:tc>
          <w:tcPr>
            <w:tcW w:w="2632" w:type="dxa"/>
            <w:vAlign w:val="top"/>
          </w:tcPr>
          <w:p w14:paraId="1EAF15CC">
            <w:pPr>
              <w:pStyle w:val="6"/>
              <w:spacing w:before="289" w:line="225" w:lineRule="auto"/>
              <w:ind w:left="1265"/>
              <w:rPr>
                <w:sz w:val="20"/>
                <w:szCs w:val="20"/>
              </w:rPr>
            </w:pPr>
            <w:r>
              <w:rPr>
                <w:sz w:val="20"/>
                <w:szCs w:val="20"/>
              </w:rPr>
              <w:t>/</w:t>
            </w:r>
          </w:p>
        </w:tc>
        <w:tc>
          <w:tcPr>
            <w:tcW w:w="513" w:type="dxa"/>
            <w:vAlign w:val="top"/>
          </w:tcPr>
          <w:p w14:paraId="73814B5C">
            <w:pPr>
              <w:pStyle w:val="6"/>
              <w:spacing w:before="289" w:line="225" w:lineRule="auto"/>
              <w:ind w:left="207"/>
              <w:rPr>
                <w:sz w:val="20"/>
                <w:szCs w:val="20"/>
              </w:rPr>
            </w:pPr>
            <w:r>
              <w:rPr>
                <w:sz w:val="20"/>
                <w:szCs w:val="20"/>
              </w:rPr>
              <w:t>/</w:t>
            </w:r>
          </w:p>
        </w:tc>
        <w:tc>
          <w:tcPr>
            <w:tcW w:w="118" w:type="dxa"/>
            <w:tcBorders>
              <w:top w:val="nil"/>
              <w:bottom w:val="nil"/>
            </w:tcBorders>
            <w:vAlign w:val="top"/>
          </w:tcPr>
          <w:p w14:paraId="6E45BEA9">
            <w:pPr>
              <w:rPr>
                <w:rFonts w:ascii="Arial"/>
                <w:sz w:val="21"/>
              </w:rPr>
            </w:pPr>
          </w:p>
        </w:tc>
      </w:tr>
      <w:tr w14:paraId="6CAA5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3" w:hRule="atLeast"/>
        </w:trPr>
        <w:tc>
          <w:tcPr>
            <w:tcW w:w="1886" w:type="dxa"/>
            <w:vMerge w:val="continue"/>
            <w:tcBorders>
              <w:top w:val="nil"/>
              <w:bottom w:val="nil"/>
            </w:tcBorders>
            <w:vAlign w:val="top"/>
          </w:tcPr>
          <w:p w14:paraId="0951CCA4">
            <w:pPr>
              <w:rPr>
                <w:rFonts w:ascii="Arial"/>
                <w:sz w:val="21"/>
              </w:rPr>
            </w:pPr>
          </w:p>
        </w:tc>
        <w:tc>
          <w:tcPr>
            <w:tcW w:w="113" w:type="dxa"/>
            <w:tcBorders>
              <w:top w:val="nil"/>
              <w:bottom w:val="nil"/>
            </w:tcBorders>
            <w:vAlign w:val="top"/>
          </w:tcPr>
          <w:p w14:paraId="54B72E3B">
            <w:pPr>
              <w:rPr>
                <w:rFonts w:ascii="Arial"/>
                <w:sz w:val="21"/>
              </w:rPr>
            </w:pPr>
          </w:p>
        </w:tc>
        <w:tc>
          <w:tcPr>
            <w:tcW w:w="1879" w:type="dxa"/>
            <w:vMerge w:val="continue"/>
            <w:tcBorders>
              <w:top w:val="nil"/>
              <w:bottom w:val="nil"/>
            </w:tcBorders>
            <w:vAlign w:val="top"/>
          </w:tcPr>
          <w:p w14:paraId="74E90176">
            <w:pPr>
              <w:rPr>
                <w:rFonts w:ascii="Arial"/>
                <w:sz w:val="21"/>
              </w:rPr>
            </w:pPr>
          </w:p>
        </w:tc>
        <w:tc>
          <w:tcPr>
            <w:tcW w:w="795" w:type="dxa"/>
            <w:vMerge w:val="continue"/>
            <w:tcBorders>
              <w:top w:val="nil"/>
              <w:bottom w:val="nil"/>
            </w:tcBorders>
            <w:vAlign w:val="top"/>
          </w:tcPr>
          <w:p w14:paraId="146C9DF3">
            <w:pPr>
              <w:rPr>
                <w:rFonts w:ascii="Arial"/>
                <w:sz w:val="21"/>
              </w:rPr>
            </w:pPr>
          </w:p>
        </w:tc>
        <w:tc>
          <w:tcPr>
            <w:tcW w:w="788" w:type="dxa"/>
            <w:vAlign w:val="top"/>
          </w:tcPr>
          <w:p w14:paraId="7CD86A13">
            <w:pPr>
              <w:pStyle w:val="6"/>
              <w:spacing w:before="30" w:line="221" w:lineRule="auto"/>
              <w:ind w:left="91"/>
              <w:rPr>
                <w:sz w:val="20"/>
                <w:szCs w:val="20"/>
              </w:rPr>
            </w:pPr>
            <w:r>
              <w:rPr>
                <w:spacing w:val="-2"/>
                <w:sz w:val="20"/>
                <w:szCs w:val="20"/>
              </w:rPr>
              <w:t>环境风</w:t>
            </w:r>
          </w:p>
          <w:p w14:paraId="317C9263">
            <w:pPr>
              <w:pStyle w:val="6"/>
              <w:spacing w:before="19" w:line="206" w:lineRule="auto"/>
              <w:ind w:left="102"/>
              <w:rPr>
                <w:sz w:val="20"/>
                <w:szCs w:val="20"/>
              </w:rPr>
            </w:pPr>
            <w:r>
              <w:rPr>
                <w:spacing w:val="-4"/>
                <w:sz w:val="20"/>
                <w:szCs w:val="20"/>
              </w:rPr>
              <w:t>险防控</w:t>
            </w:r>
          </w:p>
        </w:tc>
        <w:tc>
          <w:tcPr>
            <w:tcW w:w="4868" w:type="dxa"/>
            <w:vAlign w:val="top"/>
          </w:tcPr>
          <w:p w14:paraId="22A43E5D">
            <w:pPr>
              <w:pStyle w:val="6"/>
              <w:spacing w:before="30" w:line="221" w:lineRule="auto"/>
              <w:ind w:left="46"/>
              <w:rPr>
                <w:sz w:val="20"/>
                <w:szCs w:val="20"/>
              </w:rPr>
            </w:pPr>
            <w:r>
              <w:rPr>
                <w:spacing w:val="-1"/>
                <w:sz w:val="20"/>
                <w:szCs w:val="20"/>
              </w:rPr>
              <w:t>联防联控要求暂无</w:t>
            </w:r>
          </w:p>
          <w:p w14:paraId="19D5DAC8">
            <w:pPr>
              <w:pStyle w:val="6"/>
              <w:spacing w:before="19" w:line="206" w:lineRule="auto"/>
              <w:ind w:left="46"/>
              <w:rPr>
                <w:sz w:val="20"/>
                <w:szCs w:val="20"/>
              </w:rPr>
            </w:pPr>
            <w:r>
              <w:rPr>
                <w:spacing w:val="-1"/>
                <w:sz w:val="20"/>
                <w:szCs w:val="20"/>
              </w:rPr>
              <w:t>其他环境风险防控要求暂无</w:t>
            </w:r>
          </w:p>
        </w:tc>
        <w:tc>
          <w:tcPr>
            <w:tcW w:w="2632" w:type="dxa"/>
            <w:vAlign w:val="top"/>
          </w:tcPr>
          <w:p w14:paraId="28A5B913">
            <w:pPr>
              <w:pStyle w:val="6"/>
              <w:spacing w:before="160" w:line="225" w:lineRule="auto"/>
              <w:ind w:left="1265"/>
              <w:rPr>
                <w:sz w:val="20"/>
                <w:szCs w:val="20"/>
              </w:rPr>
            </w:pPr>
            <w:r>
              <w:rPr>
                <w:sz w:val="20"/>
                <w:szCs w:val="20"/>
              </w:rPr>
              <w:t>/</w:t>
            </w:r>
          </w:p>
        </w:tc>
        <w:tc>
          <w:tcPr>
            <w:tcW w:w="513" w:type="dxa"/>
            <w:vAlign w:val="top"/>
          </w:tcPr>
          <w:p w14:paraId="4AE2BB6C">
            <w:pPr>
              <w:pStyle w:val="6"/>
              <w:spacing w:before="160" w:line="225" w:lineRule="auto"/>
              <w:ind w:left="207"/>
              <w:rPr>
                <w:sz w:val="20"/>
                <w:szCs w:val="20"/>
              </w:rPr>
            </w:pPr>
            <w:r>
              <w:rPr>
                <w:sz w:val="20"/>
                <w:szCs w:val="20"/>
              </w:rPr>
              <w:t>/</w:t>
            </w:r>
          </w:p>
        </w:tc>
        <w:tc>
          <w:tcPr>
            <w:tcW w:w="118" w:type="dxa"/>
            <w:tcBorders>
              <w:top w:val="nil"/>
              <w:bottom w:val="nil"/>
            </w:tcBorders>
            <w:vAlign w:val="top"/>
          </w:tcPr>
          <w:p w14:paraId="2E52245F">
            <w:pPr>
              <w:rPr>
                <w:rFonts w:ascii="Arial"/>
                <w:sz w:val="21"/>
              </w:rPr>
            </w:pPr>
          </w:p>
        </w:tc>
      </w:tr>
      <w:tr w14:paraId="488C4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01" w:hRule="atLeast"/>
        </w:trPr>
        <w:tc>
          <w:tcPr>
            <w:tcW w:w="1886" w:type="dxa"/>
            <w:vMerge w:val="continue"/>
            <w:tcBorders>
              <w:top w:val="nil"/>
              <w:bottom w:val="nil"/>
            </w:tcBorders>
            <w:vAlign w:val="top"/>
          </w:tcPr>
          <w:p w14:paraId="1E09A3C2">
            <w:pPr>
              <w:rPr>
                <w:rFonts w:ascii="Arial"/>
                <w:sz w:val="21"/>
              </w:rPr>
            </w:pPr>
          </w:p>
        </w:tc>
        <w:tc>
          <w:tcPr>
            <w:tcW w:w="113" w:type="dxa"/>
            <w:tcBorders>
              <w:top w:val="nil"/>
              <w:bottom w:val="nil"/>
            </w:tcBorders>
            <w:vAlign w:val="top"/>
          </w:tcPr>
          <w:p w14:paraId="147658F8">
            <w:pPr>
              <w:rPr>
                <w:rFonts w:ascii="Arial"/>
                <w:sz w:val="21"/>
              </w:rPr>
            </w:pPr>
          </w:p>
        </w:tc>
        <w:tc>
          <w:tcPr>
            <w:tcW w:w="1879" w:type="dxa"/>
            <w:vMerge w:val="continue"/>
            <w:tcBorders>
              <w:top w:val="nil"/>
              <w:bottom w:val="nil"/>
            </w:tcBorders>
            <w:vAlign w:val="top"/>
          </w:tcPr>
          <w:p w14:paraId="573865E0">
            <w:pPr>
              <w:rPr>
                <w:rFonts w:ascii="Arial"/>
                <w:sz w:val="21"/>
              </w:rPr>
            </w:pPr>
          </w:p>
        </w:tc>
        <w:tc>
          <w:tcPr>
            <w:tcW w:w="795" w:type="dxa"/>
            <w:vMerge w:val="continue"/>
            <w:tcBorders>
              <w:top w:val="nil"/>
            </w:tcBorders>
            <w:vAlign w:val="top"/>
          </w:tcPr>
          <w:p w14:paraId="6F384F3A">
            <w:pPr>
              <w:rPr>
                <w:rFonts w:ascii="Arial"/>
                <w:sz w:val="21"/>
              </w:rPr>
            </w:pPr>
          </w:p>
        </w:tc>
        <w:tc>
          <w:tcPr>
            <w:tcW w:w="788" w:type="dxa"/>
            <w:vAlign w:val="top"/>
          </w:tcPr>
          <w:p w14:paraId="57B66542">
            <w:pPr>
              <w:pStyle w:val="6"/>
              <w:spacing w:before="292" w:line="221" w:lineRule="auto"/>
              <w:ind w:left="100"/>
              <w:rPr>
                <w:sz w:val="20"/>
                <w:szCs w:val="20"/>
              </w:rPr>
            </w:pPr>
            <w:r>
              <w:rPr>
                <w:spacing w:val="-4"/>
                <w:sz w:val="20"/>
                <w:szCs w:val="20"/>
              </w:rPr>
              <w:t>资源开</w:t>
            </w:r>
          </w:p>
          <w:p w14:paraId="4CBAE30B">
            <w:pPr>
              <w:pStyle w:val="6"/>
              <w:spacing w:before="19" w:line="242" w:lineRule="auto"/>
              <w:ind w:left="193" w:right="97" w:hanging="98"/>
              <w:rPr>
                <w:sz w:val="20"/>
                <w:szCs w:val="20"/>
              </w:rPr>
            </w:pPr>
            <w:r>
              <w:rPr>
                <w:spacing w:val="-4"/>
                <w:sz w:val="20"/>
                <w:szCs w:val="20"/>
              </w:rPr>
              <w:t>发效率</w:t>
            </w:r>
            <w:r>
              <w:rPr>
                <w:spacing w:val="1"/>
                <w:sz w:val="20"/>
                <w:szCs w:val="20"/>
              </w:rPr>
              <w:t xml:space="preserve"> </w:t>
            </w:r>
            <w:r>
              <w:rPr>
                <w:spacing w:val="-2"/>
                <w:sz w:val="20"/>
                <w:szCs w:val="20"/>
              </w:rPr>
              <w:t>要求</w:t>
            </w:r>
          </w:p>
        </w:tc>
        <w:tc>
          <w:tcPr>
            <w:tcW w:w="4868" w:type="dxa"/>
            <w:vAlign w:val="top"/>
          </w:tcPr>
          <w:p w14:paraId="652F82F3">
            <w:pPr>
              <w:pStyle w:val="6"/>
              <w:spacing w:before="33" w:line="239" w:lineRule="auto"/>
              <w:ind w:left="45" w:right="2624" w:firstLine="2"/>
              <w:rPr>
                <w:sz w:val="20"/>
                <w:szCs w:val="20"/>
              </w:rPr>
            </w:pPr>
            <w:r>
              <w:rPr>
                <w:spacing w:val="-1"/>
                <w:sz w:val="20"/>
                <w:szCs w:val="20"/>
              </w:rPr>
              <w:t>水资源利用总量要求暂无</w:t>
            </w:r>
            <w:r>
              <w:rPr>
                <w:sz w:val="20"/>
                <w:szCs w:val="20"/>
              </w:rPr>
              <w:t xml:space="preserve"> </w:t>
            </w:r>
            <w:r>
              <w:rPr>
                <w:spacing w:val="-1"/>
                <w:sz w:val="20"/>
                <w:szCs w:val="20"/>
              </w:rPr>
              <w:t>地下水开采要求暂无</w:t>
            </w:r>
          </w:p>
          <w:p w14:paraId="550D2CF9">
            <w:pPr>
              <w:pStyle w:val="6"/>
              <w:spacing w:line="239" w:lineRule="auto"/>
              <w:ind w:left="45" w:right="2225" w:firstLine="7"/>
              <w:rPr>
                <w:sz w:val="20"/>
                <w:szCs w:val="20"/>
              </w:rPr>
            </w:pPr>
            <w:r>
              <w:rPr>
                <w:spacing w:val="-2"/>
                <w:sz w:val="20"/>
                <w:szCs w:val="20"/>
              </w:rPr>
              <w:t>能源利用总量及效率要求暂无</w:t>
            </w:r>
            <w:r>
              <w:rPr>
                <w:spacing w:val="9"/>
                <w:sz w:val="20"/>
                <w:szCs w:val="20"/>
              </w:rPr>
              <w:t xml:space="preserve"> </w:t>
            </w:r>
            <w:r>
              <w:rPr>
                <w:spacing w:val="-1"/>
                <w:sz w:val="20"/>
                <w:szCs w:val="20"/>
              </w:rPr>
              <w:t>禁燃区要求暂无</w:t>
            </w:r>
          </w:p>
          <w:p w14:paraId="64C2248D">
            <w:pPr>
              <w:pStyle w:val="6"/>
              <w:spacing w:line="204" w:lineRule="auto"/>
              <w:ind w:left="46"/>
              <w:rPr>
                <w:sz w:val="20"/>
                <w:szCs w:val="20"/>
              </w:rPr>
            </w:pPr>
            <w:r>
              <w:rPr>
                <w:spacing w:val="-1"/>
                <w:sz w:val="20"/>
                <w:szCs w:val="20"/>
              </w:rPr>
              <w:t>其他资源利用效率要求暂无</w:t>
            </w:r>
          </w:p>
        </w:tc>
        <w:tc>
          <w:tcPr>
            <w:tcW w:w="2632" w:type="dxa"/>
            <w:vAlign w:val="top"/>
          </w:tcPr>
          <w:p w14:paraId="36E14747">
            <w:pPr>
              <w:spacing w:line="241" w:lineRule="auto"/>
              <w:rPr>
                <w:rFonts w:ascii="Arial"/>
                <w:sz w:val="21"/>
              </w:rPr>
            </w:pPr>
          </w:p>
          <w:p w14:paraId="1CFEB7C3">
            <w:pPr>
              <w:spacing w:line="242" w:lineRule="auto"/>
              <w:rPr>
                <w:rFonts w:ascii="Arial"/>
                <w:sz w:val="21"/>
              </w:rPr>
            </w:pPr>
          </w:p>
          <w:p w14:paraId="00F2009B">
            <w:pPr>
              <w:pStyle w:val="6"/>
              <w:spacing w:before="65" w:line="225" w:lineRule="auto"/>
              <w:ind w:left="1265"/>
              <w:rPr>
                <w:sz w:val="20"/>
                <w:szCs w:val="20"/>
              </w:rPr>
            </w:pPr>
            <w:r>
              <w:rPr>
                <w:sz w:val="20"/>
                <w:szCs w:val="20"/>
              </w:rPr>
              <w:t>/</w:t>
            </w:r>
          </w:p>
        </w:tc>
        <w:tc>
          <w:tcPr>
            <w:tcW w:w="513" w:type="dxa"/>
            <w:vAlign w:val="top"/>
          </w:tcPr>
          <w:p w14:paraId="62931C53">
            <w:pPr>
              <w:spacing w:line="241" w:lineRule="auto"/>
              <w:rPr>
                <w:rFonts w:ascii="Arial"/>
                <w:sz w:val="21"/>
              </w:rPr>
            </w:pPr>
          </w:p>
          <w:p w14:paraId="5BFC6F3C">
            <w:pPr>
              <w:spacing w:line="242" w:lineRule="auto"/>
              <w:rPr>
                <w:rFonts w:ascii="Arial"/>
                <w:sz w:val="21"/>
              </w:rPr>
            </w:pPr>
          </w:p>
          <w:p w14:paraId="3AF24CB1">
            <w:pPr>
              <w:pStyle w:val="6"/>
              <w:spacing w:before="65" w:line="225" w:lineRule="auto"/>
              <w:ind w:left="207"/>
              <w:rPr>
                <w:sz w:val="20"/>
                <w:szCs w:val="20"/>
              </w:rPr>
            </w:pPr>
            <w:r>
              <w:rPr>
                <w:sz w:val="20"/>
                <w:szCs w:val="20"/>
              </w:rPr>
              <w:t>/</w:t>
            </w:r>
          </w:p>
        </w:tc>
        <w:tc>
          <w:tcPr>
            <w:tcW w:w="118" w:type="dxa"/>
            <w:tcBorders>
              <w:top w:val="nil"/>
              <w:bottom w:val="nil"/>
            </w:tcBorders>
            <w:vAlign w:val="top"/>
          </w:tcPr>
          <w:p w14:paraId="199D4763">
            <w:pPr>
              <w:rPr>
                <w:rFonts w:ascii="Arial"/>
                <w:sz w:val="21"/>
              </w:rPr>
            </w:pPr>
          </w:p>
        </w:tc>
      </w:tr>
      <w:tr w14:paraId="15C68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1" w:hRule="atLeast"/>
        </w:trPr>
        <w:tc>
          <w:tcPr>
            <w:tcW w:w="1886" w:type="dxa"/>
            <w:vMerge w:val="continue"/>
            <w:tcBorders>
              <w:top w:val="nil"/>
              <w:bottom w:val="nil"/>
            </w:tcBorders>
            <w:vAlign w:val="top"/>
          </w:tcPr>
          <w:p w14:paraId="25ED0756">
            <w:pPr>
              <w:rPr>
                <w:rFonts w:ascii="Arial"/>
                <w:sz w:val="21"/>
              </w:rPr>
            </w:pPr>
          </w:p>
        </w:tc>
        <w:tc>
          <w:tcPr>
            <w:tcW w:w="113" w:type="dxa"/>
            <w:tcBorders>
              <w:top w:val="nil"/>
              <w:bottom w:val="nil"/>
            </w:tcBorders>
            <w:vAlign w:val="top"/>
          </w:tcPr>
          <w:p w14:paraId="730EBC5F">
            <w:pPr>
              <w:rPr>
                <w:rFonts w:ascii="Arial"/>
                <w:sz w:val="21"/>
              </w:rPr>
            </w:pPr>
          </w:p>
        </w:tc>
        <w:tc>
          <w:tcPr>
            <w:tcW w:w="1879" w:type="dxa"/>
            <w:vMerge w:val="continue"/>
            <w:tcBorders>
              <w:top w:val="nil"/>
              <w:bottom w:val="nil"/>
            </w:tcBorders>
            <w:vAlign w:val="top"/>
          </w:tcPr>
          <w:p w14:paraId="4879D03B">
            <w:pPr>
              <w:rPr>
                <w:rFonts w:ascii="Arial"/>
                <w:sz w:val="21"/>
              </w:rPr>
            </w:pPr>
          </w:p>
        </w:tc>
        <w:tc>
          <w:tcPr>
            <w:tcW w:w="795" w:type="dxa"/>
            <w:vMerge w:val="restart"/>
            <w:tcBorders>
              <w:bottom w:val="nil"/>
            </w:tcBorders>
            <w:vAlign w:val="top"/>
          </w:tcPr>
          <w:p w14:paraId="7054C955">
            <w:pPr>
              <w:spacing w:line="274" w:lineRule="auto"/>
              <w:rPr>
                <w:rFonts w:ascii="Arial"/>
                <w:sz w:val="21"/>
              </w:rPr>
            </w:pPr>
          </w:p>
          <w:p w14:paraId="7677FACB">
            <w:pPr>
              <w:spacing w:line="274" w:lineRule="auto"/>
              <w:rPr>
                <w:rFonts w:ascii="Arial"/>
                <w:sz w:val="21"/>
              </w:rPr>
            </w:pPr>
          </w:p>
          <w:p w14:paraId="5B51EFBE">
            <w:pPr>
              <w:spacing w:line="275" w:lineRule="auto"/>
              <w:rPr>
                <w:rFonts w:ascii="Arial"/>
                <w:sz w:val="21"/>
              </w:rPr>
            </w:pPr>
          </w:p>
          <w:p w14:paraId="28FC1E47">
            <w:pPr>
              <w:spacing w:line="275" w:lineRule="auto"/>
              <w:rPr>
                <w:rFonts w:ascii="Arial"/>
                <w:sz w:val="21"/>
              </w:rPr>
            </w:pPr>
          </w:p>
          <w:p w14:paraId="2A7B28EF">
            <w:pPr>
              <w:spacing w:line="275" w:lineRule="auto"/>
              <w:rPr>
                <w:rFonts w:ascii="Arial"/>
                <w:sz w:val="21"/>
              </w:rPr>
            </w:pPr>
          </w:p>
          <w:p w14:paraId="411E5456">
            <w:pPr>
              <w:spacing w:line="275" w:lineRule="auto"/>
              <w:rPr>
                <w:rFonts w:ascii="Arial"/>
                <w:sz w:val="21"/>
              </w:rPr>
            </w:pPr>
          </w:p>
          <w:p w14:paraId="775DE37F">
            <w:pPr>
              <w:pStyle w:val="6"/>
              <w:spacing w:before="65" w:line="221" w:lineRule="auto"/>
              <w:ind w:left="96"/>
              <w:rPr>
                <w:sz w:val="20"/>
                <w:szCs w:val="20"/>
              </w:rPr>
            </w:pPr>
            <w:r>
              <w:rPr>
                <w:spacing w:val="-2"/>
                <w:sz w:val="20"/>
                <w:szCs w:val="20"/>
              </w:rPr>
              <w:t>单元级</w:t>
            </w:r>
          </w:p>
          <w:p w14:paraId="5A4C3DB2">
            <w:pPr>
              <w:pStyle w:val="6"/>
              <w:spacing w:before="20" w:line="220" w:lineRule="auto"/>
              <w:ind w:left="94"/>
              <w:rPr>
                <w:sz w:val="20"/>
                <w:szCs w:val="20"/>
              </w:rPr>
            </w:pPr>
            <w:r>
              <w:rPr>
                <w:spacing w:val="-2"/>
                <w:sz w:val="20"/>
                <w:szCs w:val="20"/>
              </w:rPr>
              <w:t>清单管</w:t>
            </w:r>
          </w:p>
          <w:p w14:paraId="4161CFE9">
            <w:pPr>
              <w:pStyle w:val="6"/>
              <w:spacing w:before="20" w:line="221" w:lineRule="auto"/>
              <w:ind w:left="94"/>
              <w:rPr>
                <w:sz w:val="20"/>
                <w:szCs w:val="20"/>
              </w:rPr>
            </w:pPr>
            <w:r>
              <w:rPr>
                <w:spacing w:val="-2"/>
                <w:sz w:val="20"/>
                <w:szCs w:val="20"/>
              </w:rPr>
              <w:t>控要求</w:t>
            </w:r>
          </w:p>
        </w:tc>
        <w:tc>
          <w:tcPr>
            <w:tcW w:w="788" w:type="dxa"/>
            <w:vAlign w:val="top"/>
          </w:tcPr>
          <w:p w14:paraId="35B24720">
            <w:pPr>
              <w:spacing w:line="355" w:lineRule="auto"/>
              <w:rPr>
                <w:rFonts w:ascii="Arial"/>
                <w:sz w:val="21"/>
              </w:rPr>
            </w:pPr>
          </w:p>
          <w:p w14:paraId="1827DC67">
            <w:pPr>
              <w:pStyle w:val="6"/>
              <w:spacing w:before="65" w:line="219" w:lineRule="auto"/>
              <w:ind w:left="98"/>
              <w:rPr>
                <w:sz w:val="20"/>
                <w:szCs w:val="20"/>
              </w:rPr>
            </w:pPr>
            <w:r>
              <w:rPr>
                <w:spacing w:val="-3"/>
                <w:sz w:val="20"/>
                <w:szCs w:val="20"/>
              </w:rPr>
              <w:t>空间布</w:t>
            </w:r>
          </w:p>
          <w:p w14:paraId="426B623B">
            <w:pPr>
              <w:pStyle w:val="6"/>
              <w:spacing w:before="21" w:line="220" w:lineRule="auto"/>
              <w:ind w:left="94"/>
              <w:rPr>
                <w:sz w:val="20"/>
                <w:szCs w:val="20"/>
              </w:rPr>
            </w:pPr>
            <w:r>
              <w:rPr>
                <w:spacing w:val="-3"/>
                <w:sz w:val="20"/>
                <w:szCs w:val="20"/>
              </w:rPr>
              <w:t>局约束</w:t>
            </w:r>
          </w:p>
        </w:tc>
        <w:tc>
          <w:tcPr>
            <w:tcW w:w="4868" w:type="dxa"/>
            <w:vAlign w:val="top"/>
          </w:tcPr>
          <w:p w14:paraId="717C43C4">
            <w:pPr>
              <w:pStyle w:val="6"/>
              <w:spacing w:before="34" w:line="239" w:lineRule="auto"/>
              <w:ind w:left="52" w:right="2624" w:hanging="7"/>
              <w:jc w:val="both"/>
              <w:rPr>
                <w:sz w:val="20"/>
                <w:szCs w:val="20"/>
              </w:rPr>
            </w:pPr>
            <w:r>
              <w:rPr>
                <w:spacing w:val="-1"/>
                <w:sz w:val="20"/>
                <w:szCs w:val="20"/>
              </w:rPr>
              <w:t>禁止开发建设活动的要求</w:t>
            </w:r>
            <w:r>
              <w:rPr>
                <w:spacing w:val="2"/>
                <w:sz w:val="20"/>
                <w:szCs w:val="20"/>
              </w:rPr>
              <w:t xml:space="preserve"> </w:t>
            </w:r>
            <w:r>
              <w:rPr>
                <w:spacing w:val="-2"/>
                <w:sz w:val="20"/>
                <w:szCs w:val="20"/>
              </w:rPr>
              <w:t>限制开发建设活动的要求</w:t>
            </w:r>
            <w:r>
              <w:rPr>
                <w:spacing w:val="6"/>
                <w:sz w:val="20"/>
                <w:szCs w:val="20"/>
              </w:rPr>
              <w:t xml:space="preserve"> </w:t>
            </w:r>
            <w:r>
              <w:rPr>
                <w:spacing w:val="-2"/>
                <w:sz w:val="20"/>
                <w:szCs w:val="20"/>
              </w:rPr>
              <w:t>允许开发建设活动的要求</w:t>
            </w:r>
          </w:p>
          <w:p w14:paraId="22C49A44">
            <w:pPr>
              <w:pStyle w:val="6"/>
              <w:spacing w:before="1" w:line="221" w:lineRule="auto"/>
              <w:ind w:left="46" w:right="1623" w:firstLine="2"/>
              <w:rPr>
                <w:sz w:val="20"/>
                <w:szCs w:val="20"/>
              </w:rPr>
            </w:pPr>
            <w:r>
              <w:rPr>
                <w:spacing w:val="-1"/>
                <w:sz w:val="20"/>
                <w:szCs w:val="20"/>
              </w:rPr>
              <w:t>不符合空间布局要求活动的退出要求</w:t>
            </w:r>
            <w:r>
              <w:rPr>
                <w:spacing w:val="5"/>
                <w:sz w:val="20"/>
                <w:szCs w:val="20"/>
              </w:rPr>
              <w:t xml:space="preserve"> </w:t>
            </w:r>
            <w:r>
              <w:rPr>
                <w:spacing w:val="-1"/>
                <w:sz w:val="20"/>
                <w:szCs w:val="20"/>
              </w:rPr>
              <w:t>其他空间布局约束要求</w:t>
            </w:r>
          </w:p>
        </w:tc>
        <w:tc>
          <w:tcPr>
            <w:tcW w:w="2632" w:type="dxa"/>
            <w:vAlign w:val="top"/>
          </w:tcPr>
          <w:p w14:paraId="406002EA">
            <w:pPr>
              <w:spacing w:line="241" w:lineRule="auto"/>
              <w:rPr>
                <w:rFonts w:ascii="Arial"/>
                <w:sz w:val="21"/>
              </w:rPr>
            </w:pPr>
          </w:p>
          <w:p w14:paraId="2F42BF9A">
            <w:pPr>
              <w:spacing w:line="242" w:lineRule="auto"/>
              <w:rPr>
                <w:rFonts w:ascii="Arial"/>
                <w:sz w:val="21"/>
              </w:rPr>
            </w:pPr>
          </w:p>
          <w:p w14:paraId="089E63CD">
            <w:pPr>
              <w:pStyle w:val="6"/>
              <w:spacing w:before="65" w:line="225" w:lineRule="auto"/>
              <w:ind w:left="1265"/>
              <w:rPr>
                <w:sz w:val="20"/>
                <w:szCs w:val="20"/>
              </w:rPr>
            </w:pPr>
            <w:r>
              <w:rPr>
                <w:sz w:val="20"/>
                <w:szCs w:val="20"/>
              </w:rPr>
              <w:t>/</w:t>
            </w:r>
          </w:p>
        </w:tc>
        <w:tc>
          <w:tcPr>
            <w:tcW w:w="513" w:type="dxa"/>
            <w:vAlign w:val="top"/>
          </w:tcPr>
          <w:p w14:paraId="1972C2A5">
            <w:pPr>
              <w:spacing w:line="241" w:lineRule="auto"/>
              <w:rPr>
                <w:rFonts w:ascii="Arial"/>
                <w:sz w:val="21"/>
              </w:rPr>
            </w:pPr>
          </w:p>
          <w:p w14:paraId="6429B00B">
            <w:pPr>
              <w:spacing w:line="242" w:lineRule="auto"/>
              <w:rPr>
                <w:rFonts w:ascii="Arial"/>
                <w:sz w:val="21"/>
              </w:rPr>
            </w:pPr>
          </w:p>
          <w:p w14:paraId="5CF561DC">
            <w:pPr>
              <w:pStyle w:val="6"/>
              <w:spacing w:before="65" w:line="225" w:lineRule="auto"/>
              <w:ind w:left="207"/>
              <w:rPr>
                <w:sz w:val="20"/>
                <w:szCs w:val="20"/>
              </w:rPr>
            </w:pPr>
            <w:r>
              <w:rPr>
                <w:sz w:val="20"/>
                <w:szCs w:val="20"/>
              </w:rPr>
              <w:t>/</w:t>
            </w:r>
          </w:p>
        </w:tc>
        <w:tc>
          <w:tcPr>
            <w:tcW w:w="118" w:type="dxa"/>
            <w:tcBorders>
              <w:top w:val="nil"/>
              <w:bottom w:val="nil"/>
            </w:tcBorders>
            <w:vAlign w:val="top"/>
          </w:tcPr>
          <w:p w14:paraId="4DBDEBBF">
            <w:pPr>
              <w:rPr>
                <w:rFonts w:ascii="Arial"/>
                <w:sz w:val="21"/>
              </w:rPr>
            </w:pPr>
          </w:p>
        </w:tc>
      </w:tr>
      <w:tr w14:paraId="1E19D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7" w:hRule="atLeast"/>
        </w:trPr>
        <w:tc>
          <w:tcPr>
            <w:tcW w:w="1886" w:type="dxa"/>
            <w:vMerge w:val="continue"/>
            <w:tcBorders>
              <w:top w:val="nil"/>
              <w:bottom w:val="nil"/>
            </w:tcBorders>
            <w:vAlign w:val="top"/>
          </w:tcPr>
          <w:p w14:paraId="23496ACA">
            <w:pPr>
              <w:rPr>
                <w:rFonts w:ascii="Arial"/>
                <w:sz w:val="21"/>
              </w:rPr>
            </w:pPr>
          </w:p>
        </w:tc>
        <w:tc>
          <w:tcPr>
            <w:tcW w:w="113" w:type="dxa"/>
            <w:tcBorders>
              <w:top w:val="nil"/>
              <w:bottom w:val="nil"/>
            </w:tcBorders>
            <w:vAlign w:val="top"/>
          </w:tcPr>
          <w:p w14:paraId="7BF658C7">
            <w:pPr>
              <w:rPr>
                <w:rFonts w:ascii="Arial"/>
                <w:sz w:val="21"/>
              </w:rPr>
            </w:pPr>
          </w:p>
        </w:tc>
        <w:tc>
          <w:tcPr>
            <w:tcW w:w="1879" w:type="dxa"/>
            <w:vMerge w:val="continue"/>
            <w:tcBorders>
              <w:top w:val="nil"/>
            </w:tcBorders>
            <w:vAlign w:val="top"/>
          </w:tcPr>
          <w:p w14:paraId="2EFA9D42">
            <w:pPr>
              <w:rPr>
                <w:rFonts w:ascii="Arial"/>
                <w:sz w:val="21"/>
              </w:rPr>
            </w:pPr>
          </w:p>
        </w:tc>
        <w:tc>
          <w:tcPr>
            <w:tcW w:w="795" w:type="dxa"/>
            <w:vMerge w:val="continue"/>
            <w:tcBorders>
              <w:top w:val="nil"/>
            </w:tcBorders>
            <w:vAlign w:val="top"/>
          </w:tcPr>
          <w:p w14:paraId="4C132048">
            <w:pPr>
              <w:rPr>
                <w:rFonts w:ascii="Arial"/>
                <w:sz w:val="21"/>
              </w:rPr>
            </w:pPr>
          </w:p>
        </w:tc>
        <w:tc>
          <w:tcPr>
            <w:tcW w:w="788" w:type="dxa"/>
            <w:vAlign w:val="top"/>
          </w:tcPr>
          <w:p w14:paraId="60089B2A">
            <w:pPr>
              <w:spacing w:line="249" w:lineRule="auto"/>
              <w:rPr>
                <w:rFonts w:ascii="Arial"/>
                <w:sz w:val="21"/>
              </w:rPr>
            </w:pPr>
          </w:p>
          <w:p w14:paraId="07BF3A92">
            <w:pPr>
              <w:spacing w:line="250" w:lineRule="auto"/>
              <w:rPr>
                <w:rFonts w:ascii="Arial"/>
                <w:sz w:val="21"/>
              </w:rPr>
            </w:pPr>
          </w:p>
          <w:p w14:paraId="51FB8592">
            <w:pPr>
              <w:spacing w:line="250" w:lineRule="auto"/>
              <w:rPr>
                <w:rFonts w:ascii="Arial"/>
                <w:sz w:val="21"/>
              </w:rPr>
            </w:pPr>
          </w:p>
          <w:p w14:paraId="24290677">
            <w:pPr>
              <w:spacing w:line="250" w:lineRule="auto"/>
              <w:rPr>
                <w:rFonts w:ascii="Arial"/>
                <w:sz w:val="21"/>
              </w:rPr>
            </w:pPr>
          </w:p>
          <w:p w14:paraId="77CC3EB1">
            <w:pPr>
              <w:pStyle w:val="6"/>
              <w:spacing w:before="65" w:line="221" w:lineRule="auto"/>
              <w:ind w:left="93"/>
              <w:rPr>
                <w:sz w:val="20"/>
                <w:szCs w:val="20"/>
              </w:rPr>
            </w:pPr>
            <w:r>
              <w:rPr>
                <w:spacing w:val="-2"/>
                <w:sz w:val="20"/>
                <w:szCs w:val="20"/>
              </w:rPr>
              <w:t>污染物</w:t>
            </w:r>
          </w:p>
          <w:p w14:paraId="26C7C020">
            <w:pPr>
              <w:pStyle w:val="6"/>
              <w:spacing w:before="19" w:line="243" w:lineRule="auto"/>
              <w:ind w:left="290" w:right="97" w:hanging="199"/>
              <w:rPr>
                <w:sz w:val="20"/>
                <w:szCs w:val="20"/>
              </w:rPr>
            </w:pPr>
            <w:r>
              <w:rPr>
                <w:spacing w:val="-3"/>
                <w:sz w:val="20"/>
                <w:szCs w:val="20"/>
              </w:rPr>
              <w:t>排放管</w:t>
            </w:r>
            <w:r>
              <w:rPr>
                <w:spacing w:val="1"/>
                <w:sz w:val="20"/>
                <w:szCs w:val="20"/>
              </w:rPr>
              <w:t xml:space="preserve"> </w:t>
            </w:r>
            <w:r>
              <w:rPr>
                <w:sz w:val="20"/>
                <w:szCs w:val="20"/>
              </w:rPr>
              <w:t>控</w:t>
            </w:r>
          </w:p>
        </w:tc>
        <w:tc>
          <w:tcPr>
            <w:tcW w:w="4868" w:type="dxa"/>
            <w:vAlign w:val="top"/>
          </w:tcPr>
          <w:p w14:paraId="74DAF7D6">
            <w:pPr>
              <w:pStyle w:val="6"/>
              <w:spacing w:before="34" w:line="220" w:lineRule="auto"/>
              <w:ind w:left="47"/>
              <w:rPr>
                <w:sz w:val="20"/>
                <w:szCs w:val="20"/>
              </w:rPr>
            </w:pPr>
            <w:r>
              <w:rPr>
                <w:spacing w:val="-1"/>
                <w:sz w:val="20"/>
                <w:szCs w:val="20"/>
              </w:rPr>
              <w:t>大气环境质量执行标准</w:t>
            </w:r>
          </w:p>
          <w:p w14:paraId="19D20129">
            <w:pPr>
              <w:pStyle w:val="6"/>
              <w:spacing w:before="21" w:line="239" w:lineRule="auto"/>
              <w:ind w:left="59" w:right="735" w:hanging="13"/>
              <w:rPr>
                <w:sz w:val="20"/>
                <w:szCs w:val="20"/>
              </w:rPr>
            </w:pPr>
            <w:r>
              <w:rPr>
                <w:spacing w:val="-1"/>
                <w:sz w:val="20"/>
                <w:szCs w:val="20"/>
              </w:rPr>
              <w:t>《环境空气质量标准》（GB3095-2012</w:t>
            </w:r>
            <w:r>
              <w:rPr>
                <w:spacing w:val="1"/>
                <w:sz w:val="20"/>
                <w:szCs w:val="20"/>
              </w:rPr>
              <w:t>）：</w:t>
            </w:r>
            <w:r>
              <w:rPr>
                <w:spacing w:val="-1"/>
                <w:sz w:val="20"/>
                <w:szCs w:val="20"/>
              </w:rPr>
              <w:t>二级</w:t>
            </w:r>
            <w:r>
              <w:rPr>
                <w:spacing w:val="1"/>
                <w:sz w:val="20"/>
                <w:szCs w:val="20"/>
              </w:rPr>
              <w:t xml:space="preserve"> </w:t>
            </w:r>
            <w:r>
              <w:rPr>
                <w:spacing w:val="-2"/>
                <w:sz w:val="20"/>
                <w:szCs w:val="20"/>
              </w:rPr>
              <w:t>区域大气污染物削减/替代要求</w:t>
            </w:r>
          </w:p>
          <w:p w14:paraId="49DAEB46">
            <w:pPr>
              <w:pStyle w:val="6"/>
              <w:spacing w:line="239" w:lineRule="auto"/>
              <w:ind w:left="46" w:right="253"/>
              <w:rPr>
                <w:sz w:val="20"/>
                <w:szCs w:val="20"/>
              </w:rPr>
            </w:pPr>
            <w:r>
              <w:rPr>
                <w:spacing w:val="-2"/>
                <w:sz w:val="20"/>
                <w:szCs w:val="20"/>
              </w:rPr>
              <w:t>新增大气污染物排放的建设项目实施总量削减替代。</w:t>
            </w:r>
            <w:r>
              <w:rPr>
                <w:spacing w:val="7"/>
                <w:sz w:val="20"/>
                <w:szCs w:val="20"/>
              </w:rPr>
              <w:t xml:space="preserve"> </w:t>
            </w:r>
            <w:r>
              <w:rPr>
                <w:spacing w:val="-1"/>
                <w:sz w:val="20"/>
                <w:szCs w:val="20"/>
              </w:rPr>
              <w:t>燃煤和其他能源大气污染控制要求</w:t>
            </w:r>
          </w:p>
          <w:p w14:paraId="1E4EC1D9">
            <w:pPr>
              <w:pStyle w:val="6"/>
              <w:spacing w:line="220" w:lineRule="auto"/>
              <w:ind w:left="47"/>
              <w:rPr>
                <w:sz w:val="20"/>
                <w:szCs w:val="20"/>
              </w:rPr>
            </w:pPr>
            <w:r>
              <w:rPr>
                <w:spacing w:val="-1"/>
                <w:sz w:val="20"/>
                <w:szCs w:val="20"/>
              </w:rPr>
              <w:t>工业废气污染控制要求</w:t>
            </w:r>
          </w:p>
          <w:p w14:paraId="65D7DB6F">
            <w:pPr>
              <w:pStyle w:val="6"/>
              <w:spacing w:before="23" w:line="234" w:lineRule="auto"/>
              <w:ind w:left="44" w:right="47" w:firstLine="15"/>
              <w:rPr>
                <w:sz w:val="20"/>
                <w:szCs w:val="20"/>
              </w:rPr>
            </w:pPr>
            <w:r>
              <w:rPr>
                <w:spacing w:val="-2"/>
                <w:sz w:val="20"/>
                <w:szCs w:val="20"/>
              </w:rPr>
              <w:t>1、全面淘汰 10 蒸吨/小时及以下燃煤锅炉，原则上不</w:t>
            </w:r>
            <w:r>
              <w:rPr>
                <w:spacing w:val="7"/>
                <w:sz w:val="20"/>
                <w:szCs w:val="20"/>
              </w:rPr>
              <w:t xml:space="preserve"> </w:t>
            </w:r>
            <w:r>
              <w:rPr>
                <w:spacing w:val="-2"/>
                <w:sz w:val="20"/>
                <w:szCs w:val="20"/>
              </w:rPr>
              <w:t>再新建</w:t>
            </w:r>
            <w:r>
              <w:rPr>
                <w:spacing w:val="-39"/>
                <w:sz w:val="20"/>
                <w:szCs w:val="20"/>
              </w:rPr>
              <w:t xml:space="preserve"> </w:t>
            </w:r>
            <w:r>
              <w:rPr>
                <w:spacing w:val="-2"/>
                <w:sz w:val="20"/>
                <w:szCs w:val="20"/>
              </w:rPr>
              <w:t>35</w:t>
            </w:r>
            <w:r>
              <w:rPr>
                <w:spacing w:val="-39"/>
                <w:sz w:val="20"/>
                <w:szCs w:val="20"/>
              </w:rPr>
              <w:t xml:space="preserve"> </w:t>
            </w:r>
            <w:r>
              <w:rPr>
                <w:spacing w:val="-2"/>
                <w:sz w:val="20"/>
                <w:szCs w:val="20"/>
              </w:rPr>
              <w:t>蒸吨/小时及以下的燃煤锅炉，推进</w:t>
            </w:r>
            <w:r>
              <w:rPr>
                <w:spacing w:val="-3"/>
                <w:sz w:val="20"/>
                <w:szCs w:val="20"/>
              </w:rPr>
              <w:t>县级及以</w:t>
            </w:r>
            <w:r>
              <w:rPr>
                <w:sz w:val="20"/>
                <w:szCs w:val="20"/>
              </w:rPr>
              <w:t xml:space="preserve"> </w:t>
            </w:r>
            <w:r>
              <w:rPr>
                <w:spacing w:val="-2"/>
                <w:sz w:val="20"/>
                <w:szCs w:val="20"/>
              </w:rPr>
              <w:t>上城市建成区淘汰</w:t>
            </w:r>
            <w:r>
              <w:rPr>
                <w:spacing w:val="-38"/>
                <w:sz w:val="20"/>
                <w:szCs w:val="20"/>
              </w:rPr>
              <w:t xml:space="preserve"> </w:t>
            </w:r>
            <w:r>
              <w:rPr>
                <w:spacing w:val="-2"/>
                <w:sz w:val="20"/>
                <w:szCs w:val="20"/>
              </w:rPr>
              <w:t>35</w:t>
            </w:r>
            <w:r>
              <w:rPr>
                <w:spacing w:val="-39"/>
                <w:sz w:val="20"/>
                <w:szCs w:val="20"/>
              </w:rPr>
              <w:t xml:space="preserve"> </w:t>
            </w:r>
            <w:r>
              <w:rPr>
                <w:spacing w:val="-2"/>
                <w:sz w:val="20"/>
                <w:szCs w:val="20"/>
              </w:rPr>
              <w:t>蒸吨/小时及以下燃煤</w:t>
            </w:r>
            <w:r>
              <w:rPr>
                <w:spacing w:val="-3"/>
                <w:sz w:val="20"/>
                <w:szCs w:val="20"/>
              </w:rPr>
              <w:t>锅炉，以工</w:t>
            </w:r>
            <w:r>
              <w:rPr>
                <w:sz w:val="20"/>
                <w:szCs w:val="20"/>
              </w:rPr>
              <w:t xml:space="preserve"> </w:t>
            </w:r>
            <w:r>
              <w:rPr>
                <w:spacing w:val="-1"/>
                <w:sz w:val="20"/>
                <w:szCs w:val="20"/>
              </w:rPr>
              <w:t>业余热、电厂热力、清洁能源等替代煤炭。</w:t>
            </w:r>
          </w:p>
          <w:p w14:paraId="5BA09E04">
            <w:pPr>
              <w:pStyle w:val="6"/>
              <w:spacing w:before="21" w:line="193" w:lineRule="auto"/>
              <w:ind w:left="47"/>
              <w:rPr>
                <w:sz w:val="20"/>
                <w:szCs w:val="20"/>
              </w:rPr>
            </w:pPr>
            <w:r>
              <w:rPr>
                <w:spacing w:val="2"/>
                <w:sz w:val="20"/>
                <w:szCs w:val="20"/>
              </w:rPr>
              <w:t>2、加快推进火电、钢铁、铸造（含烧结、球团、高炉</w:t>
            </w:r>
          </w:p>
        </w:tc>
        <w:tc>
          <w:tcPr>
            <w:tcW w:w="2632" w:type="dxa"/>
            <w:vAlign w:val="top"/>
          </w:tcPr>
          <w:p w14:paraId="1ACE24D9">
            <w:pPr>
              <w:spacing w:line="251" w:lineRule="auto"/>
              <w:rPr>
                <w:rFonts w:ascii="Arial"/>
                <w:sz w:val="21"/>
              </w:rPr>
            </w:pPr>
          </w:p>
          <w:p w14:paraId="13BBCE0F">
            <w:pPr>
              <w:spacing w:line="251" w:lineRule="auto"/>
              <w:rPr>
                <w:rFonts w:ascii="Arial"/>
                <w:sz w:val="21"/>
              </w:rPr>
            </w:pPr>
          </w:p>
          <w:p w14:paraId="2317ED20">
            <w:pPr>
              <w:spacing w:line="252" w:lineRule="auto"/>
              <w:rPr>
                <w:rFonts w:ascii="Arial"/>
                <w:sz w:val="21"/>
              </w:rPr>
            </w:pPr>
          </w:p>
          <w:p w14:paraId="6C430E0C">
            <w:pPr>
              <w:spacing w:line="252" w:lineRule="auto"/>
              <w:rPr>
                <w:rFonts w:ascii="Arial"/>
                <w:sz w:val="21"/>
              </w:rPr>
            </w:pPr>
          </w:p>
          <w:p w14:paraId="5033991E">
            <w:pPr>
              <w:spacing w:line="252" w:lineRule="auto"/>
              <w:rPr>
                <w:rFonts w:ascii="Arial"/>
                <w:sz w:val="21"/>
              </w:rPr>
            </w:pPr>
          </w:p>
          <w:p w14:paraId="39572829">
            <w:pPr>
              <w:pStyle w:val="6"/>
              <w:spacing w:before="65" w:line="219" w:lineRule="auto"/>
              <w:jc w:val="right"/>
              <w:rPr>
                <w:sz w:val="20"/>
                <w:szCs w:val="20"/>
              </w:rPr>
            </w:pPr>
            <w:r>
              <w:rPr>
                <w:spacing w:val="-3"/>
                <w:sz w:val="20"/>
                <w:szCs w:val="20"/>
              </w:rPr>
              <w:t>本项目不涉及新建燃煤锅炉。</w:t>
            </w:r>
          </w:p>
        </w:tc>
        <w:tc>
          <w:tcPr>
            <w:tcW w:w="513" w:type="dxa"/>
            <w:vAlign w:val="top"/>
          </w:tcPr>
          <w:p w14:paraId="10C5FD8A">
            <w:pPr>
              <w:spacing w:line="251" w:lineRule="auto"/>
              <w:rPr>
                <w:rFonts w:ascii="Arial"/>
                <w:sz w:val="21"/>
              </w:rPr>
            </w:pPr>
          </w:p>
          <w:p w14:paraId="65DA8E1A">
            <w:pPr>
              <w:spacing w:line="251" w:lineRule="auto"/>
              <w:rPr>
                <w:rFonts w:ascii="Arial"/>
                <w:sz w:val="21"/>
              </w:rPr>
            </w:pPr>
          </w:p>
          <w:p w14:paraId="5C4EFDA8">
            <w:pPr>
              <w:spacing w:line="251" w:lineRule="auto"/>
              <w:rPr>
                <w:rFonts w:ascii="Arial"/>
                <w:sz w:val="21"/>
              </w:rPr>
            </w:pPr>
          </w:p>
          <w:p w14:paraId="4F8BC532">
            <w:pPr>
              <w:spacing w:line="252" w:lineRule="auto"/>
              <w:rPr>
                <w:rFonts w:ascii="Arial"/>
                <w:sz w:val="21"/>
              </w:rPr>
            </w:pPr>
          </w:p>
          <w:p w14:paraId="304A7AC9">
            <w:pPr>
              <w:spacing w:line="252" w:lineRule="auto"/>
              <w:rPr>
                <w:rFonts w:ascii="Arial"/>
                <w:sz w:val="21"/>
              </w:rPr>
            </w:pPr>
          </w:p>
          <w:p w14:paraId="349BA461">
            <w:pPr>
              <w:pStyle w:val="6"/>
              <w:spacing w:before="65" w:line="220" w:lineRule="auto"/>
              <w:ind w:left="59"/>
              <w:rPr>
                <w:sz w:val="20"/>
                <w:szCs w:val="20"/>
              </w:rPr>
            </w:pPr>
            <w:r>
              <w:rPr>
                <w:spacing w:val="-3"/>
                <w:sz w:val="20"/>
                <w:szCs w:val="20"/>
              </w:rPr>
              <w:t>符合</w:t>
            </w:r>
          </w:p>
        </w:tc>
        <w:tc>
          <w:tcPr>
            <w:tcW w:w="118" w:type="dxa"/>
            <w:tcBorders>
              <w:top w:val="nil"/>
              <w:bottom w:val="nil"/>
            </w:tcBorders>
            <w:vAlign w:val="top"/>
          </w:tcPr>
          <w:p w14:paraId="376EFF47">
            <w:pPr>
              <w:rPr>
                <w:rFonts w:ascii="Arial"/>
                <w:sz w:val="21"/>
              </w:rPr>
            </w:pPr>
          </w:p>
        </w:tc>
      </w:tr>
      <w:tr w14:paraId="7C5AD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 w:hRule="atLeast"/>
        </w:trPr>
        <w:tc>
          <w:tcPr>
            <w:tcW w:w="1886" w:type="dxa"/>
            <w:vMerge w:val="continue"/>
            <w:tcBorders>
              <w:top w:val="nil"/>
            </w:tcBorders>
            <w:vAlign w:val="top"/>
          </w:tcPr>
          <w:p w14:paraId="0840D975">
            <w:pPr>
              <w:rPr>
                <w:rFonts w:ascii="Arial"/>
                <w:sz w:val="21"/>
              </w:rPr>
            </w:pPr>
          </w:p>
        </w:tc>
        <w:tc>
          <w:tcPr>
            <w:tcW w:w="11706" w:type="dxa"/>
            <w:gridSpan w:val="8"/>
            <w:vAlign w:val="top"/>
          </w:tcPr>
          <w:p w14:paraId="4BE547DE">
            <w:pPr>
              <w:spacing w:line="195" w:lineRule="exact"/>
              <w:rPr>
                <w:rFonts w:ascii="Arial"/>
                <w:sz w:val="16"/>
              </w:rPr>
            </w:pPr>
          </w:p>
        </w:tc>
      </w:tr>
    </w:tbl>
    <w:p w14:paraId="56A4175B">
      <w:pPr>
        <w:rPr>
          <w:rFonts w:ascii="Arial"/>
          <w:sz w:val="21"/>
        </w:rPr>
      </w:pPr>
    </w:p>
    <w:p w14:paraId="16F84A3A">
      <w:pPr>
        <w:rPr>
          <w:rFonts w:ascii="Arial" w:hAnsi="Arial" w:eastAsia="Arial" w:cs="Arial"/>
          <w:sz w:val="21"/>
          <w:szCs w:val="21"/>
        </w:rPr>
        <w:sectPr>
          <w:footerReference r:id="rId21" w:type="default"/>
          <w:pgSz w:w="16839" w:h="11907"/>
          <w:pgMar w:top="1012" w:right="1620" w:bottom="1055" w:left="1621" w:header="0" w:footer="801" w:gutter="0"/>
          <w:cols w:space="720" w:num="1"/>
        </w:sectPr>
      </w:pPr>
    </w:p>
    <w:p w14:paraId="4910290B">
      <w:pPr>
        <w:spacing w:before="18"/>
      </w:pPr>
    </w:p>
    <w:p w14:paraId="78961B56">
      <w:pPr>
        <w:spacing w:before="18"/>
      </w:pPr>
    </w:p>
    <w:tbl>
      <w:tblPr>
        <w:tblStyle w:val="5"/>
        <w:tblW w:w="135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6"/>
        <w:gridCol w:w="113"/>
        <w:gridCol w:w="1879"/>
        <w:gridCol w:w="795"/>
        <w:gridCol w:w="788"/>
        <w:gridCol w:w="4868"/>
        <w:gridCol w:w="2632"/>
        <w:gridCol w:w="513"/>
        <w:gridCol w:w="118"/>
      </w:tblGrid>
      <w:tr w14:paraId="41441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6" w:hRule="atLeast"/>
        </w:trPr>
        <w:tc>
          <w:tcPr>
            <w:tcW w:w="1886" w:type="dxa"/>
            <w:vMerge w:val="restart"/>
            <w:tcBorders>
              <w:bottom w:val="nil"/>
            </w:tcBorders>
            <w:vAlign w:val="top"/>
          </w:tcPr>
          <w:p w14:paraId="2530668F">
            <w:pPr>
              <w:rPr>
                <w:rFonts w:ascii="Arial"/>
                <w:sz w:val="21"/>
              </w:rPr>
            </w:pPr>
          </w:p>
        </w:tc>
        <w:tc>
          <w:tcPr>
            <w:tcW w:w="113" w:type="dxa"/>
            <w:tcBorders>
              <w:bottom w:val="nil"/>
            </w:tcBorders>
            <w:vAlign w:val="top"/>
          </w:tcPr>
          <w:p w14:paraId="6473FA63">
            <w:pPr>
              <w:rPr>
                <w:rFonts w:ascii="Arial"/>
                <w:sz w:val="21"/>
              </w:rPr>
            </w:pPr>
          </w:p>
        </w:tc>
        <w:tc>
          <w:tcPr>
            <w:tcW w:w="1879" w:type="dxa"/>
            <w:vMerge w:val="restart"/>
            <w:tcBorders>
              <w:bottom w:val="nil"/>
            </w:tcBorders>
            <w:vAlign w:val="top"/>
          </w:tcPr>
          <w:p w14:paraId="41BB148B">
            <w:pPr>
              <w:rPr>
                <w:rFonts w:ascii="Arial"/>
                <w:sz w:val="21"/>
              </w:rPr>
            </w:pPr>
          </w:p>
        </w:tc>
        <w:tc>
          <w:tcPr>
            <w:tcW w:w="795" w:type="dxa"/>
            <w:vMerge w:val="restart"/>
            <w:tcBorders>
              <w:bottom w:val="nil"/>
            </w:tcBorders>
            <w:vAlign w:val="top"/>
          </w:tcPr>
          <w:p w14:paraId="01F1A63D">
            <w:pPr>
              <w:rPr>
                <w:rFonts w:ascii="Arial"/>
                <w:sz w:val="21"/>
              </w:rPr>
            </w:pPr>
          </w:p>
        </w:tc>
        <w:tc>
          <w:tcPr>
            <w:tcW w:w="788" w:type="dxa"/>
            <w:vAlign w:val="top"/>
          </w:tcPr>
          <w:p w14:paraId="630F0CC7">
            <w:pPr>
              <w:rPr>
                <w:rFonts w:ascii="Arial"/>
                <w:sz w:val="21"/>
              </w:rPr>
            </w:pPr>
          </w:p>
        </w:tc>
        <w:tc>
          <w:tcPr>
            <w:tcW w:w="4868" w:type="dxa"/>
            <w:vAlign w:val="top"/>
          </w:tcPr>
          <w:p w14:paraId="0C14D5AE">
            <w:pPr>
              <w:pStyle w:val="6"/>
              <w:spacing w:before="48" w:line="239" w:lineRule="auto"/>
              <w:ind w:left="44" w:right="37" w:firstLine="3"/>
              <w:rPr>
                <w:sz w:val="20"/>
                <w:szCs w:val="20"/>
              </w:rPr>
            </w:pPr>
            <w:r>
              <w:rPr>
                <w:spacing w:val="-2"/>
                <w:sz w:val="20"/>
                <w:szCs w:val="20"/>
              </w:rPr>
              <w:t>工序）水泥、焦化行业燃煤锅炉和工业炉窑超低排放改</w:t>
            </w:r>
            <w:r>
              <w:rPr>
                <w:spacing w:val="12"/>
                <w:sz w:val="20"/>
                <w:szCs w:val="20"/>
              </w:rPr>
              <w:t xml:space="preserve"> </w:t>
            </w:r>
            <w:r>
              <w:rPr>
                <w:spacing w:val="-2"/>
                <w:sz w:val="20"/>
                <w:szCs w:val="20"/>
              </w:rPr>
              <w:t>造及深度治理。稳步实施陶瓷、玻璃、铁合金、有色、</w:t>
            </w:r>
            <w:r>
              <w:rPr>
                <w:spacing w:val="11"/>
                <w:sz w:val="20"/>
                <w:szCs w:val="20"/>
              </w:rPr>
              <w:t xml:space="preserve"> </w:t>
            </w:r>
            <w:r>
              <w:rPr>
                <w:spacing w:val="-1"/>
                <w:sz w:val="20"/>
                <w:szCs w:val="20"/>
              </w:rPr>
              <w:t>砖瓦等行业企业深度治理，推进工业炉窑煤改电（气）</w:t>
            </w:r>
            <w:r>
              <w:rPr>
                <w:spacing w:val="3"/>
                <w:sz w:val="20"/>
                <w:szCs w:val="20"/>
              </w:rPr>
              <w:t xml:space="preserve"> </w:t>
            </w:r>
            <w:r>
              <w:rPr>
                <w:spacing w:val="-2"/>
                <w:sz w:val="20"/>
                <w:szCs w:val="20"/>
              </w:rPr>
              <w:t>和低氮燃烧改造。全面加强钢铁、建材、有色、焦化、</w:t>
            </w:r>
            <w:r>
              <w:rPr>
                <w:spacing w:val="11"/>
                <w:sz w:val="20"/>
                <w:szCs w:val="20"/>
              </w:rPr>
              <w:t xml:space="preserve"> </w:t>
            </w:r>
            <w:r>
              <w:rPr>
                <w:spacing w:val="-2"/>
                <w:sz w:val="20"/>
                <w:szCs w:val="20"/>
              </w:rPr>
              <w:t>铸造重点行业无组织排放治理。生物质锅炉采用专用锅</w:t>
            </w:r>
            <w:r>
              <w:rPr>
                <w:spacing w:val="15"/>
                <w:sz w:val="20"/>
                <w:szCs w:val="20"/>
              </w:rPr>
              <w:t xml:space="preserve"> </w:t>
            </w:r>
            <w:r>
              <w:rPr>
                <w:spacing w:val="-2"/>
                <w:sz w:val="20"/>
                <w:szCs w:val="20"/>
              </w:rPr>
              <w:t>炉，配套布袋等高效除尘设施，禁止掺烧煤炭、垃圾等</w:t>
            </w:r>
            <w:r>
              <w:rPr>
                <w:spacing w:val="15"/>
                <w:sz w:val="20"/>
                <w:szCs w:val="20"/>
              </w:rPr>
              <w:t xml:space="preserve"> </w:t>
            </w:r>
            <w:r>
              <w:rPr>
                <w:spacing w:val="-2"/>
                <w:sz w:val="20"/>
                <w:szCs w:val="20"/>
              </w:rPr>
              <w:t>其他物料。</w:t>
            </w:r>
          </w:p>
          <w:p w14:paraId="1585939F">
            <w:pPr>
              <w:pStyle w:val="6"/>
              <w:spacing w:line="219" w:lineRule="auto"/>
              <w:ind w:left="44"/>
              <w:rPr>
                <w:sz w:val="20"/>
                <w:szCs w:val="20"/>
              </w:rPr>
            </w:pPr>
            <w:r>
              <w:rPr>
                <w:spacing w:val="-1"/>
                <w:sz w:val="20"/>
                <w:szCs w:val="20"/>
              </w:rPr>
              <w:t>机动车船大气污染控制要求/</w:t>
            </w:r>
          </w:p>
          <w:p w14:paraId="34EC0E6E">
            <w:pPr>
              <w:pStyle w:val="6"/>
              <w:spacing w:before="21" w:line="221" w:lineRule="auto"/>
              <w:ind w:left="44"/>
              <w:rPr>
                <w:sz w:val="20"/>
                <w:szCs w:val="20"/>
              </w:rPr>
            </w:pPr>
            <w:r>
              <w:rPr>
                <w:spacing w:val="-1"/>
                <w:sz w:val="20"/>
                <w:szCs w:val="20"/>
              </w:rPr>
              <w:t>扬尘污染控制要求/</w:t>
            </w:r>
          </w:p>
          <w:p w14:paraId="2744715B">
            <w:pPr>
              <w:pStyle w:val="6"/>
              <w:spacing w:before="20" w:line="220" w:lineRule="auto"/>
              <w:ind w:left="45"/>
              <w:rPr>
                <w:sz w:val="20"/>
                <w:szCs w:val="20"/>
              </w:rPr>
            </w:pPr>
            <w:r>
              <w:rPr>
                <w:spacing w:val="-1"/>
                <w:sz w:val="20"/>
                <w:szCs w:val="20"/>
              </w:rPr>
              <w:t>农业生产经营活动大气污染控制要求/</w:t>
            </w:r>
          </w:p>
          <w:p w14:paraId="768BB202">
            <w:pPr>
              <w:pStyle w:val="6"/>
              <w:spacing w:before="20" w:line="221" w:lineRule="auto"/>
              <w:ind w:left="46"/>
              <w:rPr>
                <w:sz w:val="20"/>
                <w:szCs w:val="20"/>
              </w:rPr>
            </w:pPr>
            <w:r>
              <w:rPr>
                <w:spacing w:val="-1"/>
                <w:sz w:val="20"/>
                <w:szCs w:val="20"/>
              </w:rPr>
              <w:t>重点行业企业专项治理要求</w:t>
            </w:r>
          </w:p>
          <w:p w14:paraId="548AC0F2">
            <w:pPr>
              <w:pStyle w:val="6"/>
              <w:spacing w:before="17"/>
              <w:ind w:left="45" w:right="49"/>
              <w:rPr>
                <w:sz w:val="20"/>
                <w:szCs w:val="20"/>
              </w:rPr>
            </w:pPr>
            <w:r>
              <w:rPr>
                <w:spacing w:val="-2"/>
                <w:sz w:val="20"/>
                <w:szCs w:val="20"/>
              </w:rPr>
              <w:t>加快实施低</w:t>
            </w:r>
            <w:r>
              <w:rPr>
                <w:spacing w:val="-48"/>
                <w:sz w:val="20"/>
                <w:szCs w:val="20"/>
              </w:rPr>
              <w:t xml:space="preserve"> </w:t>
            </w:r>
            <w:r>
              <w:rPr>
                <w:spacing w:val="-2"/>
                <w:sz w:val="20"/>
                <w:szCs w:val="20"/>
              </w:rPr>
              <w:t>VOCs</w:t>
            </w:r>
            <w:r>
              <w:rPr>
                <w:spacing w:val="-42"/>
                <w:sz w:val="20"/>
                <w:szCs w:val="20"/>
              </w:rPr>
              <w:t xml:space="preserve"> </w:t>
            </w:r>
            <w:r>
              <w:rPr>
                <w:spacing w:val="-2"/>
                <w:sz w:val="20"/>
                <w:szCs w:val="20"/>
              </w:rPr>
              <w:t>含量原辅材料替代。持续开展</w:t>
            </w:r>
            <w:r>
              <w:rPr>
                <w:spacing w:val="-48"/>
                <w:sz w:val="20"/>
                <w:szCs w:val="20"/>
              </w:rPr>
              <w:t xml:space="preserve"> </w:t>
            </w:r>
            <w:r>
              <w:rPr>
                <w:spacing w:val="-2"/>
                <w:sz w:val="20"/>
                <w:szCs w:val="20"/>
              </w:rPr>
              <w:t>V</w:t>
            </w:r>
            <w:r>
              <w:rPr>
                <w:spacing w:val="-3"/>
                <w:sz w:val="20"/>
                <w:szCs w:val="20"/>
              </w:rPr>
              <w:t>OCs</w:t>
            </w:r>
            <w:r>
              <w:rPr>
                <w:spacing w:val="-38"/>
                <w:sz w:val="20"/>
                <w:szCs w:val="20"/>
              </w:rPr>
              <w:t xml:space="preserve"> </w:t>
            </w:r>
            <w:r>
              <w:rPr>
                <w:spacing w:val="-3"/>
                <w:sz w:val="20"/>
                <w:szCs w:val="20"/>
              </w:rPr>
              <w:t>治</w:t>
            </w:r>
            <w:r>
              <w:rPr>
                <w:sz w:val="20"/>
                <w:szCs w:val="20"/>
              </w:rPr>
              <w:t xml:space="preserve"> </w:t>
            </w:r>
            <w:r>
              <w:rPr>
                <w:spacing w:val="-2"/>
                <w:sz w:val="20"/>
                <w:szCs w:val="20"/>
              </w:rPr>
              <w:t>理设施提级增效，对采用单一低温等离子、光氧化、光</w:t>
            </w:r>
            <w:r>
              <w:rPr>
                <w:spacing w:val="15"/>
                <w:sz w:val="20"/>
                <w:szCs w:val="20"/>
              </w:rPr>
              <w:t xml:space="preserve"> </w:t>
            </w:r>
            <w:r>
              <w:rPr>
                <w:spacing w:val="-1"/>
                <w:sz w:val="20"/>
                <w:szCs w:val="20"/>
              </w:rPr>
              <w:t>催化以及非水溶性 VOCs 废气采用单一喷</w:t>
            </w:r>
            <w:r>
              <w:rPr>
                <w:spacing w:val="-2"/>
                <w:sz w:val="20"/>
                <w:szCs w:val="20"/>
              </w:rPr>
              <w:t>淋吸收等治理</w:t>
            </w:r>
            <w:r>
              <w:rPr>
                <w:sz w:val="20"/>
                <w:szCs w:val="20"/>
              </w:rPr>
              <w:t xml:space="preserve"> </w:t>
            </w:r>
            <w:r>
              <w:rPr>
                <w:spacing w:val="-4"/>
                <w:sz w:val="20"/>
                <w:szCs w:val="20"/>
              </w:rPr>
              <w:t>技术且无法稳定达标的，加快推进升级改造。强化</w:t>
            </w:r>
            <w:r>
              <w:rPr>
                <w:spacing w:val="-29"/>
                <w:sz w:val="20"/>
                <w:szCs w:val="20"/>
              </w:rPr>
              <w:t xml:space="preserve"> </w:t>
            </w:r>
            <w:r>
              <w:rPr>
                <w:spacing w:val="-4"/>
                <w:sz w:val="20"/>
                <w:szCs w:val="20"/>
              </w:rPr>
              <w:t>VOCs</w:t>
            </w:r>
            <w:r>
              <w:rPr>
                <w:sz w:val="20"/>
                <w:szCs w:val="20"/>
              </w:rPr>
              <w:t xml:space="preserve"> </w:t>
            </w:r>
            <w:r>
              <w:rPr>
                <w:spacing w:val="-2"/>
                <w:sz w:val="20"/>
                <w:szCs w:val="20"/>
              </w:rPr>
              <w:t>无组织排放整治。石化、化工等行业加强非正常工况废</w:t>
            </w:r>
            <w:r>
              <w:rPr>
                <w:spacing w:val="15"/>
                <w:sz w:val="20"/>
                <w:szCs w:val="20"/>
              </w:rPr>
              <w:t xml:space="preserve"> </w:t>
            </w:r>
            <w:r>
              <w:rPr>
                <w:spacing w:val="-1"/>
                <w:sz w:val="20"/>
                <w:szCs w:val="20"/>
              </w:rPr>
              <w:t>气排放管控。推进涉</w:t>
            </w:r>
            <w:r>
              <w:rPr>
                <w:spacing w:val="-44"/>
                <w:sz w:val="20"/>
                <w:szCs w:val="20"/>
              </w:rPr>
              <w:t xml:space="preserve"> </w:t>
            </w:r>
            <w:r>
              <w:rPr>
                <w:spacing w:val="-1"/>
                <w:sz w:val="20"/>
                <w:szCs w:val="20"/>
              </w:rPr>
              <w:t>VOCs</w:t>
            </w:r>
            <w:r>
              <w:rPr>
                <w:spacing w:val="-43"/>
                <w:sz w:val="20"/>
                <w:szCs w:val="20"/>
              </w:rPr>
              <w:t xml:space="preserve"> </w:t>
            </w:r>
            <w:r>
              <w:rPr>
                <w:spacing w:val="-1"/>
                <w:sz w:val="20"/>
                <w:szCs w:val="20"/>
              </w:rPr>
              <w:t>产业集群治理提升</w:t>
            </w:r>
          </w:p>
          <w:p w14:paraId="29DF021C">
            <w:pPr>
              <w:pStyle w:val="6"/>
              <w:spacing w:line="204" w:lineRule="auto"/>
              <w:ind w:left="46"/>
              <w:rPr>
                <w:sz w:val="20"/>
                <w:szCs w:val="20"/>
              </w:rPr>
            </w:pPr>
            <w:r>
              <w:rPr>
                <w:spacing w:val="-1"/>
                <w:sz w:val="20"/>
                <w:szCs w:val="20"/>
              </w:rPr>
              <w:t>其他大气污染物排放管控要求</w:t>
            </w:r>
          </w:p>
        </w:tc>
        <w:tc>
          <w:tcPr>
            <w:tcW w:w="2632" w:type="dxa"/>
            <w:vAlign w:val="top"/>
          </w:tcPr>
          <w:p w14:paraId="65883D10">
            <w:pPr>
              <w:rPr>
                <w:rFonts w:ascii="Arial"/>
                <w:sz w:val="21"/>
              </w:rPr>
            </w:pPr>
          </w:p>
        </w:tc>
        <w:tc>
          <w:tcPr>
            <w:tcW w:w="513" w:type="dxa"/>
            <w:vAlign w:val="top"/>
          </w:tcPr>
          <w:p w14:paraId="3CED7B91">
            <w:pPr>
              <w:rPr>
                <w:rFonts w:ascii="Arial"/>
                <w:sz w:val="21"/>
              </w:rPr>
            </w:pPr>
          </w:p>
        </w:tc>
        <w:tc>
          <w:tcPr>
            <w:tcW w:w="118" w:type="dxa"/>
            <w:tcBorders>
              <w:bottom w:val="nil"/>
            </w:tcBorders>
            <w:vAlign w:val="top"/>
          </w:tcPr>
          <w:p w14:paraId="50DDB248">
            <w:pPr>
              <w:rPr>
                <w:rFonts w:ascii="Arial"/>
                <w:sz w:val="21"/>
              </w:rPr>
            </w:pPr>
          </w:p>
        </w:tc>
      </w:tr>
      <w:tr w14:paraId="5410E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886" w:type="dxa"/>
            <w:vMerge w:val="continue"/>
            <w:tcBorders>
              <w:top w:val="nil"/>
              <w:bottom w:val="nil"/>
            </w:tcBorders>
            <w:vAlign w:val="top"/>
          </w:tcPr>
          <w:p w14:paraId="7D17DD5E">
            <w:pPr>
              <w:rPr>
                <w:rFonts w:ascii="Arial"/>
                <w:sz w:val="21"/>
              </w:rPr>
            </w:pPr>
          </w:p>
        </w:tc>
        <w:tc>
          <w:tcPr>
            <w:tcW w:w="113" w:type="dxa"/>
            <w:tcBorders>
              <w:top w:val="nil"/>
              <w:bottom w:val="nil"/>
            </w:tcBorders>
            <w:vAlign w:val="top"/>
          </w:tcPr>
          <w:p w14:paraId="2DCA316D">
            <w:pPr>
              <w:rPr>
                <w:rFonts w:ascii="Arial"/>
                <w:sz w:val="21"/>
              </w:rPr>
            </w:pPr>
          </w:p>
        </w:tc>
        <w:tc>
          <w:tcPr>
            <w:tcW w:w="1879" w:type="dxa"/>
            <w:vMerge w:val="continue"/>
            <w:tcBorders>
              <w:top w:val="nil"/>
              <w:bottom w:val="nil"/>
            </w:tcBorders>
            <w:vAlign w:val="top"/>
          </w:tcPr>
          <w:p w14:paraId="4F8AC248">
            <w:pPr>
              <w:rPr>
                <w:rFonts w:ascii="Arial"/>
                <w:sz w:val="21"/>
              </w:rPr>
            </w:pPr>
          </w:p>
        </w:tc>
        <w:tc>
          <w:tcPr>
            <w:tcW w:w="795" w:type="dxa"/>
            <w:vMerge w:val="continue"/>
            <w:tcBorders>
              <w:top w:val="nil"/>
              <w:bottom w:val="nil"/>
            </w:tcBorders>
            <w:vAlign w:val="top"/>
          </w:tcPr>
          <w:p w14:paraId="4363F001">
            <w:pPr>
              <w:rPr>
                <w:rFonts w:ascii="Arial"/>
                <w:sz w:val="21"/>
              </w:rPr>
            </w:pPr>
          </w:p>
        </w:tc>
        <w:tc>
          <w:tcPr>
            <w:tcW w:w="788" w:type="dxa"/>
            <w:vAlign w:val="top"/>
          </w:tcPr>
          <w:p w14:paraId="319DD5EF">
            <w:pPr>
              <w:pStyle w:val="6"/>
              <w:spacing w:before="31" w:line="221" w:lineRule="auto"/>
              <w:ind w:left="91"/>
              <w:rPr>
                <w:sz w:val="20"/>
                <w:szCs w:val="20"/>
              </w:rPr>
            </w:pPr>
            <w:r>
              <w:rPr>
                <w:spacing w:val="-2"/>
                <w:sz w:val="20"/>
                <w:szCs w:val="20"/>
              </w:rPr>
              <w:t>环境风</w:t>
            </w:r>
          </w:p>
          <w:p w14:paraId="40A7BE74">
            <w:pPr>
              <w:pStyle w:val="6"/>
              <w:spacing w:before="21" w:line="205" w:lineRule="auto"/>
              <w:ind w:left="102"/>
              <w:rPr>
                <w:sz w:val="20"/>
                <w:szCs w:val="20"/>
              </w:rPr>
            </w:pPr>
            <w:r>
              <w:rPr>
                <w:spacing w:val="-4"/>
                <w:sz w:val="20"/>
                <w:szCs w:val="20"/>
              </w:rPr>
              <w:t>险防控</w:t>
            </w:r>
          </w:p>
        </w:tc>
        <w:tc>
          <w:tcPr>
            <w:tcW w:w="4868" w:type="dxa"/>
            <w:vMerge w:val="restart"/>
            <w:tcBorders>
              <w:bottom w:val="nil"/>
            </w:tcBorders>
            <w:vAlign w:val="top"/>
          </w:tcPr>
          <w:p w14:paraId="67888E77">
            <w:pPr>
              <w:spacing w:line="244" w:lineRule="auto"/>
              <w:rPr>
                <w:rFonts w:ascii="Arial"/>
                <w:sz w:val="21"/>
              </w:rPr>
            </w:pPr>
          </w:p>
          <w:p w14:paraId="2FCC285E">
            <w:pPr>
              <w:spacing w:line="244" w:lineRule="auto"/>
              <w:rPr>
                <w:rFonts w:ascii="Arial"/>
                <w:sz w:val="21"/>
              </w:rPr>
            </w:pPr>
          </w:p>
          <w:p w14:paraId="4F8BAABA">
            <w:pPr>
              <w:pStyle w:val="6"/>
              <w:spacing w:before="65" w:line="225" w:lineRule="auto"/>
              <w:ind w:left="2382"/>
              <w:rPr>
                <w:sz w:val="20"/>
                <w:szCs w:val="20"/>
              </w:rPr>
            </w:pPr>
            <w:r>
              <w:rPr>
                <w:sz w:val="20"/>
                <w:szCs w:val="20"/>
              </w:rPr>
              <w:t>/</w:t>
            </w:r>
          </w:p>
        </w:tc>
        <w:tc>
          <w:tcPr>
            <w:tcW w:w="2632" w:type="dxa"/>
            <w:vMerge w:val="restart"/>
            <w:tcBorders>
              <w:bottom w:val="nil"/>
            </w:tcBorders>
            <w:vAlign w:val="top"/>
          </w:tcPr>
          <w:p w14:paraId="59681452">
            <w:pPr>
              <w:spacing w:line="244" w:lineRule="auto"/>
              <w:rPr>
                <w:rFonts w:ascii="Arial"/>
                <w:sz w:val="21"/>
              </w:rPr>
            </w:pPr>
          </w:p>
          <w:p w14:paraId="578A9E1E">
            <w:pPr>
              <w:spacing w:line="244" w:lineRule="auto"/>
              <w:rPr>
                <w:rFonts w:ascii="Arial"/>
                <w:sz w:val="21"/>
              </w:rPr>
            </w:pPr>
          </w:p>
          <w:p w14:paraId="195EA926">
            <w:pPr>
              <w:pStyle w:val="6"/>
              <w:spacing w:before="65" w:line="225" w:lineRule="auto"/>
              <w:ind w:left="1265"/>
              <w:rPr>
                <w:sz w:val="20"/>
                <w:szCs w:val="20"/>
              </w:rPr>
            </w:pPr>
            <w:r>
              <w:rPr>
                <w:sz w:val="20"/>
                <w:szCs w:val="20"/>
              </w:rPr>
              <w:t>/</w:t>
            </w:r>
          </w:p>
        </w:tc>
        <w:tc>
          <w:tcPr>
            <w:tcW w:w="513" w:type="dxa"/>
            <w:vAlign w:val="top"/>
          </w:tcPr>
          <w:p w14:paraId="10696BCE">
            <w:pPr>
              <w:pStyle w:val="6"/>
              <w:spacing w:before="162" w:line="225" w:lineRule="auto"/>
              <w:ind w:left="207"/>
              <w:rPr>
                <w:sz w:val="20"/>
                <w:szCs w:val="20"/>
              </w:rPr>
            </w:pPr>
            <w:r>
              <w:rPr>
                <w:sz w:val="20"/>
                <w:szCs w:val="20"/>
              </w:rPr>
              <w:t>/</w:t>
            </w:r>
          </w:p>
        </w:tc>
        <w:tc>
          <w:tcPr>
            <w:tcW w:w="118" w:type="dxa"/>
            <w:tcBorders>
              <w:top w:val="nil"/>
              <w:bottom w:val="nil"/>
            </w:tcBorders>
            <w:vAlign w:val="top"/>
          </w:tcPr>
          <w:p w14:paraId="10F0DE1A">
            <w:pPr>
              <w:rPr>
                <w:rFonts w:ascii="Arial"/>
                <w:sz w:val="21"/>
              </w:rPr>
            </w:pPr>
          </w:p>
        </w:tc>
      </w:tr>
      <w:tr w14:paraId="6FFA8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1886" w:type="dxa"/>
            <w:vMerge w:val="continue"/>
            <w:tcBorders>
              <w:top w:val="nil"/>
              <w:bottom w:val="nil"/>
            </w:tcBorders>
            <w:vAlign w:val="top"/>
          </w:tcPr>
          <w:p w14:paraId="01357DF4">
            <w:pPr>
              <w:rPr>
                <w:rFonts w:ascii="Arial"/>
                <w:sz w:val="21"/>
              </w:rPr>
            </w:pPr>
          </w:p>
        </w:tc>
        <w:tc>
          <w:tcPr>
            <w:tcW w:w="113" w:type="dxa"/>
            <w:tcBorders>
              <w:top w:val="nil"/>
              <w:bottom w:val="nil"/>
            </w:tcBorders>
            <w:vAlign w:val="top"/>
          </w:tcPr>
          <w:p w14:paraId="4FC2C8B7">
            <w:pPr>
              <w:rPr>
                <w:rFonts w:ascii="Arial"/>
                <w:sz w:val="21"/>
              </w:rPr>
            </w:pPr>
          </w:p>
        </w:tc>
        <w:tc>
          <w:tcPr>
            <w:tcW w:w="1879" w:type="dxa"/>
            <w:vMerge w:val="continue"/>
            <w:tcBorders>
              <w:top w:val="nil"/>
            </w:tcBorders>
            <w:vAlign w:val="top"/>
          </w:tcPr>
          <w:p w14:paraId="15F4A1BF">
            <w:pPr>
              <w:rPr>
                <w:rFonts w:ascii="Arial"/>
                <w:sz w:val="21"/>
              </w:rPr>
            </w:pPr>
          </w:p>
        </w:tc>
        <w:tc>
          <w:tcPr>
            <w:tcW w:w="795" w:type="dxa"/>
            <w:vMerge w:val="continue"/>
            <w:tcBorders>
              <w:top w:val="nil"/>
            </w:tcBorders>
            <w:vAlign w:val="top"/>
          </w:tcPr>
          <w:p w14:paraId="12D070C0">
            <w:pPr>
              <w:rPr>
                <w:rFonts w:ascii="Arial"/>
                <w:sz w:val="21"/>
              </w:rPr>
            </w:pPr>
          </w:p>
        </w:tc>
        <w:tc>
          <w:tcPr>
            <w:tcW w:w="788" w:type="dxa"/>
            <w:vAlign w:val="top"/>
          </w:tcPr>
          <w:p w14:paraId="1D17E122">
            <w:pPr>
              <w:pStyle w:val="6"/>
              <w:spacing w:before="32" w:line="221" w:lineRule="auto"/>
              <w:ind w:left="100"/>
              <w:rPr>
                <w:sz w:val="20"/>
                <w:szCs w:val="20"/>
              </w:rPr>
            </w:pPr>
            <w:r>
              <w:rPr>
                <w:spacing w:val="-4"/>
                <w:sz w:val="20"/>
                <w:szCs w:val="20"/>
              </w:rPr>
              <w:t>资源开</w:t>
            </w:r>
          </w:p>
          <w:p w14:paraId="51427C0D">
            <w:pPr>
              <w:pStyle w:val="6"/>
              <w:spacing w:before="20" w:line="222" w:lineRule="auto"/>
              <w:ind w:left="193" w:right="97" w:hanging="98"/>
              <w:rPr>
                <w:sz w:val="20"/>
                <w:szCs w:val="20"/>
              </w:rPr>
            </w:pPr>
            <w:r>
              <w:rPr>
                <w:spacing w:val="-4"/>
                <w:sz w:val="20"/>
                <w:szCs w:val="20"/>
              </w:rPr>
              <w:t>发效率</w:t>
            </w:r>
            <w:r>
              <w:rPr>
                <w:spacing w:val="1"/>
                <w:sz w:val="20"/>
                <w:szCs w:val="20"/>
              </w:rPr>
              <w:t xml:space="preserve"> </w:t>
            </w:r>
            <w:r>
              <w:rPr>
                <w:spacing w:val="-2"/>
                <w:sz w:val="20"/>
                <w:szCs w:val="20"/>
              </w:rPr>
              <w:t>要求</w:t>
            </w:r>
          </w:p>
        </w:tc>
        <w:tc>
          <w:tcPr>
            <w:tcW w:w="4868" w:type="dxa"/>
            <w:vMerge w:val="continue"/>
            <w:tcBorders>
              <w:top w:val="nil"/>
            </w:tcBorders>
            <w:vAlign w:val="top"/>
          </w:tcPr>
          <w:p w14:paraId="59F08921">
            <w:pPr>
              <w:rPr>
                <w:rFonts w:ascii="Arial"/>
                <w:sz w:val="21"/>
              </w:rPr>
            </w:pPr>
          </w:p>
        </w:tc>
        <w:tc>
          <w:tcPr>
            <w:tcW w:w="2632" w:type="dxa"/>
            <w:vMerge w:val="continue"/>
            <w:tcBorders>
              <w:top w:val="nil"/>
            </w:tcBorders>
            <w:vAlign w:val="top"/>
          </w:tcPr>
          <w:p w14:paraId="4EE9CEA0">
            <w:pPr>
              <w:rPr>
                <w:rFonts w:ascii="Arial"/>
                <w:sz w:val="21"/>
              </w:rPr>
            </w:pPr>
          </w:p>
        </w:tc>
        <w:tc>
          <w:tcPr>
            <w:tcW w:w="513" w:type="dxa"/>
            <w:vAlign w:val="top"/>
          </w:tcPr>
          <w:p w14:paraId="07AA51AC">
            <w:pPr>
              <w:pStyle w:val="6"/>
              <w:spacing w:before="291" w:line="225" w:lineRule="auto"/>
              <w:ind w:left="207"/>
              <w:rPr>
                <w:sz w:val="20"/>
                <w:szCs w:val="20"/>
              </w:rPr>
            </w:pPr>
            <w:r>
              <w:rPr>
                <w:sz w:val="20"/>
                <w:szCs w:val="20"/>
              </w:rPr>
              <w:t>/</w:t>
            </w:r>
          </w:p>
        </w:tc>
        <w:tc>
          <w:tcPr>
            <w:tcW w:w="118" w:type="dxa"/>
            <w:tcBorders>
              <w:top w:val="nil"/>
              <w:bottom w:val="nil"/>
            </w:tcBorders>
            <w:vAlign w:val="top"/>
          </w:tcPr>
          <w:p w14:paraId="15FB3785">
            <w:pPr>
              <w:rPr>
                <w:rFonts w:ascii="Arial"/>
                <w:sz w:val="21"/>
              </w:rPr>
            </w:pPr>
          </w:p>
        </w:tc>
      </w:tr>
      <w:tr w14:paraId="1C404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1886" w:type="dxa"/>
            <w:vMerge w:val="continue"/>
            <w:tcBorders>
              <w:top w:val="nil"/>
              <w:bottom w:val="nil"/>
            </w:tcBorders>
            <w:vAlign w:val="top"/>
          </w:tcPr>
          <w:p w14:paraId="4BEA5B08">
            <w:pPr>
              <w:rPr>
                <w:rFonts w:ascii="Arial"/>
                <w:sz w:val="21"/>
              </w:rPr>
            </w:pPr>
          </w:p>
        </w:tc>
        <w:tc>
          <w:tcPr>
            <w:tcW w:w="113" w:type="dxa"/>
            <w:tcBorders>
              <w:top w:val="nil"/>
              <w:bottom w:val="nil"/>
            </w:tcBorders>
            <w:vAlign w:val="top"/>
          </w:tcPr>
          <w:p w14:paraId="0CD2BF38">
            <w:pPr>
              <w:rPr>
                <w:rFonts w:ascii="Arial"/>
                <w:sz w:val="21"/>
              </w:rPr>
            </w:pPr>
          </w:p>
        </w:tc>
        <w:tc>
          <w:tcPr>
            <w:tcW w:w="1879" w:type="dxa"/>
            <w:vMerge w:val="restart"/>
            <w:tcBorders>
              <w:bottom w:val="nil"/>
            </w:tcBorders>
            <w:vAlign w:val="top"/>
          </w:tcPr>
          <w:p w14:paraId="03FD74C6">
            <w:pPr>
              <w:spacing w:line="299" w:lineRule="auto"/>
              <w:rPr>
                <w:rFonts w:ascii="Arial"/>
                <w:sz w:val="21"/>
              </w:rPr>
            </w:pPr>
          </w:p>
          <w:p w14:paraId="0A289256">
            <w:pPr>
              <w:spacing w:line="300" w:lineRule="auto"/>
              <w:rPr>
                <w:rFonts w:ascii="Arial"/>
                <w:sz w:val="21"/>
              </w:rPr>
            </w:pPr>
          </w:p>
          <w:p w14:paraId="32A672B8">
            <w:pPr>
              <w:spacing w:line="300" w:lineRule="auto"/>
              <w:rPr>
                <w:rFonts w:ascii="Arial"/>
                <w:sz w:val="21"/>
              </w:rPr>
            </w:pPr>
          </w:p>
          <w:p w14:paraId="2449647E">
            <w:pPr>
              <w:pStyle w:val="6"/>
              <w:spacing w:before="68" w:line="235" w:lineRule="auto"/>
              <w:ind w:left="50" w:right="76" w:hanging="3"/>
              <w:jc w:val="both"/>
            </w:pPr>
            <w:r>
              <w:rPr>
                <w:spacing w:val="-3"/>
              </w:rPr>
              <w:t>YS5117022530001、</w:t>
            </w:r>
            <w:r>
              <w:rPr>
                <w:spacing w:val="12"/>
              </w:rPr>
              <w:t xml:space="preserve"> </w:t>
            </w:r>
            <w:r>
              <w:rPr>
                <w:spacing w:val="-2"/>
              </w:rPr>
              <w:t>通川区城镇开发边</w:t>
            </w:r>
            <w:r>
              <w:rPr>
                <w:spacing w:val="6"/>
              </w:rPr>
              <w:t xml:space="preserve"> </w:t>
            </w:r>
            <w:r>
              <w:t>界</w:t>
            </w:r>
          </w:p>
        </w:tc>
        <w:tc>
          <w:tcPr>
            <w:tcW w:w="795" w:type="dxa"/>
            <w:vMerge w:val="restart"/>
            <w:tcBorders>
              <w:bottom w:val="nil"/>
            </w:tcBorders>
            <w:vAlign w:val="top"/>
          </w:tcPr>
          <w:p w14:paraId="3D202E41">
            <w:pPr>
              <w:spacing w:line="252" w:lineRule="auto"/>
              <w:rPr>
                <w:rFonts w:ascii="Arial"/>
                <w:sz w:val="21"/>
              </w:rPr>
            </w:pPr>
          </w:p>
          <w:p w14:paraId="12844927">
            <w:pPr>
              <w:spacing w:line="252" w:lineRule="auto"/>
              <w:rPr>
                <w:rFonts w:ascii="Arial"/>
                <w:sz w:val="21"/>
              </w:rPr>
            </w:pPr>
          </w:p>
          <w:p w14:paraId="4545E2F5">
            <w:pPr>
              <w:spacing w:line="252" w:lineRule="auto"/>
              <w:rPr>
                <w:rFonts w:ascii="Arial"/>
                <w:sz w:val="21"/>
              </w:rPr>
            </w:pPr>
          </w:p>
          <w:p w14:paraId="1BB7B1DB">
            <w:pPr>
              <w:pStyle w:val="6"/>
              <w:spacing w:before="65" w:line="219" w:lineRule="auto"/>
              <w:ind w:left="43"/>
              <w:rPr>
                <w:sz w:val="20"/>
                <w:szCs w:val="20"/>
              </w:rPr>
            </w:pPr>
            <w:r>
              <w:rPr>
                <w:spacing w:val="-2"/>
                <w:sz w:val="20"/>
                <w:szCs w:val="20"/>
              </w:rPr>
              <w:t>达州市</w:t>
            </w:r>
          </w:p>
          <w:p w14:paraId="75E1C674">
            <w:pPr>
              <w:pStyle w:val="6"/>
              <w:spacing w:before="21" w:line="220" w:lineRule="auto"/>
              <w:ind w:left="43"/>
              <w:rPr>
                <w:sz w:val="20"/>
                <w:szCs w:val="20"/>
              </w:rPr>
            </w:pPr>
            <w:r>
              <w:rPr>
                <w:spacing w:val="-2"/>
                <w:sz w:val="20"/>
                <w:szCs w:val="20"/>
              </w:rPr>
              <w:t>普适性</w:t>
            </w:r>
          </w:p>
          <w:p w14:paraId="0C6788A9">
            <w:pPr>
              <w:pStyle w:val="6"/>
              <w:spacing w:before="20" w:line="220" w:lineRule="auto"/>
              <w:ind w:left="44"/>
              <w:rPr>
                <w:sz w:val="20"/>
                <w:szCs w:val="20"/>
              </w:rPr>
            </w:pPr>
            <w:r>
              <w:rPr>
                <w:spacing w:val="-2"/>
                <w:sz w:val="20"/>
                <w:szCs w:val="20"/>
              </w:rPr>
              <w:t>清单管</w:t>
            </w:r>
          </w:p>
          <w:p w14:paraId="6CA52C14">
            <w:pPr>
              <w:pStyle w:val="6"/>
              <w:spacing w:before="20" w:line="221" w:lineRule="auto"/>
              <w:ind w:left="43"/>
              <w:rPr>
                <w:sz w:val="20"/>
                <w:szCs w:val="20"/>
              </w:rPr>
            </w:pPr>
            <w:r>
              <w:rPr>
                <w:spacing w:val="-2"/>
                <w:sz w:val="20"/>
                <w:szCs w:val="20"/>
              </w:rPr>
              <w:t>控要求</w:t>
            </w:r>
          </w:p>
        </w:tc>
        <w:tc>
          <w:tcPr>
            <w:tcW w:w="788" w:type="dxa"/>
            <w:vAlign w:val="top"/>
          </w:tcPr>
          <w:p w14:paraId="3F4CCD84">
            <w:pPr>
              <w:pStyle w:val="6"/>
              <w:spacing w:before="291" w:line="219" w:lineRule="auto"/>
              <w:ind w:left="98"/>
              <w:rPr>
                <w:sz w:val="20"/>
                <w:szCs w:val="20"/>
              </w:rPr>
            </w:pPr>
            <w:r>
              <w:rPr>
                <w:spacing w:val="-3"/>
                <w:sz w:val="20"/>
                <w:szCs w:val="20"/>
              </w:rPr>
              <w:t>空间布</w:t>
            </w:r>
          </w:p>
          <w:p w14:paraId="777E0A5B">
            <w:pPr>
              <w:pStyle w:val="6"/>
              <w:spacing w:before="22" w:line="220" w:lineRule="auto"/>
              <w:ind w:left="94"/>
              <w:rPr>
                <w:sz w:val="20"/>
                <w:szCs w:val="20"/>
              </w:rPr>
            </w:pPr>
            <w:r>
              <w:rPr>
                <w:spacing w:val="-3"/>
                <w:sz w:val="20"/>
                <w:szCs w:val="20"/>
              </w:rPr>
              <w:t>局约束</w:t>
            </w:r>
          </w:p>
        </w:tc>
        <w:tc>
          <w:tcPr>
            <w:tcW w:w="4868" w:type="dxa"/>
            <w:vAlign w:val="top"/>
          </w:tcPr>
          <w:p w14:paraId="4F3E6EEE">
            <w:pPr>
              <w:pStyle w:val="6"/>
              <w:spacing w:before="32" w:line="220" w:lineRule="auto"/>
              <w:ind w:left="45"/>
              <w:rPr>
                <w:sz w:val="20"/>
                <w:szCs w:val="20"/>
              </w:rPr>
            </w:pPr>
            <w:r>
              <w:rPr>
                <w:spacing w:val="-1"/>
                <w:sz w:val="20"/>
                <w:szCs w:val="20"/>
              </w:rPr>
              <w:t>禁止开发建设活动的要求暂无</w:t>
            </w:r>
          </w:p>
          <w:p w14:paraId="11E0F3E6">
            <w:pPr>
              <w:pStyle w:val="6"/>
              <w:spacing w:before="20" w:line="221" w:lineRule="auto"/>
              <w:ind w:left="59"/>
              <w:rPr>
                <w:sz w:val="20"/>
                <w:szCs w:val="20"/>
              </w:rPr>
            </w:pPr>
            <w:r>
              <w:rPr>
                <w:spacing w:val="-2"/>
                <w:sz w:val="20"/>
                <w:szCs w:val="20"/>
              </w:rPr>
              <w:t>限制开发建设活动的要求暂无</w:t>
            </w:r>
          </w:p>
          <w:p w14:paraId="0118B51F">
            <w:pPr>
              <w:pStyle w:val="6"/>
              <w:spacing w:before="21" w:line="221" w:lineRule="auto"/>
              <w:ind w:left="46" w:right="1224" w:firstLine="2"/>
              <w:rPr>
                <w:sz w:val="20"/>
                <w:szCs w:val="20"/>
              </w:rPr>
            </w:pPr>
            <w:r>
              <w:rPr>
                <w:spacing w:val="-1"/>
                <w:sz w:val="20"/>
                <w:szCs w:val="20"/>
              </w:rPr>
              <w:t>不符合空间布局要求活动的退出要求暂无</w:t>
            </w:r>
            <w:r>
              <w:rPr>
                <w:spacing w:val="7"/>
                <w:sz w:val="20"/>
                <w:szCs w:val="20"/>
              </w:rPr>
              <w:t xml:space="preserve"> </w:t>
            </w:r>
            <w:r>
              <w:rPr>
                <w:spacing w:val="-1"/>
                <w:sz w:val="20"/>
                <w:szCs w:val="20"/>
              </w:rPr>
              <w:t>其他空间布局约束要求暂无</w:t>
            </w:r>
          </w:p>
        </w:tc>
        <w:tc>
          <w:tcPr>
            <w:tcW w:w="2632" w:type="dxa"/>
            <w:vAlign w:val="top"/>
          </w:tcPr>
          <w:p w14:paraId="2B59DB59">
            <w:pPr>
              <w:spacing w:line="354" w:lineRule="auto"/>
              <w:rPr>
                <w:rFonts w:ascii="Arial"/>
                <w:sz w:val="21"/>
              </w:rPr>
            </w:pPr>
          </w:p>
          <w:p w14:paraId="52AF85F3">
            <w:pPr>
              <w:pStyle w:val="6"/>
              <w:spacing w:before="65" w:line="225" w:lineRule="auto"/>
              <w:ind w:left="46"/>
              <w:rPr>
                <w:sz w:val="20"/>
                <w:szCs w:val="20"/>
              </w:rPr>
            </w:pPr>
            <w:r>
              <w:rPr>
                <w:sz w:val="20"/>
                <w:szCs w:val="20"/>
              </w:rPr>
              <w:t>/</w:t>
            </w:r>
          </w:p>
        </w:tc>
        <w:tc>
          <w:tcPr>
            <w:tcW w:w="513" w:type="dxa"/>
            <w:vAlign w:val="top"/>
          </w:tcPr>
          <w:p w14:paraId="3BFDBD51">
            <w:pPr>
              <w:spacing w:line="354" w:lineRule="auto"/>
              <w:rPr>
                <w:rFonts w:ascii="Arial"/>
                <w:sz w:val="21"/>
              </w:rPr>
            </w:pPr>
          </w:p>
          <w:p w14:paraId="52C49DF5">
            <w:pPr>
              <w:pStyle w:val="6"/>
              <w:spacing w:before="65" w:line="225" w:lineRule="auto"/>
              <w:ind w:left="207"/>
              <w:rPr>
                <w:sz w:val="20"/>
                <w:szCs w:val="20"/>
              </w:rPr>
            </w:pPr>
            <w:r>
              <w:rPr>
                <w:sz w:val="20"/>
                <w:szCs w:val="20"/>
              </w:rPr>
              <w:t>/</w:t>
            </w:r>
          </w:p>
        </w:tc>
        <w:tc>
          <w:tcPr>
            <w:tcW w:w="118" w:type="dxa"/>
            <w:tcBorders>
              <w:top w:val="nil"/>
              <w:bottom w:val="nil"/>
            </w:tcBorders>
            <w:vAlign w:val="top"/>
          </w:tcPr>
          <w:p w14:paraId="7A0D1971">
            <w:pPr>
              <w:rPr>
                <w:rFonts w:ascii="Arial"/>
                <w:sz w:val="21"/>
              </w:rPr>
            </w:pPr>
          </w:p>
        </w:tc>
      </w:tr>
      <w:tr w14:paraId="09ACA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1886" w:type="dxa"/>
            <w:vMerge w:val="continue"/>
            <w:tcBorders>
              <w:top w:val="nil"/>
              <w:bottom w:val="nil"/>
            </w:tcBorders>
            <w:vAlign w:val="top"/>
          </w:tcPr>
          <w:p w14:paraId="192CD2A5">
            <w:pPr>
              <w:rPr>
                <w:rFonts w:ascii="Arial"/>
                <w:sz w:val="21"/>
              </w:rPr>
            </w:pPr>
          </w:p>
        </w:tc>
        <w:tc>
          <w:tcPr>
            <w:tcW w:w="113" w:type="dxa"/>
            <w:tcBorders>
              <w:top w:val="nil"/>
              <w:bottom w:val="nil"/>
            </w:tcBorders>
            <w:vAlign w:val="top"/>
          </w:tcPr>
          <w:p w14:paraId="12553F05">
            <w:pPr>
              <w:rPr>
                <w:rFonts w:ascii="Arial"/>
                <w:sz w:val="21"/>
              </w:rPr>
            </w:pPr>
          </w:p>
        </w:tc>
        <w:tc>
          <w:tcPr>
            <w:tcW w:w="1879" w:type="dxa"/>
            <w:vMerge w:val="continue"/>
            <w:tcBorders>
              <w:top w:val="nil"/>
              <w:bottom w:val="nil"/>
            </w:tcBorders>
            <w:vAlign w:val="top"/>
          </w:tcPr>
          <w:p w14:paraId="1D748230">
            <w:pPr>
              <w:rPr>
                <w:rFonts w:ascii="Arial"/>
                <w:sz w:val="21"/>
              </w:rPr>
            </w:pPr>
          </w:p>
        </w:tc>
        <w:tc>
          <w:tcPr>
            <w:tcW w:w="795" w:type="dxa"/>
            <w:vMerge w:val="continue"/>
            <w:tcBorders>
              <w:top w:val="nil"/>
              <w:bottom w:val="nil"/>
            </w:tcBorders>
            <w:vAlign w:val="top"/>
          </w:tcPr>
          <w:p w14:paraId="7F8581DD">
            <w:pPr>
              <w:rPr>
                <w:rFonts w:ascii="Arial"/>
                <w:sz w:val="21"/>
              </w:rPr>
            </w:pPr>
          </w:p>
        </w:tc>
        <w:tc>
          <w:tcPr>
            <w:tcW w:w="788" w:type="dxa"/>
            <w:vAlign w:val="top"/>
          </w:tcPr>
          <w:p w14:paraId="208A4763">
            <w:pPr>
              <w:pStyle w:val="6"/>
              <w:spacing w:before="34" w:line="221" w:lineRule="auto"/>
              <w:ind w:left="93"/>
              <w:rPr>
                <w:sz w:val="20"/>
                <w:szCs w:val="20"/>
              </w:rPr>
            </w:pPr>
            <w:r>
              <w:rPr>
                <w:spacing w:val="-2"/>
                <w:sz w:val="20"/>
                <w:szCs w:val="20"/>
              </w:rPr>
              <w:t>污染物</w:t>
            </w:r>
          </w:p>
          <w:p w14:paraId="2363737A">
            <w:pPr>
              <w:pStyle w:val="6"/>
              <w:spacing w:before="20" w:line="221" w:lineRule="auto"/>
              <w:ind w:left="290" w:right="97" w:hanging="199"/>
              <w:rPr>
                <w:sz w:val="20"/>
                <w:szCs w:val="20"/>
              </w:rPr>
            </w:pPr>
            <w:r>
              <w:rPr>
                <w:spacing w:val="-3"/>
                <w:sz w:val="20"/>
                <w:szCs w:val="20"/>
              </w:rPr>
              <w:t>排放管</w:t>
            </w:r>
            <w:r>
              <w:rPr>
                <w:spacing w:val="1"/>
                <w:sz w:val="20"/>
                <w:szCs w:val="20"/>
              </w:rPr>
              <w:t xml:space="preserve"> </w:t>
            </w:r>
            <w:r>
              <w:rPr>
                <w:sz w:val="20"/>
                <w:szCs w:val="20"/>
              </w:rPr>
              <w:t>控</w:t>
            </w:r>
          </w:p>
        </w:tc>
        <w:tc>
          <w:tcPr>
            <w:tcW w:w="4868" w:type="dxa"/>
            <w:vAlign w:val="top"/>
          </w:tcPr>
          <w:p w14:paraId="38FB129F">
            <w:pPr>
              <w:pStyle w:val="6"/>
              <w:spacing w:before="34" w:line="220" w:lineRule="auto"/>
              <w:ind w:left="52"/>
              <w:rPr>
                <w:sz w:val="20"/>
                <w:szCs w:val="20"/>
              </w:rPr>
            </w:pPr>
            <w:r>
              <w:rPr>
                <w:spacing w:val="-2"/>
                <w:sz w:val="20"/>
                <w:szCs w:val="20"/>
              </w:rPr>
              <w:t>允许排放量要求暂无</w:t>
            </w:r>
          </w:p>
          <w:p w14:paraId="30456F79">
            <w:pPr>
              <w:pStyle w:val="6"/>
              <w:spacing w:before="20" w:line="220" w:lineRule="auto"/>
              <w:ind w:left="47"/>
              <w:rPr>
                <w:sz w:val="20"/>
                <w:szCs w:val="20"/>
              </w:rPr>
            </w:pPr>
            <w:r>
              <w:rPr>
                <w:spacing w:val="-1"/>
                <w:sz w:val="20"/>
                <w:szCs w:val="20"/>
              </w:rPr>
              <w:t>现有源提标升级改造暂无</w:t>
            </w:r>
          </w:p>
          <w:p w14:paraId="7E3F8ACB">
            <w:pPr>
              <w:pStyle w:val="6"/>
              <w:spacing w:before="21" w:line="203" w:lineRule="auto"/>
              <w:ind w:left="46"/>
              <w:rPr>
                <w:sz w:val="20"/>
                <w:szCs w:val="20"/>
              </w:rPr>
            </w:pPr>
            <w:r>
              <w:rPr>
                <w:spacing w:val="-1"/>
                <w:sz w:val="20"/>
                <w:szCs w:val="20"/>
              </w:rPr>
              <w:t>其他污染物排放管控要求暂无</w:t>
            </w:r>
          </w:p>
        </w:tc>
        <w:tc>
          <w:tcPr>
            <w:tcW w:w="2632" w:type="dxa"/>
            <w:vAlign w:val="top"/>
          </w:tcPr>
          <w:p w14:paraId="1E170B50">
            <w:pPr>
              <w:pStyle w:val="6"/>
              <w:spacing w:before="293" w:line="225" w:lineRule="auto"/>
              <w:ind w:left="46"/>
              <w:rPr>
                <w:sz w:val="20"/>
                <w:szCs w:val="20"/>
              </w:rPr>
            </w:pPr>
            <w:r>
              <w:rPr>
                <w:sz w:val="20"/>
                <w:szCs w:val="20"/>
              </w:rPr>
              <w:t>/</w:t>
            </w:r>
          </w:p>
        </w:tc>
        <w:tc>
          <w:tcPr>
            <w:tcW w:w="513" w:type="dxa"/>
            <w:vAlign w:val="top"/>
          </w:tcPr>
          <w:p w14:paraId="65930C3E">
            <w:pPr>
              <w:pStyle w:val="6"/>
              <w:spacing w:before="293" w:line="225" w:lineRule="auto"/>
              <w:ind w:left="207"/>
              <w:rPr>
                <w:sz w:val="20"/>
                <w:szCs w:val="20"/>
              </w:rPr>
            </w:pPr>
            <w:r>
              <w:rPr>
                <w:sz w:val="20"/>
                <w:szCs w:val="20"/>
              </w:rPr>
              <w:t>/</w:t>
            </w:r>
          </w:p>
        </w:tc>
        <w:tc>
          <w:tcPr>
            <w:tcW w:w="118" w:type="dxa"/>
            <w:tcBorders>
              <w:top w:val="nil"/>
              <w:bottom w:val="nil"/>
            </w:tcBorders>
            <w:vAlign w:val="top"/>
          </w:tcPr>
          <w:p w14:paraId="7C717F5A">
            <w:pPr>
              <w:rPr>
                <w:rFonts w:ascii="Arial"/>
                <w:sz w:val="21"/>
              </w:rPr>
            </w:pPr>
          </w:p>
        </w:tc>
      </w:tr>
      <w:tr w14:paraId="470DC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886" w:type="dxa"/>
            <w:vMerge w:val="continue"/>
            <w:tcBorders>
              <w:top w:val="nil"/>
              <w:bottom w:val="nil"/>
            </w:tcBorders>
            <w:vAlign w:val="top"/>
          </w:tcPr>
          <w:p w14:paraId="64B08BC6">
            <w:pPr>
              <w:rPr>
                <w:rFonts w:ascii="Arial"/>
                <w:sz w:val="21"/>
              </w:rPr>
            </w:pPr>
          </w:p>
        </w:tc>
        <w:tc>
          <w:tcPr>
            <w:tcW w:w="113" w:type="dxa"/>
            <w:tcBorders>
              <w:top w:val="nil"/>
              <w:bottom w:val="nil"/>
            </w:tcBorders>
            <w:vAlign w:val="top"/>
          </w:tcPr>
          <w:p w14:paraId="4BE465AA">
            <w:pPr>
              <w:rPr>
                <w:rFonts w:ascii="Arial"/>
                <w:sz w:val="21"/>
              </w:rPr>
            </w:pPr>
          </w:p>
        </w:tc>
        <w:tc>
          <w:tcPr>
            <w:tcW w:w="1879" w:type="dxa"/>
            <w:vMerge w:val="continue"/>
            <w:tcBorders>
              <w:top w:val="nil"/>
              <w:bottom w:val="nil"/>
            </w:tcBorders>
            <w:vAlign w:val="top"/>
          </w:tcPr>
          <w:p w14:paraId="7BC6F1B7">
            <w:pPr>
              <w:rPr>
                <w:rFonts w:ascii="Arial"/>
                <w:sz w:val="21"/>
              </w:rPr>
            </w:pPr>
          </w:p>
        </w:tc>
        <w:tc>
          <w:tcPr>
            <w:tcW w:w="795" w:type="dxa"/>
            <w:vMerge w:val="continue"/>
            <w:tcBorders>
              <w:top w:val="nil"/>
              <w:bottom w:val="nil"/>
            </w:tcBorders>
            <w:vAlign w:val="top"/>
          </w:tcPr>
          <w:p w14:paraId="76F9336C">
            <w:pPr>
              <w:rPr>
                <w:rFonts w:ascii="Arial"/>
                <w:sz w:val="21"/>
              </w:rPr>
            </w:pPr>
          </w:p>
        </w:tc>
        <w:tc>
          <w:tcPr>
            <w:tcW w:w="788" w:type="dxa"/>
            <w:vAlign w:val="top"/>
          </w:tcPr>
          <w:p w14:paraId="7B525E8E">
            <w:pPr>
              <w:pStyle w:val="6"/>
              <w:spacing w:before="34" w:line="221" w:lineRule="auto"/>
              <w:ind w:left="91"/>
              <w:rPr>
                <w:sz w:val="20"/>
                <w:szCs w:val="20"/>
              </w:rPr>
            </w:pPr>
            <w:r>
              <w:rPr>
                <w:spacing w:val="-2"/>
                <w:sz w:val="20"/>
                <w:szCs w:val="20"/>
              </w:rPr>
              <w:t>环境风</w:t>
            </w:r>
          </w:p>
          <w:p w14:paraId="6F924CC8">
            <w:pPr>
              <w:pStyle w:val="6"/>
              <w:spacing w:before="20" w:line="203" w:lineRule="auto"/>
              <w:ind w:left="102"/>
              <w:rPr>
                <w:sz w:val="20"/>
                <w:szCs w:val="20"/>
              </w:rPr>
            </w:pPr>
            <w:r>
              <w:rPr>
                <w:spacing w:val="-4"/>
                <w:sz w:val="20"/>
                <w:szCs w:val="20"/>
              </w:rPr>
              <w:t>险防控</w:t>
            </w:r>
          </w:p>
        </w:tc>
        <w:tc>
          <w:tcPr>
            <w:tcW w:w="4868" w:type="dxa"/>
            <w:vAlign w:val="top"/>
          </w:tcPr>
          <w:p w14:paraId="0F2A3470">
            <w:pPr>
              <w:pStyle w:val="6"/>
              <w:spacing w:before="34" w:line="221" w:lineRule="auto"/>
              <w:ind w:left="46"/>
              <w:rPr>
                <w:sz w:val="20"/>
                <w:szCs w:val="20"/>
              </w:rPr>
            </w:pPr>
            <w:r>
              <w:rPr>
                <w:spacing w:val="-1"/>
                <w:sz w:val="20"/>
                <w:szCs w:val="20"/>
              </w:rPr>
              <w:t>联防联控要求暂无</w:t>
            </w:r>
          </w:p>
          <w:p w14:paraId="0A9170C7">
            <w:pPr>
              <w:pStyle w:val="6"/>
              <w:spacing w:before="20" w:line="203" w:lineRule="auto"/>
              <w:ind w:left="46"/>
              <w:rPr>
                <w:sz w:val="20"/>
                <w:szCs w:val="20"/>
              </w:rPr>
            </w:pPr>
            <w:r>
              <w:rPr>
                <w:spacing w:val="-1"/>
                <w:sz w:val="20"/>
                <w:szCs w:val="20"/>
              </w:rPr>
              <w:t>其他环境风险防控要求暂无</w:t>
            </w:r>
          </w:p>
        </w:tc>
        <w:tc>
          <w:tcPr>
            <w:tcW w:w="2632" w:type="dxa"/>
            <w:vAlign w:val="top"/>
          </w:tcPr>
          <w:p w14:paraId="264C8180">
            <w:pPr>
              <w:pStyle w:val="6"/>
              <w:spacing w:before="164" w:line="225" w:lineRule="auto"/>
              <w:ind w:left="46"/>
              <w:rPr>
                <w:sz w:val="20"/>
                <w:szCs w:val="20"/>
              </w:rPr>
            </w:pPr>
            <w:r>
              <w:rPr>
                <w:sz w:val="20"/>
                <w:szCs w:val="20"/>
              </w:rPr>
              <w:t>/</w:t>
            </w:r>
          </w:p>
        </w:tc>
        <w:tc>
          <w:tcPr>
            <w:tcW w:w="513" w:type="dxa"/>
            <w:vAlign w:val="top"/>
          </w:tcPr>
          <w:p w14:paraId="680C3D4E">
            <w:pPr>
              <w:pStyle w:val="6"/>
              <w:spacing w:before="164" w:line="225" w:lineRule="auto"/>
              <w:ind w:left="207"/>
              <w:rPr>
                <w:sz w:val="20"/>
                <w:szCs w:val="20"/>
              </w:rPr>
            </w:pPr>
            <w:r>
              <w:rPr>
                <w:sz w:val="20"/>
                <w:szCs w:val="20"/>
              </w:rPr>
              <w:t>/</w:t>
            </w:r>
          </w:p>
        </w:tc>
        <w:tc>
          <w:tcPr>
            <w:tcW w:w="118" w:type="dxa"/>
            <w:tcBorders>
              <w:top w:val="nil"/>
              <w:bottom w:val="nil"/>
            </w:tcBorders>
            <w:vAlign w:val="top"/>
          </w:tcPr>
          <w:p w14:paraId="4A8D042F">
            <w:pPr>
              <w:rPr>
                <w:rFonts w:ascii="Arial"/>
                <w:sz w:val="21"/>
              </w:rPr>
            </w:pPr>
          </w:p>
        </w:tc>
      </w:tr>
      <w:tr w14:paraId="61AFA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1886" w:type="dxa"/>
            <w:vMerge w:val="continue"/>
            <w:tcBorders>
              <w:top w:val="nil"/>
              <w:bottom w:val="nil"/>
            </w:tcBorders>
            <w:vAlign w:val="top"/>
          </w:tcPr>
          <w:p w14:paraId="0ED15253">
            <w:pPr>
              <w:rPr>
                <w:rFonts w:ascii="Arial"/>
                <w:sz w:val="21"/>
              </w:rPr>
            </w:pPr>
          </w:p>
        </w:tc>
        <w:tc>
          <w:tcPr>
            <w:tcW w:w="113" w:type="dxa"/>
            <w:tcBorders>
              <w:top w:val="nil"/>
              <w:bottom w:val="nil"/>
            </w:tcBorders>
            <w:vAlign w:val="top"/>
          </w:tcPr>
          <w:p w14:paraId="1FFC34F3">
            <w:pPr>
              <w:rPr>
                <w:rFonts w:ascii="Arial"/>
                <w:sz w:val="21"/>
              </w:rPr>
            </w:pPr>
          </w:p>
        </w:tc>
        <w:tc>
          <w:tcPr>
            <w:tcW w:w="1879" w:type="dxa"/>
            <w:vMerge w:val="continue"/>
            <w:tcBorders>
              <w:top w:val="nil"/>
            </w:tcBorders>
            <w:vAlign w:val="top"/>
          </w:tcPr>
          <w:p w14:paraId="6D0E1310">
            <w:pPr>
              <w:rPr>
                <w:rFonts w:ascii="Arial"/>
                <w:sz w:val="21"/>
              </w:rPr>
            </w:pPr>
          </w:p>
        </w:tc>
        <w:tc>
          <w:tcPr>
            <w:tcW w:w="795" w:type="dxa"/>
            <w:vMerge w:val="continue"/>
            <w:tcBorders>
              <w:top w:val="nil"/>
            </w:tcBorders>
            <w:vAlign w:val="top"/>
          </w:tcPr>
          <w:p w14:paraId="5747908D">
            <w:pPr>
              <w:rPr>
                <w:rFonts w:ascii="Arial"/>
                <w:sz w:val="21"/>
              </w:rPr>
            </w:pPr>
          </w:p>
        </w:tc>
        <w:tc>
          <w:tcPr>
            <w:tcW w:w="788" w:type="dxa"/>
            <w:vAlign w:val="top"/>
          </w:tcPr>
          <w:p w14:paraId="724D96D7">
            <w:pPr>
              <w:pStyle w:val="6"/>
              <w:spacing w:before="33" w:line="194" w:lineRule="auto"/>
              <w:ind w:left="100"/>
              <w:rPr>
                <w:sz w:val="20"/>
                <w:szCs w:val="20"/>
              </w:rPr>
            </w:pPr>
            <w:r>
              <w:rPr>
                <w:spacing w:val="-4"/>
                <w:sz w:val="20"/>
                <w:szCs w:val="20"/>
              </w:rPr>
              <w:t>资源开</w:t>
            </w:r>
          </w:p>
        </w:tc>
        <w:tc>
          <w:tcPr>
            <w:tcW w:w="4868" w:type="dxa"/>
            <w:vAlign w:val="top"/>
          </w:tcPr>
          <w:p w14:paraId="19DD73DD">
            <w:pPr>
              <w:pStyle w:val="6"/>
              <w:spacing w:before="33" w:line="194" w:lineRule="auto"/>
              <w:ind w:left="47"/>
              <w:rPr>
                <w:sz w:val="20"/>
                <w:szCs w:val="20"/>
              </w:rPr>
            </w:pPr>
            <w:r>
              <w:rPr>
                <w:spacing w:val="-1"/>
                <w:sz w:val="20"/>
                <w:szCs w:val="20"/>
              </w:rPr>
              <w:t>水资源利用总量要求暂无</w:t>
            </w:r>
          </w:p>
        </w:tc>
        <w:tc>
          <w:tcPr>
            <w:tcW w:w="2632" w:type="dxa"/>
            <w:vAlign w:val="top"/>
          </w:tcPr>
          <w:p w14:paraId="3404B40C">
            <w:pPr>
              <w:pStyle w:val="6"/>
              <w:spacing w:before="33" w:line="194" w:lineRule="auto"/>
              <w:ind w:left="46"/>
              <w:rPr>
                <w:sz w:val="20"/>
                <w:szCs w:val="20"/>
              </w:rPr>
            </w:pPr>
            <w:r>
              <w:rPr>
                <w:sz w:val="20"/>
                <w:szCs w:val="20"/>
              </w:rPr>
              <w:t>/</w:t>
            </w:r>
          </w:p>
        </w:tc>
        <w:tc>
          <w:tcPr>
            <w:tcW w:w="513" w:type="dxa"/>
            <w:vAlign w:val="top"/>
          </w:tcPr>
          <w:p w14:paraId="777C10B0">
            <w:pPr>
              <w:pStyle w:val="6"/>
              <w:spacing w:before="33" w:line="194" w:lineRule="auto"/>
              <w:ind w:left="207"/>
              <w:rPr>
                <w:sz w:val="20"/>
                <w:szCs w:val="20"/>
              </w:rPr>
            </w:pPr>
            <w:r>
              <w:rPr>
                <w:sz w:val="20"/>
                <w:szCs w:val="20"/>
              </w:rPr>
              <w:t>/</w:t>
            </w:r>
          </w:p>
        </w:tc>
        <w:tc>
          <w:tcPr>
            <w:tcW w:w="118" w:type="dxa"/>
            <w:tcBorders>
              <w:top w:val="nil"/>
              <w:bottom w:val="nil"/>
            </w:tcBorders>
            <w:vAlign w:val="top"/>
          </w:tcPr>
          <w:p w14:paraId="0E3405A6">
            <w:pPr>
              <w:rPr>
                <w:rFonts w:ascii="Arial"/>
                <w:sz w:val="21"/>
              </w:rPr>
            </w:pPr>
          </w:p>
        </w:tc>
      </w:tr>
      <w:tr w14:paraId="738F8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 w:hRule="atLeast"/>
        </w:trPr>
        <w:tc>
          <w:tcPr>
            <w:tcW w:w="1886" w:type="dxa"/>
            <w:vMerge w:val="continue"/>
            <w:tcBorders>
              <w:top w:val="nil"/>
            </w:tcBorders>
            <w:vAlign w:val="top"/>
          </w:tcPr>
          <w:p w14:paraId="59BAF211">
            <w:pPr>
              <w:rPr>
                <w:rFonts w:ascii="Arial"/>
                <w:sz w:val="21"/>
              </w:rPr>
            </w:pPr>
          </w:p>
        </w:tc>
        <w:tc>
          <w:tcPr>
            <w:tcW w:w="11706" w:type="dxa"/>
            <w:gridSpan w:val="8"/>
            <w:vAlign w:val="top"/>
          </w:tcPr>
          <w:p w14:paraId="61F09203">
            <w:pPr>
              <w:spacing w:line="193" w:lineRule="exact"/>
              <w:rPr>
                <w:rFonts w:ascii="Arial"/>
                <w:sz w:val="16"/>
              </w:rPr>
            </w:pPr>
          </w:p>
        </w:tc>
      </w:tr>
    </w:tbl>
    <w:p w14:paraId="7AB0019F">
      <w:pPr>
        <w:rPr>
          <w:rFonts w:ascii="Arial"/>
          <w:sz w:val="21"/>
        </w:rPr>
      </w:pPr>
    </w:p>
    <w:p w14:paraId="44A21C5D">
      <w:pPr>
        <w:rPr>
          <w:rFonts w:ascii="Arial" w:hAnsi="Arial" w:eastAsia="Arial" w:cs="Arial"/>
          <w:sz w:val="21"/>
          <w:szCs w:val="21"/>
        </w:rPr>
        <w:sectPr>
          <w:footerReference r:id="rId22" w:type="default"/>
          <w:pgSz w:w="16839" w:h="11907"/>
          <w:pgMar w:top="1012" w:right="1620" w:bottom="1055" w:left="1621" w:header="0" w:footer="802" w:gutter="0"/>
          <w:cols w:space="720" w:num="1"/>
        </w:sectPr>
      </w:pPr>
    </w:p>
    <w:p w14:paraId="763B7780">
      <w:pPr>
        <w:spacing w:before="18"/>
      </w:pPr>
    </w:p>
    <w:p w14:paraId="7EDA130C">
      <w:pPr>
        <w:spacing w:before="18"/>
      </w:pPr>
    </w:p>
    <w:tbl>
      <w:tblPr>
        <w:tblStyle w:val="5"/>
        <w:tblW w:w="135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6"/>
        <w:gridCol w:w="113"/>
        <w:gridCol w:w="1879"/>
        <w:gridCol w:w="795"/>
        <w:gridCol w:w="788"/>
        <w:gridCol w:w="4868"/>
        <w:gridCol w:w="2632"/>
        <w:gridCol w:w="513"/>
        <w:gridCol w:w="118"/>
      </w:tblGrid>
      <w:tr w14:paraId="47817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1886" w:type="dxa"/>
            <w:vMerge w:val="restart"/>
            <w:tcBorders>
              <w:bottom w:val="nil"/>
            </w:tcBorders>
            <w:vAlign w:val="top"/>
          </w:tcPr>
          <w:p w14:paraId="1CCA3D68">
            <w:pPr>
              <w:rPr>
                <w:rFonts w:ascii="Arial"/>
                <w:sz w:val="21"/>
              </w:rPr>
            </w:pPr>
          </w:p>
        </w:tc>
        <w:tc>
          <w:tcPr>
            <w:tcW w:w="113" w:type="dxa"/>
            <w:tcBorders>
              <w:bottom w:val="nil"/>
            </w:tcBorders>
            <w:vAlign w:val="top"/>
          </w:tcPr>
          <w:p w14:paraId="47C69FBB">
            <w:pPr>
              <w:rPr>
                <w:rFonts w:ascii="Arial"/>
                <w:sz w:val="21"/>
              </w:rPr>
            </w:pPr>
          </w:p>
        </w:tc>
        <w:tc>
          <w:tcPr>
            <w:tcW w:w="1879" w:type="dxa"/>
            <w:vMerge w:val="restart"/>
            <w:tcBorders>
              <w:bottom w:val="nil"/>
            </w:tcBorders>
            <w:vAlign w:val="top"/>
          </w:tcPr>
          <w:p w14:paraId="4CA2AA4A">
            <w:pPr>
              <w:rPr>
                <w:rFonts w:ascii="Arial"/>
                <w:sz w:val="21"/>
              </w:rPr>
            </w:pPr>
          </w:p>
        </w:tc>
        <w:tc>
          <w:tcPr>
            <w:tcW w:w="795" w:type="dxa"/>
            <w:vAlign w:val="top"/>
          </w:tcPr>
          <w:p w14:paraId="495D9034">
            <w:pPr>
              <w:rPr>
                <w:rFonts w:ascii="Arial"/>
                <w:sz w:val="21"/>
              </w:rPr>
            </w:pPr>
          </w:p>
        </w:tc>
        <w:tc>
          <w:tcPr>
            <w:tcW w:w="788" w:type="dxa"/>
            <w:vAlign w:val="top"/>
          </w:tcPr>
          <w:p w14:paraId="437B6465">
            <w:pPr>
              <w:pStyle w:val="6"/>
              <w:spacing w:before="44" w:line="242" w:lineRule="auto"/>
              <w:ind w:left="193" w:right="97" w:hanging="98"/>
              <w:rPr>
                <w:sz w:val="20"/>
                <w:szCs w:val="20"/>
              </w:rPr>
            </w:pPr>
            <w:r>
              <w:rPr>
                <w:spacing w:val="-4"/>
                <w:sz w:val="20"/>
                <w:szCs w:val="20"/>
              </w:rPr>
              <w:t>发效率</w:t>
            </w:r>
            <w:r>
              <w:rPr>
                <w:spacing w:val="1"/>
                <w:sz w:val="20"/>
                <w:szCs w:val="20"/>
              </w:rPr>
              <w:t xml:space="preserve"> </w:t>
            </w:r>
            <w:r>
              <w:rPr>
                <w:spacing w:val="-2"/>
                <w:sz w:val="20"/>
                <w:szCs w:val="20"/>
              </w:rPr>
              <w:t>要求</w:t>
            </w:r>
          </w:p>
        </w:tc>
        <w:tc>
          <w:tcPr>
            <w:tcW w:w="4868" w:type="dxa"/>
            <w:vAlign w:val="top"/>
          </w:tcPr>
          <w:p w14:paraId="29232F15">
            <w:pPr>
              <w:pStyle w:val="6"/>
              <w:spacing w:before="45" w:line="219" w:lineRule="auto"/>
              <w:ind w:left="45"/>
              <w:rPr>
                <w:sz w:val="20"/>
                <w:szCs w:val="20"/>
              </w:rPr>
            </w:pPr>
            <w:r>
              <w:rPr>
                <w:spacing w:val="-1"/>
                <w:sz w:val="20"/>
                <w:szCs w:val="20"/>
              </w:rPr>
              <w:t>地下水开采要求暂无</w:t>
            </w:r>
          </w:p>
          <w:p w14:paraId="6C5662F8">
            <w:pPr>
              <w:pStyle w:val="6"/>
              <w:spacing w:before="22" w:line="239" w:lineRule="auto"/>
              <w:ind w:left="45" w:right="2225" w:firstLine="7"/>
              <w:rPr>
                <w:sz w:val="20"/>
                <w:szCs w:val="20"/>
              </w:rPr>
            </w:pPr>
            <w:r>
              <w:rPr>
                <w:spacing w:val="-2"/>
                <w:sz w:val="20"/>
                <w:szCs w:val="20"/>
              </w:rPr>
              <w:t>能源利用总量及效率要求暂无</w:t>
            </w:r>
            <w:r>
              <w:rPr>
                <w:spacing w:val="9"/>
                <w:sz w:val="20"/>
                <w:szCs w:val="20"/>
              </w:rPr>
              <w:t xml:space="preserve"> </w:t>
            </w:r>
            <w:r>
              <w:rPr>
                <w:spacing w:val="-1"/>
                <w:sz w:val="20"/>
                <w:szCs w:val="20"/>
              </w:rPr>
              <w:t>禁燃区要求暂无</w:t>
            </w:r>
          </w:p>
          <w:p w14:paraId="1E4F5052">
            <w:pPr>
              <w:pStyle w:val="6"/>
              <w:spacing w:line="206" w:lineRule="auto"/>
              <w:ind w:left="46"/>
              <w:rPr>
                <w:sz w:val="20"/>
                <w:szCs w:val="20"/>
              </w:rPr>
            </w:pPr>
            <w:r>
              <w:rPr>
                <w:spacing w:val="-1"/>
                <w:sz w:val="20"/>
                <w:szCs w:val="20"/>
              </w:rPr>
              <w:t>其他资源利用效率要求暂无</w:t>
            </w:r>
          </w:p>
        </w:tc>
        <w:tc>
          <w:tcPr>
            <w:tcW w:w="2632" w:type="dxa"/>
            <w:vAlign w:val="top"/>
          </w:tcPr>
          <w:p w14:paraId="3F44C047">
            <w:pPr>
              <w:rPr>
                <w:rFonts w:ascii="Arial"/>
                <w:sz w:val="21"/>
              </w:rPr>
            </w:pPr>
          </w:p>
        </w:tc>
        <w:tc>
          <w:tcPr>
            <w:tcW w:w="513" w:type="dxa"/>
            <w:vAlign w:val="top"/>
          </w:tcPr>
          <w:p w14:paraId="6EB045AB">
            <w:pPr>
              <w:rPr>
                <w:rFonts w:ascii="Arial"/>
                <w:sz w:val="21"/>
              </w:rPr>
            </w:pPr>
          </w:p>
        </w:tc>
        <w:tc>
          <w:tcPr>
            <w:tcW w:w="118" w:type="dxa"/>
            <w:tcBorders>
              <w:bottom w:val="nil"/>
            </w:tcBorders>
            <w:vAlign w:val="top"/>
          </w:tcPr>
          <w:p w14:paraId="128F9D1B">
            <w:pPr>
              <w:rPr>
                <w:rFonts w:ascii="Arial"/>
                <w:sz w:val="21"/>
              </w:rPr>
            </w:pPr>
          </w:p>
        </w:tc>
      </w:tr>
      <w:tr w14:paraId="2F337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1" w:hRule="atLeast"/>
        </w:trPr>
        <w:tc>
          <w:tcPr>
            <w:tcW w:w="1886" w:type="dxa"/>
            <w:vMerge w:val="continue"/>
            <w:tcBorders>
              <w:top w:val="nil"/>
              <w:bottom w:val="nil"/>
            </w:tcBorders>
            <w:vAlign w:val="top"/>
          </w:tcPr>
          <w:p w14:paraId="352F442F">
            <w:pPr>
              <w:rPr>
                <w:rFonts w:ascii="Arial"/>
                <w:sz w:val="21"/>
              </w:rPr>
            </w:pPr>
          </w:p>
        </w:tc>
        <w:tc>
          <w:tcPr>
            <w:tcW w:w="113" w:type="dxa"/>
            <w:tcBorders>
              <w:top w:val="nil"/>
              <w:bottom w:val="nil"/>
            </w:tcBorders>
            <w:vAlign w:val="top"/>
          </w:tcPr>
          <w:p w14:paraId="6AB5AD8A">
            <w:pPr>
              <w:rPr>
                <w:rFonts w:ascii="Arial"/>
                <w:sz w:val="21"/>
              </w:rPr>
            </w:pPr>
          </w:p>
        </w:tc>
        <w:tc>
          <w:tcPr>
            <w:tcW w:w="1879" w:type="dxa"/>
            <w:vMerge w:val="continue"/>
            <w:tcBorders>
              <w:top w:val="nil"/>
              <w:bottom w:val="nil"/>
            </w:tcBorders>
            <w:vAlign w:val="top"/>
          </w:tcPr>
          <w:p w14:paraId="0FC46707">
            <w:pPr>
              <w:rPr>
                <w:rFonts w:ascii="Arial"/>
                <w:sz w:val="21"/>
              </w:rPr>
            </w:pPr>
          </w:p>
        </w:tc>
        <w:tc>
          <w:tcPr>
            <w:tcW w:w="795" w:type="dxa"/>
            <w:vMerge w:val="restart"/>
            <w:tcBorders>
              <w:bottom w:val="nil"/>
            </w:tcBorders>
            <w:vAlign w:val="top"/>
          </w:tcPr>
          <w:p w14:paraId="79A80447">
            <w:pPr>
              <w:spacing w:line="254" w:lineRule="auto"/>
              <w:rPr>
                <w:rFonts w:ascii="Arial"/>
                <w:sz w:val="21"/>
              </w:rPr>
            </w:pPr>
          </w:p>
          <w:p w14:paraId="788C6EB3">
            <w:pPr>
              <w:spacing w:line="254" w:lineRule="auto"/>
              <w:rPr>
                <w:rFonts w:ascii="Arial"/>
                <w:sz w:val="21"/>
              </w:rPr>
            </w:pPr>
          </w:p>
          <w:p w14:paraId="48BF5C50">
            <w:pPr>
              <w:spacing w:line="254" w:lineRule="auto"/>
              <w:rPr>
                <w:rFonts w:ascii="Arial"/>
                <w:sz w:val="21"/>
              </w:rPr>
            </w:pPr>
          </w:p>
          <w:p w14:paraId="129AB798">
            <w:pPr>
              <w:spacing w:line="255" w:lineRule="auto"/>
              <w:rPr>
                <w:rFonts w:ascii="Arial"/>
                <w:sz w:val="21"/>
              </w:rPr>
            </w:pPr>
          </w:p>
          <w:p w14:paraId="32A40244">
            <w:pPr>
              <w:spacing w:line="255" w:lineRule="auto"/>
              <w:rPr>
                <w:rFonts w:ascii="Arial"/>
                <w:sz w:val="21"/>
              </w:rPr>
            </w:pPr>
          </w:p>
          <w:p w14:paraId="685E6211">
            <w:pPr>
              <w:spacing w:line="255" w:lineRule="auto"/>
              <w:rPr>
                <w:rFonts w:ascii="Arial"/>
                <w:sz w:val="21"/>
              </w:rPr>
            </w:pPr>
          </w:p>
          <w:p w14:paraId="45E04360">
            <w:pPr>
              <w:pStyle w:val="6"/>
              <w:spacing w:before="65" w:line="221" w:lineRule="auto"/>
              <w:ind w:left="46"/>
              <w:rPr>
                <w:sz w:val="20"/>
                <w:szCs w:val="20"/>
              </w:rPr>
            </w:pPr>
            <w:r>
              <w:rPr>
                <w:spacing w:val="-2"/>
                <w:sz w:val="20"/>
                <w:szCs w:val="20"/>
              </w:rPr>
              <w:t>单元级</w:t>
            </w:r>
          </w:p>
          <w:p w14:paraId="5131EE06">
            <w:pPr>
              <w:pStyle w:val="6"/>
              <w:spacing w:before="20" w:line="220" w:lineRule="auto"/>
              <w:ind w:left="44"/>
              <w:rPr>
                <w:sz w:val="20"/>
                <w:szCs w:val="20"/>
              </w:rPr>
            </w:pPr>
            <w:r>
              <w:rPr>
                <w:spacing w:val="-2"/>
                <w:sz w:val="20"/>
                <w:szCs w:val="20"/>
              </w:rPr>
              <w:t>清单管</w:t>
            </w:r>
          </w:p>
          <w:p w14:paraId="0789473B">
            <w:pPr>
              <w:pStyle w:val="6"/>
              <w:spacing w:before="20" w:line="221" w:lineRule="auto"/>
              <w:ind w:left="43"/>
              <w:rPr>
                <w:sz w:val="20"/>
                <w:szCs w:val="20"/>
              </w:rPr>
            </w:pPr>
            <w:r>
              <w:rPr>
                <w:spacing w:val="-2"/>
                <w:sz w:val="20"/>
                <w:szCs w:val="20"/>
              </w:rPr>
              <w:t>控要求</w:t>
            </w:r>
          </w:p>
        </w:tc>
        <w:tc>
          <w:tcPr>
            <w:tcW w:w="788" w:type="dxa"/>
            <w:vAlign w:val="top"/>
          </w:tcPr>
          <w:p w14:paraId="38FB6DCD">
            <w:pPr>
              <w:spacing w:line="353" w:lineRule="auto"/>
              <w:rPr>
                <w:rFonts w:ascii="Arial"/>
                <w:sz w:val="21"/>
              </w:rPr>
            </w:pPr>
          </w:p>
          <w:p w14:paraId="0ED1A60F">
            <w:pPr>
              <w:pStyle w:val="6"/>
              <w:spacing w:before="65" w:line="219" w:lineRule="auto"/>
              <w:ind w:left="98"/>
              <w:rPr>
                <w:sz w:val="20"/>
                <w:szCs w:val="20"/>
              </w:rPr>
            </w:pPr>
            <w:r>
              <w:rPr>
                <w:spacing w:val="-3"/>
                <w:sz w:val="20"/>
                <w:szCs w:val="20"/>
              </w:rPr>
              <w:t>空间布</w:t>
            </w:r>
          </w:p>
          <w:p w14:paraId="0DD3A0D6">
            <w:pPr>
              <w:pStyle w:val="6"/>
              <w:spacing w:before="21" w:line="220" w:lineRule="auto"/>
              <w:ind w:left="94"/>
              <w:rPr>
                <w:sz w:val="20"/>
                <w:szCs w:val="20"/>
              </w:rPr>
            </w:pPr>
            <w:r>
              <w:rPr>
                <w:spacing w:val="-3"/>
                <w:sz w:val="20"/>
                <w:szCs w:val="20"/>
              </w:rPr>
              <w:t>局约束</w:t>
            </w:r>
          </w:p>
        </w:tc>
        <w:tc>
          <w:tcPr>
            <w:tcW w:w="4868" w:type="dxa"/>
            <w:vAlign w:val="top"/>
          </w:tcPr>
          <w:p w14:paraId="438C3265">
            <w:pPr>
              <w:pStyle w:val="6"/>
              <w:spacing w:before="28" w:line="233" w:lineRule="auto"/>
              <w:ind w:left="45" w:right="48" w:firstLine="14"/>
              <w:rPr>
                <w:sz w:val="20"/>
                <w:szCs w:val="20"/>
              </w:rPr>
            </w:pPr>
            <w:r>
              <w:rPr>
                <w:spacing w:val="-1"/>
                <w:sz w:val="20"/>
                <w:szCs w:val="20"/>
              </w:rPr>
              <w:t>1.以城镇开发建设现状为基础，综合考虑资源承载能</w:t>
            </w:r>
            <w:r>
              <w:rPr>
                <w:sz w:val="20"/>
                <w:szCs w:val="20"/>
              </w:rPr>
              <w:t xml:space="preserve">  </w:t>
            </w:r>
            <w:r>
              <w:rPr>
                <w:spacing w:val="-2"/>
                <w:sz w:val="20"/>
                <w:szCs w:val="20"/>
              </w:rPr>
              <w:t>力、人口分布、经济布局、城乡统筹、城镇无序蔓延科</w:t>
            </w:r>
            <w:r>
              <w:rPr>
                <w:spacing w:val="16"/>
                <w:sz w:val="20"/>
                <w:szCs w:val="20"/>
              </w:rPr>
              <w:t xml:space="preserve"> </w:t>
            </w:r>
            <w:r>
              <w:rPr>
                <w:spacing w:val="-2"/>
                <w:sz w:val="20"/>
                <w:szCs w:val="20"/>
              </w:rPr>
              <w:t>学预留一定比例的留白区，为未来发展留有开发空间城</w:t>
            </w:r>
            <w:r>
              <w:rPr>
                <w:spacing w:val="15"/>
                <w:sz w:val="20"/>
                <w:szCs w:val="20"/>
              </w:rPr>
              <w:t xml:space="preserve"> </w:t>
            </w:r>
            <w:r>
              <w:rPr>
                <w:spacing w:val="-1"/>
                <w:sz w:val="20"/>
                <w:szCs w:val="20"/>
              </w:rPr>
              <w:t>镇建设和发展不得违法违规侵占河道、湖面、滩地</w:t>
            </w:r>
            <w:r>
              <w:rPr>
                <w:spacing w:val="-34"/>
                <w:sz w:val="20"/>
                <w:szCs w:val="20"/>
              </w:rPr>
              <w:t xml:space="preserve"> </w:t>
            </w:r>
            <w:r>
              <w:rPr>
                <w:spacing w:val="-1"/>
                <w:sz w:val="20"/>
                <w:szCs w:val="20"/>
              </w:rPr>
              <w:t>2.</w:t>
            </w:r>
            <w:r>
              <w:rPr>
                <w:sz w:val="20"/>
                <w:szCs w:val="20"/>
              </w:rPr>
              <w:t xml:space="preserve">  </w:t>
            </w:r>
            <w:r>
              <w:rPr>
                <w:spacing w:val="-1"/>
                <w:sz w:val="20"/>
                <w:szCs w:val="20"/>
              </w:rPr>
              <w:t>城镇开发边界调整报国土空间规划原审批机关审批</w:t>
            </w:r>
          </w:p>
        </w:tc>
        <w:tc>
          <w:tcPr>
            <w:tcW w:w="2632" w:type="dxa"/>
            <w:vAlign w:val="top"/>
          </w:tcPr>
          <w:p w14:paraId="79329885">
            <w:pPr>
              <w:pStyle w:val="6"/>
              <w:spacing w:before="289" w:line="244" w:lineRule="auto"/>
              <w:ind w:left="47" w:right="48"/>
              <w:rPr>
                <w:sz w:val="20"/>
                <w:szCs w:val="20"/>
              </w:rPr>
            </w:pPr>
            <w:r>
              <w:rPr>
                <w:spacing w:val="-1"/>
                <w:sz w:val="20"/>
                <w:szCs w:val="20"/>
              </w:rPr>
              <w:t>本项目位于规划的工业园区</w:t>
            </w:r>
            <w:r>
              <w:rPr>
                <w:spacing w:val="1"/>
                <w:sz w:val="20"/>
                <w:szCs w:val="20"/>
              </w:rPr>
              <w:t xml:space="preserve">  </w:t>
            </w:r>
            <w:r>
              <w:rPr>
                <w:spacing w:val="-6"/>
                <w:sz w:val="20"/>
                <w:szCs w:val="20"/>
              </w:rPr>
              <w:t>内，占地也属于规划的工业用</w:t>
            </w:r>
            <w:r>
              <w:rPr>
                <w:spacing w:val="8"/>
                <w:sz w:val="20"/>
                <w:szCs w:val="20"/>
              </w:rPr>
              <w:t xml:space="preserve"> </w:t>
            </w:r>
            <w:r>
              <w:rPr>
                <w:spacing w:val="-10"/>
                <w:sz w:val="20"/>
                <w:szCs w:val="20"/>
              </w:rPr>
              <w:t>地。</w:t>
            </w:r>
          </w:p>
        </w:tc>
        <w:tc>
          <w:tcPr>
            <w:tcW w:w="513" w:type="dxa"/>
            <w:vAlign w:val="top"/>
          </w:tcPr>
          <w:p w14:paraId="27D9794A">
            <w:pPr>
              <w:rPr>
                <w:rFonts w:ascii="Arial"/>
                <w:sz w:val="21"/>
              </w:rPr>
            </w:pPr>
          </w:p>
          <w:p w14:paraId="3BE4E00C">
            <w:pPr>
              <w:spacing w:line="241" w:lineRule="auto"/>
              <w:rPr>
                <w:rFonts w:ascii="Arial"/>
                <w:sz w:val="21"/>
              </w:rPr>
            </w:pPr>
          </w:p>
          <w:p w14:paraId="7A74F14F">
            <w:pPr>
              <w:pStyle w:val="6"/>
              <w:spacing w:before="65" w:line="220" w:lineRule="auto"/>
              <w:ind w:left="59"/>
              <w:rPr>
                <w:sz w:val="20"/>
                <w:szCs w:val="20"/>
              </w:rPr>
            </w:pPr>
            <w:r>
              <w:rPr>
                <w:spacing w:val="-3"/>
                <w:sz w:val="20"/>
                <w:szCs w:val="20"/>
              </w:rPr>
              <w:t>符合</w:t>
            </w:r>
          </w:p>
        </w:tc>
        <w:tc>
          <w:tcPr>
            <w:tcW w:w="118" w:type="dxa"/>
            <w:tcBorders>
              <w:top w:val="nil"/>
              <w:bottom w:val="nil"/>
            </w:tcBorders>
            <w:vAlign w:val="top"/>
          </w:tcPr>
          <w:p w14:paraId="17B4DE97">
            <w:pPr>
              <w:rPr>
                <w:rFonts w:ascii="Arial"/>
                <w:sz w:val="21"/>
              </w:rPr>
            </w:pPr>
          </w:p>
        </w:tc>
      </w:tr>
      <w:tr w14:paraId="01F9C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1886" w:type="dxa"/>
            <w:vMerge w:val="continue"/>
            <w:tcBorders>
              <w:top w:val="nil"/>
              <w:bottom w:val="nil"/>
            </w:tcBorders>
            <w:vAlign w:val="top"/>
          </w:tcPr>
          <w:p w14:paraId="678A0C27">
            <w:pPr>
              <w:rPr>
                <w:rFonts w:ascii="Arial"/>
                <w:sz w:val="21"/>
              </w:rPr>
            </w:pPr>
          </w:p>
        </w:tc>
        <w:tc>
          <w:tcPr>
            <w:tcW w:w="113" w:type="dxa"/>
            <w:tcBorders>
              <w:top w:val="nil"/>
              <w:bottom w:val="nil"/>
            </w:tcBorders>
            <w:vAlign w:val="top"/>
          </w:tcPr>
          <w:p w14:paraId="36E3EA44">
            <w:pPr>
              <w:rPr>
                <w:rFonts w:ascii="Arial"/>
                <w:sz w:val="21"/>
              </w:rPr>
            </w:pPr>
          </w:p>
        </w:tc>
        <w:tc>
          <w:tcPr>
            <w:tcW w:w="1879" w:type="dxa"/>
            <w:vMerge w:val="continue"/>
            <w:tcBorders>
              <w:top w:val="nil"/>
              <w:bottom w:val="nil"/>
            </w:tcBorders>
            <w:vAlign w:val="top"/>
          </w:tcPr>
          <w:p w14:paraId="28B8F958">
            <w:pPr>
              <w:rPr>
                <w:rFonts w:ascii="Arial"/>
                <w:sz w:val="21"/>
              </w:rPr>
            </w:pPr>
          </w:p>
        </w:tc>
        <w:tc>
          <w:tcPr>
            <w:tcW w:w="795" w:type="dxa"/>
            <w:vMerge w:val="continue"/>
            <w:tcBorders>
              <w:top w:val="nil"/>
              <w:bottom w:val="nil"/>
            </w:tcBorders>
            <w:vAlign w:val="top"/>
          </w:tcPr>
          <w:p w14:paraId="53E5D13D">
            <w:pPr>
              <w:rPr>
                <w:rFonts w:ascii="Arial"/>
                <w:sz w:val="21"/>
              </w:rPr>
            </w:pPr>
          </w:p>
        </w:tc>
        <w:tc>
          <w:tcPr>
            <w:tcW w:w="788" w:type="dxa"/>
            <w:vAlign w:val="top"/>
          </w:tcPr>
          <w:p w14:paraId="09055539">
            <w:pPr>
              <w:pStyle w:val="6"/>
              <w:spacing w:before="30" w:line="221" w:lineRule="auto"/>
              <w:ind w:left="93"/>
              <w:rPr>
                <w:sz w:val="20"/>
                <w:szCs w:val="20"/>
              </w:rPr>
            </w:pPr>
            <w:r>
              <w:rPr>
                <w:spacing w:val="-2"/>
                <w:sz w:val="20"/>
                <w:szCs w:val="20"/>
              </w:rPr>
              <w:t>污染物</w:t>
            </w:r>
          </w:p>
          <w:p w14:paraId="2537ED34">
            <w:pPr>
              <w:pStyle w:val="6"/>
              <w:spacing w:before="21" w:line="222" w:lineRule="auto"/>
              <w:ind w:left="290" w:right="97" w:hanging="199"/>
              <w:rPr>
                <w:sz w:val="20"/>
                <w:szCs w:val="20"/>
              </w:rPr>
            </w:pPr>
            <w:r>
              <w:rPr>
                <w:spacing w:val="-3"/>
                <w:sz w:val="20"/>
                <w:szCs w:val="20"/>
              </w:rPr>
              <w:t>排放管</w:t>
            </w:r>
            <w:r>
              <w:rPr>
                <w:spacing w:val="1"/>
                <w:sz w:val="20"/>
                <w:szCs w:val="20"/>
              </w:rPr>
              <w:t xml:space="preserve"> </w:t>
            </w:r>
            <w:r>
              <w:rPr>
                <w:sz w:val="20"/>
                <w:szCs w:val="20"/>
              </w:rPr>
              <w:t>控</w:t>
            </w:r>
          </w:p>
        </w:tc>
        <w:tc>
          <w:tcPr>
            <w:tcW w:w="4868" w:type="dxa"/>
            <w:vAlign w:val="top"/>
          </w:tcPr>
          <w:p w14:paraId="1611C1FA">
            <w:pPr>
              <w:pStyle w:val="6"/>
              <w:spacing w:before="291" w:line="225" w:lineRule="auto"/>
              <w:ind w:left="44"/>
              <w:rPr>
                <w:sz w:val="20"/>
                <w:szCs w:val="20"/>
              </w:rPr>
            </w:pPr>
            <w:r>
              <w:rPr>
                <w:sz w:val="20"/>
                <w:szCs w:val="20"/>
              </w:rPr>
              <w:t>/</w:t>
            </w:r>
          </w:p>
        </w:tc>
        <w:tc>
          <w:tcPr>
            <w:tcW w:w="2632" w:type="dxa"/>
            <w:vAlign w:val="top"/>
          </w:tcPr>
          <w:p w14:paraId="58378637">
            <w:pPr>
              <w:pStyle w:val="6"/>
              <w:spacing w:before="291" w:line="225" w:lineRule="auto"/>
              <w:ind w:left="46"/>
              <w:rPr>
                <w:sz w:val="20"/>
                <w:szCs w:val="20"/>
              </w:rPr>
            </w:pPr>
            <w:r>
              <w:rPr>
                <w:sz w:val="20"/>
                <w:szCs w:val="20"/>
              </w:rPr>
              <w:t>/</w:t>
            </w:r>
          </w:p>
        </w:tc>
        <w:tc>
          <w:tcPr>
            <w:tcW w:w="513" w:type="dxa"/>
            <w:vAlign w:val="top"/>
          </w:tcPr>
          <w:p w14:paraId="4AB18A0F">
            <w:pPr>
              <w:pStyle w:val="6"/>
              <w:spacing w:before="291" w:line="225" w:lineRule="auto"/>
              <w:ind w:left="207"/>
              <w:rPr>
                <w:sz w:val="20"/>
                <w:szCs w:val="20"/>
              </w:rPr>
            </w:pPr>
            <w:r>
              <w:rPr>
                <w:sz w:val="20"/>
                <w:szCs w:val="20"/>
              </w:rPr>
              <w:t>/</w:t>
            </w:r>
          </w:p>
        </w:tc>
        <w:tc>
          <w:tcPr>
            <w:tcW w:w="118" w:type="dxa"/>
            <w:tcBorders>
              <w:top w:val="nil"/>
              <w:bottom w:val="nil"/>
            </w:tcBorders>
            <w:vAlign w:val="top"/>
          </w:tcPr>
          <w:p w14:paraId="13879F7F">
            <w:pPr>
              <w:rPr>
                <w:rFonts w:ascii="Arial"/>
                <w:sz w:val="21"/>
              </w:rPr>
            </w:pPr>
          </w:p>
        </w:tc>
      </w:tr>
      <w:tr w14:paraId="2A089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4" w:hRule="atLeast"/>
        </w:trPr>
        <w:tc>
          <w:tcPr>
            <w:tcW w:w="1886" w:type="dxa"/>
            <w:vMerge w:val="continue"/>
            <w:tcBorders>
              <w:top w:val="nil"/>
              <w:bottom w:val="nil"/>
            </w:tcBorders>
            <w:vAlign w:val="top"/>
          </w:tcPr>
          <w:p w14:paraId="63778A18">
            <w:pPr>
              <w:rPr>
                <w:rFonts w:ascii="Arial"/>
                <w:sz w:val="21"/>
              </w:rPr>
            </w:pPr>
          </w:p>
        </w:tc>
        <w:tc>
          <w:tcPr>
            <w:tcW w:w="113" w:type="dxa"/>
            <w:tcBorders>
              <w:top w:val="nil"/>
              <w:bottom w:val="nil"/>
            </w:tcBorders>
            <w:vAlign w:val="top"/>
          </w:tcPr>
          <w:p w14:paraId="4BD64500">
            <w:pPr>
              <w:rPr>
                <w:rFonts w:ascii="Arial"/>
                <w:sz w:val="21"/>
              </w:rPr>
            </w:pPr>
          </w:p>
        </w:tc>
        <w:tc>
          <w:tcPr>
            <w:tcW w:w="1879" w:type="dxa"/>
            <w:vMerge w:val="continue"/>
            <w:tcBorders>
              <w:top w:val="nil"/>
              <w:bottom w:val="nil"/>
            </w:tcBorders>
            <w:vAlign w:val="top"/>
          </w:tcPr>
          <w:p w14:paraId="35477D83">
            <w:pPr>
              <w:rPr>
                <w:rFonts w:ascii="Arial"/>
                <w:sz w:val="21"/>
              </w:rPr>
            </w:pPr>
          </w:p>
        </w:tc>
        <w:tc>
          <w:tcPr>
            <w:tcW w:w="795" w:type="dxa"/>
            <w:vMerge w:val="continue"/>
            <w:tcBorders>
              <w:top w:val="nil"/>
              <w:bottom w:val="nil"/>
            </w:tcBorders>
            <w:vAlign w:val="top"/>
          </w:tcPr>
          <w:p w14:paraId="760C4DF0">
            <w:pPr>
              <w:rPr>
                <w:rFonts w:ascii="Arial"/>
                <w:sz w:val="21"/>
              </w:rPr>
            </w:pPr>
          </w:p>
        </w:tc>
        <w:tc>
          <w:tcPr>
            <w:tcW w:w="788" w:type="dxa"/>
            <w:vAlign w:val="top"/>
          </w:tcPr>
          <w:p w14:paraId="64BB4799">
            <w:pPr>
              <w:pStyle w:val="6"/>
              <w:spacing w:before="31" w:line="221" w:lineRule="auto"/>
              <w:ind w:left="91"/>
              <w:rPr>
                <w:sz w:val="20"/>
                <w:szCs w:val="20"/>
              </w:rPr>
            </w:pPr>
            <w:r>
              <w:rPr>
                <w:spacing w:val="-2"/>
                <w:sz w:val="20"/>
                <w:szCs w:val="20"/>
              </w:rPr>
              <w:t>环境风</w:t>
            </w:r>
          </w:p>
          <w:p w14:paraId="382F9B62">
            <w:pPr>
              <w:pStyle w:val="6"/>
              <w:spacing w:before="19" w:line="206" w:lineRule="auto"/>
              <w:ind w:left="102"/>
              <w:rPr>
                <w:sz w:val="20"/>
                <w:szCs w:val="20"/>
              </w:rPr>
            </w:pPr>
            <w:r>
              <w:rPr>
                <w:spacing w:val="-4"/>
                <w:sz w:val="20"/>
                <w:szCs w:val="20"/>
              </w:rPr>
              <w:t>险防控</w:t>
            </w:r>
          </w:p>
        </w:tc>
        <w:tc>
          <w:tcPr>
            <w:tcW w:w="4868" w:type="dxa"/>
            <w:vAlign w:val="top"/>
          </w:tcPr>
          <w:p w14:paraId="4680BD0E">
            <w:pPr>
              <w:pStyle w:val="6"/>
              <w:spacing w:before="161" w:line="225" w:lineRule="auto"/>
              <w:ind w:left="44"/>
              <w:rPr>
                <w:sz w:val="20"/>
                <w:szCs w:val="20"/>
              </w:rPr>
            </w:pPr>
            <w:r>
              <w:rPr>
                <w:sz w:val="20"/>
                <w:szCs w:val="20"/>
              </w:rPr>
              <w:t>/</w:t>
            </w:r>
          </w:p>
        </w:tc>
        <w:tc>
          <w:tcPr>
            <w:tcW w:w="2632" w:type="dxa"/>
            <w:vAlign w:val="top"/>
          </w:tcPr>
          <w:p w14:paraId="19F76E73">
            <w:pPr>
              <w:pStyle w:val="6"/>
              <w:spacing w:before="161" w:line="225" w:lineRule="auto"/>
              <w:ind w:left="46"/>
              <w:rPr>
                <w:sz w:val="20"/>
                <w:szCs w:val="20"/>
              </w:rPr>
            </w:pPr>
            <w:r>
              <w:rPr>
                <w:sz w:val="20"/>
                <w:szCs w:val="20"/>
              </w:rPr>
              <w:t>/</w:t>
            </w:r>
          </w:p>
        </w:tc>
        <w:tc>
          <w:tcPr>
            <w:tcW w:w="513" w:type="dxa"/>
            <w:vAlign w:val="top"/>
          </w:tcPr>
          <w:p w14:paraId="489E762F">
            <w:pPr>
              <w:pStyle w:val="6"/>
              <w:spacing w:before="161" w:line="225" w:lineRule="auto"/>
              <w:ind w:left="207"/>
              <w:rPr>
                <w:sz w:val="20"/>
                <w:szCs w:val="20"/>
              </w:rPr>
            </w:pPr>
            <w:r>
              <w:rPr>
                <w:sz w:val="20"/>
                <w:szCs w:val="20"/>
              </w:rPr>
              <w:t>/</w:t>
            </w:r>
          </w:p>
        </w:tc>
        <w:tc>
          <w:tcPr>
            <w:tcW w:w="118" w:type="dxa"/>
            <w:tcBorders>
              <w:top w:val="nil"/>
              <w:bottom w:val="nil"/>
            </w:tcBorders>
            <w:vAlign w:val="top"/>
          </w:tcPr>
          <w:p w14:paraId="623390D2">
            <w:pPr>
              <w:rPr>
                <w:rFonts w:ascii="Arial"/>
                <w:sz w:val="21"/>
              </w:rPr>
            </w:pPr>
          </w:p>
        </w:tc>
      </w:tr>
      <w:tr w14:paraId="227E5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1" w:hRule="atLeast"/>
        </w:trPr>
        <w:tc>
          <w:tcPr>
            <w:tcW w:w="1886" w:type="dxa"/>
            <w:vMerge w:val="continue"/>
            <w:tcBorders>
              <w:top w:val="nil"/>
              <w:bottom w:val="nil"/>
            </w:tcBorders>
            <w:vAlign w:val="top"/>
          </w:tcPr>
          <w:p w14:paraId="0740EC94">
            <w:pPr>
              <w:rPr>
                <w:rFonts w:ascii="Arial"/>
                <w:sz w:val="21"/>
              </w:rPr>
            </w:pPr>
          </w:p>
        </w:tc>
        <w:tc>
          <w:tcPr>
            <w:tcW w:w="113" w:type="dxa"/>
            <w:tcBorders>
              <w:top w:val="nil"/>
              <w:bottom w:val="nil"/>
            </w:tcBorders>
            <w:vAlign w:val="top"/>
          </w:tcPr>
          <w:p w14:paraId="059411BA">
            <w:pPr>
              <w:rPr>
                <w:rFonts w:ascii="Arial"/>
                <w:sz w:val="21"/>
              </w:rPr>
            </w:pPr>
          </w:p>
        </w:tc>
        <w:tc>
          <w:tcPr>
            <w:tcW w:w="1879" w:type="dxa"/>
            <w:vMerge w:val="continue"/>
            <w:tcBorders>
              <w:top w:val="nil"/>
            </w:tcBorders>
            <w:vAlign w:val="top"/>
          </w:tcPr>
          <w:p w14:paraId="50A21436">
            <w:pPr>
              <w:rPr>
                <w:rFonts w:ascii="Arial"/>
                <w:sz w:val="21"/>
              </w:rPr>
            </w:pPr>
          </w:p>
        </w:tc>
        <w:tc>
          <w:tcPr>
            <w:tcW w:w="795" w:type="dxa"/>
            <w:vMerge w:val="continue"/>
            <w:tcBorders>
              <w:top w:val="nil"/>
            </w:tcBorders>
            <w:vAlign w:val="top"/>
          </w:tcPr>
          <w:p w14:paraId="4D3F6F0A">
            <w:pPr>
              <w:rPr>
                <w:rFonts w:ascii="Arial"/>
                <w:sz w:val="21"/>
              </w:rPr>
            </w:pPr>
          </w:p>
        </w:tc>
        <w:tc>
          <w:tcPr>
            <w:tcW w:w="788" w:type="dxa"/>
            <w:vAlign w:val="top"/>
          </w:tcPr>
          <w:p w14:paraId="55CB2D7C">
            <w:pPr>
              <w:pStyle w:val="6"/>
              <w:spacing w:before="291" w:line="221" w:lineRule="auto"/>
              <w:ind w:left="100"/>
              <w:rPr>
                <w:sz w:val="20"/>
                <w:szCs w:val="20"/>
              </w:rPr>
            </w:pPr>
            <w:r>
              <w:rPr>
                <w:spacing w:val="-4"/>
                <w:sz w:val="20"/>
                <w:szCs w:val="20"/>
              </w:rPr>
              <w:t>资源开</w:t>
            </w:r>
          </w:p>
          <w:p w14:paraId="74D87BBD">
            <w:pPr>
              <w:pStyle w:val="6"/>
              <w:spacing w:before="19" w:line="242" w:lineRule="auto"/>
              <w:ind w:left="193" w:right="97" w:hanging="98"/>
              <w:rPr>
                <w:sz w:val="20"/>
                <w:szCs w:val="20"/>
              </w:rPr>
            </w:pPr>
            <w:r>
              <w:rPr>
                <w:spacing w:val="-4"/>
                <w:sz w:val="20"/>
                <w:szCs w:val="20"/>
              </w:rPr>
              <w:t>发效率</w:t>
            </w:r>
            <w:r>
              <w:rPr>
                <w:spacing w:val="1"/>
                <w:sz w:val="20"/>
                <w:szCs w:val="20"/>
              </w:rPr>
              <w:t xml:space="preserve"> </w:t>
            </w:r>
            <w:r>
              <w:rPr>
                <w:spacing w:val="-2"/>
                <w:sz w:val="20"/>
                <w:szCs w:val="20"/>
              </w:rPr>
              <w:t>要求</w:t>
            </w:r>
          </w:p>
        </w:tc>
        <w:tc>
          <w:tcPr>
            <w:tcW w:w="4868" w:type="dxa"/>
            <w:vAlign w:val="top"/>
          </w:tcPr>
          <w:p w14:paraId="0E7FD2CB">
            <w:pPr>
              <w:pStyle w:val="6"/>
              <w:spacing w:before="31" w:line="220" w:lineRule="auto"/>
              <w:ind w:left="4"/>
              <w:rPr>
                <w:sz w:val="20"/>
                <w:szCs w:val="20"/>
              </w:rPr>
            </w:pPr>
            <w:r>
              <w:rPr>
                <w:spacing w:val="-1"/>
                <w:sz w:val="20"/>
                <w:szCs w:val="20"/>
              </w:rPr>
              <w:t>土地资源开发效率要求</w:t>
            </w:r>
          </w:p>
          <w:p w14:paraId="257A6FDB">
            <w:pPr>
              <w:pStyle w:val="6"/>
              <w:spacing w:before="21" w:line="239" w:lineRule="auto"/>
              <w:ind w:left="5" w:right="66" w:hanging="1"/>
              <w:rPr>
                <w:sz w:val="20"/>
                <w:szCs w:val="20"/>
              </w:rPr>
            </w:pPr>
            <w:r>
              <w:rPr>
                <w:spacing w:val="-1"/>
                <w:sz w:val="20"/>
                <w:szCs w:val="20"/>
              </w:rPr>
              <w:t>土地资源开发利用量不得超过土地资源利用上线控制性</w:t>
            </w:r>
            <w:r>
              <w:rPr>
                <w:spacing w:val="15"/>
                <w:sz w:val="20"/>
                <w:szCs w:val="20"/>
              </w:rPr>
              <w:t xml:space="preserve"> </w:t>
            </w:r>
            <w:r>
              <w:rPr>
                <w:spacing w:val="-9"/>
                <w:sz w:val="20"/>
                <w:szCs w:val="20"/>
              </w:rPr>
              <w:t>指标。</w:t>
            </w:r>
          </w:p>
          <w:p w14:paraId="2CD732D4">
            <w:pPr>
              <w:pStyle w:val="6"/>
              <w:spacing w:line="219" w:lineRule="auto"/>
              <w:ind w:left="11"/>
              <w:rPr>
                <w:sz w:val="20"/>
                <w:szCs w:val="20"/>
              </w:rPr>
            </w:pPr>
            <w:r>
              <w:rPr>
                <w:spacing w:val="-2"/>
                <w:sz w:val="20"/>
                <w:szCs w:val="20"/>
              </w:rPr>
              <w:t>能源资源开发效率要求</w:t>
            </w:r>
          </w:p>
          <w:p w14:paraId="033DCB38">
            <w:pPr>
              <w:pStyle w:val="6"/>
              <w:spacing w:before="21" w:line="205" w:lineRule="auto"/>
              <w:ind w:left="46"/>
              <w:rPr>
                <w:sz w:val="20"/>
                <w:szCs w:val="20"/>
              </w:rPr>
            </w:pPr>
            <w:r>
              <w:rPr>
                <w:spacing w:val="-1"/>
                <w:sz w:val="20"/>
                <w:szCs w:val="20"/>
              </w:rPr>
              <w:t>其他资源开发效率要求</w:t>
            </w:r>
          </w:p>
        </w:tc>
        <w:tc>
          <w:tcPr>
            <w:tcW w:w="2632" w:type="dxa"/>
            <w:vAlign w:val="top"/>
          </w:tcPr>
          <w:p w14:paraId="0C85A6CA">
            <w:pPr>
              <w:pStyle w:val="6"/>
              <w:spacing w:before="290" w:line="244" w:lineRule="auto"/>
              <w:ind w:left="47" w:right="48"/>
              <w:rPr>
                <w:sz w:val="20"/>
                <w:szCs w:val="20"/>
              </w:rPr>
            </w:pPr>
            <w:r>
              <w:rPr>
                <w:spacing w:val="-1"/>
                <w:sz w:val="20"/>
                <w:szCs w:val="20"/>
              </w:rPr>
              <w:t>本项目位于规划的工业园区</w:t>
            </w:r>
            <w:r>
              <w:rPr>
                <w:spacing w:val="1"/>
                <w:sz w:val="20"/>
                <w:szCs w:val="20"/>
              </w:rPr>
              <w:t xml:space="preserve">  </w:t>
            </w:r>
            <w:r>
              <w:rPr>
                <w:spacing w:val="-6"/>
                <w:sz w:val="20"/>
                <w:szCs w:val="20"/>
              </w:rPr>
              <w:t>内，占地也属于规划的工业用</w:t>
            </w:r>
            <w:r>
              <w:rPr>
                <w:spacing w:val="8"/>
                <w:sz w:val="20"/>
                <w:szCs w:val="20"/>
              </w:rPr>
              <w:t xml:space="preserve"> </w:t>
            </w:r>
            <w:r>
              <w:rPr>
                <w:spacing w:val="-10"/>
                <w:sz w:val="20"/>
                <w:szCs w:val="20"/>
              </w:rPr>
              <w:t>地。</w:t>
            </w:r>
          </w:p>
        </w:tc>
        <w:tc>
          <w:tcPr>
            <w:tcW w:w="513" w:type="dxa"/>
            <w:vAlign w:val="top"/>
          </w:tcPr>
          <w:p w14:paraId="5036A1E8">
            <w:pPr>
              <w:spacing w:line="241" w:lineRule="auto"/>
              <w:rPr>
                <w:rFonts w:ascii="Arial"/>
                <w:sz w:val="21"/>
              </w:rPr>
            </w:pPr>
          </w:p>
          <w:p w14:paraId="2363E508">
            <w:pPr>
              <w:spacing w:line="241" w:lineRule="auto"/>
              <w:rPr>
                <w:rFonts w:ascii="Arial"/>
                <w:sz w:val="21"/>
              </w:rPr>
            </w:pPr>
          </w:p>
          <w:p w14:paraId="73CC4464">
            <w:pPr>
              <w:pStyle w:val="6"/>
              <w:spacing w:before="65" w:line="220" w:lineRule="auto"/>
              <w:ind w:left="59"/>
              <w:rPr>
                <w:sz w:val="20"/>
                <w:szCs w:val="20"/>
              </w:rPr>
            </w:pPr>
            <w:r>
              <w:rPr>
                <w:spacing w:val="-3"/>
                <w:sz w:val="20"/>
                <w:szCs w:val="20"/>
              </w:rPr>
              <w:t>符合</w:t>
            </w:r>
          </w:p>
        </w:tc>
        <w:tc>
          <w:tcPr>
            <w:tcW w:w="118" w:type="dxa"/>
            <w:tcBorders>
              <w:top w:val="nil"/>
              <w:bottom w:val="nil"/>
            </w:tcBorders>
            <w:vAlign w:val="top"/>
          </w:tcPr>
          <w:p w14:paraId="40E33958">
            <w:pPr>
              <w:rPr>
                <w:rFonts w:ascii="Arial"/>
                <w:sz w:val="21"/>
              </w:rPr>
            </w:pPr>
          </w:p>
        </w:tc>
      </w:tr>
      <w:tr w14:paraId="58488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1886" w:type="dxa"/>
            <w:vMerge w:val="continue"/>
            <w:tcBorders>
              <w:top w:val="nil"/>
              <w:bottom w:val="nil"/>
            </w:tcBorders>
            <w:vAlign w:val="top"/>
          </w:tcPr>
          <w:p w14:paraId="1DF84600">
            <w:pPr>
              <w:rPr>
                <w:rFonts w:ascii="Arial"/>
                <w:sz w:val="21"/>
              </w:rPr>
            </w:pPr>
          </w:p>
        </w:tc>
        <w:tc>
          <w:tcPr>
            <w:tcW w:w="113" w:type="dxa"/>
            <w:tcBorders>
              <w:top w:val="nil"/>
              <w:bottom w:val="nil"/>
            </w:tcBorders>
            <w:vAlign w:val="top"/>
          </w:tcPr>
          <w:p w14:paraId="7566EC0F">
            <w:pPr>
              <w:rPr>
                <w:rFonts w:ascii="Arial"/>
                <w:sz w:val="21"/>
              </w:rPr>
            </w:pPr>
          </w:p>
        </w:tc>
        <w:tc>
          <w:tcPr>
            <w:tcW w:w="1879" w:type="dxa"/>
            <w:vMerge w:val="restart"/>
            <w:tcBorders>
              <w:bottom w:val="nil"/>
            </w:tcBorders>
            <w:vAlign w:val="top"/>
          </w:tcPr>
          <w:p w14:paraId="0CAE9AF5">
            <w:pPr>
              <w:spacing w:line="282" w:lineRule="auto"/>
              <w:rPr>
                <w:rFonts w:ascii="Arial"/>
                <w:sz w:val="21"/>
              </w:rPr>
            </w:pPr>
          </w:p>
          <w:p w14:paraId="3331CB43">
            <w:pPr>
              <w:spacing w:line="282" w:lineRule="auto"/>
              <w:rPr>
                <w:rFonts w:ascii="Arial"/>
                <w:sz w:val="21"/>
              </w:rPr>
            </w:pPr>
          </w:p>
          <w:p w14:paraId="28601D1B">
            <w:pPr>
              <w:spacing w:line="283" w:lineRule="auto"/>
              <w:rPr>
                <w:rFonts w:ascii="Arial"/>
                <w:sz w:val="21"/>
              </w:rPr>
            </w:pPr>
          </w:p>
          <w:p w14:paraId="2E3E5A30">
            <w:pPr>
              <w:spacing w:line="283" w:lineRule="auto"/>
              <w:rPr>
                <w:rFonts w:ascii="Arial"/>
                <w:sz w:val="21"/>
              </w:rPr>
            </w:pPr>
          </w:p>
          <w:p w14:paraId="6E749087">
            <w:pPr>
              <w:spacing w:line="283" w:lineRule="auto"/>
              <w:rPr>
                <w:rFonts w:ascii="Arial"/>
                <w:sz w:val="21"/>
              </w:rPr>
            </w:pPr>
          </w:p>
          <w:p w14:paraId="0EDE26FA">
            <w:pPr>
              <w:pStyle w:val="6"/>
              <w:spacing w:before="68" w:line="235" w:lineRule="auto"/>
              <w:ind w:left="50" w:right="76" w:hanging="3"/>
              <w:jc w:val="both"/>
            </w:pPr>
            <w:r>
              <w:rPr>
                <w:spacing w:val="-3"/>
              </w:rPr>
              <w:t>YS5117022550001、</w:t>
            </w:r>
            <w:r>
              <w:rPr>
                <w:spacing w:val="12"/>
              </w:rPr>
              <w:t xml:space="preserve"> </w:t>
            </w:r>
            <w:r>
              <w:rPr>
                <w:spacing w:val="-2"/>
              </w:rPr>
              <w:t>通川区自然资源重</w:t>
            </w:r>
            <w:r>
              <w:rPr>
                <w:spacing w:val="6"/>
              </w:rPr>
              <w:t xml:space="preserve"> </w:t>
            </w:r>
            <w:r>
              <w:rPr>
                <w:spacing w:val="-2"/>
              </w:rPr>
              <w:t>点管控区</w:t>
            </w:r>
          </w:p>
        </w:tc>
        <w:tc>
          <w:tcPr>
            <w:tcW w:w="795" w:type="dxa"/>
            <w:vMerge w:val="restart"/>
            <w:tcBorders>
              <w:bottom w:val="nil"/>
            </w:tcBorders>
            <w:vAlign w:val="top"/>
          </w:tcPr>
          <w:p w14:paraId="6A8EE99F">
            <w:pPr>
              <w:spacing w:line="254" w:lineRule="auto"/>
              <w:rPr>
                <w:rFonts w:ascii="Arial"/>
                <w:sz w:val="21"/>
              </w:rPr>
            </w:pPr>
          </w:p>
          <w:p w14:paraId="75651709">
            <w:pPr>
              <w:spacing w:line="254" w:lineRule="auto"/>
              <w:rPr>
                <w:rFonts w:ascii="Arial"/>
                <w:sz w:val="21"/>
              </w:rPr>
            </w:pPr>
          </w:p>
          <w:p w14:paraId="61619C2D">
            <w:pPr>
              <w:spacing w:line="254" w:lineRule="auto"/>
              <w:rPr>
                <w:rFonts w:ascii="Arial"/>
                <w:sz w:val="21"/>
              </w:rPr>
            </w:pPr>
          </w:p>
          <w:p w14:paraId="00541635">
            <w:pPr>
              <w:spacing w:line="255" w:lineRule="auto"/>
              <w:rPr>
                <w:rFonts w:ascii="Arial"/>
                <w:sz w:val="21"/>
              </w:rPr>
            </w:pPr>
          </w:p>
          <w:p w14:paraId="1966A450">
            <w:pPr>
              <w:spacing w:line="255" w:lineRule="auto"/>
              <w:rPr>
                <w:rFonts w:ascii="Arial"/>
                <w:sz w:val="21"/>
              </w:rPr>
            </w:pPr>
          </w:p>
          <w:p w14:paraId="75344A99">
            <w:pPr>
              <w:pStyle w:val="6"/>
              <w:spacing w:before="65" w:line="219" w:lineRule="auto"/>
              <w:ind w:left="43"/>
              <w:rPr>
                <w:sz w:val="20"/>
                <w:szCs w:val="20"/>
              </w:rPr>
            </w:pPr>
            <w:r>
              <w:rPr>
                <w:spacing w:val="-2"/>
                <w:sz w:val="20"/>
                <w:szCs w:val="20"/>
              </w:rPr>
              <w:t>达州市</w:t>
            </w:r>
          </w:p>
          <w:p w14:paraId="2FDB48C0">
            <w:pPr>
              <w:pStyle w:val="6"/>
              <w:spacing w:before="21" w:line="220" w:lineRule="auto"/>
              <w:ind w:left="43"/>
              <w:rPr>
                <w:sz w:val="20"/>
                <w:szCs w:val="20"/>
              </w:rPr>
            </w:pPr>
            <w:r>
              <w:rPr>
                <w:spacing w:val="-2"/>
                <w:sz w:val="20"/>
                <w:szCs w:val="20"/>
              </w:rPr>
              <w:t>普适性</w:t>
            </w:r>
          </w:p>
          <w:p w14:paraId="4D77E7EA">
            <w:pPr>
              <w:pStyle w:val="6"/>
              <w:spacing w:before="20" w:line="220" w:lineRule="auto"/>
              <w:ind w:left="44"/>
              <w:rPr>
                <w:sz w:val="20"/>
                <w:szCs w:val="20"/>
              </w:rPr>
            </w:pPr>
            <w:r>
              <w:rPr>
                <w:spacing w:val="-2"/>
                <w:sz w:val="20"/>
                <w:szCs w:val="20"/>
              </w:rPr>
              <w:t>清单管</w:t>
            </w:r>
          </w:p>
          <w:p w14:paraId="24C14BFF">
            <w:pPr>
              <w:pStyle w:val="6"/>
              <w:spacing w:before="21" w:line="221" w:lineRule="auto"/>
              <w:ind w:left="43"/>
              <w:rPr>
                <w:sz w:val="20"/>
                <w:szCs w:val="20"/>
              </w:rPr>
            </w:pPr>
            <w:r>
              <w:rPr>
                <w:spacing w:val="-2"/>
                <w:sz w:val="20"/>
                <w:szCs w:val="20"/>
              </w:rPr>
              <w:t>控要求</w:t>
            </w:r>
          </w:p>
        </w:tc>
        <w:tc>
          <w:tcPr>
            <w:tcW w:w="788" w:type="dxa"/>
            <w:vAlign w:val="top"/>
          </w:tcPr>
          <w:p w14:paraId="197926D5">
            <w:pPr>
              <w:pStyle w:val="6"/>
              <w:spacing w:before="292" w:line="219" w:lineRule="auto"/>
              <w:ind w:left="98"/>
              <w:rPr>
                <w:sz w:val="20"/>
                <w:szCs w:val="20"/>
              </w:rPr>
            </w:pPr>
            <w:r>
              <w:rPr>
                <w:spacing w:val="-3"/>
                <w:sz w:val="20"/>
                <w:szCs w:val="20"/>
              </w:rPr>
              <w:t>空间布</w:t>
            </w:r>
          </w:p>
          <w:p w14:paraId="48F71D2E">
            <w:pPr>
              <w:pStyle w:val="6"/>
              <w:spacing w:before="21" w:line="220" w:lineRule="auto"/>
              <w:ind w:left="94"/>
              <w:rPr>
                <w:sz w:val="20"/>
                <w:szCs w:val="20"/>
              </w:rPr>
            </w:pPr>
            <w:r>
              <w:rPr>
                <w:spacing w:val="-3"/>
                <w:sz w:val="20"/>
                <w:szCs w:val="20"/>
              </w:rPr>
              <w:t>局约束</w:t>
            </w:r>
          </w:p>
        </w:tc>
        <w:tc>
          <w:tcPr>
            <w:tcW w:w="4868" w:type="dxa"/>
            <w:vAlign w:val="top"/>
          </w:tcPr>
          <w:p w14:paraId="22F3C64F">
            <w:pPr>
              <w:pStyle w:val="6"/>
              <w:spacing w:before="32" w:line="220" w:lineRule="auto"/>
              <w:ind w:left="45"/>
              <w:rPr>
                <w:sz w:val="20"/>
                <w:szCs w:val="20"/>
              </w:rPr>
            </w:pPr>
            <w:r>
              <w:rPr>
                <w:spacing w:val="-1"/>
                <w:sz w:val="20"/>
                <w:szCs w:val="20"/>
              </w:rPr>
              <w:t>禁止开发建设活动的要求暂无</w:t>
            </w:r>
          </w:p>
          <w:p w14:paraId="6A005B32">
            <w:pPr>
              <w:pStyle w:val="6"/>
              <w:spacing w:before="20" w:line="221" w:lineRule="auto"/>
              <w:ind w:left="59"/>
              <w:rPr>
                <w:sz w:val="20"/>
                <w:szCs w:val="20"/>
              </w:rPr>
            </w:pPr>
            <w:r>
              <w:rPr>
                <w:spacing w:val="-2"/>
                <w:sz w:val="20"/>
                <w:szCs w:val="20"/>
              </w:rPr>
              <w:t>限制开发建设活动的要求暂无</w:t>
            </w:r>
          </w:p>
          <w:p w14:paraId="1B650A0E">
            <w:pPr>
              <w:pStyle w:val="6"/>
              <w:spacing w:before="19" w:line="222" w:lineRule="auto"/>
              <w:ind w:left="46" w:right="1224" w:firstLine="2"/>
              <w:rPr>
                <w:sz w:val="20"/>
                <w:szCs w:val="20"/>
              </w:rPr>
            </w:pPr>
            <w:r>
              <w:rPr>
                <w:spacing w:val="-1"/>
                <w:sz w:val="20"/>
                <w:szCs w:val="20"/>
              </w:rPr>
              <w:t>不符合空间布局要求活动的退出要求暂无</w:t>
            </w:r>
            <w:r>
              <w:rPr>
                <w:spacing w:val="7"/>
                <w:sz w:val="20"/>
                <w:szCs w:val="20"/>
              </w:rPr>
              <w:t xml:space="preserve"> </w:t>
            </w:r>
            <w:r>
              <w:rPr>
                <w:spacing w:val="-1"/>
                <w:sz w:val="20"/>
                <w:szCs w:val="20"/>
              </w:rPr>
              <w:t>其他空间布局约束要求暂无</w:t>
            </w:r>
          </w:p>
        </w:tc>
        <w:tc>
          <w:tcPr>
            <w:tcW w:w="2632" w:type="dxa"/>
            <w:vAlign w:val="top"/>
          </w:tcPr>
          <w:p w14:paraId="4FEF5F6F">
            <w:pPr>
              <w:spacing w:line="354" w:lineRule="auto"/>
              <w:rPr>
                <w:rFonts w:ascii="Arial"/>
                <w:sz w:val="21"/>
              </w:rPr>
            </w:pPr>
          </w:p>
          <w:p w14:paraId="67840673">
            <w:pPr>
              <w:pStyle w:val="6"/>
              <w:spacing w:before="65" w:line="225" w:lineRule="auto"/>
              <w:ind w:left="46"/>
              <w:rPr>
                <w:sz w:val="20"/>
                <w:szCs w:val="20"/>
              </w:rPr>
            </w:pPr>
            <w:r>
              <w:rPr>
                <w:sz w:val="20"/>
                <w:szCs w:val="20"/>
              </w:rPr>
              <w:t>/</w:t>
            </w:r>
          </w:p>
        </w:tc>
        <w:tc>
          <w:tcPr>
            <w:tcW w:w="513" w:type="dxa"/>
            <w:vAlign w:val="top"/>
          </w:tcPr>
          <w:p w14:paraId="3A401FFE">
            <w:pPr>
              <w:spacing w:line="354" w:lineRule="auto"/>
              <w:rPr>
                <w:rFonts w:ascii="Arial"/>
                <w:sz w:val="21"/>
              </w:rPr>
            </w:pPr>
          </w:p>
          <w:p w14:paraId="5DC95351">
            <w:pPr>
              <w:pStyle w:val="6"/>
              <w:spacing w:before="65" w:line="225" w:lineRule="auto"/>
              <w:ind w:left="207"/>
              <w:rPr>
                <w:sz w:val="20"/>
                <w:szCs w:val="20"/>
              </w:rPr>
            </w:pPr>
            <w:r>
              <w:rPr>
                <w:sz w:val="20"/>
                <w:szCs w:val="20"/>
              </w:rPr>
              <w:t>/</w:t>
            </w:r>
          </w:p>
        </w:tc>
        <w:tc>
          <w:tcPr>
            <w:tcW w:w="118" w:type="dxa"/>
            <w:tcBorders>
              <w:top w:val="nil"/>
              <w:bottom w:val="nil"/>
            </w:tcBorders>
            <w:vAlign w:val="top"/>
          </w:tcPr>
          <w:p w14:paraId="418FB4AE">
            <w:pPr>
              <w:rPr>
                <w:rFonts w:ascii="Arial"/>
                <w:sz w:val="21"/>
              </w:rPr>
            </w:pPr>
          </w:p>
        </w:tc>
      </w:tr>
      <w:tr w14:paraId="130C0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886" w:type="dxa"/>
            <w:vMerge w:val="continue"/>
            <w:tcBorders>
              <w:top w:val="nil"/>
              <w:bottom w:val="nil"/>
            </w:tcBorders>
            <w:vAlign w:val="top"/>
          </w:tcPr>
          <w:p w14:paraId="6359B210">
            <w:pPr>
              <w:rPr>
                <w:rFonts w:ascii="Arial"/>
                <w:sz w:val="21"/>
              </w:rPr>
            </w:pPr>
          </w:p>
        </w:tc>
        <w:tc>
          <w:tcPr>
            <w:tcW w:w="113" w:type="dxa"/>
            <w:tcBorders>
              <w:top w:val="nil"/>
              <w:bottom w:val="nil"/>
            </w:tcBorders>
            <w:vAlign w:val="top"/>
          </w:tcPr>
          <w:p w14:paraId="25A7D154">
            <w:pPr>
              <w:rPr>
                <w:rFonts w:ascii="Arial"/>
                <w:sz w:val="21"/>
              </w:rPr>
            </w:pPr>
          </w:p>
        </w:tc>
        <w:tc>
          <w:tcPr>
            <w:tcW w:w="1879" w:type="dxa"/>
            <w:vMerge w:val="continue"/>
            <w:tcBorders>
              <w:top w:val="nil"/>
              <w:bottom w:val="nil"/>
            </w:tcBorders>
            <w:vAlign w:val="top"/>
          </w:tcPr>
          <w:p w14:paraId="165C897C">
            <w:pPr>
              <w:rPr>
                <w:rFonts w:ascii="Arial"/>
                <w:sz w:val="21"/>
              </w:rPr>
            </w:pPr>
          </w:p>
        </w:tc>
        <w:tc>
          <w:tcPr>
            <w:tcW w:w="795" w:type="dxa"/>
            <w:vMerge w:val="continue"/>
            <w:tcBorders>
              <w:top w:val="nil"/>
              <w:bottom w:val="nil"/>
            </w:tcBorders>
            <w:vAlign w:val="top"/>
          </w:tcPr>
          <w:p w14:paraId="361E65C0">
            <w:pPr>
              <w:rPr>
                <w:rFonts w:ascii="Arial"/>
                <w:sz w:val="21"/>
              </w:rPr>
            </w:pPr>
          </w:p>
        </w:tc>
        <w:tc>
          <w:tcPr>
            <w:tcW w:w="788" w:type="dxa"/>
            <w:vAlign w:val="top"/>
          </w:tcPr>
          <w:p w14:paraId="6AA4FD7E">
            <w:pPr>
              <w:pStyle w:val="6"/>
              <w:spacing w:before="33" w:line="221" w:lineRule="auto"/>
              <w:ind w:left="93"/>
              <w:rPr>
                <w:sz w:val="20"/>
                <w:szCs w:val="20"/>
              </w:rPr>
            </w:pPr>
            <w:r>
              <w:rPr>
                <w:spacing w:val="-2"/>
                <w:sz w:val="20"/>
                <w:szCs w:val="20"/>
              </w:rPr>
              <w:t>污染物</w:t>
            </w:r>
          </w:p>
          <w:p w14:paraId="3AB325CF">
            <w:pPr>
              <w:pStyle w:val="6"/>
              <w:spacing w:before="20" w:line="221" w:lineRule="auto"/>
              <w:ind w:left="290" w:right="97" w:hanging="199"/>
              <w:rPr>
                <w:sz w:val="20"/>
                <w:szCs w:val="20"/>
              </w:rPr>
            </w:pPr>
            <w:r>
              <w:rPr>
                <w:spacing w:val="-3"/>
                <w:sz w:val="20"/>
                <w:szCs w:val="20"/>
              </w:rPr>
              <w:t>排放管</w:t>
            </w:r>
            <w:r>
              <w:rPr>
                <w:spacing w:val="1"/>
                <w:sz w:val="20"/>
                <w:szCs w:val="20"/>
              </w:rPr>
              <w:t xml:space="preserve"> </w:t>
            </w:r>
            <w:r>
              <w:rPr>
                <w:sz w:val="20"/>
                <w:szCs w:val="20"/>
              </w:rPr>
              <w:t>控</w:t>
            </w:r>
          </w:p>
        </w:tc>
        <w:tc>
          <w:tcPr>
            <w:tcW w:w="4868" w:type="dxa"/>
            <w:vAlign w:val="top"/>
          </w:tcPr>
          <w:p w14:paraId="22F156C6">
            <w:pPr>
              <w:pStyle w:val="6"/>
              <w:spacing w:before="33" w:line="220" w:lineRule="auto"/>
              <w:ind w:left="52"/>
              <w:rPr>
                <w:sz w:val="20"/>
                <w:szCs w:val="20"/>
              </w:rPr>
            </w:pPr>
            <w:r>
              <w:rPr>
                <w:spacing w:val="-2"/>
                <w:sz w:val="20"/>
                <w:szCs w:val="20"/>
              </w:rPr>
              <w:t>允许排放量要求暂无</w:t>
            </w:r>
          </w:p>
          <w:p w14:paraId="14333184">
            <w:pPr>
              <w:pStyle w:val="6"/>
              <w:spacing w:before="21" w:line="220" w:lineRule="auto"/>
              <w:ind w:left="47"/>
              <w:rPr>
                <w:sz w:val="20"/>
                <w:szCs w:val="20"/>
              </w:rPr>
            </w:pPr>
            <w:r>
              <w:rPr>
                <w:spacing w:val="-1"/>
                <w:sz w:val="20"/>
                <w:szCs w:val="20"/>
              </w:rPr>
              <w:t>现有源提标升级改造暂无</w:t>
            </w:r>
          </w:p>
          <w:p w14:paraId="3E943433">
            <w:pPr>
              <w:pStyle w:val="6"/>
              <w:spacing w:before="20" w:line="203" w:lineRule="auto"/>
              <w:ind w:left="46"/>
              <w:rPr>
                <w:sz w:val="20"/>
                <w:szCs w:val="20"/>
              </w:rPr>
            </w:pPr>
            <w:r>
              <w:rPr>
                <w:spacing w:val="-1"/>
                <w:sz w:val="20"/>
                <w:szCs w:val="20"/>
              </w:rPr>
              <w:t>其他污染物排放管控要求暂无</w:t>
            </w:r>
          </w:p>
        </w:tc>
        <w:tc>
          <w:tcPr>
            <w:tcW w:w="2632" w:type="dxa"/>
            <w:vAlign w:val="top"/>
          </w:tcPr>
          <w:p w14:paraId="6009D2B6">
            <w:pPr>
              <w:pStyle w:val="6"/>
              <w:spacing w:before="292" w:line="225" w:lineRule="auto"/>
              <w:ind w:left="46"/>
              <w:rPr>
                <w:sz w:val="20"/>
                <w:szCs w:val="20"/>
              </w:rPr>
            </w:pPr>
            <w:r>
              <w:rPr>
                <w:sz w:val="20"/>
                <w:szCs w:val="20"/>
              </w:rPr>
              <w:t>/</w:t>
            </w:r>
          </w:p>
        </w:tc>
        <w:tc>
          <w:tcPr>
            <w:tcW w:w="513" w:type="dxa"/>
            <w:vAlign w:val="top"/>
          </w:tcPr>
          <w:p w14:paraId="3F4AB4C1">
            <w:pPr>
              <w:pStyle w:val="6"/>
              <w:spacing w:before="292" w:line="225" w:lineRule="auto"/>
              <w:ind w:left="207"/>
              <w:rPr>
                <w:sz w:val="20"/>
                <w:szCs w:val="20"/>
              </w:rPr>
            </w:pPr>
            <w:r>
              <w:rPr>
                <w:sz w:val="20"/>
                <w:szCs w:val="20"/>
              </w:rPr>
              <w:t>/</w:t>
            </w:r>
          </w:p>
        </w:tc>
        <w:tc>
          <w:tcPr>
            <w:tcW w:w="118" w:type="dxa"/>
            <w:tcBorders>
              <w:top w:val="nil"/>
              <w:bottom w:val="nil"/>
            </w:tcBorders>
            <w:vAlign w:val="top"/>
          </w:tcPr>
          <w:p w14:paraId="7F04B437">
            <w:pPr>
              <w:rPr>
                <w:rFonts w:ascii="Arial"/>
                <w:sz w:val="21"/>
              </w:rPr>
            </w:pPr>
          </w:p>
        </w:tc>
      </w:tr>
      <w:tr w14:paraId="6CF4A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886" w:type="dxa"/>
            <w:vMerge w:val="continue"/>
            <w:tcBorders>
              <w:top w:val="nil"/>
              <w:bottom w:val="nil"/>
            </w:tcBorders>
            <w:vAlign w:val="top"/>
          </w:tcPr>
          <w:p w14:paraId="3CCB65EC">
            <w:pPr>
              <w:rPr>
                <w:rFonts w:ascii="Arial"/>
                <w:sz w:val="21"/>
              </w:rPr>
            </w:pPr>
          </w:p>
        </w:tc>
        <w:tc>
          <w:tcPr>
            <w:tcW w:w="113" w:type="dxa"/>
            <w:tcBorders>
              <w:top w:val="nil"/>
              <w:bottom w:val="nil"/>
            </w:tcBorders>
            <w:vAlign w:val="top"/>
          </w:tcPr>
          <w:p w14:paraId="163A4908">
            <w:pPr>
              <w:rPr>
                <w:rFonts w:ascii="Arial"/>
                <w:sz w:val="21"/>
              </w:rPr>
            </w:pPr>
          </w:p>
        </w:tc>
        <w:tc>
          <w:tcPr>
            <w:tcW w:w="1879" w:type="dxa"/>
            <w:vMerge w:val="continue"/>
            <w:tcBorders>
              <w:top w:val="nil"/>
              <w:bottom w:val="nil"/>
            </w:tcBorders>
            <w:vAlign w:val="top"/>
          </w:tcPr>
          <w:p w14:paraId="1062B6AC">
            <w:pPr>
              <w:rPr>
                <w:rFonts w:ascii="Arial"/>
                <w:sz w:val="21"/>
              </w:rPr>
            </w:pPr>
          </w:p>
        </w:tc>
        <w:tc>
          <w:tcPr>
            <w:tcW w:w="795" w:type="dxa"/>
            <w:vMerge w:val="continue"/>
            <w:tcBorders>
              <w:top w:val="nil"/>
              <w:bottom w:val="nil"/>
            </w:tcBorders>
            <w:vAlign w:val="top"/>
          </w:tcPr>
          <w:p w14:paraId="781BABC9">
            <w:pPr>
              <w:rPr>
                <w:rFonts w:ascii="Arial"/>
                <w:sz w:val="21"/>
              </w:rPr>
            </w:pPr>
          </w:p>
        </w:tc>
        <w:tc>
          <w:tcPr>
            <w:tcW w:w="788" w:type="dxa"/>
            <w:vAlign w:val="top"/>
          </w:tcPr>
          <w:p w14:paraId="0FAEA9B3">
            <w:pPr>
              <w:pStyle w:val="6"/>
              <w:spacing w:before="34" w:line="221" w:lineRule="auto"/>
              <w:ind w:left="91"/>
              <w:rPr>
                <w:sz w:val="20"/>
                <w:szCs w:val="20"/>
              </w:rPr>
            </w:pPr>
            <w:r>
              <w:rPr>
                <w:spacing w:val="-2"/>
                <w:sz w:val="20"/>
                <w:szCs w:val="20"/>
              </w:rPr>
              <w:t>环境风</w:t>
            </w:r>
          </w:p>
          <w:p w14:paraId="2E6FB0D7">
            <w:pPr>
              <w:pStyle w:val="6"/>
              <w:spacing w:before="19" w:line="203" w:lineRule="auto"/>
              <w:ind w:left="102"/>
              <w:rPr>
                <w:sz w:val="20"/>
                <w:szCs w:val="20"/>
              </w:rPr>
            </w:pPr>
            <w:r>
              <w:rPr>
                <w:spacing w:val="-4"/>
                <w:sz w:val="20"/>
                <w:szCs w:val="20"/>
              </w:rPr>
              <w:t>险防控</w:t>
            </w:r>
          </w:p>
        </w:tc>
        <w:tc>
          <w:tcPr>
            <w:tcW w:w="4868" w:type="dxa"/>
            <w:vAlign w:val="top"/>
          </w:tcPr>
          <w:p w14:paraId="328E80F7">
            <w:pPr>
              <w:pStyle w:val="6"/>
              <w:spacing w:before="34" w:line="221" w:lineRule="auto"/>
              <w:ind w:left="46"/>
              <w:rPr>
                <w:sz w:val="20"/>
                <w:szCs w:val="20"/>
              </w:rPr>
            </w:pPr>
            <w:r>
              <w:rPr>
                <w:spacing w:val="-1"/>
                <w:sz w:val="20"/>
                <w:szCs w:val="20"/>
              </w:rPr>
              <w:t>联防联控要求暂无</w:t>
            </w:r>
          </w:p>
          <w:p w14:paraId="36862724">
            <w:pPr>
              <w:pStyle w:val="6"/>
              <w:spacing w:before="19" w:line="203" w:lineRule="auto"/>
              <w:ind w:left="46"/>
              <w:rPr>
                <w:sz w:val="20"/>
                <w:szCs w:val="20"/>
              </w:rPr>
            </w:pPr>
            <w:r>
              <w:rPr>
                <w:spacing w:val="-1"/>
                <w:sz w:val="20"/>
                <w:szCs w:val="20"/>
              </w:rPr>
              <w:t>其他环境风险防控要求暂无</w:t>
            </w:r>
          </w:p>
        </w:tc>
        <w:tc>
          <w:tcPr>
            <w:tcW w:w="2632" w:type="dxa"/>
            <w:vAlign w:val="top"/>
          </w:tcPr>
          <w:p w14:paraId="7FDEA6E2">
            <w:pPr>
              <w:pStyle w:val="6"/>
              <w:spacing w:before="164" w:line="225" w:lineRule="auto"/>
              <w:ind w:left="46"/>
              <w:rPr>
                <w:sz w:val="20"/>
                <w:szCs w:val="20"/>
              </w:rPr>
            </w:pPr>
            <w:r>
              <w:rPr>
                <w:sz w:val="20"/>
                <w:szCs w:val="20"/>
              </w:rPr>
              <w:t>/</w:t>
            </w:r>
          </w:p>
        </w:tc>
        <w:tc>
          <w:tcPr>
            <w:tcW w:w="513" w:type="dxa"/>
            <w:vAlign w:val="top"/>
          </w:tcPr>
          <w:p w14:paraId="03C4FEEE">
            <w:pPr>
              <w:pStyle w:val="6"/>
              <w:spacing w:before="164" w:line="225" w:lineRule="auto"/>
              <w:ind w:left="207"/>
              <w:rPr>
                <w:sz w:val="20"/>
                <w:szCs w:val="20"/>
              </w:rPr>
            </w:pPr>
            <w:r>
              <w:rPr>
                <w:sz w:val="20"/>
                <w:szCs w:val="20"/>
              </w:rPr>
              <w:t>/</w:t>
            </w:r>
          </w:p>
        </w:tc>
        <w:tc>
          <w:tcPr>
            <w:tcW w:w="118" w:type="dxa"/>
            <w:tcBorders>
              <w:top w:val="nil"/>
              <w:bottom w:val="nil"/>
            </w:tcBorders>
            <w:vAlign w:val="top"/>
          </w:tcPr>
          <w:p w14:paraId="461FCE10">
            <w:pPr>
              <w:rPr>
                <w:rFonts w:ascii="Arial"/>
                <w:sz w:val="21"/>
              </w:rPr>
            </w:pPr>
          </w:p>
        </w:tc>
      </w:tr>
      <w:tr w14:paraId="5AFA2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1" w:hRule="atLeast"/>
        </w:trPr>
        <w:tc>
          <w:tcPr>
            <w:tcW w:w="1886" w:type="dxa"/>
            <w:vMerge w:val="continue"/>
            <w:tcBorders>
              <w:top w:val="nil"/>
              <w:bottom w:val="nil"/>
            </w:tcBorders>
            <w:vAlign w:val="top"/>
          </w:tcPr>
          <w:p w14:paraId="77A66E25">
            <w:pPr>
              <w:rPr>
                <w:rFonts w:ascii="Arial"/>
                <w:sz w:val="21"/>
              </w:rPr>
            </w:pPr>
          </w:p>
        </w:tc>
        <w:tc>
          <w:tcPr>
            <w:tcW w:w="113" w:type="dxa"/>
            <w:tcBorders>
              <w:top w:val="nil"/>
              <w:bottom w:val="nil"/>
            </w:tcBorders>
            <w:vAlign w:val="top"/>
          </w:tcPr>
          <w:p w14:paraId="372A4CE7">
            <w:pPr>
              <w:rPr>
                <w:rFonts w:ascii="Arial"/>
                <w:sz w:val="21"/>
              </w:rPr>
            </w:pPr>
          </w:p>
        </w:tc>
        <w:tc>
          <w:tcPr>
            <w:tcW w:w="1879" w:type="dxa"/>
            <w:vMerge w:val="continue"/>
            <w:tcBorders>
              <w:top w:val="nil"/>
            </w:tcBorders>
            <w:vAlign w:val="top"/>
          </w:tcPr>
          <w:p w14:paraId="3ED238B5">
            <w:pPr>
              <w:rPr>
                <w:rFonts w:ascii="Arial"/>
                <w:sz w:val="21"/>
              </w:rPr>
            </w:pPr>
          </w:p>
        </w:tc>
        <w:tc>
          <w:tcPr>
            <w:tcW w:w="795" w:type="dxa"/>
            <w:vMerge w:val="continue"/>
            <w:tcBorders>
              <w:top w:val="nil"/>
            </w:tcBorders>
            <w:vAlign w:val="top"/>
          </w:tcPr>
          <w:p w14:paraId="795416A4">
            <w:pPr>
              <w:rPr>
                <w:rFonts w:ascii="Arial"/>
                <w:sz w:val="21"/>
              </w:rPr>
            </w:pPr>
          </w:p>
        </w:tc>
        <w:tc>
          <w:tcPr>
            <w:tcW w:w="788" w:type="dxa"/>
            <w:vAlign w:val="top"/>
          </w:tcPr>
          <w:p w14:paraId="1F55654D">
            <w:pPr>
              <w:pStyle w:val="6"/>
              <w:spacing w:before="293" w:line="221" w:lineRule="auto"/>
              <w:ind w:left="100"/>
              <w:rPr>
                <w:sz w:val="20"/>
                <w:szCs w:val="20"/>
              </w:rPr>
            </w:pPr>
            <w:r>
              <w:rPr>
                <w:spacing w:val="-4"/>
                <w:sz w:val="20"/>
                <w:szCs w:val="20"/>
              </w:rPr>
              <w:t>资源开</w:t>
            </w:r>
          </w:p>
          <w:p w14:paraId="74AC0C9D">
            <w:pPr>
              <w:pStyle w:val="6"/>
              <w:spacing w:before="20" w:line="242" w:lineRule="auto"/>
              <w:ind w:left="193" w:right="97" w:hanging="98"/>
              <w:rPr>
                <w:sz w:val="20"/>
                <w:szCs w:val="20"/>
              </w:rPr>
            </w:pPr>
            <w:r>
              <w:rPr>
                <w:spacing w:val="-4"/>
                <w:sz w:val="20"/>
                <w:szCs w:val="20"/>
              </w:rPr>
              <w:t>发效率</w:t>
            </w:r>
            <w:r>
              <w:rPr>
                <w:spacing w:val="1"/>
                <w:sz w:val="20"/>
                <w:szCs w:val="20"/>
              </w:rPr>
              <w:t xml:space="preserve"> </w:t>
            </w:r>
            <w:r>
              <w:rPr>
                <w:spacing w:val="-2"/>
                <w:sz w:val="20"/>
                <w:szCs w:val="20"/>
              </w:rPr>
              <w:t>要求</w:t>
            </w:r>
          </w:p>
        </w:tc>
        <w:tc>
          <w:tcPr>
            <w:tcW w:w="4868" w:type="dxa"/>
            <w:vAlign w:val="top"/>
          </w:tcPr>
          <w:p w14:paraId="47756600">
            <w:pPr>
              <w:pStyle w:val="6"/>
              <w:spacing w:before="33"/>
              <w:ind w:left="45" w:right="2624" w:firstLine="2"/>
              <w:rPr>
                <w:sz w:val="20"/>
                <w:szCs w:val="20"/>
              </w:rPr>
            </w:pPr>
            <w:r>
              <w:rPr>
                <w:spacing w:val="-1"/>
                <w:sz w:val="20"/>
                <w:szCs w:val="20"/>
              </w:rPr>
              <w:t>水资源利用总量要求暂无</w:t>
            </w:r>
            <w:r>
              <w:rPr>
                <w:sz w:val="20"/>
                <w:szCs w:val="20"/>
              </w:rPr>
              <w:t xml:space="preserve"> </w:t>
            </w:r>
            <w:r>
              <w:rPr>
                <w:spacing w:val="-1"/>
                <w:sz w:val="20"/>
                <w:szCs w:val="20"/>
              </w:rPr>
              <w:t>地下水开采要求暂无</w:t>
            </w:r>
          </w:p>
          <w:p w14:paraId="70686AE3">
            <w:pPr>
              <w:pStyle w:val="6"/>
              <w:spacing w:line="239" w:lineRule="auto"/>
              <w:ind w:left="45" w:right="2225" w:firstLine="7"/>
              <w:rPr>
                <w:sz w:val="20"/>
                <w:szCs w:val="20"/>
              </w:rPr>
            </w:pPr>
            <w:r>
              <w:rPr>
                <w:spacing w:val="-2"/>
                <w:sz w:val="20"/>
                <w:szCs w:val="20"/>
              </w:rPr>
              <w:t>能源利用总量及效率要求暂无</w:t>
            </w:r>
            <w:r>
              <w:rPr>
                <w:spacing w:val="9"/>
                <w:sz w:val="20"/>
                <w:szCs w:val="20"/>
              </w:rPr>
              <w:t xml:space="preserve"> </w:t>
            </w:r>
            <w:r>
              <w:rPr>
                <w:spacing w:val="-1"/>
                <w:sz w:val="20"/>
                <w:szCs w:val="20"/>
              </w:rPr>
              <w:t>禁燃区要求暂无</w:t>
            </w:r>
          </w:p>
          <w:p w14:paraId="5F532DEA">
            <w:pPr>
              <w:pStyle w:val="6"/>
              <w:spacing w:line="201" w:lineRule="auto"/>
              <w:ind w:left="46"/>
              <w:rPr>
                <w:sz w:val="20"/>
                <w:szCs w:val="20"/>
              </w:rPr>
            </w:pPr>
            <w:r>
              <w:rPr>
                <w:spacing w:val="-1"/>
                <w:sz w:val="20"/>
                <w:szCs w:val="20"/>
              </w:rPr>
              <w:t>其他资源利用效率要求暂无</w:t>
            </w:r>
          </w:p>
        </w:tc>
        <w:tc>
          <w:tcPr>
            <w:tcW w:w="2632" w:type="dxa"/>
            <w:vAlign w:val="top"/>
          </w:tcPr>
          <w:p w14:paraId="38322166">
            <w:pPr>
              <w:spacing w:line="242" w:lineRule="auto"/>
              <w:rPr>
                <w:rFonts w:ascii="Arial"/>
                <w:sz w:val="21"/>
              </w:rPr>
            </w:pPr>
          </w:p>
          <w:p w14:paraId="65C6195E">
            <w:pPr>
              <w:spacing w:line="243" w:lineRule="auto"/>
              <w:rPr>
                <w:rFonts w:ascii="Arial"/>
                <w:sz w:val="21"/>
              </w:rPr>
            </w:pPr>
          </w:p>
          <w:p w14:paraId="662DB980">
            <w:pPr>
              <w:pStyle w:val="6"/>
              <w:spacing w:before="65" w:line="225" w:lineRule="auto"/>
              <w:ind w:left="46"/>
              <w:rPr>
                <w:sz w:val="20"/>
                <w:szCs w:val="20"/>
              </w:rPr>
            </w:pPr>
            <w:r>
              <w:rPr>
                <w:sz w:val="20"/>
                <w:szCs w:val="20"/>
              </w:rPr>
              <w:t>/</w:t>
            </w:r>
          </w:p>
        </w:tc>
        <w:tc>
          <w:tcPr>
            <w:tcW w:w="513" w:type="dxa"/>
            <w:vAlign w:val="top"/>
          </w:tcPr>
          <w:p w14:paraId="07E9074A">
            <w:pPr>
              <w:spacing w:line="242" w:lineRule="auto"/>
              <w:rPr>
                <w:rFonts w:ascii="Arial"/>
                <w:sz w:val="21"/>
              </w:rPr>
            </w:pPr>
          </w:p>
          <w:p w14:paraId="0AA8E32D">
            <w:pPr>
              <w:spacing w:line="243" w:lineRule="auto"/>
              <w:rPr>
                <w:rFonts w:ascii="Arial"/>
                <w:sz w:val="21"/>
              </w:rPr>
            </w:pPr>
          </w:p>
          <w:p w14:paraId="05A3E68D">
            <w:pPr>
              <w:pStyle w:val="6"/>
              <w:spacing w:before="65" w:line="225" w:lineRule="auto"/>
              <w:ind w:left="207"/>
              <w:rPr>
                <w:sz w:val="20"/>
                <w:szCs w:val="20"/>
              </w:rPr>
            </w:pPr>
            <w:r>
              <w:rPr>
                <w:sz w:val="20"/>
                <w:szCs w:val="20"/>
              </w:rPr>
              <w:t>/</w:t>
            </w:r>
          </w:p>
        </w:tc>
        <w:tc>
          <w:tcPr>
            <w:tcW w:w="118" w:type="dxa"/>
            <w:tcBorders>
              <w:top w:val="nil"/>
              <w:bottom w:val="nil"/>
            </w:tcBorders>
            <w:vAlign w:val="top"/>
          </w:tcPr>
          <w:p w14:paraId="5B554B89">
            <w:pPr>
              <w:rPr>
                <w:rFonts w:ascii="Arial"/>
                <w:sz w:val="21"/>
              </w:rPr>
            </w:pPr>
          </w:p>
        </w:tc>
      </w:tr>
      <w:tr w14:paraId="529DC9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 w:hRule="atLeast"/>
        </w:trPr>
        <w:tc>
          <w:tcPr>
            <w:tcW w:w="1886" w:type="dxa"/>
            <w:vMerge w:val="continue"/>
            <w:tcBorders>
              <w:top w:val="nil"/>
            </w:tcBorders>
            <w:vAlign w:val="top"/>
          </w:tcPr>
          <w:p w14:paraId="0E22BF15">
            <w:pPr>
              <w:rPr>
                <w:rFonts w:ascii="Arial"/>
                <w:sz w:val="21"/>
              </w:rPr>
            </w:pPr>
          </w:p>
        </w:tc>
        <w:tc>
          <w:tcPr>
            <w:tcW w:w="11706" w:type="dxa"/>
            <w:gridSpan w:val="8"/>
            <w:vAlign w:val="top"/>
          </w:tcPr>
          <w:p w14:paraId="65729369">
            <w:pPr>
              <w:spacing w:line="165" w:lineRule="exact"/>
              <w:rPr>
                <w:rFonts w:ascii="Arial"/>
                <w:sz w:val="14"/>
              </w:rPr>
            </w:pPr>
          </w:p>
        </w:tc>
      </w:tr>
    </w:tbl>
    <w:p w14:paraId="490AF7BF">
      <w:pPr>
        <w:rPr>
          <w:rFonts w:ascii="Arial"/>
          <w:sz w:val="21"/>
        </w:rPr>
      </w:pPr>
    </w:p>
    <w:p w14:paraId="64EA53B6">
      <w:pPr>
        <w:rPr>
          <w:rFonts w:ascii="Arial" w:hAnsi="Arial" w:eastAsia="Arial" w:cs="Arial"/>
          <w:sz w:val="21"/>
          <w:szCs w:val="21"/>
        </w:rPr>
        <w:sectPr>
          <w:footerReference r:id="rId23" w:type="default"/>
          <w:pgSz w:w="16839" w:h="11907"/>
          <w:pgMar w:top="1012" w:right="1620" w:bottom="1055" w:left="1621" w:header="0" w:footer="802" w:gutter="0"/>
          <w:cols w:space="720" w:num="1"/>
        </w:sectPr>
      </w:pPr>
    </w:p>
    <w:p w14:paraId="793A9DCD">
      <w:pPr>
        <w:spacing w:before="18"/>
      </w:pPr>
    </w:p>
    <w:p w14:paraId="493BAAA0">
      <w:pPr>
        <w:spacing w:before="18"/>
      </w:pPr>
    </w:p>
    <w:tbl>
      <w:tblPr>
        <w:tblStyle w:val="5"/>
        <w:tblW w:w="135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6"/>
        <w:gridCol w:w="113"/>
        <w:gridCol w:w="1879"/>
        <w:gridCol w:w="795"/>
        <w:gridCol w:w="788"/>
        <w:gridCol w:w="4868"/>
        <w:gridCol w:w="2632"/>
        <w:gridCol w:w="513"/>
        <w:gridCol w:w="118"/>
      </w:tblGrid>
      <w:tr w14:paraId="27DFA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886" w:type="dxa"/>
            <w:vMerge w:val="restart"/>
            <w:tcBorders>
              <w:bottom w:val="nil"/>
            </w:tcBorders>
            <w:vAlign w:val="top"/>
          </w:tcPr>
          <w:p w14:paraId="0A0113F4">
            <w:pPr>
              <w:rPr>
                <w:rFonts w:ascii="Arial"/>
                <w:sz w:val="21"/>
              </w:rPr>
            </w:pPr>
          </w:p>
        </w:tc>
        <w:tc>
          <w:tcPr>
            <w:tcW w:w="113" w:type="dxa"/>
            <w:tcBorders>
              <w:bottom w:val="nil"/>
            </w:tcBorders>
            <w:vAlign w:val="top"/>
          </w:tcPr>
          <w:p w14:paraId="29057CDF">
            <w:pPr>
              <w:rPr>
                <w:rFonts w:ascii="Arial"/>
                <w:sz w:val="21"/>
              </w:rPr>
            </w:pPr>
          </w:p>
        </w:tc>
        <w:tc>
          <w:tcPr>
            <w:tcW w:w="1879" w:type="dxa"/>
            <w:vMerge w:val="restart"/>
            <w:tcBorders>
              <w:bottom w:val="nil"/>
            </w:tcBorders>
            <w:vAlign w:val="top"/>
          </w:tcPr>
          <w:p w14:paraId="6A7D5447">
            <w:pPr>
              <w:rPr>
                <w:rFonts w:ascii="Arial"/>
                <w:sz w:val="21"/>
              </w:rPr>
            </w:pPr>
          </w:p>
        </w:tc>
        <w:tc>
          <w:tcPr>
            <w:tcW w:w="795" w:type="dxa"/>
            <w:vMerge w:val="restart"/>
            <w:tcBorders>
              <w:bottom w:val="nil"/>
            </w:tcBorders>
            <w:vAlign w:val="top"/>
          </w:tcPr>
          <w:p w14:paraId="286658D9">
            <w:pPr>
              <w:spacing w:line="298" w:lineRule="auto"/>
              <w:rPr>
                <w:rFonts w:ascii="Arial"/>
                <w:sz w:val="21"/>
              </w:rPr>
            </w:pPr>
          </w:p>
          <w:p w14:paraId="4917D5B0">
            <w:pPr>
              <w:spacing w:line="299" w:lineRule="auto"/>
              <w:rPr>
                <w:rFonts w:ascii="Arial"/>
                <w:sz w:val="21"/>
              </w:rPr>
            </w:pPr>
          </w:p>
          <w:p w14:paraId="795B4403">
            <w:pPr>
              <w:spacing w:line="299" w:lineRule="auto"/>
              <w:rPr>
                <w:rFonts w:ascii="Arial"/>
                <w:sz w:val="21"/>
              </w:rPr>
            </w:pPr>
          </w:p>
          <w:p w14:paraId="3EA77F80">
            <w:pPr>
              <w:pStyle w:val="6"/>
              <w:spacing w:before="65" w:line="221" w:lineRule="auto"/>
              <w:ind w:left="46"/>
              <w:rPr>
                <w:sz w:val="20"/>
                <w:szCs w:val="20"/>
              </w:rPr>
            </w:pPr>
            <w:r>
              <w:rPr>
                <w:spacing w:val="-2"/>
                <w:sz w:val="20"/>
                <w:szCs w:val="20"/>
              </w:rPr>
              <w:t>单元级</w:t>
            </w:r>
          </w:p>
          <w:p w14:paraId="09588D8A">
            <w:pPr>
              <w:pStyle w:val="6"/>
              <w:spacing w:before="20" w:line="220" w:lineRule="auto"/>
              <w:ind w:left="44"/>
              <w:rPr>
                <w:sz w:val="20"/>
                <w:szCs w:val="20"/>
              </w:rPr>
            </w:pPr>
            <w:r>
              <w:rPr>
                <w:spacing w:val="-2"/>
                <w:sz w:val="20"/>
                <w:szCs w:val="20"/>
              </w:rPr>
              <w:t>清单管</w:t>
            </w:r>
          </w:p>
          <w:p w14:paraId="7ACF2808">
            <w:pPr>
              <w:pStyle w:val="6"/>
              <w:spacing w:before="20" w:line="221" w:lineRule="auto"/>
              <w:ind w:left="43"/>
              <w:rPr>
                <w:sz w:val="20"/>
                <w:szCs w:val="20"/>
              </w:rPr>
            </w:pPr>
            <w:r>
              <w:rPr>
                <w:spacing w:val="-2"/>
                <w:sz w:val="20"/>
                <w:szCs w:val="20"/>
              </w:rPr>
              <w:t>控要求</w:t>
            </w:r>
          </w:p>
        </w:tc>
        <w:tc>
          <w:tcPr>
            <w:tcW w:w="788" w:type="dxa"/>
            <w:vAlign w:val="top"/>
          </w:tcPr>
          <w:p w14:paraId="5EDABBCF">
            <w:pPr>
              <w:pStyle w:val="6"/>
              <w:spacing w:before="45" w:line="219" w:lineRule="auto"/>
              <w:ind w:left="98"/>
              <w:rPr>
                <w:sz w:val="20"/>
                <w:szCs w:val="20"/>
              </w:rPr>
            </w:pPr>
            <w:r>
              <w:rPr>
                <w:spacing w:val="-3"/>
                <w:sz w:val="20"/>
                <w:szCs w:val="20"/>
              </w:rPr>
              <w:t>空间布</w:t>
            </w:r>
          </w:p>
          <w:p w14:paraId="63C20B66">
            <w:pPr>
              <w:pStyle w:val="6"/>
              <w:spacing w:before="21" w:line="207" w:lineRule="auto"/>
              <w:ind w:left="94"/>
              <w:rPr>
                <w:sz w:val="20"/>
                <w:szCs w:val="20"/>
              </w:rPr>
            </w:pPr>
            <w:r>
              <w:rPr>
                <w:spacing w:val="-3"/>
                <w:sz w:val="20"/>
                <w:szCs w:val="20"/>
              </w:rPr>
              <w:t>局约束</w:t>
            </w:r>
          </w:p>
        </w:tc>
        <w:tc>
          <w:tcPr>
            <w:tcW w:w="4868" w:type="dxa"/>
            <w:vAlign w:val="top"/>
          </w:tcPr>
          <w:p w14:paraId="0E66F968">
            <w:pPr>
              <w:pStyle w:val="6"/>
              <w:spacing w:before="174" w:line="225" w:lineRule="auto"/>
              <w:ind w:left="44"/>
              <w:rPr>
                <w:sz w:val="20"/>
                <w:szCs w:val="20"/>
              </w:rPr>
            </w:pPr>
            <w:r>
              <w:rPr>
                <w:sz w:val="20"/>
                <w:szCs w:val="20"/>
              </w:rPr>
              <w:t>/</w:t>
            </w:r>
          </w:p>
        </w:tc>
        <w:tc>
          <w:tcPr>
            <w:tcW w:w="2632" w:type="dxa"/>
            <w:vAlign w:val="top"/>
          </w:tcPr>
          <w:p w14:paraId="2C41A781">
            <w:pPr>
              <w:pStyle w:val="6"/>
              <w:spacing w:before="174" w:line="225" w:lineRule="auto"/>
              <w:ind w:left="46"/>
              <w:rPr>
                <w:sz w:val="20"/>
                <w:szCs w:val="20"/>
              </w:rPr>
            </w:pPr>
            <w:r>
              <w:rPr>
                <w:sz w:val="20"/>
                <w:szCs w:val="20"/>
              </w:rPr>
              <w:t>/</w:t>
            </w:r>
          </w:p>
        </w:tc>
        <w:tc>
          <w:tcPr>
            <w:tcW w:w="513" w:type="dxa"/>
            <w:vAlign w:val="top"/>
          </w:tcPr>
          <w:p w14:paraId="50C83F3A">
            <w:pPr>
              <w:pStyle w:val="6"/>
              <w:spacing w:before="174" w:line="225" w:lineRule="auto"/>
              <w:ind w:left="207"/>
              <w:rPr>
                <w:sz w:val="20"/>
                <w:szCs w:val="20"/>
              </w:rPr>
            </w:pPr>
            <w:r>
              <w:rPr>
                <w:sz w:val="20"/>
                <w:szCs w:val="20"/>
              </w:rPr>
              <w:t>/</w:t>
            </w:r>
          </w:p>
        </w:tc>
        <w:tc>
          <w:tcPr>
            <w:tcW w:w="118" w:type="dxa"/>
            <w:tcBorders>
              <w:bottom w:val="nil"/>
            </w:tcBorders>
            <w:vAlign w:val="top"/>
          </w:tcPr>
          <w:p w14:paraId="2AA1CF14">
            <w:pPr>
              <w:rPr>
                <w:rFonts w:ascii="Arial"/>
                <w:sz w:val="21"/>
              </w:rPr>
            </w:pPr>
          </w:p>
        </w:tc>
      </w:tr>
      <w:tr w14:paraId="5CFB64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1886" w:type="dxa"/>
            <w:vMerge w:val="continue"/>
            <w:tcBorders>
              <w:top w:val="nil"/>
              <w:bottom w:val="nil"/>
            </w:tcBorders>
            <w:vAlign w:val="top"/>
          </w:tcPr>
          <w:p w14:paraId="07C17C9D">
            <w:pPr>
              <w:rPr>
                <w:rFonts w:ascii="Arial"/>
                <w:sz w:val="21"/>
              </w:rPr>
            </w:pPr>
          </w:p>
        </w:tc>
        <w:tc>
          <w:tcPr>
            <w:tcW w:w="113" w:type="dxa"/>
            <w:tcBorders>
              <w:top w:val="nil"/>
              <w:bottom w:val="nil"/>
            </w:tcBorders>
            <w:vAlign w:val="top"/>
          </w:tcPr>
          <w:p w14:paraId="70EB4BD8">
            <w:pPr>
              <w:rPr>
                <w:rFonts w:ascii="Arial"/>
                <w:sz w:val="21"/>
              </w:rPr>
            </w:pPr>
          </w:p>
        </w:tc>
        <w:tc>
          <w:tcPr>
            <w:tcW w:w="1879" w:type="dxa"/>
            <w:vMerge w:val="continue"/>
            <w:tcBorders>
              <w:top w:val="nil"/>
              <w:bottom w:val="nil"/>
            </w:tcBorders>
            <w:vAlign w:val="top"/>
          </w:tcPr>
          <w:p w14:paraId="742F2138">
            <w:pPr>
              <w:rPr>
                <w:rFonts w:ascii="Arial"/>
                <w:sz w:val="21"/>
              </w:rPr>
            </w:pPr>
          </w:p>
        </w:tc>
        <w:tc>
          <w:tcPr>
            <w:tcW w:w="795" w:type="dxa"/>
            <w:vMerge w:val="continue"/>
            <w:tcBorders>
              <w:top w:val="nil"/>
              <w:bottom w:val="nil"/>
            </w:tcBorders>
            <w:vAlign w:val="top"/>
          </w:tcPr>
          <w:p w14:paraId="1E419881">
            <w:pPr>
              <w:rPr>
                <w:rFonts w:ascii="Arial"/>
                <w:sz w:val="21"/>
              </w:rPr>
            </w:pPr>
          </w:p>
        </w:tc>
        <w:tc>
          <w:tcPr>
            <w:tcW w:w="788" w:type="dxa"/>
            <w:vAlign w:val="top"/>
          </w:tcPr>
          <w:p w14:paraId="0B2BEE30">
            <w:pPr>
              <w:pStyle w:val="6"/>
              <w:spacing w:before="29" w:line="221" w:lineRule="auto"/>
              <w:ind w:left="93"/>
              <w:rPr>
                <w:sz w:val="20"/>
                <w:szCs w:val="20"/>
              </w:rPr>
            </w:pPr>
            <w:r>
              <w:rPr>
                <w:spacing w:val="-2"/>
                <w:sz w:val="20"/>
                <w:szCs w:val="20"/>
              </w:rPr>
              <w:t>污染物</w:t>
            </w:r>
          </w:p>
          <w:p w14:paraId="77024073">
            <w:pPr>
              <w:pStyle w:val="6"/>
              <w:spacing w:before="20" w:line="223" w:lineRule="auto"/>
              <w:ind w:left="290" w:right="97" w:hanging="199"/>
              <w:rPr>
                <w:sz w:val="20"/>
                <w:szCs w:val="20"/>
              </w:rPr>
            </w:pPr>
            <w:r>
              <w:rPr>
                <w:spacing w:val="-3"/>
                <w:sz w:val="20"/>
                <w:szCs w:val="20"/>
              </w:rPr>
              <w:t>排放管</w:t>
            </w:r>
            <w:r>
              <w:rPr>
                <w:spacing w:val="1"/>
                <w:sz w:val="20"/>
                <w:szCs w:val="20"/>
              </w:rPr>
              <w:t xml:space="preserve"> </w:t>
            </w:r>
            <w:r>
              <w:rPr>
                <w:sz w:val="20"/>
                <w:szCs w:val="20"/>
              </w:rPr>
              <w:t>控</w:t>
            </w:r>
          </w:p>
        </w:tc>
        <w:tc>
          <w:tcPr>
            <w:tcW w:w="4868" w:type="dxa"/>
            <w:vAlign w:val="top"/>
          </w:tcPr>
          <w:p w14:paraId="01113CFD">
            <w:pPr>
              <w:pStyle w:val="6"/>
              <w:spacing w:before="288" w:line="225" w:lineRule="auto"/>
              <w:ind w:left="44"/>
              <w:rPr>
                <w:sz w:val="20"/>
                <w:szCs w:val="20"/>
              </w:rPr>
            </w:pPr>
            <w:r>
              <w:rPr>
                <w:sz w:val="20"/>
                <w:szCs w:val="20"/>
              </w:rPr>
              <w:t>/</w:t>
            </w:r>
          </w:p>
        </w:tc>
        <w:tc>
          <w:tcPr>
            <w:tcW w:w="2632" w:type="dxa"/>
            <w:vAlign w:val="top"/>
          </w:tcPr>
          <w:p w14:paraId="29D333E4">
            <w:pPr>
              <w:pStyle w:val="6"/>
              <w:spacing w:before="288" w:line="225" w:lineRule="auto"/>
              <w:ind w:left="46"/>
              <w:rPr>
                <w:sz w:val="20"/>
                <w:szCs w:val="20"/>
              </w:rPr>
            </w:pPr>
            <w:r>
              <w:rPr>
                <w:sz w:val="20"/>
                <w:szCs w:val="20"/>
              </w:rPr>
              <w:t>/</w:t>
            </w:r>
          </w:p>
        </w:tc>
        <w:tc>
          <w:tcPr>
            <w:tcW w:w="513" w:type="dxa"/>
            <w:vAlign w:val="top"/>
          </w:tcPr>
          <w:p w14:paraId="65A8165F">
            <w:pPr>
              <w:pStyle w:val="6"/>
              <w:spacing w:before="288" w:line="225" w:lineRule="auto"/>
              <w:ind w:left="207"/>
              <w:rPr>
                <w:sz w:val="20"/>
                <w:szCs w:val="20"/>
              </w:rPr>
            </w:pPr>
            <w:r>
              <w:rPr>
                <w:sz w:val="20"/>
                <w:szCs w:val="20"/>
              </w:rPr>
              <w:t>/</w:t>
            </w:r>
          </w:p>
        </w:tc>
        <w:tc>
          <w:tcPr>
            <w:tcW w:w="118" w:type="dxa"/>
            <w:tcBorders>
              <w:top w:val="nil"/>
              <w:bottom w:val="nil"/>
            </w:tcBorders>
            <w:vAlign w:val="top"/>
          </w:tcPr>
          <w:p w14:paraId="2FAA8384">
            <w:pPr>
              <w:rPr>
                <w:rFonts w:ascii="Arial"/>
                <w:sz w:val="21"/>
              </w:rPr>
            </w:pPr>
          </w:p>
        </w:tc>
      </w:tr>
      <w:tr w14:paraId="5BE93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886" w:type="dxa"/>
            <w:vMerge w:val="continue"/>
            <w:tcBorders>
              <w:top w:val="nil"/>
              <w:bottom w:val="nil"/>
            </w:tcBorders>
            <w:vAlign w:val="top"/>
          </w:tcPr>
          <w:p w14:paraId="31515B45">
            <w:pPr>
              <w:rPr>
                <w:rFonts w:ascii="Arial"/>
                <w:sz w:val="21"/>
              </w:rPr>
            </w:pPr>
          </w:p>
        </w:tc>
        <w:tc>
          <w:tcPr>
            <w:tcW w:w="113" w:type="dxa"/>
            <w:tcBorders>
              <w:top w:val="nil"/>
              <w:bottom w:val="nil"/>
            </w:tcBorders>
            <w:vAlign w:val="top"/>
          </w:tcPr>
          <w:p w14:paraId="3B68F555">
            <w:pPr>
              <w:rPr>
                <w:rFonts w:ascii="Arial"/>
                <w:sz w:val="21"/>
              </w:rPr>
            </w:pPr>
          </w:p>
        </w:tc>
        <w:tc>
          <w:tcPr>
            <w:tcW w:w="1879" w:type="dxa"/>
            <w:vMerge w:val="continue"/>
            <w:tcBorders>
              <w:top w:val="nil"/>
              <w:bottom w:val="nil"/>
            </w:tcBorders>
            <w:vAlign w:val="top"/>
          </w:tcPr>
          <w:p w14:paraId="3427458E">
            <w:pPr>
              <w:rPr>
                <w:rFonts w:ascii="Arial"/>
                <w:sz w:val="21"/>
              </w:rPr>
            </w:pPr>
          </w:p>
        </w:tc>
        <w:tc>
          <w:tcPr>
            <w:tcW w:w="795" w:type="dxa"/>
            <w:vMerge w:val="continue"/>
            <w:tcBorders>
              <w:top w:val="nil"/>
              <w:bottom w:val="nil"/>
            </w:tcBorders>
            <w:vAlign w:val="top"/>
          </w:tcPr>
          <w:p w14:paraId="1F69CC07">
            <w:pPr>
              <w:rPr>
                <w:rFonts w:ascii="Arial"/>
                <w:sz w:val="21"/>
              </w:rPr>
            </w:pPr>
          </w:p>
        </w:tc>
        <w:tc>
          <w:tcPr>
            <w:tcW w:w="788" w:type="dxa"/>
            <w:vAlign w:val="top"/>
          </w:tcPr>
          <w:p w14:paraId="18F8AD17">
            <w:pPr>
              <w:pStyle w:val="6"/>
              <w:spacing w:before="29" w:line="221" w:lineRule="auto"/>
              <w:ind w:left="91"/>
              <w:rPr>
                <w:sz w:val="20"/>
                <w:szCs w:val="20"/>
              </w:rPr>
            </w:pPr>
            <w:r>
              <w:rPr>
                <w:spacing w:val="-2"/>
                <w:sz w:val="20"/>
                <w:szCs w:val="20"/>
              </w:rPr>
              <w:t>环境风</w:t>
            </w:r>
          </w:p>
          <w:p w14:paraId="6A4C02B2">
            <w:pPr>
              <w:pStyle w:val="6"/>
              <w:spacing w:before="20" w:line="205" w:lineRule="auto"/>
              <w:ind w:left="102"/>
              <w:rPr>
                <w:sz w:val="20"/>
                <w:szCs w:val="20"/>
              </w:rPr>
            </w:pPr>
            <w:r>
              <w:rPr>
                <w:spacing w:val="-4"/>
                <w:sz w:val="20"/>
                <w:szCs w:val="20"/>
              </w:rPr>
              <w:t>险防控</w:t>
            </w:r>
          </w:p>
        </w:tc>
        <w:tc>
          <w:tcPr>
            <w:tcW w:w="4868" w:type="dxa"/>
            <w:vAlign w:val="top"/>
          </w:tcPr>
          <w:p w14:paraId="18939DE6">
            <w:pPr>
              <w:pStyle w:val="6"/>
              <w:spacing w:before="159" w:line="225" w:lineRule="auto"/>
              <w:ind w:left="44"/>
              <w:rPr>
                <w:sz w:val="20"/>
                <w:szCs w:val="20"/>
              </w:rPr>
            </w:pPr>
            <w:r>
              <w:rPr>
                <w:sz w:val="20"/>
                <w:szCs w:val="20"/>
              </w:rPr>
              <w:t>/</w:t>
            </w:r>
          </w:p>
        </w:tc>
        <w:tc>
          <w:tcPr>
            <w:tcW w:w="2632" w:type="dxa"/>
            <w:vAlign w:val="top"/>
          </w:tcPr>
          <w:p w14:paraId="41933AFF">
            <w:pPr>
              <w:pStyle w:val="6"/>
              <w:spacing w:before="159" w:line="225" w:lineRule="auto"/>
              <w:ind w:left="46"/>
              <w:rPr>
                <w:sz w:val="20"/>
                <w:szCs w:val="20"/>
              </w:rPr>
            </w:pPr>
            <w:r>
              <w:rPr>
                <w:sz w:val="20"/>
                <w:szCs w:val="20"/>
              </w:rPr>
              <w:t>/</w:t>
            </w:r>
          </w:p>
        </w:tc>
        <w:tc>
          <w:tcPr>
            <w:tcW w:w="513" w:type="dxa"/>
            <w:vAlign w:val="top"/>
          </w:tcPr>
          <w:p w14:paraId="1FBA227E">
            <w:pPr>
              <w:pStyle w:val="6"/>
              <w:spacing w:before="159" w:line="225" w:lineRule="auto"/>
              <w:ind w:left="207"/>
              <w:rPr>
                <w:sz w:val="20"/>
                <w:szCs w:val="20"/>
              </w:rPr>
            </w:pPr>
            <w:r>
              <w:rPr>
                <w:sz w:val="20"/>
                <w:szCs w:val="20"/>
              </w:rPr>
              <w:t>/</w:t>
            </w:r>
          </w:p>
        </w:tc>
        <w:tc>
          <w:tcPr>
            <w:tcW w:w="118" w:type="dxa"/>
            <w:tcBorders>
              <w:top w:val="nil"/>
              <w:bottom w:val="nil"/>
            </w:tcBorders>
            <w:vAlign w:val="top"/>
          </w:tcPr>
          <w:p w14:paraId="5534C689">
            <w:pPr>
              <w:rPr>
                <w:rFonts w:ascii="Arial"/>
                <w:sz w:val="21"/>
              </w:rPr>
            </w:pPr>
          </w:p>
        </w:tc>
      </w:tr>
      <w:tr w14:paraId="1C335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1886" w:type="dxa"/>
            <w:vMerge w:val="continue"/>
            <w:tcBorders>
              <w:top w:val="nil"/>
              <w:bottom w:val="nil"/>
            </w:tcBorders>
            <w:vAlign w:val="top"/>
          </w:tcPr>
          <w:p w14:paraId="22258392">
            <w:pPr>
              <w:rPr>
                <w:rFonts w:ascii="Arial"/>
                <w:sz w:val="21"/>
              </w:rPr>
            </w:pPr>
          </w:p>
        </w:tc>
        <w:tc>
          <w:tcPr>
            <w:tcW w:w="113" w:type="dxa"/>
            <w:tcBorders>
              <w:top w:val="nil"/>
              <w:bottom w:val="nil"/>
            </w:tcBorders>
            <w:vAlign w:val="top"/>
          </w:tcPr>
          <w:p w14:paraId="6D75BAE0">
            <w:pPr>
              <w:rPr>
                <w:rFonts w:ascii="Arial"/>
                <w:sz w:val="21"/>
              </w:rPr>
            </w:pPr>
          </w:p>
        </w:tc>
        <w:tc>
          <w:tcPr>
            <w:tcW w:w="1879" w:type="dxa"/>
            <w:vMerge w:val="continue"/>
            <w:tcBorders>
              <w:top w:val="nil"/>
            </w:tcBorders>
            <w:vAlign w:val="top"/>
          </w:tcPr>
          <w:p w14:paraId="05AEDCCB">
            <w:pPr>
              <w:rPr>
                <w:rFonts w:ascii="Arial"/>
                <w:sz w:val="21"/>
              </w:rPr>
            </w:pPr>
          </w:p>
        </w:tc>
        <w:tc>
          <w:tcPr>
            <w:tcW w:w="795" w:type="dxa"/>
            <w:vMerge w:val="continue"/>
            <w:tcBorders>
              <w:top w:val="nil"/>
            </w:tcBorders>
            <w:vAlign w:val="top"/>
          </w:tcPr>
          <w:p w14:paraId="42C3BBE7">
            <w:pPr>
              <w:rPr>
                <w:rFonts w:ascii="Arial"/>
                <w:sz w:val="21"/>
              </w:rPr>
            </w:pPr>
          </w:p>
        </w:tc>
        <w:tc>
          <w:tcPr>
            <w:tcW w:w="788" w:type="dxa"/>
            <w:vAlign w:val="top"/>
          </w:tcPr>
          <w:p w14:paraId="3E1C070B">
            <w:pPr>
              <w:pStyle w:val="6"/>
              <w:spacing w:before="32" w:line="221" w:lineRule="auto"/>
              <w:ind w:left="100"/>
              <w:rPr>
                <w:sz w:val="20"/>
                <w:szCs w:val="20"/>
              </w:rPr>
            </w:pPr>
            <w:r>
              <w:rPr>
                <w:spacing w:val="-4"/>
                <w:sz w:val="20"/>
                <w:szCs w:val="20"/>
              </w:rPr>
              <w:t>资源开</w:t>
            </w:r>
          </w:p>
          <w:p w14:paraId="4B7A2A9F">
            <w:pPr>
              <w:pStyle w:val="6"/>
              <w:spacing w:before="19" w:line="222" w:lineRule="auto"/>
              <w:ind w:left="193" w:right="97" w:hanging="98"/>
              <w:rPr>
                <w:sz w:val="20"/>
                <w:szCs w:val="20"/>
              </w:rPr>
            </w:pPr>
            <w:r>
              <w:rPr>
                <w:spacing w:val="-4"/>
                <w:sz w:val="20"/>
                <w:szCs w:val="20"/>
              </w:rPr>
              <w:t>发效率</w:t>
            </w:r>
            <w:r>
              <w:rPr>
                <w:spacing w:val="1"/>
                <w:sz w:val="20"/>
                <w:szCs w:val="20"/>
              </w:rPr>
              <w:t xml:space="preserve"> </w:t>
            </w:r>
            <w:r>
              <w:rPr>
                <w:spacing w:val="-2"/>
                <w:sz w:val="20"/>
                <w:szCs w:val="20"/>
              </w:rPr>
              <w:t>要求</w:t>
            </w:r>
          </w:p>
        </w:tc>
        <w:tc>
          <w:tcPr>
            <w:tcW w:w="4868" w:type="dxa"/>
            <w:vAlign w:val="top"/>
          </w:tcPr>
          <w:p w14:paraId="7EDE17FE">
            <w:pPr>
              <w:pStyle w:val="6"/>
              <w:spacing w:before="31" w:line="228" w:lineRule="auto"/>
              <w:ind w:left="11" w:right="2823" w:hanging="7"/>
              <w:jc w:val="both"/>
              <w:rPr>
                <w:sz w:val="20"/>
                <w:szCs w:val="20"/>
              </w:rPr>
            </w:pPr>
            <w:r>
              <w:rPr>
                <w:spacing w:val="-1"/>
                <w:sz w:val="20"/>
                <w:szCs w:val="20"/>
              </w:rPr>
              <w:t>土地资源开发效率要求</w:t>
            </w:r>
            <w:r>
              <w:rPr>
                <w:spacing w:val="1"/>
                <w:sz w:val="20"/>
                <w:szCs w:val="20"/>
              </w:rPr>
              <w:t xml:space="preserve"> </w:t>
            </w:r>
            <w:r>
              <w:rPr>
                <w:spacing w:val="-2"/>
                <w:sz w:val="20"/>
                <w:szCs w:val="20"/>
              </w:rPr>
              <w:t>能源资源开发效率要求</w:t>
            </w:r>
            <w:r>
              <w:rPr>
                <w:spacing w:val="4"/>
                <w:sz w:val="20"/>
                <w:szCs w:val="20"/>
              </w:rPr>
              <w:t xml:space="preserve"> </w:t>
            </w:r>
            <w:r>
              <w:rPr>
                <w:spacing w:val="2"/>
                <w:sz w:val="20"/>
                <w:szCs w:val="20"/>
              </w:rPr>
              <w:t>其他资源开发效率要求</w:t>
            </w:r>
          </w:p>
        </w:tc>
        <w:tc>
          <w:tcPr>
            <w:tcW w:w="2632" w:type="dxa"/>
            <w:vAlign w:val="top"/>
          </w:tcPr>
          <w:p w14:paraId="4BD2A848">
            <w:pPr>
              <w:pStyle w:val="6"/>
              <w:spacing w:before="291" w:line="225" w:lineRule="auto"/>
              <w:ind w:left="46"/>
              <w:rPr>
                <w:sz w:val="20"/>
                <w:szCs w:val="20"/>
              </w:rPr>
            </w:pPr>
            <w:r>
              <w:rPr>
                <w:sz w:val="20"/>
                <w:szCs w:val="20"/>
              </w:rPr>
              <w:t>/</w:t>
            </w:r>
          </w:p>
        </w:tc>
        <w:tc>
          <w:tcPr>
            <w:tcW w:w="513" w:type="dxa"/>
            <w:vAlign w:val="top"/>
          </w:tcPr>
          <w:p w14:paraId="721C402A">
            <w:pPr>
              <w:pStyle w:val="6"/>
              <w:spacing w:before="291" w:line="225" w:lineRule="auto"/>
              <w:ind w:left="207"/>
              <w:rPr>
                <w:sz w:val="20"/>
                <w:szCs w:val="20"/>
              </w:rPr>
            </w:pPr>
            <w:r>
              <w:rPr>
                <w:sz w:val="20"/>
                <w:szCs w:val="20"/>
              </w:rPr>
              <w:t>/</w:t>
            </w:r>
          </w:p>
        </w:tc>
        <w:tc>
          <w:tcPr>
            <w:tcW w:w="118" w:type="dxa"/>
            <w:tcBorders>
              <w:top w:val="nil"/>
              <w:bottom w:val="nil"/>
            </w:tcBorders>
            <w:vAlign w:val="top"/>
          </w:tcPr>
          <w:p w14:paraId="766CA789">
            <w:pPr>
              <w:rPr>
                <w:rFonts w:ascii="Arial"/>
                <w:sz w:val="21"/>
              </w:rPr>
            </w:pPr>
          </w:p>
        </w:tc>
      </w:tr>
      <w:tr w14:paraId="3DE5F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8" w:hRule="atLeast"/>
        </w:trPr>
        <w:tc>
          <w:tcPr>
            <w:tcW w:w="1886" w:type="dxa"/>
            <w:vMerge w:val="continue"/>
            <w:tcBorders>
              <w:top w:val="nil"/>
            </w:tcBorders>
            <w:vAlign w:val="top"/>
          </w:tcPr>
          <w:p w14:paraId="5BBDB417">
            <w:pPr>
              <w:rPr>
                <w:rFonts w:ascii="Arial"/>
                <w:sz w:val="21"/>
              </w:rPr>
            </w:pPr>
          </w:p>
        </w:tc>
        <w:tc>
          <w:tcPr>
            <w:tcW w:w="11706" w:type="dxa"/>
            <w:gridSpan w:val="8"/>
            <w:vAlign w:val="top"/>
          </w:tcPr>
          <w:p w14:paraId="7817583C">
            <w:pPr>
              <w:rPr>
                <w:rFonts w:ascii="Arial"/>
                <w:sz w:val="21"/>
              </w:rPr>
            </w:pPr>
          </w:p>
        </w:tc>
      </w:tr>
    </w:tbl>
    <w:p w14:paraId="4A6FC6CB">
      <w:pPr>
        <w:rPr>
          <w:rFonts w:ascii="Arial"/>
          <w:sz w:val="21"/>
        </w:rPr>
      </w:pPr>
    </w:p>
    <w:p w14:paraId="273F4FF1">
      <w:pPr>
        <w:rPr>
          <w:rFonts w:ascii="Arial" w:hAnsi="Arial" w:eastAsia="Arial" w:cs="Arial"/>
          <w:sz w:val="21"/>
          <w:szCs w:val="21"/>
        </w:rPr>
        <w:sectPr>
          <w:footerReference r:id="rId24" w:type="default"/>
          <w:pgSz w:w="16839" w:h="11907"/>
          <w:pgMar w:top="1012" w:right="1620" w:bottom="1055" w:left="1621" w:header="0" w:footer="802" w:gutter="0"/>
          <w:cols w:space="720" w:num="1"/>
        </w:sectPr>
      </w:pPr>
    </w:p>
    <w:p w14:paraId="40B2CA67">
      <w:pPr>
        <w:spacing w:before="28"/>
      </w:pPr>
    </w:p>
    <w:tbl>
      <w:tblPr>
        <w:tblStyle w:val="5"/>
        <w:tblW w:w="89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3"/>
        <w:gridCol w:w="7580"/>
      </w:tblGrid>
      <w:tr w14:paraId="188CD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21" w:hRule="atLeast"/>
        </w:trPr>
        <w:tc>
          <w:tcPr>
            <w:tcW w:w="1323" w:type="dxa"/>
            <w:vAlign w:val="top"/>
          </w:tcPr>
          <w:p w14:paraId="2DBC3D43">
            <w:pPr>
              <w:rPr>
                <w:rFonts w:ascii="Arial"/>
                <w:sz w:val="21"/>
              </w:rPr>
            </w:pPr>
          </w:p>
        </w:tc>
        <w:tc>
          <w:tcPr>
            <w:tcW w:w="7580" w:type="dxa"/>
            <w:vAlign w:val="top"/>
          </w:tcPr>
          <w:p w14:paraId="57DCA9B8">
            <w:pPr>
              <w:pStyle w:val="6"/>
              <w:spacing w:before="136" w:line="228" w:lineRule="auto"/>
              <w:ind w:left="116"/>
            </w:pPr>
            <w:r>
              <w:rPr>
                <w:b/>
                <w:bCs/>
                <w:spacing w:val="7"/>
              </w:rPr>
              <w:t>3、与长江流域相关法律及条例的符合性分析</w:t>
            </w:r>
          </w:p>
          <w:p w14:paraId="0BD6F080">
            <w:pPr>
              <w:pStyle w:val="6"/>
              <w:spacing w:before="140" w:line="228" w:lineRule="auto"/>
              <w:ind w:left="563"/>
            </w:pPr>
            <w:r>
              <w:rPr>
                <w:spacing w:val="8"/>
              </w:rPr>
              <w:t>（1）与《中华人民共和国长江保护法》符合性分析</w:t>
            </w:r>
          </w:p>
          <w:p w14:paraId="15527E50">
            <w:pPr>
              <w:pStyle w:val="6"/>
              <w:spacing w:before="143" w:line="352" w:lineRule="auto"/>
              <w:ind w:left="111" w:right="109" w:firstLine="477"/>
            </w:pPr>
            <w:r>
              <w:rPr>
                <w:spacing w:val="11"/>
              </w:rPr>
              <w:t>自2021年3月1日起施行的《中华人民共和国长江保</w:t>
            </w:r>
            <w:r>
              <w:rPr>
                <w:spacing w:val="10"/>
              </w:rPr>
              <w:t>护法》，是为了加强</w:t>
            </w:r>
            <w:r>
              <w:t xml:space="preserve"> </w:t>
            </w:r>
            <w:r>
              <w:fldChar w:fldCharType="begin"/>
            </w:r>
            <w:r>
              <w:instrText xml:space="preserve"> HYPERLINK "https://baike.baidu.com/item/%E9%95%BF%E6%B1%9F/388" </w:instrText>
            </w:r>
            <w:r>
              <w:fldChar w:fldCharType="separate"/>
            </w:r>
            <w:r>
              <w:rPr>
                <w:spacing w:val="13"/>
              </w:rPr>
              <w:t>长江</w:t>
            </w:r>
            <w:r>
              <w:rPr>
                <w:spacing w:val="13"/>
              </w:rPr>
              <w:fldChar w:fldCharType="end"/>
            </w:r>
            <w:r>
              <w:rPr>
                <w:spacing w:val="13"/>
              </w:rPr>
              <w:t>流域生态环境保护和修复，促进资源合理高效利用，保障</w:t>
            </w:r>
            <w:r>
              <w:rPr>
                <w:spacing w:val="12"/>
              </w:rPr>
              <w:t>生态安全，实</w:t>
            </w:r>
            <w:r>
              <w:t xml:space="preserve"> </w:t>
            </w:r>
            <w:r>
              <w:rPr>
                <w:spacing w:val="13"/>
              </w:rPr>
              <w:t>现人与自然和谐共生、中华民族永续发展制定的法律。本项目</w:t>
            </w:r>
            <w:r>
              <w:rPr>
                <w:spacing w:val="12"/>
              </w:rPr>
              <w:t>与《中华人民</w:t>
            </w:r>
            <w:r>
              <w:t xml:space="preserve"> </w:t>
            </w:r>
            <w:r>
              <w:rPr>
                <w:spacing w:val="7"/>
              </w:rPr>
              <w:t>共和国长江保护法》的符合性分析见下表。</w:t>
            </w:r>
          </w:p>
          <w:p w14:paraId="3DC9C942">
            <w:pPr>
              <w:pStyle w:val="6"/>
              <w:spacing w:before="4" w:line="220" w:lineRule="auto"/>
              <w:ind w:left="894"/>
            </w:pPr>
            <w:r>
              <w:rPr>
                <w:b/>
                <w:bCs/>
                <w:spacing w:val="-2"/>
              </w:rPr>
              <w:t>表1-5</w:t>
            </w:r>
            <w:r>
              <w:rPr>
                <w:spacing w:val="-2"/>
              </w:rPr>
              <w:t xml:space="preserve">    </w:t>
            </w:r>
            <w:r>
              <w:rPr>
                <w:b/>
                <w:bCs/>
                <w:spacing w:val="-2"/>
              </w:rPr>
              <w:t>项目与《中华人民共和国长江保护法》的符合性分析</w:t>
            </w:r>
          </w:p>
          <w:p w14:paraId="013868EB">
            <w:pPr>
              <w:spacing w:line="103" w:lineRule="auto"/>
              <w:rPr>
                <w:rFonts w:ascii="Arial"/>
                <w:sz w:val="2"/>
              </w:rPr>
            </w:pPr>
          </w:p>
          <w:tbl>
            <w:tblPr>
              <w:tblStyle w:val="5"/>
              <w:tblW w:w="7463" w:type="dxa"/>
              <w:tblInd w:w="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6"/>
              <w:gridCol w:w="4142"/>
              <w:gridCol w:w="2068"/>
              <w:gridCol w:w="747"/>
            </w:tblGrid>
            <w:tr w14:paraId="699B68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506" w:type="dxa"/>
                  <w:vAlign w:val="top"/>
                </w:tcPr>
                <w:p w14:paraId="143DDA67">
                  <w:pPr>
                    <w:pStyle w:val="6"/>
                    <w:spacing w:before="35" w:line="207" w:lineRule="auto"/>
                    <w:ind w:left="56"/>
                    <w:rPr>
                      <w:sz w:val="20"/>
                      <w:szCs w:val="20"/>
                    </w:rPr>
                  </w:pPr>
                  <w:r>
                    <w:rPr>
                      <w:b/>
                      <w:bCs/>
                      <w:spacing w:val="-4"/>
                      <w:sz w:val="20"/>
                      <w:szCs w:val="20"/>
                    </w:rPr>
                    <w:t>序号</w:t>
                  </w:r>
                </w:p>
              </w:tc>
              <w:tc>
                <w:tcPr>
                  <w:tcW w:w="4142" w:type="dxa"/>
                  <w:vAlign w:val="top"/>
                </w:tcPr>
                <w:p w14:paraId="4C3CB3BF">
                  <w:pPr>
                    <w:pStyle w:val="6"/>
                    <w:spacing w:before="35" w:line="207" w:lineRule="auto"/>
                    <w:ind w:left="1678"/>
                    <w:rPr>
                      <w:sz w:val="20"/>
                      <w:szCs w:val="20"/>
                    </w:rPr>
                  </w:pPr>
                  <w:r>
                    <w:rPr>
                      <w:b/>
                      <w:bCs/>
                      <w:spacing w:val="-5"/>
                      <w:sz w:val="20"/>
                      <w:szCs w:val="20"/>
                    </w:rPr>
                    <w:t>原文内容</w:t>
                  </w:r>
                </w:p>
              </w:tc>
              <w:tc>
                <w:tcPr>
                  <w:tcW w:w="2068" w:type="dxa"/>
                  <w:vAlign w:val="top"/>
                </w:tcPr>
                <w:p w14:paraId="334B64E3">
                  <w:pPr>
                    <w:pStyle w:val="6"/>
                    <w:spacing w:before="35" w:line="207" w:lineRule="auto"/>
                    <w:ind w:left="538"/>
                    <w:rPr>
                      <w:sz w:val="20"/>
                      <w:szCs w:val="20"/>
                    </w:rPr>
                  </w:pPr>
                  <w:r>
                    <w:rPr>
                      <w:b/>
                      <w:bCs/>
                      <w:spacing w:val="-4"/>
                      <w:sz w:val="20"/>
                      <w:szCs w:val="20"/>
                    </w:rPr>
                    <w:t>本项目情况</w:t>
                  </w:r>
                </w:p>
              </w:tc>
              <w:tc>
                <w:tcPr>
                  <w:tcW w:w="747" w:type="dxa"/>
                  <w:vAlign w:val="top"/>
                </w:tcPr>
                <w:p w14:paraId="34F65A40">
                  <w:pPr>
                    <w:pStyle w:val="6"/>
                    <w:spacing w:before="35" w:line="207" w:lineRule="auto"/>
                    <w:ind w:left="78"/>
                    <w:rPr>
                      <w:sz w:val="20"/>
                      <w:szCs w:val="20"/>
                    </w:rPr>
                  </w:pPr>
                  <w:r>
                    <w:rPr>
                      <w:b/>
                      <w:bCs/>
                      <w:spacing w:val="-5"/>
                      <w:sz w:val="20"/>
                      <w:szCs w:val="20"/>
                    </w:rPr>
                    <w:t>符合性</w:t>
                  </w:r>
                </w:p>
              </w:tc>
            </w:tr>
            <w:tr w14:paraId="1FA70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506" w:type="dxa"/>
                  <w:vAlign w:val="top"/>
                </w:tcPr>
                <w:p w14:paraId="7593203B">
                  <w:pPr>
                    <w:spacing w:line="350" w:lineRule="auto"/>
                    <w:rPr>
                      <w:rFonts w:ascii="Arial"/>
                      <w:sz w:val="21"/>
                    </w:rPr>
                  </w:pPr>
                </w:p>
                <w:p w14:paraId="23924BAB">
                  <w:pPr>
                    <w:pStyle w:val="6"/>
                    <w:spacing w:before="65" w:line="242" w:lineRule="auto"/>
                    <w:ind w:left="222"/>
                    <w:rPr>
                      <w:sz w:val="20"/>
                      <w:szCs w:val="20"/>
                    </w:rPr>
                  </w:pPr>
                  <w:r>
                    <w:rPr>
                      <w:sz w:val="20"/>
                      <w:szCs w:val="20"/>
                    </w:rPr>
                    <w:t>1</w:t>
                  </w:r>
                </w:p>
              </w:tc>
              <w:tc>
                <w:tcPr>
                  <w:tcW w:w="4142" w:type="dxa"/>
                  <w:vAlign w:val="top"/>
                </w:tcPr>
                <w:p w14:paraId="1AF0E140">
                  <w:pPr>
                    <w:pStyle w:val="6"/>
                    <w:spacing w:before="29" w:line="231" w:lineRule="auto"/>
                    <w:ind w:left="8" w:right="1"/>
                    <w:jc w:val="both"/>
                    <w:rPr>
                      <w:sz w:val="20"/>
                      <w:szCs w:val="20"/>
                    </w:rPr>
                  </w:pPr>
                  <w:r>
                    <w:rPr>
                      <w:spacing w:val="-4"/>
                      <w:sz w:val="20"/>
                      <w:szCs w:val="20"/>
                    </w:rPr>
                    <w:t>第二十一条  长江流域水质超标的水功能区，应</w:t>
                  </w:r>
                  <w:r>
                    <w:rPr>
                      <w:spacing w:val="14"/>
                      <w:sz w:val="20"/>
                      <w:szCs w:val="20"/>
                    </w:rPr>
                    <w:t xml:space="preserve"> </w:t>
                  </w:r>
                  <w:r>
                    <w:rPr>
                      <w:spacing w:val="-4"/>
                      <w:sz w:val="20"/>
                      <w:szCs w:val="20"/>
                    </w:rPr>
                    <w:t>当实施更严格的污染物排放总量削减要求。企业</w:t>
                  </w:r>
                  <w:r>
                    <w:rPr>
                      <w:spacing w:val="10"/>
                      <w:sz w:val="20"/>
                      <w:szCs w:val="20"/>
                    </w:rPr>
                    <w:t xml:space="preserve"> </w:t>
                  </w:r>
                  <w:r>
                    <w:rPr>
                      <w:spacing w:val="-4"/>
                      <w:sz w:val="20"/>
                      <w:szCs w:val="20"/>
                    </w:rPr>
                    <w:t>事业</w:t>
                  </w:r>
                  <w:r>
                    <w:rPr>
                      <w:rFonts w:hint="eastAsia"/>
                      <w:spacing w:val="-4"/>
                      <w:sz w:val="20"/>
                      <w:szCs w:val="20"/>
                      <w:lang w:eastAsia="zh-CN"/>
                    </w:rPr>
                    <w:t>单位</w:t>
                  </w:r>
                  <w:r>
                    <w:rPr>
                      <w:spacing w:val="-4"/>
                      <w:sz w:val="20"/>
                      <w:szCs w:val="20"/>
                    </w:rPr>
                    <w:t>应当按照要求，采取污染物排放总量控制</w:t>
                  </w:r>
                  <w:r>
                    <w:rPr>
                      <w:spacing w:val="10"/>
                      <w:sz w:val="20"/>
                      <w:szCs w:val="20"/>
                    </w:rPr>
                    <w:t xml:space="preserve"> </w:t>
                  </w:r>
                  <w:r>
                    <w:rPr>
                      <w:spacing w:val="-8"/>
                      <w:sz w:val="20"/>
                      <w:szCs w:val="20"/>
                    </w:rPr>
                    <w:t>措施。</w:t>
                  </w:r>
                </w:p>
              </w:tc>
              <w:tc>
                <w:tcPr>
                  <w:tcW w:w="2068" w:type="dxa"/>
                  <w:vAlign w:val="top"/>
                </w:tcPr>
                <w:p w14:paraId="4F4DED0D">
                  <w:pPr>
                    <w:pStyle w:val="6"/>
                    <w:spacing w:before="29" w:line="231" w:lineRule="auto"/>
                    <w:ind w:left="10" w:right="1" w:firstLine="3"/>
                    <w:jc w:val="both"/>
                    <w:rPr>
                      <w:sz w:val="20"/>
                      <w:szCs w:val="20"/>
                    </w:rPr>
                  </w:pPr>
                  <w:r>
                    <w:rPr>
                      <w:spacing w:val="4"/>
                      <w:sz w:val="20"/>
                      <w:szCs w:val="20"/>
                    </w:rPr>
                    <w:t>项目所在区域水环境质</w:t>
                  </w:r>
                  <w:r>
                    <w:rPr>
                      <w:spacing w:val="5"/>
                      <w:sz w:val="20"/>
                      <w:szCs w:val="20"/>
                    </w:rPr>
                    <w:t xml:space="preserve"> </w:t>
                  </w:r>
                  <w:r>
                    <w:rPr>
                      <w:spacing w:val="27"/>
                      <w:sz w:val="20"/>
                      <w:szCs w:val="20"/>
                    </w:rPr>
                    <w:t>量满足相应功能区要</w:t>
                  </w:r>
                  <w:r>
                    <w:rPr>
                      <w:spacing w:val="7"/>
                      <w:sz w:val="20"/>
                      <w:szCs w:val="20"/>
                    </w:rPr>
                    <w:t xml:space="preserve"> </w:t>
                  </w:r>
                  <w:r>
                    <w:rPr>
                      <w:spacing w:val="5"/>
                      <w:sz w:val="20"/>
                      <w:szCs w:val="20"/>
                    </w:rPr>
                    <w:t>求，且本项目营运过程</w:t>
                  </w:r>
                  <w:r>
                    <w:rPr>
                      <w:sz w:val="20"/>
                      <w:szCs w:val="20"/>
                    </w:rPr>
                    <w:t xml:space="preserve"> </w:t>
                  </w:r>
                  <w:r>
                    <w:rPr>
                      <w:spacing w:val="-1"/>
                      <w:sz w:val="20"/>
                      <w:szCs w:val="20"/>
                    </w:rPr>
                    <w:t>不产生生产废水。</w:t>
                  </w:r>
                </w:p>
              </w:tc>
              <w:tc>
                <w:tcPr>
                  <w:tcW w:w="747" w:type="dxa"/>
                  <w:vAlign w:val="top"/>
                </w:tcPr>
                <w:p w14:paraId="36BC5BE9">
                  <w:pPr>
                    <w:spacing w:line="350" w:lineRule="auto"/>
                    <w:rPr>
                      <w:rFonts w:ascii="Arial"/>
                      <w:sz w:val="21"/>
                    </w:rPr>
                  </w:pPr>
                </w:p>
                <w:p w14:paraId="48D67CFC">
                  <w:pPr>
                    <w:pStyle w:val="6"/>
                    <w:spacing w:before="65" w:line="220" w:lineRule="auto"/>
                    <w:ind w:left="180"/>
                    <w:rPr>
                      <w:sz w:val="20"/>
                      <w:szCs w:val="20"/>
                    </w:rPr>
                  </w:pPr>
                  <w:r>
                    <w:rPr>
                      <w:spacing w:val="-3"/>
                      <w:sz w:val="20"/>
                      <w:szCs w:val="20"/>
                    </w:rPr>
                    <w:t>符合</w:t>
                  </w:r>
                </w:p>
              </w:tc>
            </w:tr>
            <w:tr w14:paraId="448F5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0" w:hRule="atLeast"/>
              </w:trPr>
              <w:tc>
                <w:tcPr>
                  <w:tcW w:w="506" w:type="dxa"/>
                  <w:vAlign w:val="top"/>
                </w:tcPr>
                <w:p w14:paraId="140B20FE">
                  <w:pPr>
                    <w:rPr>
                      <w:rFonts w:ascii="Arial"/>
                      <w:sz w:val="21"/>
                    </w:rPr>
                  </w:pPr>
                </w:p>
                <w:p w14:paraId="09942E69">
                  <w:pPr>
                    <w:rPr>
                      <w:rFonts w:ascii="Arial"/>
                      <w:sz w:val="21"/>
                    </w:rPr>
                  </w:pPr>
                </w:p>
                <w:p w14:paraId="7F2FA8B4">
                  <w:pPr>
                    <w:pStyle w:val="6"/>
                    <w:spacing w:before="65" w:line="242" w:lineRule="auto"/>
                    <w:ind w:left="210"/>
                    <w:rPr>
                      <w:sz w:val="20"/>
                      <w:szCs w:val="20"/>
                    </w:rPr>
                  </w:pPr>
                  <w:r>
                    <w:rPr>
                      <w:sz w:val="20"/>
                      <w:szCs w:val="20"/>
                    </w:rPr>
                    <w:t>2</w:t>
                  </w:r>
                </w:p>
              </w:tc>
              <w:tc>
                <w:tcPr>
                  <w:tcW w:w="4142" w:type="dxa"/>
                  <w:vAlign w:val="top"/>
                </w:tcPr>
                <w:p w14:paraId="0431A32E">
                  <w:pPr>
                    <w:pStyle w:val="6"/>
                    <w:spacing w:before="33" w:line="232" w:lineRule="auto"/>
                    <w:ind w:left="8"/>
                    <w:jc w:val="both"/>
                    <w:rPr>
                      <w:sz w:val="20"/>
                      <w:szCs w:val="20"/>
                    </w:rPr>
                  </w:pPr>
                  <w:r>
                    <w:rPr>
                      <w:spacing w:val="4"/>
                      <w:sz w:val="20"/>
                      <w:szCs w:val="20"/>
                    </w:rPr>
                    <w:t>第二十二条  长江流域产业结构和布局应当与</w:t>
                  </w:r>
                  <w:r>
                    <w:rPr>
                      <w:spacing w:val="3"/>
                      <w:sz w:val="20"/>
                      <w:szCs w:val="20"/>
                    </w:rPr>
                    <w:t xml:space="preserve"> </w:t>
                  </w:r>
                  <w:r>
                    <w:rPr>
                      <w:spacing w:val="-4"/>
                      <w:sz w:val="20"/>
                      <w:szCs w:val="20"/>
                    </w:rPr>
                    <w:t>长江流域生态系统和资源环境承载能力相适应。</w:t>
                  </w:r>
                  <w:r>
                    <w:rPr>
                      <w:spacing w:val="11"/>
                      <w:sz w:val="20"/>
                      <w:szCs w:val="20"/>
                    </w:rPr>
                    <w:t xml:space="preserve"> </w:t>
                  </w:r>
                  <w:r>
                    <w:rPr>
                      <w:spacing w:val="4"/>
                      <w:sz w:val="20"/>
                      <w:szCs w:val="20"/>
                    </w:rPr>
                    <w:t>禁止在长江流域重点生态功能区布局对生态系</w:t>
                  </w:r>
                  <w:r>
                    <w:rPr>
                      <w:spacing w:val="9"/>
                      <w:sz w:val="20"/>
                      <w:szCs w:val="20"/>
                    </w:rPr>
                    <w:t xml:space="preserve"> </w:t>
                  </w:r>
                  <w:r>
                    <w:rPr>
                      <w:spacing w:val="-6"/>
                      <w:sz w:val="20"/>
                      <w:szCs w:val="20"/>
                    </w:rPr>
                    <w:t>统有严重影响的产业。禁止重污染企业和项目向</w:t>
                  </w:r>
                  <w:r>
                    <w:rPr>
                      <w:spacing w:val="17"/>
                      <w:sz w:val="20"/>
                      <w:szCs w:val="20"/>
                    </w:rPr>
                    <w:t xml:space="preserve"> </w:t>
                  </w:r>
                  <w:r>
                    <w:rPr>
                      <w:spacing w:val="-5"/>
                      <w:sz w:val="20"/>
                      <w:szCs w:val="20"/>
                    </w:rPr>
                    <w:t>长江中上游转移。</w:t>
                  </w:r>
                </w:p>
              </w:tc>
              <w:tc>
                <w:tcPr>
                  <w:tcW w:w="2068" w:type="dxa"/>
                  <w:vAlign w:val="top"/>
                </w:tcPr>
                <w:p w14:paraId="66FBFC77">
                  <w:pPr>
                    <w:pStyle w:val="6"/>
                    <w:spacing w:before="33" w:line="232" w:lineRule="auto"/>
                    <w:ind w:left="9" w:right="3" w:firstLine="4"/>
                    <w:jc w:val="both"/>
                    <w:rPr>
                      <w:sz w:val="20"/>
                      <w:szCs w:val="20"/>
                    </w:rPr>
                  </w:pPr>
                  <w:r>
                    <w:rPr>
                      <w:spacing w:val="4"/>
                      <w:sz w:val="20"/>
                      <w:szCs w:val="20"/>
                    </w:rPr>
                    <w:t>项目所在地不属于长江</w:t>
                  </w:r>
                  <w:r>
                    <w:rPr>
                      <w:spacing w:val="5"/>
                      <w:sz w:val="20"/>
                      <w:szCs w:val="20"/>
                    </w:rPr>
                    <w:t xml:space="preserve"> </w:t>
                  </w:r>
                  <w:r>
                    <w:rPr>
                      <w:spacing w:val="4"/>
                      <w:sz w:val="20"/>
                      <w:szCs w:val="20"/>
                    </w:rPr>
                    <w:t>流域重点生态功能区，</w:t>
                  </w:r>
                  <w:r>
                    <w:rPr>
                      <w:spacing w:val="3"/>
                      <w:sz w:val="20"/>
                      <w:szCs w:val="20"/>
                    </w:rPr>
                    <w:t xml:space="preserve"> </w:t>
                  </w:r>
                  <w:r>
                    <w:rPr>
                      <w:spacing w:val="5"/>
                      <w:sz w:val="20"/>
                      <w:szCs w:val="20"/>
                    </w:rPr>
                    <w:t>对生态系统不会造成严</w:t>
                  </w:r>
                  <w:r>
                    <w:rPr>
                      <w:sz w:val="20"/>
                      <w:szCs w:val="20"/>
                    </w:rPr>
                    <w:t xml:space="preserve"> </w:t>
                  </w:r>
                  <w:r>
                    <w:rPr>
                      <w:spacing w:val="5"/>
                      <w:sz w:val="20"/>
                      <w:szCs w:val="20"/>
                    </w:rPr>
                    <w:t>重影响，也不属于重污</w:t>
                  </w:r>
                  <w:r>
                    <w:rPr>
                      <w:sz w:val="20"/>
                      <w:szCs w:val="20"/>
                    </w:rPr>
                    <w:t xml:space="preserve"> </w:t>
                  </w:r>
                  <w:r>
                    <w:rPr>
                      <w:spacing w:val="-7"/>
                      <w:sz w:val="20"/>
                      <w:szCs w:val="20"/>
                    </w:rPr>
                    <w:t>染项目。</w:t>
                  </w:r>
                </w:p>
              </w:tc>
              <w:tc>
                <w:tcPr>
                  <w:tcW w:w="747" w:type="dxa"/>
                  <w:vAlign w:val="top"/>
                </w:tcPr>
                <w:p w14:paraId="50E38349">
                  <w:pPr>
                    <w:rPr>
                      <w:rFonts w:ascii="Arial"/>
                      <w:sz w:val="21"/>
                    </w:rPr>
                  </w:pPr>
                </w:p>
                <w:p w14:paraId="19881C48">
                  <w:pPr>
                    <w:rPr>
                      <w:rFonts w:ascii="Arial"/>
                      <w:sz w:val="21"/>
                    </w:rPr>
                  </w:pPr>
                </w:p>
                <w:p w14:paraId="5F763A09">
                  <w:pPr>
                    <w:pStyle w:val="6"/>
                    <w:spacing w:before="65" w:line="220" w:lineRule="auto"/>
                    <w:ind w:left="180"/>
                    <w:rPr>
                      <w:sz w:val="20"/>
                      <w:szCs w:val="20"/>
                    </w:rPr>
                  </w:pPr>
                  <w:r>
                    <w:rPr>
                      <w:spacing w:val="-3"/>
                      <w:sz w:val="20"/>
                      <w:szCs w:val="20"/>
                    </w:rPr>
                    <w:t>符合</w:t>
                  </w:r>
                </w:p>
              </w:tc>
            </w:tr>
            <w:tr w14:paraId="26A30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1" w:hRule="atLeast"/>
              </w:trPr>
              <w:tc>
                <w:tcPr>
                  <w:tcW w:w="506" w:type="dxa"/>
                  <w:vAlign w:val="top"/>
                </w:tcPr>
                <w:p w14:paraId="2320CF0F">
                  <w:pPr>
                    <w:spacing w:line="241" w:lineRule="auto"/>
                    <w:rPr>
                      <w:rFonts w:ascii="Arial"/>
                      <w:sz w:val="21"/>
                    </w:rPr>
                  </w:pPr>
                </w:p>
                <w:p w14:paraId="37BAF04E">
                  <w:pPr>
                    <w:spacing w:line="241" w:lineRule="auto"/>
                    <w:rPr>
                      <w:rFonts w:ascii="Arial"/>
                      <w:sz w:val="21"/>
                    </w:rPr>
                  </w:pPr>
                </w:p>
                <w:p w14:paraId="669BBDB7">
                  <w:pPr>
                    <w:pStyle w:val="6"/>
                    <w:spacing w:before="65"/>
                    <w:ind w:left="212"/>
                    <w:rPr>
                      <w:sz w:val="20"/>
                      <w:szCs w:val="20"/>
                    </w:rPr>
                  </w:pPr>
                  <w:r>
                    <w:rPr>
                      <w:sz w:val="20"/>
                      <w:szCs w:val="20"/>
                    </w:rPr>
                    <w:t>3</w:t>
                  </w:r>
                </w:p>
              </w:tc>
              <w:tc>
                <w:tcPr>
                  <w:tcW w:w="4142" w:type="dxa"/>
                  <w:vAlign w:val="top"/>
                </w:tcPr>
                <w:p w14:paraId="666B8F15">
                  <w:pPr>
                    <w:pStyle w:val="6"/>
                    <w:spacing w:before="34" w:line="232" w:lineRule="auto"/>
                    <w:ind w:left="8" w:right="1"/>
                    <w:jc w:val="both"/>
                    <w:rPr>
                      <w:sz w:val="20"/>
                      <w:szCs w:val="20"/>
                    </w:rPr>
                  </w:pPr>
                  <w:r>
                    <w:rPr>
                      <w:spacing w:val="5"/>
                      <w:sz w:val="20"/>
                      <w:szCs w:val="20"/>
                    </w:rPr>
                    <w:t>第二十六条  禁止在长江干支流岸线一公里范</w:t>
                  </w:r>
                  <w:r>
                    <w:rPr>
                      <w:spacing w:val="17"/>
                      <w:sz w:val="20"/>
                      <w:szCs w:val="20"/>
                    </w:rPr>
                    <w:t xml:space="preserve"> </w:t>
                  </w:r>
                  <w:r>
                    <w:rPr>
                      <w:spacing w:val="-4"/>
                      <w:sz w:val="20"/>
                      <w:szCs w:val="20"/>
                    </w:rPr>
                    <w:t>围内新建、扩建化工园区和化工项目。禁止在长</w:t>
                  </w:r>
                  <w:r>
                    <w:rPr>
                      <w:spacing w:val="8"/>
                      <w:sz w:val="20"/>
                      <w:szCs w:val="20"/>
                    </w:rPr>
                    <w:t xml:space="preserve"> </w:t>
                  </w:r>
                  <w:r>
                    <w:rPr>
                      <w:spacing w:val="6"/>
                      <w:sz w:val="20"/>
                      <w:szCs w:val="20"/>
                    </w:rPr>
                    <w:t>江干流岸线三公里范围内和重要支流岸线一公</w:t>
                  </w:r>
                  <w:r>
                    <w:rPr>
                      <w:spacing w:val="3"/>
                      <w:sz w:val="20"/>
                      <w:szCs w:val="20"/>
                    </w:rPr>
                    <w:t xml:space="preserve"> </w:t>
                  </w:r>
                  <w:r>
                    <w:rPr>
                      <w:spacing w:val="-4"/>
                      <w:sz w:val="20"/>
                      <w:szCs w:val="20"/>
                    </w:rPr>
                    <w:t>里范围内新建、改建、扩建尾矿库；但是以提升</w:t>
                  </w:r>
                  <w:r>
                    <w:rPr>
                      <w:spacing w:val="9"/>
                      <w:sz w:val="20"/>
                      <w:szCs w:val="20"/>
                    </w:rPr>
                    <w:t xml:space="preserve"> </w:t>
                  </w:r>
                  <w:r>
                    <w:rPr>
                      <w:spacing w:val="-2"/>
                      <w:sz w:val="20"/>
                      <w:szCs w:val="20"/>
                    </w:rPr>
                    <w:t>安全、生态环境保护水平为目的的改建除外。</w:t>
                  </w:r>
                </w:p>
              </w:tc>
              <w:tc>
                <w:tcPr>
                  <w:tcW w:w="2068" w:type="dxa"/>
                  <w:vAlign w:val="top"/>
                </w:tcPr>
                <w:p w14:paraId="1BF17479">
                  <w:pPr>
                    <w:spacing w:line="354" w:lineRule="auto"/>
                    <w:rPr>
                      <w:rFonts w:ascii="Arial"/>
                      <w:sz w:val="21"/>
                    </w:rPr>
                  </w:pPr>
                </w:p>
                <w:p w14:paraId="7439204C">
                  <w:pPr>
                    <w:pStyle w:val="6"/>
                    <w:spacing w:before="65" w:line="241" w:lineRule="auto"/>
                    <w:ind w:left="11" w:right="3" w:hanging="1"/>
                    <w:rPr>
                      <w:sz w:val="20"/>
                      <w:szCs w:val="20"/>
                    </w:rPr>
                  </w:pPr>
                  <w:r>
                    <w:rPr>
                      <w:spacing w:val="4"/>
                      <w:sz w:val="20"/>
                      <w:szCs w:val="20"/>
                    </w:rPr>
                    <w:t>本项目不属于化工项目</w:t>
                  </w:r>
                  <w:r>
                    <w:rPr>
                      <w:spacing w:val="7"/>
                      <w:sz w:val="20"/>
                      <w:szCs w:val="20"/>
                    </w:rPr>
                    <w:t xml:space="preserve"> </w:t>
                  </w:r>
                  <w:r>
                    <w:rPr>
                      <w:spacing w:val="-2"/>
                      <w:sz w:val="20"/>
                      <w:szCs w:val="20"/>
                    </w:rPr>
                    <w:t>或尾矿库项目。</w:t>
                  </w:r>
                </w:p>
              </w:tc>
              <w:tc>
                <w:tcPr>
                  <w:tcW w:w="747" w:type="dxa"/>
                  <w:vAlign w:val="top"/>
                </w:tcPr>
                <w:p w14:paraId="1B99C05B">
                  <w:pPr>
                    <w:spacing w:line="241" w:lineRule="auto"/>
                    <w:rPr>
                      <w:rFonts w:ascii="Arial"/>
                      <w:sz w:val="21"/>
                    </w:rPr>
                  </w:pPr>
                </w:p>
                <w:p w14:paraId="248F2A07">
                  <w:pPr>
                    <w:spacing w:line="241" w:lineRule="auto"/>
                    <w:rPr>
                      <w:rFonts w:ascii="Arial"/>
                      <w:sz w:val="21"/>
                    </w:rPr>
                  </w:pPr>
                </w:p>
                <w:p w14:paraId="783DA144">
                  <w:pPr>
                    <w:pStyle w:val="6"/>
                    <w:spacing w:before="65" w:line="220" w:lineRule="auto"/>
                    <w:ind w:left="180"/>
                    <w:rPr>
                      <w:sz w:val="20"/>
                      <w:szCs w:val="20"/>
                    </w:rPr>
                  </w:pPr>
                  <w:r>
                    <w:rPr>
                      <w:spacing w:val="-3"/>
                      <w:sz w:val="20"/>
                      <w:szCs w:val="20"/>
                    </w:rPr>
                    <w:t>符合</w:t>
                  </w:r>
                </w:p>
              </w:tc>
            </w:tr>
            <w:tr w14:paraId="73D3E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506" w:type="dxa"/>
                  <w:vAlign w:val="top"/>
                </w:tcPr>
                <w:p w14:paraId="5EF96510">
                  <w:pPr>
                    <w:pStyle w:val="6"/>
                    <w:spacing w:before="162" w:line="242" w:lineRule="auto"/>
                    <w:ind w:left="207"/>
                    <w:rPr>
                      <w:sz w:val="20"/>
                      <w:szCs w:val="20"/>
                    </w:rPr>
                  </w:pPr>
                  <w:r>
                    <w:rPr>
                      <w:sz w:val="20"/>
                      <w:szCs w:val="20"/>
                    </w:rPr>
                    <w:t>4</w:t>
                  </w:r>
                </w:p>
              </w:tc>
              <w:tc>
                <w:tcPr>
                  <w:tcW w:w="4142" w:type="dxa"/>
                  <w:vAlign w:val="top"/>
                </w:tcPr>
                <w:p w14:paraId="5A6C423D">
                  <w:pPr>
                    <w:pStyle w:val="6"/>
                    <w:spacing w:before="32" w:line="224" w:lineRule="auto"/>
                    <w:ind w:left="24" w:right="1" w:hanging="16"/>
                    <w:rPr>
                      <w:sz w:val="20"/>
                      <w:szCs w:val="20"/>
                    </w:rPr>
                  </w:pPr>
                  <w:r>
                    <w:rPr>
                      <w:spacing w:val="-4"/>
                      <w:sz w:val="20"/>
                      <w:szCs w:val="20"/>
                    </w:rPr>
                    <w:t>第三十八条  加强对高耗水行业、重点用水单位</w:t>
                  </w:r>
                  <w:r>
                    <w:rPr>
                      <w:spacing w:val="14"/>
                      <w:sz w:val="20"/>
                      <w:szCs w:val="20"/>
                    </w:rPr>
                    <w:t xml:space="preserve"> </w:t>
                  </w:r>
                  <w:r>
                    <w:rPr>
                      <w:spacing w:val="-2"/>
                      <w:sz w:val="20"/>
                      <w:szCs w:val="20"/>
                    </w:rPr>
                    <w:t>的用水定额管理，严格控制高耗水项目建设。</w:t>
                  </w:r>
                </w:p>
              </w:tc>
              <w:tc>
                <w:tcPr>
                  <w:tcW w:w="2068" w:type="dxa"/>
                  <w:vAlign w:val="top"/>
                </w:tcPr>
                <w:p w14:paraId="2BBB86CD">
                  <w:pPr>
                    <w:pStyle w:val="6"/>
                    <w:spacing w:before="32" w:line="224" w:lineRule="auto"/>
                    <w:ind w:left="47" w:right="3" w:hanging="37"/>
                    <w:rPr>
                      <w:sz w:val="20"/>
                      <w:szCs w:val="20"/>
                    </w:rPr>
                  </w:pPr>
                  <w:r>
                    <w:rPr>
                      <w:spacing w:val="4"/>
                      <w:sz w:val="20"/>
                      <w:szCs w:val="20"/>
                    </w:rPr>
                    <w:t>本项目不属于高耗水项</w:t>
                  </w:r>
                  <w:r>
                    <w:rPr>
                      <w:spacing w:val="7"/>
                      <w:sz w:val="20"/>
                      <w:szCs w:val="20"/>
                    </w:rPr>
                    <w:t xml:space="preserve"> </w:t>
                  </w:r>
                  <w:r>
                    <w:rPr>
                      <w:spacing w:val="-19"/>
                      <w:sz w:val="20"/>
                      <w:szCs w:val="20"/>
                    </w:rPr>
                    <w:t>目。</w:t>
                  </w:r>
                </w:p>
              </w:tc>
              <w:tc>
                <w:tcPr>
                  <w:tcW w:w="747" w:type="dxa"/>
                  <w:vAlign w:val="top"/>
                </w:tcPr>
                <w:p w14:paraId="04F6F720">
                  <w:pPr>
                    <w:pStyle w:val="6"/>
                    <w:spacing w:before="163" w:line="220" w:lineRule="auto"/>
                    <w:ind w:left="180"/>
                    <w:rPr>
                      <w:sz w:val="20"/>
                      <w:szCs w:val="20"/>
                    </w:rPr>
                  </w:pPr>
                  <w:r>
                    <w:rPr>
                      <w:spacing w:val="-3"/>
                      <w:sz w:val="20"/>
                      <w:szCs w:val="20"/>
                    </w:rPr>
                    <w:t>符合</w:t>
                  </w:r>
                </w:p>
              </w:tc>
            </w:tr>
          </w:tbl>
          <w:p w14:paraId="64C73460">
            <w:pPr>
              <w:pStyle w:val="6"/>
              <w:spacing w:before="131" w:line="228" w:lineRule="auto"/>
              <w:ind w:left="563"/>
            </w:pPr>
            <w:r>
              <w:rPr>
                <w:spacing w:val="8"/>
              </w:rPr>
              <w:t>（2）与《四川省嘉陵江流域生态环境保护条例》符合性分析</w:t>
            </w:r>
          </w:p>
          <w:p w14:paraId="31C5ECAE">
            <w:pPr>
              <w:pStyle w:val="6"/>
              <w:spacing w:before="139" w:line="352" w:lineRule="auto"/>
              <w:ind w:left="112" w:right="115" w:firstLine="443"/>
            </w:pPr>
            <w:r>
              <w:rPr>
                <w:spacing w:val="11"/>
              </w:rPr>
              <w:t>2021年11月25日四川省第十三届人民代表大会常务委员会第三十一会议</w:t>
            </w:r>
            <w:r>
              <w:rPr>
                <w:spacing w:val="7"/>
              </w:rPr>
              <w:t xml:space="preserve"> </w:t>
            </w:r>
            <w:r>
              <w:rPr>
                <w:spacing w:val="8"/>
              </w:rPr>
              <w:t>通过了《四川省嘉陵江流域生态环境保护条例》。</w:t>
            </w:r>
          </w:p>
          <w:p w14:paraId="485DDCB6">
            <w:pPr>
              <w:pStyle w:val="6"/>
              <w:spacing w:before="1" w:line="227" w:lineRule="auto"/>
              <w:ind w:left="556"/>
            </w:pPr>
            <w:r>
              <w:rPr>
                <w:spacing w:val="9"/>
              </w:rPr>
              <w:t>项目与《四川省嘉陵江流域生态环境保护条例》的符合性分析见下表。</w:t>
            </w:r>
          </w:p>
          <w:p w14:paraId="304AACF5">
            <w:pPr>
              <w:pStyle w:val="6"/>
              <w:spacing w:before="148" w:line="220" w:lineRule="auto"/>
              <w:ind w:left="578"/>
            </w:pPr>
            <w:r>
              <w:rPr>
                <w:b/>
                <w:bCs/>
                <w:spacing w:val="-3"/>
              </w:rPr>
              <w:t>表1-6</w:t>
            </w:r>
            <w:r>
              <w:rPr>
                <w:spacing w:val="-3"/>
              </w:rPr>
              <w:t xml:space="preserve">    </w:t>
            </w:r>
            <w:r>
              <w:rPr>
                <w:b/>
                <w:bCs/>
                <w:spacing w:val="-3"/>
              </w:rPr>
              <w:t>项目与“</w:t>
            </w:r>
            <w:r>
              <w:rPr>
                <w:spacing w:val="-76"/>
              </w:rPr>
              <w:t xml:space="preserve"> </w:t>
            </w:r>
            <w:r>
              <w:rPr>
                <w:b/>
                <w:bCs/>
                <w:spacing w:val="-3"/>
              </w:rPr>
              <w:t>四川省嘉陵江流域生态环境保护</w:t>
            </w:r>
            <w:r>
              <w:rPr>
                <w:b/>
                <w:bCs/>
                <w:spacing w:val="-4"/>
              </w:rPr>
              <w:t>条例</w:t>
            </w:r>
            <w:r>
              <w:rPr>
                <w:spacing w:val="-75"/>
              </w:rPr>
              <w:t xml:space="preserve"> </w:t>
            </w:r>
            <w:r>
              <w:rPr>
                <w:b/>
                <w:bCs/>
                <w:spacing w:val="-4"/>
              </w:rPr>
              <w:t>”符合性分析</w:t>
            </w:r>
          </w:p>
          <w:p w14:paraId="2D307BD8">
            <w:pPr>
              <w:spacing w:line="112" w:lineRule="auto"/>
              <w:rPr>
                <w:rFonts w:ascii="Arial"/>
                <w:sz w:val="2"/>
              </w:rPr>
            </w:pPr>
          </w:p>
          <w:tbl>
            <w:tblPr>
              <w:tblStyle w:val="5"/>
              <w:tblW w:w="7357" w:type="dxa"/>
              <w:tblInd w:w="1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6"/>
              <w:gridCol w:w="3977"/>
              <w:gridCol w:w="1988"/>
              <w:gridCol w:w="806"/>
            </w:tblGrid>
            <w:tr w14:paraId="1C1A7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586" w:type="dxa"/>
                  <w:vAlign w:val="top"/>
                </w:tcPr>
                <w:p w14:paraId="190687F7">
                  <w:pPr>
                    <w:pStyle w:val="6"/>
                    <w:spacing w:before="34" w:line="207" w:lineRule="auto"/>
                    <w:ind w:left="95"/>
                    <w:rPr>
                      <w:sz w:val="20"/>
                      <w:szCs w:val="20"/>
                    </w:rPr>
                  </w:pPr>
                  <w:r>
                    <w:rPr>
                      <w:b/>
                      <w:bCs/>
                      <w:spacing w:val="-4"/>
                      <w:sz w:val="20"/>
                      <w:szCs w:val="20"/>
                    </w:rPr>
                    <w:t>序号</w:t>
                  </w:r>
                </w:p>
              </w:tc>
              <w:tc>
                <w:tcPr>
                  <w:tcW w:w="3977" w:type="dxa"/>
                  <w:vAlign w:val="top"/>
                </w:tcPr>
                <w:p w14:paraId="5A39AF46">
                  <w:pPr>
                    <w:pStyle w:val="6"/>
                    <w:spacing w:before="34" w:line="207" w:lineRule="auto"/>
                    <w:ind w:left="203"/>
                    <w:rPr>
                      <w:sz w:val="20"/>
                      <w:szCs w:val="20"/>
                    </w:rPr>
                  </w:pPr>
                  <w:r>
                    <w:rPr>
                      <w:b/>
                      <w:bCs/>
                      <w:spacing w:val="-3"/>
                      <w:sz w:val="20"/>
                      <w:szCs w:val="20"/>
                    </w:rPr>
                    <w:t>四川省嘉陵江流域生态环境保护条例内容</w:t>
                  </w:r>
                </w:p>
              </w:tc>
              <w:tc>
                <w:tcPr>
                  <w:tcW w:w="1988" w:type="dxa"/>
                  <w:vAlign w:val="top"/>
                </w:tcPr>
                <w:p w14:paraId="5B346496">
                  <w:pPr>
                    <w:pStyle w:val="6"/>
                    <w:spacing w:before="34" w:line="207" w:lineRule="auto"/>
                    <w:ind w:left="499"/>
                    <w:rPr>
                      <w:sz w:val="20"/>
                      <w:szCs w:val="20"/>
                    </w:rPr>
                  </w:pPr>
                  <w:r>
                    <w:rPr>
                      <w:b/>
                      <w:bCs/>
                      <w:spacing w:val="-4"/>
                      <w:sz w:val="20"/>
                      <w:szCs w:val="20"/>
                    </w:rPr>
                    <w:t>本项目情况</w:t>
                  </w:r>
                </w:p>
              </w:tc>
              <w:tc>
                <w:tcPr>
                  <w:tcW w:w="806" w:type="dxa"/>
                  <w:vAlign w:val="top"/>
                </w:tcPr>
                <w:p w14:paraId="32C1E97B">
                  <w:pPr>
                    <w:pStyle w:val="6"/>
                    <w:spacing w:before="34" w:line="207" w:lineRule="auto"/>
                    <w:ind w:left="108"/>
                    <w:rPr>
                      <w:sz w:val="20"/>
                      <w:szCs w:val="20"/>
                    </w:rPr>
                  </w:pPr>
                  <w:r>
                    <w:rPr>
                      <w:b/>
                      <w:bCs/>
                      <w:spacing w:val="-5"/>
                      <w:sz w:val="20"/>
                      <w:szCs w:val="20"/>
                    </w:rPr>
                    <w:t>符合性</w:t>
                  </w:r>
                </w:p>
              </w:tc>
            </w:tr>
            <w:tr w14:paraId="30BEE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586" w:type="dxa"/>
                  <w:vAlign w:val="top"/>
                </w:tcPr>
                <w:p w14:paraId="4BAB0FE9">
                  <w:pPr>
                    <w:pStyle w:val="6"/>
                    <w:spacing w:before="159" w:line="241" w:lineRule="auto"/>
                    <w:ind w:left="262"/>
                    <w:rPr>
                      <w:sz w:val="20"/>
                      <w:szCs w:val="20"/>
                    </w:rPr>
                  </w:pPr>
                  <w:r>
                    <w:rPr>
                      <w:sz w:val="20"/>
                      <w:szCs w:val="20"/>
                    </w:rPr>
                    <w:t>1</w:t>
                  </w:r>
                </w:p>
              </w:tc>
              <w:tc>
                <w:tcPr>
                  <w:tcW w:w="3977" w:type="dxa"/>
                  <w:vAlign w:val="top"/>
                </w:tcPr>
                <w:p w14:paraId="1C16CA23">
                  <w:pPr>
                    <w:pStyle w:val="6"/>
                    <w:spacing w:before="30" w:line="222" w:lineRule="auto"/>
                    <w:ind w:left="62" w:right="57" w:hanging="2"/>
                    <w:rPr>
                      <w:sz w:val="20"/>
                      <w:szCs w:val="20"/>
                    </w:rPr>
                  </w:pPr>
                  <w:r>
                    <w:rPr>
                      <w:spacing w:val="14"/>
                      <w:sz w:val="20"/>
                      <w:szCs w:val="20"/>
                    </w:rPr>
                    <w:t>禁止在嘉陵江干支流岸线一公里范围内新</w:t>
                  </w:r>
                  <w:r>
                    <w:rPr>
                      <w:spacing w:val="1"/>
                      <w:sz w:val="20"/>
                      <w:szCs w:val="20"/>
                    </w:rPr>
                    <w:t xml:space="preserve"> </w:t>
                  </w:r>
                  <w:r>
                    <w:rPr>
                      <w:spacing w:val="-2"/>
                      <w:sz w:val="20"/>
                      <w:szCs w:val="20"/>
                    </w:rPr>
                    <w:t>建、扩建化工园区和化工项目。</w:t>
                  </w:r>
                </w:p>
              </w:tc>
              <w:tc>
                <w:tcPr>
                  <w:tcW w:w="1988" w:type="dxa"/>
                  <w:vAlign w:val="top"/>
                </w:tcPr>
                <w:p w14:paraId="0598CBEA">
                  <w:pPr>
                    <w:pStyle w:val="6"/>
                    <w:spacing w:before="30" w:line="222" w:lineRule="auto"/>
                    <w:ind w:left="77" w:right="54" w:hanging="14"/>
                    <w:rPr>
                      <w:sz w:val="20"/>
                      <w:szCs w:val="20"/>
                    </w:rPr>
                  </w:pPr>
                  <w:r>
                    <w:rPr>
                      <w:spacing w:val="7"/>
                      <w:sz w:val="20"/>
                      <w:szCs w:val="20"/>
                    </w:rPr>
                    <w:t>本项目不属于化工园</w:t>
                  </w:r>
                  <w:r>
                    <w:rPr>
                      <w:spacing w:val="1"/>
                      <w:sz w:val="20"/>
                      <w:szCs w:val="20"/>
                    </w:rPr>
                    <w:t xml:space="preserve"> </w:t>
                  </w:r>
                  <w:r>
                    <w:rPr>
                      <w:spacing w:val="-4"/>
                      <w:sz w:val="20"/>
                      <w:szCs w:val="20"/>
                    </w:rPr>
                    <w:t>区和化工项目</w:t>
                  </w:r>
                </w:p>
              </w:tc>
              <w:tc>
                <w:tcPr>
                  <w:tcW w:w="806" w:type="dxa"/>
                  <w:vAlign w:val="top"/>
                </w:tcPr>
                <w:p w14:paraId="21641426">
                  <w:pPr>
                    <w:pStyle w:val="6"/>
                    <w:spacing w:before="158" w:line="220" w:lineRule="auto"/>
                    <w:ind w:left="210"/>
                    <w:rPr>
                      <w:sz w:val="20"/>
                      <w:szCs w:val="20"/>
                    </w:rPr>
                  </w:pPr>
                  <w:r>
                    <w:rPr>
                      <w:spacing w:val="-3"/>
                      <w:sz w:val="20"/>
                      <w:szCs w:val="20"/>
                    </w:rPr>
                    <w:t>符合</w:t>
                  </w:r>
                </w:p>
              </w:tc>
            </w:tr>
            <w:tr w14:paraId="36C0C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8" w:hRule="atLeast"/>
              </w:trPr>
              <w:tc>
                <w:tcPr>
                  <w:tcW w:w="586" w:type="dxa"/>
                  <w:vAlign w:val="top"/>
                </w:tcPr>
                <w:p w14:paraId="35073F33">
                  <w:pPr>
                    <w:spacing w:line="305" w:lineRule="auto"/>
                    <w:rPr>
                      <w:rFonts w:ascii="Arial"/>
                      <w:sz w:val="21"/>
                    </w:rPr>
                  </w:pPr>
                </w:p>
                <w:p w14:paraId="1C383F59">
                  <w:pPr>
                    <w:spacing w:line="305" w:lineRule="auto"/>
                    <w:rPr>
                      <w:rFonts w:ascii="Arial"/>
                      <w:sz w:val="21"/>
                    </w:rPr>
                  </w:pPr>
                </w:p>
                <w:p w14:paraId="173F9B2D">
                  <w:pPr>
                    <w:pStyle w:val="6"/>
                    <w:spacing w:before="65" w:line="241" w:lineRule="auto"/>
                    <w:ind w:left="250"/>
                    <w:rPr>
                      <w:sz w:val="20"/>
                      <w:szCs w:val="20"/>
                    </w:rPr>
                  </w:pPr>
                  <w:r>
                    <w:rPr>
                      <w:sz w:val="20"/>
                      <w:szCs w:val="20"/>
                    </w:rPr>
                    <w:t>2</w:t>
                  </w:r>
                </w:p>
              </w:tc>
              <w:tc>
                <w:tcPr>
                  <w:tcW w:w="3977" w:type="dxa"/>
                  <w:vAlign w:val="top"/>
                </w:tcPr>
                <w:p w14:paraId="0A10988C">
                  <w:pPr>
                    <w:pStyle w:val="6"/>
                    <w:spacing w:before="33" w:line="233" w:lineRule="auto"/>
                    <w:ind w:left="58" w:right="58" w:firstLine="3"/>
                    <w:jc w:val="both"/>
                    <w:rPr>
                      <w:sz w:val="20"/>
                      <w:szCs w:val="20"/>
                    </w:rPr>
                  </w:pPr>
                  <w:r>
                    <w:rPr>
                      <w:spacing w:val="2"/>
                      <w:sz w:val="20"/>
                      <w:szCs w:val="20"/>
                    </w:rPr>
                    <w:t>按照国家规定实行排污许可管理的企业事业</w:t>
                  </w:r>
                  <w:r>
                    <w:rPr>
                      <w:spacing w:val="13"/>
                      <w:sz w:val="20"/>
                      <w:szCs w:val="20"/>
                    </w:rPr>
                    <w:t xml:space="preserve"> </w:t>
                  </w:r>
                  <w:r>
                    <w:rPr>
                      <w:spacing w:val="2"/>
                      <w:sz w:val="20"/>
                      <w:szCs w:val="20"/>
                    </w:rPr>
                    <w:t>单位和其他生产经营者，应当依法向设区的</w:t>
                  </w:r>
                  <w:r>
                    <w:rPr>
                      <w:spacing w:val="16"/>
                      <w:sz w:val="20"/>
                      <w:szCs w:val="20"/>
                    </w:rPr>
                    <w:t xml:space="preserve"> </w:t>
                  </w:r>
                  <w:r>
                    <w:rPr>
                      <w:spacing w:val="2"/>
                      <w:sz w:val="20"/>
                      <w:szCs w:val="20"/>
                    </w:rPr>
                    <w:t>市级以上地方人民政府生态环境主管部门申</w:t>
                  </w:r>
                  <w:r>
                    <w:rPr>
                      <w:spacing w:val="16"/>
                      <w:sz w:val="20"/>
                      <w:szCs w:val="20"/>
                    </w:rPr>
                    <w:t xml:space="preserve"> </w:t>
                  </w:r>
                  <w:r>
                    <w:rPr>
                      <w:spacing w:val="2"/>
                      <w:sz w:val="20"/>
                      <w:szCs w:val="20"/>
                    </w:rPr>
                    <w:t>请取得排污许可证，按照排污许可证的规定</w:t>
                  </w:r>
                  <w:r>
                    <w:rPr>
                      <w:spacing w:val="16"/>
                      <w:sz w:val="20"/>
                      <w:szCs w:val="20"/>
                    </w:rPr>
                    <w:t xml:space="preserve"> </w:t>
                  </w:r>
                  <w:r>
                    <w:rPr>
                      <w:spacing w:val="2"/>
                      <w:sz w:val="20"/>
                      <w:szCs w:val="20"/>
                    </w:rPr>
                    <w:t>排放污染物，禁止未取得排污许可证或者违</w:t>
                  </w:r>
                  <w:r>
                    <w:rPr>
                      <w:spacing w:val="16"/>
                      <w:sz w:val="20"/>
                      <w:szCs w:val="20"/>
                    </w:rPr>
                    <w:t xml:space="preserve"> </w:t>
                  </w:r>
                  <w:r>
                    <w:rPr>
                      <w:spacing w:val="-2"/>
                      <w:sz w:val="20"/>
                      <w:szCs w:val="20"/>
                    </w:rPr>
                    <w:t>反排污许可证的规定排放污染物。</w:t>
                  </w:r>
                </w:p>
              </w:tc>
              <w:tc>
                <w:tcPr>
                  <w:tcW w:w="1988" w:type="dxa"/>
                  <w:vAlign w:val="top"/>
                </w:tcPr>
                <w:p w14:paraId="0CA99109">
                  <w:pPr>
                    <w:spacing w:line="351" w:lineRule="auto"/>
                    <w:rPr>
                      <w:rFonts w:ascii="Arial"/>
                      <w:sz w:val="21"/>
                    </w:rPr>
                  </w:pPr>
                </w:p>
                <w:p w14:paraId="0D24C074">
                  <w:pPr>
                    <w:pStyle w:val="6"/>
                    <w:spacing w:before="65" w:line="241" w:lineRule="auto"/>
                    <w:ind w:left="63" w:right="52"/>
                    <w:jc w:val="both"/>
                    <w:rPr>
                      <w:sz w:val="20"/>
                      <w:szCs w:val="20"/>
                    </w:rPr>
                  </w:pPr>
                  <w:r>
                    <w:rPr>
                      <w:spacing w:val="7"/>
                      <w:sz w:val="20"/>
                      <w:szCs w:val="20"/>
                    </w:rPr>
                    <w:t>本项目环评批复后将</w:t>
                  </w:r>
                  <w:r>
                    <w:rPr>
                      <w:spacing w:val="1"/>
                      <w:sz w:val="20"/>
                      <w:szCs w:val="20"/>
                    </w:rPr>
                    <w:t xml:space="preserve"> </w:t>
                  </w:r>
                  <w:r>
                    <w:rPr>
                      <w:spacing w:val="7"/>
                      <w:sz w:val="20"/>
                      <w:szCs w:val="20"/>
                    </w:rPr>
                    <w:t>按照要求进行排污许</w:t>
                  </w:r>
                  <w:r>
                    <w:rPr>
                      <w:spacing w:val="2"/>
                      <w:sz w:val="20"/>
                      <w:szCs w:val="20"/>
                    </w:rPr>
                    <w:t xml:space="preserve"> </w:t>
                  </w:r>
                  <w:r>
                    <w:rPr>
                      <w:spacing w:val="-4"/>
                      <w:sz w:val="20"/>
                      <w:szCs w:val="20"/>
                    </w:rPr>
                    <w:t>可证的更新。</w:t>
                  </w:r>
                </w:p>
              </w:tc>
              <w:tc>
                <w:tcPr>
                  <w:tcW w:w="806" w:type="dxa"/>
                  <w:vAlign w:val="top"/>
                </w:tcPr>
                <w:p w14:paraId="699F1BC4">
                  <w:pPr>
                    <w:spacing w:line="304" w:lineRule="auto"/>
                    <w:rPr>
                      <w:rFonts w:ascii="Arial"/>
                      <w:sz w:val="21"/>
                    </w:rPr>
                  </w:pPr>
                </w:p>
                <w:p w14:paraId="0066B6DC">
                  <w:pPr>
                    <w:spacing w:line="305" w:lineRule="auto"/>
                    <w:rPr>
                      <w:rFonts w:ascii="Arial"/>
                      <w:sz w:val="21"/>
                    </w:rPr>
                  </w:pPr>
                </w:p>
                <w:p w14:paraId="2D20B86C">
                  <w:pPr>
                    <w:pStyle w:val="6"/>
                    <w:spacing w:before="65" w:line="220" w:lineRule="auto"/>
                    <w:ind w:left="210"/>
                    <w:rPr>
                      <w:sz w:val="20"/>
                      <w:szCs w:val="20"/>
                    </w:rPr>
                  </w:pPr>
                  <w:r>
                    <w:rPr>
                      <w:spacing w:val="-3"/>
                      <w:sz w:val="20"/>
                      <w:szCs w:val="20"/>
                    </w:rPr>
                    <w:t>符合</w:t>
                  </w:r>
                </w:p>
              </w:tc>
            </w:tr>
            <w:tr w14:paraId="1F687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2" w:hRule="atLeast"/>
              </w:trPr>
              <w:tc>
                <w:tcPr>
                  <w:tcW w:w="586" w:type="dxa"/>
                  <w:vAlign w:val="top"/>
                </w:tcPr>
                <w:p w14:paraId="54F3A24F">
                  <w:pPr>
                    <w:spacing w:line="305" w:lineRule="auto"/>
                    <w:rPr>
                      <w:rFonts w:ascii="Arial"/>
                      <w:sz w:val="21"/>
                    </w:rPr>
                  </w:pPr>
                </w:p>
                <w:p w14:paraId="1B03E54F">
                  <w:pPr>
                    <w:spacing w:line="306" w:lineRule="auto"/>
                    <w:rPr>
                      <w:rFonts w:ascii="Arial"/>
                      <w:sz w:val="21"/>
                    </w:rPr>
                  </w:pPr>
                </w:p>
                <w:p w14:paraId="031B7E7A">
                  <w:pPr>
                    <w:pStyle w:val="6"/>
                    <w:spacing w:before="65"/>
                    <w:ind w:left="251"/>
                    <w:rPr>
                      <w:sz w:val="20"/>
                      <w:szCs w:val="20"/>
                    </w:rPr>
                  </w:pPr>
                  <w:r>
                    <w:rPr>
                      <w:sz w:val="20"/>
                      <w:szCs w:val="20"/>
                    </w:rPr>
                    <w:t>3</w:t>
                  </w:r>
                </w:p>
              </w:tc>
              <w:tc>
                <w:tcPr>
                  <w:tcW w:w="3977" w:type="dxa"/>
                  <w:vAlign w:val="top"/>
                </w:tcPr>
                <w:p w14:paraId="54A44DB7">
                  <w:pPr>
                    <w:pStyle w:val="6"/>
                    <w:spacing w:before="31" w:line="234" w:lineRule="auto"/>
                    <w:ind w:left="60" w:right="58" w:firstLine="2"/>
                    <w:jc w:val="both"/>
                    <w:rPr>
                      <w:sz w:val="20"/>
                      <w:szCs w:val="20"/>
                    </w:rPr>
                  </w:pPr>
                  <w:r>
                    <w:rPr>
                      <w:spacing w:val="2"/>
                      <w:sz w:val="20"/>
                      <w:szCs w:val="20"/>
                    </w:rPr>
                    <w:t>企业事业单位和其他生产经营者向嘉陵江流</w:t>
                  </w:r>
                  <w:r>
                    <w:rPr>
                      <w:spacing w:val="11"/>
                      <w:sz w:val="20"/>
                      <w:szCs w:val="20"/>
                    </w:rPr>
                    <w:t xml:space="preserve"> </w:t>
                  </w:r>
                  <w:r>
                    <w:rPr>
                      <w:spacing w:val="2"/>
                      <w:sz w:val="20"/>
                      <w:szCs w:val="20"/>
                    </w:rPr>
                    <w:t>域排放污水的，应当按照生态环境主管部门</w:t>
                  </w:r>
                  <w:r>
                    <w:rPr>
                      <w:spacing w:val="14"/>
                      <w:sz w:val="20"/>
                      <w:szCs w:val="20"/>
                    </w:rPr>
                    <w:t xml:space="preserve"> </w:t>
                  </w:r>
                  <w:r>
                    <w:rPr>
                      <w:spacing w:val="2"/>
                      <w:sz w:val="20"/>
                      <w:szCs w:val="20"/>
                    </w:rPr>
                    <w:t>的规定建设规范化污染物排放口，并设置标</w:t>
                  </w:r>
                  <w:r>
                    <w:rPr>
                      <w:spacing w:val="14"/>
                      <w:sz w:val="20"/>
                      <w:szCs w:val="20"/>
                    </w:rPr>
                    <w:t xml:space="preserve"> </w:t>
                  </w:r>
                  <w:r>
                    <w:rPr>
                      <w:spacing w:val="2"/>
                      <w:sz w:val="20"/>
                      <w:szCs w:val="20"/>
                    </w:rPr>
                    <w:t>志牌。重点排污单位应当安装水污染物排放</w:t>
                  </w:r>
                  <w:r>
                    <w:rPr>
                      <w:spacing w:val="14"/>
                      <w:sz w:val="20"/>
                      <w:szCs w:val="20"/>
                    </w:rPr>
                    <w:t xml:space="preserve"> </w:t>
                  </w:r>
                  <w:r>
                    <w:rPr>
                      <w:spacing w:val="2"/>
                      <w:sz w:val="20"/>
                      <w:szCs w:val="20"/>
                    </w:rPr>
                    <w:t>自动监测设备，与生态环境主管部门的监控</w:t>
                  </w:r>
                  <w:r>
                    <w:rPr>
                      <w:spacing w:val="14"/>
                      <w:sz w:val="20"/>
                      <w:szCs w:val="20"/>
                    </w:rPr>
                    <w:t xml:space="preserve"> </w:t>
                  </w:r>
                  <w:r>
                    <w:rPr>
                      <w:spacing w:val="-1"/>
                      <w:sz w:val="20"/>
                      <w:szCs w:val="20"/>
                    </w:rPr>
                    <w:t>设备联网，并保证监测设备正常运行。</w:t>
                  </w:r>
                </w:p>
              </w:tc>
              <w:tc>
                <w:tcPr>
                  <w:tcW w:w="1988" w:type="dxa"/>
                  <w:vAlign w:val="top"/>
                </w:tcPr>
                <w:p w14:paraId="2578C717">
                  <w:pPr>
                    <w:pStyle w:val="6"/>
                    <w:spacing w:before="31" w:line="234" w:lineRule="auto"/>
                    <w:ind w:left="62" w:right="52"/>
                    <w:jc w:val="both"/>
                    <w:rPr>
                      <w:sz w:val="20"/>
                      <w:szCs w:val="20"/>
                    </w:rPr>
                  </w:pPr>
                  <w:r>
                    <w:rPr>
                      <w:spacing w:val="7"/>
                      <w:sz w:val="20"/>
                      <w:szCs w:val="20"/>
                    </w:rPr>
                    <w:t>本项目生产废水能够</w:t>
                  </w:r>
                  <w:r>
                    <w:rPr>
                      <w:spacing w:val="3"/>
                      <w:sz w:val="20"/>
                      <w:szCs w:val="20"/>
                    </w:rPr>
                    <w:t xml:space="preserve"> </w:t>
                  </w:r>
                  <w:r>
                    <w:rPr>
                      <w:spacing w:val="6"/>
                      <w:sz w:val="20"/>
                      <w:szCs w:val="20"/>
                    </w:rPr>
                    <w:t>循环回用不外排；生</w:t>
                  </w:r>
                  <w:r>
                    <w:rPr>
                      <w:spacing w:val="3"/>
                      <w:sz w:val="20"/>
                      <w:szCs w:val="20"/>
                    </w:rPr>
                    <w:t xml:space="preserve"> </w:t>
                  </w:r>
                  <w:r>
                    <w:rPr>
                      <w:spacing w:val="7"/>
                      <w:sz w:val="20"/>
                      <w:szCs w:val="20"/>
                    </w:rPr>
                    <w:t>活污水设化粪池收集</w:t>
                  </w:r>
                  <w:r>
                    <w:rPr>
                      <w:spacing w:val="2"/>
                      <w:sz w:val="20"/>
                      <w:szCs w:val="20"/>
                    </w:rPr>
                    <w:t xml:space="preserve"> </w:t>
                  </w:r>
                  <w:r>
                    <w:rPr>
                      <w:spacing w:val="7"/>
                      <w:sz w:val="20"/>
                      <w:szCs w:val="20"/>
                    </w:rPr>
                    <w:t>处理后，经场镇污水</w:t>
                  </w:r>
                  <w:r>
                    <w:rPr>
                      <w:spacing w:val="3"/>
                      <w:sz w:val="20"/>
                      <w:szCs w:val="20"/>
                    </w:rPr>
                    <w:t xml:space="preserve"> </w:t>
                  </w:r>
                  <w:r>
                    <w:rPr>
                      <w:spacing w:val="7"/>
                      <w:sz w:val="20"/>
                      <w:szCs w:val="20"/>
                    </w:rPr>
                    <w:t>管网进入东岳场镇生</w:t>
                  </w:r>
                  <w:r>
                    <w:rPr>
                      <w:spacing w:val="3"/>
                      <w:sz w:val="20"/>
                      <w:szCs w:val="20"/>
                    </w:rPr>
                    <w:t xml:space="preserve"> </w:t>
                  </w:r>
                  <w:r>
                    <w:rPr>
                      <w:spacing w:val="-1"/>
                      <w:sz w:val="20"/>
                      <w:szCs w:val="20"/>
                    </w:rPr>
                    <w:t>活污水处理厂处理。</w:t>
                  </w:r>
                </w:p>
              </w:tc>
              <w:tc>
                <w:tcPr>
                  <w:tcW w:w="806" w:type="dxa"/>
                  <w:vAlign w:val="top"/>
                </w:tcPr>
                <w:p w14:paraId="412FC0B8">
                  <w:pPr>
                    <w:spacing w:line="305" w:lineRule="auto"/>
                    <w:rPr>
                      <w:rFonts w:ascii="Arial"/>
                      <w:sz w:val="21"/>
                    </w:rPr>
                  </w:pPr>
                </w:p>
                <w:p w14:paraId="785A262E">
                  <w:pPr>
                    <w:spacing w:line="305" w:lineRule="auto"/>
                    <w:rPr>
                      <w:rFonts w:ascii="Arial"/>
                      <w:sz w:val="21"/>
                    </w:rPr>
                  </w:pPr>
                </w:p>
                <w:p w14:paraId="7C429582">
                  <w:pPr>
                    <w:pStyle w:val="6"/>
                    <w:spacing w:before="66" w:line="220" w:lineRule="auto"/>
                    <w:ind w:left="210"/>
                    <w:rPr>
                      <w:sz w:val="20"/>
                      <w:szCs w:val="20"/>
                    </w:rPr>
                  </w:pPr>
                  <w:r>
                    <w:rPr>
                      <w:spacing w:val="-3"/>
                      <w:sz w:val="20"/>
                      <w:szCs w:val="20"/>
                    </w:rPr>
                    <w:t>符合</w:t>
                  </w:r>
                </w:p>
              </w:tc>
            </w:tr>
          </w:tbl>
          <w:p w14:paraId="185531E2">
            <w:pPr>
              <w:spacing w:line="14" w:lineRule="auto"/>
              <w:rPr>
                <w:rFonts w:ascii="Arial"/>
                <w:sz w:val="2"/>
              </w:rPr>
            </w:pPr>
          </w:p>
        </w:tc>
      </w:tr>
    </w:tbl>
    <w:p w14:paraId="2A009B63">
      <w:pPr>
        <w:rPr>
          <w:rFonts w:ascii="Arial"/>
          <w:sz w:val="21"/>
        </w:rPr>
      </w:pPr>
    </w:p>
    <w:p w14:paraId="59BA241F">
      <w:pPr>
        <w:rPr>
          <w:rFonts w:ascii="Arial" w:hAnsi="Arial" w:eastAsia="Arial" w:cs="Arial"/>
          <w:sz w:val="21"/>
          <w:szCs w:val="21"/>
        </w:rPr>
        <w:sectPr>
          <w:footerReference r:id="rId25" w:type="default"/>
          <w:pgSz w:w="11907" w:h="16839"/>
          <w:pgMar w:top="1431" w:right="1498" w:bottom="1055" w:left="1498" w:header="0" w:footer="800" w:gutter="0"/>
          <w:cols w:space="720" w:num="1"/>
        </w:sectPr>
      </w:pPr>
    </w:p>
    <w:p w14:paraId="32E0E0F1">
      <w:pPr>
        <w:spacing w:before="28"/>
      </w:pPr>
    </w:p>
    <w:tbl>
      <w:tblPr>
        <w:tblStyle w:val="5"/>
        <w:tblW w:w="89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3"/>
        <w:gridCol w:w="113"/>
        <w:gridCol w:w="581"/>
        <w:gridCol w:w="3977"/>
        <w:gridCol w:w="1989"/>
        <w:gridCol w:w="801"/>
        <w:gridCol w:w="119"/>
      </w:tblGrid>
      <w:tr w14:paraId="34CB6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3" w:hRule="atLeast"/>
        </w:trPr>
        <w:tc>
          <w:tcPr>
            <w:tcW w:w="1323" w:type="dxa"/>
            <w:vMerge w:val="restart"/>
            <w:tcBorders>
              <w:bottom w:val="nil"/>
            </w:tcBorders>
            <w:vAlign w:val="top"/>
          </w:tcPr>
          <w:p w14:paraId="42D221A3">
            <w:pPr>
              <w:rPr>
                <w:rFonts w:ascii="Arial"/>
                <w:sz w:val="21"/>
              </w:rPr>
            </w:pPr>
          </w:p>
        </w:tc>
        <w:tc>
          <w:tcPr>
            <w:tcW w:w="113" w:type="dxa"/>
            <w:vMerge w:val="restart"/>
            <w:tcBorders>
              <w:bottom w:val="nil"/>
            </w:tcBorders>
            <w:vAlign w:val="top"/>
          </w:tcPr>
          <w:p w14:paraId="6E7AAD45">
            <w:pPr>
              <w:rPr>
                <w:rFonts w:ascii="Arial"/>
                <w:sz w:val="21"/>
              </w:rPr>
            </w:pPr>
          </w:p>
        </w:tc>
        <w:tc>
          <w:tcPr>
            <w:tcW w:w="581" w:type="dxa"/>
            <w:vAlign w:val="top"/>
          </w:tcPr>
          <w:p w14:paraId="2299C293">
            <w:pPr>
              <w:spacing w:line="293" w:lineRule="auto"/>
              <w:rPr>
                <w:rFonts w:ascii="Arial"/>
                <w:sz w:val="21"/>
              </w:rPr>
            </w:pPr>
          </w:p>
          <w:p w14:paraId="2A433FC7">
            <w:pPr>
              <w:spacing w:line="294" w:lineRule="auto"/>
              <w:rPr>
                <w:rFonts w:ascii="Arial"/>
                <w:sz w:val="21"/>
              </w:rPr>
            </w:pPr>
          </w:p>
          <w:p w14:paraId="702C5F17">
            <w:pPr>
              <w:spacing w:line="294" w:lineRule="auto"/>
              <w:rPr>
                <w:rFonts w:ascii="Arial"/>
                <w:sz w:val="21"/>
              </w:rPr>
            </w:pPr>
          </w:p>
          <w:p w14:paraId="5BAC5B57">
            <w:pPr>
              <w:pStyle w:val="6"/>
              <w:spacing w:before="65" w:line="242" w:lineRule="auto"/>
              <w:ind w:left="242"/>
              <w:rPr>
                <w:sz w:val="20"/>
                <w:szCs w:val="20"/>
              </w:rPr>
            </w:pPr>
            <w:r>
              <w:rPr>
                <w:sz w:val="20"/>
                <w:szCs w:val="20"/>
              </w:rPr>
              <w:t>4</w:t>
            </w:r>
          </w:p>
        </w:tc>
        <w:tc>
          <w:tcPr>
            <w:tcW w:w="3977" w:type="dxa"/>
            <w:vAlign w:val="top"/>
          </w:tcPr>
          <w:p w14:paraId="625A9CDA">
            <w:pPr>
              <w:spacing w:line="246" w:lineRule="auto"/>
              <w:rPr>
                <w:rFonts w:ascii="Arial"/>
                <w:sz w:val="21"/>
              </w:rPr>
            </w:pPr>
          </w:p>
          <w:p w14:paraId="3FC0F0AB">
            <w:pPr>
              <w:spacing w:line="246" w:lineRule="auto"/>
              <w:rPr>
                <w:rFonts w:ascii="Arial"/>
                <w:sz w:val="21"/>
              </w:rPr>
            </w:pPr>
          </w:p>
          <w:p w14:paraId="36529AD0">
            <w:pPr>
              <w:pStyle w:val="6"/>
              <w:spacing w:before="65" w:line="241" w:lineRule="auto"/>
              <w:ind w:left="61"/>
              <w:jc w:val="both"/>
              <w:rPr>
                <w:sz w:val="20"/>
                <w:szCs w:val="20"/>
              </w:rPr>
            </w:pPr>
            <w:r>
              <w:rPr>
                <w:spacing w:val="1"/>
                <w:sz w:val="20"/>
                <w:szCs w:val="20"/>
              </w:rPr>
              <w:t>禁止在嘉陵江流域水土流失严重、生态脆弱</w:t>
            </w:r>
            <w:r>
              <w:rPr>
                <w:spacing w:val="17"/>
                <w:sz w:val="20"/>
                <w:szCs w:val="20"/>
              </w:rPr>
              <w:t xml:space="preserve"> </w:t>
            </w:r>
            <w:r>
              <w:rPr>
                <w:spacing w:val="1"/>
                <w:sz w:val="20"/>
                <w:szCs w:val="20"/>
              </w:rPr>
              <w:t>的区域开展可能造成水土流失的生产建设活</w:t>
            </w:r>
            <w:r>
              <w:rPr>
                <w:spacing w:val="16"/>
                <w:sz w:val="20"/>
                <w:szCs w:val="20"/>
              </w:rPr>
              <w:t xml:space="preserve"> </w:t>
            </w:r>
            <w:r>
              <w:rPr>
                <w:spacing w:val="1"/>
                <w:sz w:val="20"/>
                <w:szCs w:val="20"/>
              </w:rPr>
              <w:t>动。确因国家发展战略和国计民生需要建设</w:t>
            </w:r>
            <w:r>
              <w:rPr>
                <w:spacing w:val="16"/>
                <w:sz w:val="20"/>
                <w:szCs w:val="20"/>
              </w:rPr>
              <w:t xml:space="preserve"> </w:t>
            </w:r>
            <w:r>
              <w:rPr>
                <w:spacing w:val="-5"/>
                <w:sz w:val="20"/>
                <w:szCs w:val="20"/>
              </w:rPr>
              <w:t>的，应当经科学论证，并依法办理审批手续。</w:t>
            </w:r>
          </w:p>
        </w:tc>
        <w:tc>
          <w:tcPr>
            <w:tcW w:w="1989" w:type="dxa"/>
            <w:vAlign w:val="top"/>
          </w:tcPr>
          <w:p w14:paraId="0068A90A">
            <w:pPr>
              <w:pStyle w:val="6"/>
              <w:spacing w:before="46" w:line="235" w:lineRule="auto"/>
              <w:ind w:left="62" w:right="52" w:firstLine="1"/>
              <w:jc w:val="both"/>
              <w:rPr>
                <w:sz w:val="20"/>
                <w:szCs w:val="20"/>
              </w:rPr>
            </w:pPr>
            <w:r>
              <w:rPr>
                <w:spacing w:val="7"/>
                <w:sz w:val="20"/>
                <w:szCs w:val="20"/>
              </w:rPr>
              <w:t>本项目建设区域不属</w:t>
            </w:r>
            <w:r>
              <w:rPr>
                <w:spacing w:val="1"/>
                <w:sz w:val="20"/>
                <w:szCs w:val="20"/>
              </w:rPr>
              <w:t xml:space="preserve"> </w:t>
            </w:r>
            <w:r>
              <w:rPr>
                <w:spacing w:val="7"/>
                <w:sz w:val="20"/>
                <w:szCs w:val="20"/>
              </w:rPr>
              <w:t>于嘉陵江流域水土流</w:t>
            </w:r>
            <w:r>
              <w:rPr>
                <w:spacing w:val="3"/>
                <w:sz w:val="20"/>
                <w:szCs w:val="20"/>
              </w:rPr>
              <w:t xml:space="preserve"> </w:t>
            </w:r>
            <w:r>
              <w:rPr>
                <w:spacing w:val="7"/>
                <w:sz w:val="20"/>
                <w:szCs w:val="20"/>
              </w:rPr>
              <w:t>失严重、生态脆弱的</w:t>
            </w:r>
            <w:r>
              <w:rPr>
                <w:spacing w:val="3"/>
                <w:sz w:val="20"/>
                <w:szCs w:val="20"/>
              </w:rPr>
              <w:t xml:space="preserve"> </w:t>
            </w:r>
            <w:r>
              <w:rPr>
                <w:spacing w:val="7"/>
                <w:sz w:val="20"/>
                <w:szCs w:val="20"/>
              </w:rPr>
              <w:t>区域。本项目系租用</w:t>
            </w:r>
            <w:r>
              <w:rPr>
                <w:spacing w:val="4"/>
                <w:sz w:val="20"/>
                <w:szCs w:val="20"/>
              </w:rPr>
              <w:t xml:space="preserve"> </w:t>
            </w:r>
            <w:r>
              <w:rPr>
                <w:spacing w:val="7"/>
                <w:sz w:val="20"/>
                <w:szCs w:val="20"/>
              </w:rPr>
              <w:t>厂房进行建设，不涉</w:t>
            </w:r>
            <w:r>
              <w:rPr>
                <w:spacing w:val="3"/>
                <w:sz w:val="20"/>
                <w:szCs w:val="20"/>
              </w:rPr>
              <w:t xml:space="preserve"> </w:t>
            </w:r>
            <w:r>
              <w:rPr>
                <w:spacing w:val="7"/>
                <w:sz w:val="20"/>
                <w:szCs w:val="20"/>
              </w:rPr>
              <w:t>及大型土建施工，不</w:t>
            </w:r>
            <w:r>
              <w:rPr>
                <w:spacing w:val="3"/>
                <w:sz w:val="20"/>
                <w:szCs w:val="20"/>
              </w:rPr>
              <w:t xml:space="preserve"> </w:t>
            </w:r>
            <w:r>
              <w:rPr>
                <w:spacing w:val="7"/>
                <w:sz w:val="20"/>
                <w:szCs w:val="20"/>
              </w:rPr>
              <w:t>会造成施工期水土流</w:t>
            </w:r>
            <w:r>
              <w:rPr>
                <w:spacing w:val="3"/>
                <w:sz w:val="20"/>
                <w:szCs w:val="20"/>
              </w:rPr>
              <w:t xml:space="preserve"> </w:t>
            </w:r>
            <w:r>
              <w:rPr>
                <w:spacing w:val="-7"/>
                <w:sz w:val="20"/>
                <w:szCs w:val="20"/>
              </w:rPr>
              <w:t>失影响。</w:t>
            </w:r>
          </w:p>
        </w:tc>
        <w:tc>
          <w:tcPr>
            <w:tcW w:w="801" w:type="dxa"/>
            <w:vAlign w:val="top"/>
          </w:tcPr>
          <w:p w14:paraId="667DDBFC">
            <w:pPr>
              <w:spacing w:line="293" w:lineRule="auto"/>
              <w:rPr>
                <w:rFonts w:ascii="Arial"/>
                <w:sz w:val="21"/>
              </w:rPr>
            </w:pPr>
          </w:p>
          <w:p w14:paraId="41E7783F">
            <w:pPr>
              <w:spacing w:line="294" w:lineRule="auto"/>
              <w:rPr>
                <w:rFonts w:ascii="Arial"/>
                <w:sz w:val="21"/>
              </w:rPr>
            </w:pPr>
          </w:p>
          <w:p w14:paraId="2D766FCD">
            <w:pPr>
              <w:spacing w:line="294" w:lineRule="auto"/>
              <w:rPr>
                <w:rFonts w:ascii="Arial"/>
                <w:sz w:val="21"/>
              </w:rPr>
            </w:pPr>
          </w:p>
          <w:p w14:paraId="3312404E">
            <w:pPr>
              <w:pStyle w:val="6"/>
              <w:spacing w:before="65" w:line="220" w:lineRule="auto"/>
              <w:ind w:left="210"/>
              <w:rPr>
                <w:sz w:val="20"/>
                <w:szCs w:val="20"/>
              </w:rPr>
            </w:pPr>
            <w:r>
              <w:rPr>
                <w:spacing w:val="-3"/>
                <w:sz w:val="20"/>
                <w:szCs w:val="20"/>
              </w:rPr>
              <w:t>符合</w:t>
            </w:r>
          </w:p>
        </w:tc>
        <w:tc>
          <w:tcPr>
            <w:tcW w:w="119" w:type="dxa"/>
            <w:vMerge w:val="restart"/>
            <w:tcBorders>
              <w:bottom w:val="nil"/>
            </w:tcBorders>
            <w:vAlign w:val="top"/>
          </w:tcPr>
          <w:p w14:paraId="04713426">
            <w:pPr>
              <w:rPr>
                <w:rFonts w:ascii="Arial"/>
                <w:sz w:val="21"/>
              </w:rPr>
            </w:pPr>
          </w:p>
        </w:tc>
      </w:tr>
      <w:tr w14:paraId="485E3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2" w:hRule="atLeast"/>
        </w:trPr>
        <w:tc>
          <w:tcPr>
            <w:tcW w:w="1323" w:type="dxa"/>
            <w:vMerge w:val="continue"/>
            <w:tcBorders>
              <w:top w:val="nil"/>
              <w:bottom w:val="nil"/>
            </w:tcBorders>
            <w:vAlign w:val="top"/>
          </w:tcPr>
          <w:p w14:paraId="60F72090">
            <w:pPr>
              <w:rPr>
                <w:rFonts w:ascii="Arial"/>
                <w:sz w:val="21"/>
              </w:rPr>
            </w:pPr>
          </w:p>
        </w:tc>
        <w:tc>
          <w:tcPr>
            <w:tcW w:w="113" w:type="dxa"/>
            <w:vMerge w:val="continue"/>
            <w:tcBorders>
              <w:top w:val="nil"/>
              <w:bottom w:val="nil"/>
            </w:tcBorders>
            <w:vAlign w:val="top"/>
          </w:tcPr>
          <w:p w14:paraId="46A6A637">
            <w:pPr>
              <w:rPr>
                <w:rFonts w:ascii="Arial"/>
                <w:sz w:val="21"/>
              </w:rPr>
            </w:pPr>
          </w:p>
        </w:tc>
        <w:tc>
          <w:tcPr>
            <w:tcW w:w="581" w:type="dxa"/>
            <w:vAlign w:val="top"/>
          </w:tcPr>
          <w:p w14:paraId="133E13F5">
            <w:pPr>
              <w:spacing w:line="305" w:lineRule="auto"/>
              <w:rPr>
                <w:rFonts w:ascii="Arial"/>
                <w:sz w:val="21"/>
              </w:rPr>
            </w:pPr>
          </w:p>
          <w:p w14:paraId="5384F239">
            <w:pPr>
              <w:spacing w:line="305" w:lineRule="auto"/>
              <w:rPr>
                <w:rFonts w:ascii="Arial"/>
                <w:sz w:val="21"/>
              </w:rPr>
            </w:pPr>
          </w:p>
          <w:p w14:paraId="37976CCC">
            <w:pPr>
              <w:pStyle w:val="6"/>
              <w:spacing w:before="65"/>
              <w:ind w:left="247"/>
              <w:rPr>
                <w:sz w:val="20"/>
                <w:szCs w:val="20"/>
              </w:rPr>
            </w:pPr>
            <w:r>
              <w:rPr>
                <w:sz w:val="20"/>
                <w:szCs w:val="20"/>
              </w:rPr>
              <w:t>5</w:t>
            </w:r>
          </w:p>
        </w:tc>
        <w:tc>
          <w:tcPr>
            <w:tcW w:w="3977" w:type="dxa"/>
            <w:vAlign w:val="top"/>
          </w:tcPr>
          <w:p w14:paraId="01917907">
            <w:pPr>
              <w:spacing w:line="352" w:lineRule="auto"/>
              <w:rPr>
                <w:rFonts w:ascii="Arial"/>
                <w:sz w:val="21"/>
              </w:rPr>
            </w:pPr>
          </w:p>
          <w:p w14:paraId="1C5EFAB6">
            <w:pPr>
              <w:pStyle w:val="6"/>
              <w:spacing w:before="65" w:line="241" w:lineRule="auto"/>
              <w:ind w:left="63" w:right="57" w:hanging="2"/>
              <w:jc w:val="both"/>
              <w:rPr>
                <w:sz w:val="20"/>
                <w:szCs w:val="20"/>
              </w:rPr>
            </w:pPr>
            <w:r>
              <w:rPr>
                <w:spacing w:val="2"/>
                <w:sz w:val="20"/>
                <w:szCs w:val="20"/>
              </w:rPr>
              <w:t>排污单位对污水进行预处理后向污水集中处</w:t>
            </w:r>
            <w:r>
              <w:rPr>
                <w:spacing w:val="14"/>
                <w:sz w:val="20"/>
                <w:szCs w:val="20"/>
              </w:rPr>
              <w:t xml:space="preserve"> </w:t>
            </w:r>
            <w:r>
              <w:rPr>
                <w:spacing w:val="2"/>
                <w:sz w:val="20"/>
                <w:szCs w:val="20"/>
              </w:rPr>
              <w:t>理设施排放的，应当符合污水集中处理设施</w:t>
            </w:r>
            <w:r>
              <w:rPr>
                <w:spacing w:val="12"/>
                <w:sz w:val="20"/>
                <w:szCs w:val="20"/>
              </w:rPr>
              <w:t xml:space="preserve"> </w:t>
            </w:r>
            <w:r>
              <w:rPr>
                <w:spacing w:val="-4"/>
                <w:sz w:val="20"/>
                <w:szCs w:val="20"/>
              </w:rPr>
              <w:t>的接纳标准。</w:t>
            </w:r>
          </w:p>
        </w:tc>
        <w:tc>
          <w:tcPr>
            <w:tcW w:w="1989" w:type="dxa"/>
            <w:vAlign w:val="top"/>
          </w:tcPr>
          <w:p w14:paraId="0193723F">
            <w:pPr>
              <w:pStyle w:val="6"/>
              <w:spacing w:before="30" w:line="234" w:lineRule="auto"/>
              <w:ind w:left="63" w:right="52"/>
              <w:jc w:val="both"/>
              <w:rPr>
                <w:sz w:val="20"/>
                <w:szCs w:val="20"/>
              </w:rPr>
            </w:pPr>
            <w:r>
              <w:rPr>
                <w:spacing w:val="7"/>
                <w:sz w:val="20"/>
                <w:szCs w:val="20"/>
              </w:rPr>
              <w:t>本项目生产废水能够</w:t>
            </w:r>
            <w:r>
              <w:rPr>
                <w:spacing w:val="3"/>
                <w:sz w:val="20"/>
                <w:szCs w:val="20"/>
              </w:rPr>
              <w:t xml:space="preserve"> </w:t>
            </w:r>
            <w:r>
              <w:rPr>
                <w:spacing w:val="6"/>
                <w:sz w:val="20"/>
                <w:szCs w:val="20"/>
              </w:rPr>
              <w:t>循环回用不外排；生</w:t>
            </w:r>
            <w:r>
              <w:rPr>
                <w:spacing w:val="3"/>
                <w:sz w:val="20"/>
                <w:szCs w:val="20"/>
              </w:rPr>
              <w:t xml:space="preserve"> </w:t>
            </w:r>
            <w:r>
              <w:rPr>
                <w:spacing w:val="7"/>
                <w:sz w:val="20"/>
                <w:szCs w:val="20"/>
              </w:rPr>
              <w:t>活污水设化粪池收集</w:t>
            </w:r>
            <w:r>
              <w:rPr>
                <w:spacing w:val="2"/>
                <w:sz w:val="20"/>
                <w:szCs w:val="20"/>
              </w:rPr>
              <w:t xml:space="preserve"> </w:t>
            </w:r>
            <w:r>
              <w:rPr>
                <w:spacing w:val="7"/>
                <w:sz w:val="20"/>
                <w:szCs w:val="20"/>
              </w:rPr>
              <w:t>处理后，经场镇污水</w:t>
            </w:r>
            <w:r>
              <w:rPr>
                <w:spacing w:val="3"/>
                <w:sz w:val="20"/>
                <w:szCs w:val="20"/>
              </w:rPr>
              <w:t xml:space="preserve"> </w:t>
            </w:r>
            <w:r>
              <w:rPr>
                <w:spacing w:val="7"/>
                <w:sz w:val="20"/>
                <w:szCs w:val="20"/>
              </w:rPr>
              <w:t>管网进入东岳场镇生</w:t>
            </w:r>
            <w:r>
              <w:rPr>
                <w:spacing w:val="3"/>
                <w:sz w:val="20"/>
                <w:szCs w:val="20"/>
              </w:rPr>
              <w:t xml:space="preserve"> </w:t>
            </w:r>
            <w:r>
              <w:rPr>
                <w:spacing w:val="-1"/>
                <w:sz w:val="20"/>
                <w:szCs w:val="20"/>
              </w:rPr>
              <w:t>活污水处理厂处理。</w:t>
            </w:r>
          </w:p>
        </w:tc>
        <w:tc>
          <w:tcPr>
            <w:tcW w:w="801" w:type="dxa"/>
            <w:vAlign w:val="top"/>
          </w:tcPr>
          <w:p w14:paraId="234D5B1B">
            <w:pPr>
              <w:spacing w:line="305" w:lineRule="auto"/>
              <w:rPr>
                <w:rFonts w:ascii="Arial"/>
                <w:sz w:val="21"/>
              </w:rPr>
            </w:pPr>
          </w:p>
          <w:p w14:paraId="371F8CF9">
            <w:pPr>
              <w:spacing w:line="305" w:lineRule="auto"/>
              <w:rPr>
                <w:rFonts w:ascii="Arial"/>
                <w:sz w:val="21"/>
              </w:rPr>
            </w:pPr>
          </w:p>
          <w:p w14:paraId="04172469">
            <w:pPr>
              <w:pStyle w:val="6"/>
              <w:spacing w:before="65" w:line="220" w:lineRule="auto"/>
              <w:ind w:left="210"/>
              <w:rPr>
                <w:sz w:val="20"/>
                <w:szCs w:val="20"/>
              </w:rPr>
            </w:pPr>
            <w:r>
              <w:rPr>
                <w:spacing w:val="-3"/>
                <w:sz w:val="20"/>
                <w:szCs w:val="20"/>
              </w:rPr>
              <w:t>符合</w:t>
            </w:r>
          </w:p>
        </w:tc>
        <w:tc>
          <w:tcPr>
            <w:tcW w:w="119" w:type="dxa"/>
            <w:vMerge w:val="continue"/>
            <w:tcBorders>
              <w:top w:val="nil"/>
              <w:bottom w:val="nil"/>
            </w:tcBorders>
            <w:vAlign w:val="top"/>
          </w:tcPr>
          <w:p w14:paraId="75B5EDA2">
            <w:pPr>
              <w:rPr>
                <w:rFonts w:ascii="Arial"/>
                <w:sz w:val="21"/>
              </w:rPr>
            </w:pPr>
          </w:p>
        </w:tc>
      </w:tr>
      <w:tr w14:paraId="3D8C5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1323" w:type="dxa"/>
            <w:vMerge w:val="continue"/>
            <w:tcBorders>
              <w:top w:val="nil"/>
              <w:bottom w:val="nil"/>
            </w:tcBorders>
            <w:vAlign w:val="top"/>
          </w:tcPr>
          <w:p w14:paraId="43102A18">
            <w:pPr>
              <w:rPr>
                <w:rFonts w:ascii="Arial"/>
                <w:sz w:val="21"/>
              </w:rPr>
            </w:pPr>
          </w:p>
        </w:tc>
        <w:tc>
          <w:tcPr>
            <w:tcW w:w="113" w:type="dxa"/>
            <w:vMerge w:val="continue"/>
            <w:tcBorders>
              <w:top w:val="nil"/>
              <w:bottom w:val="nil"/>
            </w:tcBorders>
            <w:vAlign w:val="top"/>
          </w:tcPr>
          <w:p w14:paraId="084BDAA9">
            <w:pPr>
              <w:rPr>
                <w:rFonts w:ascii="Arial"/>
                <w:sz w:val="21"/>
              </w:rPr>
            </w:pPr>
          </w:p>
        </w:tc>
        <w:tc>
          <w:tcPr>
            <w:tcW w:w="581" w:type="dxa"/>
            <w:vAlign w:val="top"/>
          </w:tcPr>
          <w:p w14:paraId="089EB543">
            <w:pPr>
              <w:spacing w:line="304" w:lineRule="auto"/>
              <w:rPr>
                <w:rFonts w:ascii="Arial"/>
                <w:sz w:val="21"/>
              </w:rPr>
            </w:pPr>
          </w:p>
          <w:p w14:paraId="06A8AB90">
            <w:pPr>
              <w:spacing w:line="305" w:lineRule="auto"/>
              <w:rPr>
                <w:rFonts w:ascii="Arial"/>
                <w:sz w:val="21"/>
              </w:rPr>
            </w:pPr>
          </w:p>
          <w:p w14:paraId="10529F53">
            <w:pPr>
              <w:pStyle w:val="6"/>
              <w:spacing w:before="65"/>
              <w:ind w:left="245"/>
              <w:rPr>
                <w:sz w:val="20"/>
                <w:szCs w:val="20"/>
              </w:rPr>
            </w:pPr>
            <w:r>
              <w:rPr>
                <w:sz w:val="20"/>
                <w:szCs w:val="20"/>
              </w:rPr>
              <w:t>6</w:t>
            </w:r>
          </w:p>
        </w:tc>
        <w:tc>
          <w:tcPr>
            <w:tcW w:w="3977" w:type="dxa"/>
            <w:vAlign w:val="top"/>
          </w:tcPr>
          <w:p w14:paraId="57EFEF0B">
            <w:pPr>
              <w:pStyle w:val="6"/>
              <w:spacing w:before="162"/>
              <w:ind w:left="61" w:right="57"/>
              <w:jc w:val="both"/>
              <w:rPr>
                <w:sz w:val="20"/>
                <w:szCs w:val="20"/>
              </w:rPr>
            </w:pPr>
            <w:r>
              <w:rPr>
                <w:spacing w:val="2"/>
                <w:sz w:val="20"/>
                <w:szCs w:val="20"/>
              </w:rPr>
              <w:t>化学品生产企业以及工业集聚区、矿山开采</w:t>
            </w:r>
            <w:r>
              <w:rPr>
                <w:spacing w:val="14"/>
                <w:sz w:val="20"/>
                <w:szCs w:val="20"/>
              </w:rPr>
              <w:t xml:space="preserve"> </w:t>
            </w:r>
            <w:r>
              <w:rPr>
                <w:spacing w:val="2"/>
                <w:sz w:val="20"/>
                <w:szCs w:val="20"/>
              </w:rPr>
              <w:t>区、尾矿库、危险废物处置场、垃圾填埋场</w:t>
            </w:r>
            <w:r>
              <w:rPr>
                <w:spacing w:val="14"/>
                <w:sz w:val="20"/>
                <w:szCs w:val="20"/>
              </w:rPr>
              <w:t xml:space="preserve"> </w:t>
            </w:r>
            <w:r>
              <w:rPr>
                <w:spacing w:val="2"/>
                <w:sz w:val="20"/>
                <w:szCs w:val="20"/>
              </w:rPr>
              <w:t>等运营、管理单位，应当采取防渗漏、防垮</w:t>
            </w:r>
            <w:r>
              <w:rPr>
                <w:spacing w:val="14"/>
                <w:sz w:val="20"/>
                <w:szCs w:val="20"/>
              </w:rPr>
              <w:t xml:space="preserve"> </w:t>
            </w:r>
            <w:r>
              <w:rPr>
                <w:spacing w:val="2"/>
                <w:sz w:val="20"/>
                <w:szCs w:val="20"/>
              </w:rPr>
              <w:t>塌等措施，并建设地下水水质监测井进行监</w:t>
            </w:r>
            <w:r>
              <w:rPr>
                <w:spacing w:val="14"/>
                <w:sz w:val="20"/>
                <w:szCs w:val="20"/>
              </w:rPr>
              <w:t xml:space="preserve"> </w:t>
            </w:r>
            <w:r>
              <w:rPr>
                <w:spacing w:val="-3"/>
                <w:sz w:val="20"/>
                <w:szCs w:val="20"/>
              </w:rPr>
              <w:t>测，防止地下水污染。</w:t>
            </w:r>
          </w:p>
        </w:tc>
        <w:tc>
          <w:tcPr>
            <w:tcW w:w="1989" w:type="dxa"/>
            <w:vAlign w:val="top"/>
          </w:tcPr>
          <w:p w14:paraId="019C6189">
            <w:pPr>
              <w:pStyle w:val="6"/>
              <w:spacing w:before="28" w:line="234" w:lineRule="auto"/>
              <w:ind w:left="62" w:right="54" w:firstLine="2"/>
              <w:rPr>
                <w:sz w:val="20"/>
                <w:szCs w:val="20"/>
              </w:rPr>
            </w:pPr>
            <w:r>
              <w:rPr>
                <w:spacing w:val="7"/>
                <w:sz w:val="20"/>
                <w:szCs w:val="20"/>
              </w:rPr>
              <w:t>本项目不属于化学品</w:t>
            </w:r>
            <w:r>
              <w:rPr>
                <w:spacing w:val="1"/>
                <w:sz w:val="20"/>
                <w:szCs w:val="20"/>
              </w:rPr>
              <w:t xml:space="preserve"> </w:t>
            </w:r>
            <w:r>
              <w:rPr>
                <w:spacing w:val="7"/>
                <w:sz w:val="20"/>
                <w:szCs w:val="20"/>
              </w:rPr>
              <w:t>生产企业以及工业集</w:t>
            </w:r>
            <w:r>
              <w:rPr>
                <w:spacing w:val="3"/>
                <w:sz w:val="20"/>
                <w:szCs w:val="20"/>
              </w:rPr>
              <w:t xml:space="preserve"> </w:t>
            </w:r>
            <w:r>
              <w:rPr>
                <w:spacing w:val="4"/>
                <w:sz w:val="20"/>
                <w:szCs w:val="20"/>
              </w:rPr>
              <w:t>聚区、矿山开采区、</w:t>
            </w:r>
            <w:r>
              <w:rPr>
                <w:spacing w:val="1"/>
                <w:sz w:val="20"/>
                <w:szCs w:val="20"/>
              </w:rPr>
              <w:t xml:space="preserve"> </w:t>
            </w:r>
            <w:r>
              <w:rPr>
                <w:spacing w:val="7"/>
                <w:sz w:val="20"/>
                <w:szCs w:val="20"/>
              </w:rPr>
              <w:t>尾矿库、危险废物处</w:t>
            </w:r>
            <w:r>
              <w:rPr>
                <w:spacing w:val="3"/>
                <w:sz w:val="20"/>
                <w:szCs w:val="20"/>
              </w:rPr>
              <w:t xml:space="preserve"> </w:t>
            </w:r>
            <w:r>
              <w:rPr>
                <w:spacing w:val="7"/>
                <w:sz w:val="20"/>
                <w:szCs w:val="20"/>
              </w:rPr>
              <w:t>置场、垃圾填埋场等</w:t>
            </w:r>
            <w:r>
              <w:rPr>
                <w:spacing w:val="3"/>
                <w:sz w:val="20"/>
                <w:szCs w:val="20"/>
              </w:rPr>
              <w:t xml:space="preserve"> </w:t>
            </w:r>
            <w:r>
              <w:rPr>
                <w:spacing w:val="-1"/>
                <w:sz w:val="20"/>
                <w:szCs w:val="20"/>
              </w:rPr>
              <w:t>运营、管理单位。</w:t>
            </w:r>
          </w:p>
        </w:tc>
        <w:tc>
          <w:tcPr>
            <w:tcW w:w="801" w:type="dxa"/>
            <w:vAlign w:val="top"/>
          </w:tcPr>
          <w:p w14:paraId="5AEABBAA">
            <w:pPr>
              <w:spacing w:line="304" w:lineRule="auto"/>
              <w:rPr>
                <w:rFonts w:ascii="Arial"/>
                <w:sz w:val="21"/>
              </w:rPr>
            </w:pPr>
          </w:p>
          <w:p w14:paraId="4FF4BA13">
            <w:pPr>
              <w:spacing w:line="305" w:lineRule="auto"/>
              <w:rPr>
                <w:rFonts w:ascii="Arial"/>
                <w:sz w:val="21"/>
              </w:rPr>
            </w:pPr>
          </w:p>
          <w:p w14:paraId="0A4B7CCD">
            <w:pPr>
              <w:pStyle w:val="6"/>
              <w:spacing w:before="65" w:line="220" w:lineRule="auto"/>
              <w:ind w:left="210"/>
              <w:rPr>
                <w:sz w:val="20"/>
                <w:szCs w:val="20"/>
              </w:rPr>
            </w:pPr>
            <w:r>
              <w:rPr>
                <w:spacing w:val="-3"/>
                <w:sz w:val="20"/>
                <w:szCs w:val="20"/>
              </w:rPr>
              <w:t>符合</w:t>
            </w:r>
          </w:p>
        </w:tc>
        <w:tc>
          <w:tcPr>
            <w:tcW w:w="119" w:type="dxa"/>
            <w:vMerge w:val="continue"/>
            <w:tcBorders>
              <w:top w:val="nil"/>
              <w:bottom w:val="nil"/>
            </w:tcBorders>
            <w:vAlign w:val="top"/>
          </w:tcPr>
          <w:p w14:paraId="1D3CBAF2">
            <w:pPr>
              <w:rPr>
                <w:rFonts w:ascii="Arial"/>
                <w:sz w:val="21"/>
              </w:rPr>
            </w:pPr>
          </w:p>
        </w:tc>
      </w:tr>
      <w:tr w14:paraId="133C8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2" w:hRule="atLeast"/>
        </w:trPr>
        <w:tc>
          <w:tcPr>
            <w:tcW w:w="1323" w:type="dxa"/>
            <w:vMerge w:val="continue"/>
            <w:tcBorders>
              <w:top w:val="nil"/>
              <w:bottom w:val="nil"/>
            </w:tcBorders>
            <w:vAlign w:val="top"/>
          </w:tcPr>
          <w:p w14:paraId="44930FD5">
            <w:pPr>
              <w:rPr>
                <w:rFonts w:ascii="Arial"/>
                <w:sz w:val="21"/>
              </w:rPr>
            </w:pPr>
          </w:p>
        </w:tc>
        <w:tc>
          <w:tcPr>
            <w:tcW w:w="113" w:type="dxa"/>
            <w:vMerge w:val="continue"/>
            <w:tcBorders>
              <w:top w:val="nil"/>
              <w:bottom w:val="nil"/>
            </w:tcBorders>
            <w:vAlign w:val="top"/>
          </w:tcPr>
          <w:p w14:paraId="01855522">
            <w:pPr>
              <w:rPr>
                <w:rFonts w:ascii="Arial"/>
                <w:sz w:val="21"/>
              </w:rPr>
            </w:pPr>
          </w:p>
        </w:tc>
        <w:tc>
          <w:tcPr>
            <w:tcW w:w="581" w:type="dxa"/>
            <w:tcBorders>
              <w:bottom w:val="single" w:color="000000" w:sz="4" w:space="0"/>
            </w:tcBorders>
            <w:vAlign w:val="top"/>
          </w:tcPr>
          <w:p w14:paraId="4CFC68A2">
            <w:pPr>
              <w:spacing w:line="241" w:lineRule="auto"/>
              <w:rPr>
                <w:rFonts w:ascii="Arial"/>
                <w:sz w:val="21"/>
              </w:rPr>
            </w:pPr>
          </w:p>
          <w:p w14:paraId="6F68B99F">
            <w:pPr>
              <w:spacing w:line="241" w:lineRule="auto"/>
              <w:rPr>
                <w:rFonts w:ascii="Arial"/>
                <w:sz w:val="21"/>
              </w:rPr>
            </w:pPr>
          </w:p>
          <w:p w14:paraId="79C06007">
            <w:pPr>
              <w:pStyle w:val="6"/>
              <w:spacing w:before="65"/>
              <w:ind w:left="248"/>
              <w:rPr>
                <w:sz w:val="20"/>
                <w:szCs w:val="20"/>
              </w:rPr>
            </w:pPr>
            <w:r>
              <w:rPr>
                <w:sz w:val="20"/>
                <w:szCs w:val="20"/>
              </w:rPr>
              <w:t>7</w:t>
            </w:r>
          </w:p>
        </w:tc>
        <w:tc>
          <w:tcPr>
            <w:tcW w:w="3977" w:type="dxa"/>
            <w:tcBorders>
              <w:bottom w:val="single" w:color="000000" w:sz="4" w:space="0"/>
            </w:tcBorders>
            <w:vAlign w:val="top"/>
          </w:tcPr>
          <w:p w14:paraId="36C710BB">
            <w:pPr>
              <w:pStyle w:val="6"/>
              <w:spacing w:before="29" w:line="233" w:lineRule="auto"/>
              <w:ind w:left="61" w:right="57" w:firstLine="1"/>
              <w:jc w:val="both"/>
              <w:rPr>
                <w:sz w:val="20"/>
                <w:szCs w:val="20"/>
              </w:rPr>
            </w:pPr>
            <w:r>
              <w:rPr>
                <w:spacing w:val="2"/>
                <w:sz w:val="20"/>
                <w:szCs w:val="20"/>
              </w:rPr>
              <w:t>嘉陵江流域产业结构和布局应当与流域生态</w:t>
            </w:r>
            <w:r>
              <w:rPr>
                <w:spacing w:val="12"/>
                <w:sz w:val="20"/>
                <w:szCs w:val="20"/>
              </w:rPr>
              <w:t xml:space="preserve"> </w:t>
            </w:r>
            <w:r>
              <w:rPr>
                <w:spacing w:val="2"/>
                <w:sz w:val="20"/>
                <w:szCs w:val="20"/>
              </w:rPr>
              <w:t>系统和资源环境承载能力相适应。禁止在嘉</w:t>
            </w:r>
            <w:r>
              <w:rPr>
                <w:spacing w:val="14"/>
                <w:sz w:val="20"/>
                <w:szCs w:val="20"/>
              </w:rPr>
              <w:t xml:space="preserve"> </w:t>
            </w:r>
            <w:r>
              <w:rPr>
                <w:spacing w:val="2"/>
                <w:sz w:val="20"/>
                <w:szCs w:val="20"/>
              </w:rPr>
              <w:t>陵江流域重点生态功能区布局对生态系统有</w:t>
            </w:r>
            <w:r>
              <w:rPr>
                <w:spacing w:val="14"/>
                <w:sz w:val="20"/>
                <w:szCs w:val="20"/>
              </w:rPr>
              <w:t xml:space="preserve"> </w:t>
            </w:r>
            <w:r>
              <w:rPr>
                <w:spacing w:val="2"/>
                <w:sz w:val="20"/>
                <w:szCs w:val="20"/>
              </w:rPr>
              <w:t>严重影响的产业。禁止重污染企业和项目向</w:t>
            </w:r>
            <w:r>
              <w:rPr>
                <w:spacing w:val="14"/>
                <w:sz w:val="20"/>
                <w:szCs w:val="20"/>
              </w:rPr>
              <w:t xml:space="preserve"> </w:t>
            </w:r>
            <w:r>
              <w:rPr>
                <w:spacing w:val="-3"/>
                <w:sz w:val="20"/>
                <w:szCs w:val="20"/>
              </w:rPr>
              <w:t>嘉陵江流域转移。</w:t>
            </w:r>
          </w:p>
        </w:tc>
        <w:tc>
          <w:tcPr>
            <w:tcW w:w="1989" w:type="dxa"/>
            <w:tcBorders>
              <w:bottom w:val="single" w:color="000000" w:sz="4" w:space="0"/>
            </w:tcBorders>
            <w:vAlign w:val="top"/>
          </w:tcPr>
          <w:p w14:paraId="175CF900">
            <w:pPr>
              <w:spacing w:line="352" w:lineRule="auto"/>
              <w:rPr>
                <w:rFonts w:ascii="Arial"/>
                <w:sz w:val="21"/>
              </w:rPr>
            </w:pPr>
          </w:p>
          <w:p w14:paraId="481D1AD7">
            <w:pPr>
              <w:pStyle w:val="6"/>
              <w:spacing w:before="65" w:line="242" w:lineRule="auto"/>
              <w:ind w:left="66" w:right="54" w:hanging="2"/>
              <w:rPr>
                <w:sz w:val="20"/>
                <w:szCs w:val="20"/>
              </w:rPr>
            </w:pPr>
            <w:r>
              <w:rPr>
                <w:spacing w:val="7"/>
                <w:sz w:val="20"/>
                <w:szCs w:val="20"/>
              </w:rPr>
              <w:t>本项目不属于重污染</w:t>
            </w:r>
            <w:r>
              <w:rPr>
                <w:spacing w:val="1"/>
                <w:sz w:val="20"/>
                <w:szCs w:val="20"/>
              </w:rPr>
              <w:t xml:space="preserve"> </w:t>
            </w:r>
            <w:r>
              <w:rPr>
                <w:spacing w:val="-9"/>
                <w:sz w:val="20"/>
                <w:szCs w:val="20"/>
              </w:rPr>
              <w:t>项目。</w:t>
            </w:r>
          </w:p>
        </w:tc>
        <w:tc>
          <w:tcPr>
            <w:tcW w:w="801" w:type="dxa"/>
            <w:tcBorders>
              <w:bottom w:val="single" w:color="000000" w:sz="4" w:space="0"/>
            </w:tcBorders>
            <w:vAlign w:val="top"/>
          </w:tcPr>
          <w:p w14:paraId="187EA25B">
            <w:pPr>
              <w:rPr>
                <w:rFonts w:ascii="Arial"/>
                <w:sz w:val="21"/>
              </w:rPr>
            </w:pPr>
          </w:p>
          <w:p w14:paraId="728B8491">
            <w:pPr>
              <w:spacing w:line="241" w:lineRule="auto"/>
              <w:rPr>
                <w:rFonts w:ascii="Arial"/>
                <w:sz w:val="21"/>
              </w:rPr>
            </w:pPr>
          </w:p>
          <w:p w14:paraId="32224F70">
            <w:pPr>
              <w:pStyle w:val="6"/>
              <w:spacing w:before="65" w:line="220" w:lineRule="auto"/>
              <w:ind w:left="210"/>
              <w:rPr>
                <w:sz w:val="20"/>
                <w:szCs w:val="20"/>
              </w:rPr>
            </w:pPr>
            <w:r>
              <w:rPr>
                <w:spacing w:val="-3"/>
                <w:sz w:val="20"/>
                <w:szCs w:val="20"/>
              </w:rPr>
              <w:t>符合</w:t>
            </w:r>
          </w:p>
        </w:tc>
        <w:tc>
          <w:tcPr>
            <w:tcW w:w="119" w:type="dxa"/>
            <w:vMerge w:val="continue"/>
            <w:tcBorders>
              <w:top w:val="nil"/>
              <w:bottom w:val="nil"/>
            </w:tcBorders>
            <w:vAlign w:val="top"/>
          </w:tcPr>
          <w:p w14:paraId="31DF14C0">
            <w:pPr>
              <w:rPr>
                <w:rFonts w:ascii="Arial"/>
                <w:sz w:val="21"/>
              </w:rPr>
            </w:pPr>
          </w:p>
        </w:tc>
      </w:tr>
      <w:tr w14:paraId="43561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37" w:hRule="atLeast"/>
        </w:trPr>
        <w:tc>
          <w:tcPr>
            <w:tcW w:w="1323" w:type="dxa"/>
            <w:vMerge w:val="continue"/>
            <w:tcBorders>
              <w:top w:val="nil"/>
              <w:bottom w:val="nil"/>
            </w:tcBorders>
            <w:vAlign w:val="top"/>
          </w:tcPr>
          <w:p w14:paraId="5E31EEFC">
            <w:pPr>
              <w:rPr>
                <w:rFonts w:ascii="Arial"/>
                <w:sz w:val="21"/>
              </w:rPr>
            </w:pPr>
          </w:p>
        </w:tc>
        <w:tc>
          <w:tcPr>
            <w:tcW w:w="113" w:type="dxa"/>
            <w:vMerge w:val="continue"/>
            <w:tcBorders>
              <w:top w:val="nil"/>
              <w:bottom w:val="nil"/>
            </w:tcBorders>
            <w:vAlign w:val="top"/>
          </w:tcPr>
          <w:p w14:paraId="339DF285">
            <w:pPr>
              <w:rPr>
                <w:rFonts w:ascii="Arial"/>
                <w:sz w:val="21"/>
              </w:rPr>
            </w:pPr>
          </w:p>
        </w:tc>
        <w:tc>
          <w:tcPr>
            <w:tcW w:w="581" w:type="dxa"/>
            <w:tcBorders>
              <w:top w:val="single" w:color="000000" w:sz="4" w:space="0"/>
            </w:tcBorders>
            <w:vAlign w:val="top"/>
          </w:tcPr>
          <w:p w14:paraId="64553B1F">
            <w:pPr>
              <w:spacing w:line="348" w:lineRule="auto"/>
              <w:rPr>
                <w:rFonts w:ascii="Arial"/>
                <w:sz w:val="21"/>
              </w:rPr>
            </w:pPr>
          </w:p>
          <w:p w14:paraId="660D6936">
            <w:pPr>
              <w:pStyle w:val="6"/>
              <w:spacing w:before="65"/>
              <w:ind w:left="244"/>
              <w:rPr>
                <w:sz w:val="20"/>
                <w:szCs w:val="20"/>
              </w:rPr>
            </w:pPr>
            <w:r>
              <w:rPr>
                <w:sz w:val="20"/>
                <w:szCs w:val="20"/>
              </w:rPr>
              <w:t>8</w:t>
            </w:r>
          </w:p>
        </w:tc>
        <w:tc>
          <w:tcPr>
            <w:tcW w:w="3977" w:type="dxa"/>
            <w:tcBorders>
              <w:top w:val="single" w:color="000000" w:sz="4" w:space="0"/>
            </w:tcBorders>
            <w:vAlign w:val="top"/>
          </w:tcPr>
          <w:p w14:paraId="44AF9CF0">
            <w:pPr>
              <w:pStyle w:val="6"/>
              <w:spacing w:before="286" w:line="241" w:lineRule="auto"/>
              <w:ind w:left="61" w:right="57" w:firstLine="13"/>
              <w:rPr>
                <w:sz w:val="20"/>
                <w:szCs w:val="20"/>
              </w:rPr>
            </w:pPr>
            <w:r>
              <w:rPr>
                <w:spacing w:val="2"/>
                <w:sz w:val="20"/>
                <w:szCs w:val="20"/>
              </w:rPr>
              <w:t>限期禁止生产、销售、进口、使用、转让严</w:t>
            </w:r>
            <w:r>
              <w:rPr>
                <w:sz w:val="20"/>
                <w:szCs w:val="20"/>
              </w:rPr>
              <w:t xml:space="preserve"> </w:t>
            </w:r>
            <w:r>
              <w:rPr>
                <w:spacing w:val="-1"/>
                <w:sz w:val="20"/>
                <w:szCs w:val="20"/>
              </w:rPr>
              <w:t>重污染水环境的工艺和设备。</w:t>
            </w:r>
          </w:p>
        </w:tc>
        <w:tc>
          <w:tcPr>
            <w:tcW w:w="1989" w:type="dxa"/>
            <w:tcBorders>
              <w:top w:val="single" w:color="000000" w:sz="4" w:space="0"/>
            </w:tcBorders>
            <w:vAlign w:val="top"/>
          </w:tcPr>
          <w:p w14:paraId="5D421105">
            <w:pPr>
              <w:pStyle w:val="6"/>
              <w:spacing w:before="26" w:line="231" w:lineRule="auto"/>
              <w:ind w:left="64" w:right="54"/>
              <w:rPr>
                <w:sz w:val="20"/>
                <w:szCs w:val="20"/>
              </w:rPr>
            </w:pPr>
            <w:r>
              <w:rPr>
                <w:spacing w:val="4"/>
                <w:sz w:val="20"/>
                <w:szCs w:val="20"/>
              </w:rPr>
              <w:t>本项目不涉及生产、</w:t>
            </w:r>
            <w:r>
              <w:rPr>
                <w:sz w:val="20"/>
                <w:szCs w:val="20"/>
              </w:rPr>
              <w:t xml:space="preserve"> </w:t>
            </w:r>
            <w:r>
              <w:rPr>
                <w:spacing w:val="4"/>
                <w:sz w:val="20"/>
                <w:szCs w:val="20"/>
              </w:rPr>
              <w:t>销售、进口、使用、</w:t>
            </w:r>
            <w:r>
              <w:rPr>
                <w:sz w:val="20"/>
                <w:szCs w:val="20"/>
              </w:rPr>
              <w:t xml:space="preserve"> </w:t>
            </w:r>
            <w:r>
              <w:rPr>
                <w:spacing w:val="7"/>
                <w:sz w:val="20"/>
                <w:szCs w:val="20"/>
              </w:rPr>
              <w:t>转让严重污染水环境</w:t>
            </w:r>
            <w:r>
              <w:rPr>
                <w:spacing w:val="1"/>
                <w:sz w:val="20"/>
                <w:szCs w:val="20"/>
              </w:rPr>
              <w:t xml:space="preserve"> </w:t>
            </w:r>
            <w:r>
              <w:rPr>
                <w:spacing w:val="-2"/>
                <w:sz w:val="20"/>
                <w:szCs w:val="20"/>
              </w:rPr>
              <w:t>的工艺和设备</w:t>
            </w:r>
          </w:p>
        </w:tc>
        <w:tc>
          <w:tcPr>
            <w:tcW w:w="801" w:type="dxa"/>
            <w:tcBorders>
              <w:top w:val="single" w:color="000000" w:sz="4" w:space="0"/>
            </w:tcBorders>
            <w:vAlign w:val="top"/>
          </w:tcPr>
          <w:p w14:paraId="34C44E15">
            <w:pPr>
              <w:spacing w:line="348" w:lineRule="auto"/>
              <w:rPr>
                <w:rFonts w:ascii="Arial"/>
                <w:sz w:val="21"/>
              </w:rPr>
            </w:pPr>
          </w:p>
          <w:p w14:paraId="2C3AED78">
            <w:pPr>
              <w:pStyle w:val="6"/>
              <w:spacing w:before="65" w:line="220" w:lineRule="auto"/>
              <w:ind w:left="210"/>
              <w:rPr>
                <w:sz w:val="20"/>
                <w:szCs w:val="20"/>
              </w:rPr>
            </w:pPr>
            <w:r>
              <w:rPr>
                <w:spacing w:val="-3"/>
                <w:sz w:val="20"/>
                <w:szCs w:val="20"/>
              </w:rPr>
              <w:t>符合</w:t>
            </w:r>
          </w:p>
        </w:tc>
        <w:tc>
          <w:tcPr>
            <w:tcW w:w="119" w:type="dxa"/>
            <w:vMerge w:val="continue"/>
            <w:tcBorders>
              <w:top w:val="nil"/>
              <w:bottom w:val="nil"/>
            </w:tcBorders>
            <w:vAlign w:val="top"/>
          </w:tcPr>
          <w:p w14:paraId="6BBAA15A">
            <w:pPr>
              <w:rPr>
                <w:rFonts w:ascii="Arial"/>
                <w:sz w:val="21"/>
              </w:rPr>
            </w:pPr>
          </w:p>
        </w:tc>
      </w:tr>
      <w:tr w14:paraId="2F49B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60" w:hRule="atLeast"/>
        </w:trPr>
        <w:tc>
          <w:tcPr>
            <w:tcW w:w="1323" w:type="dxa"/>
            <w:vMerge w:val="continue"/>
            <w:tcBorders>
              <w:top w:val="nil"/>
              <w:bottom w:val="nil"/>
            </w:tcBorders>
            <w:vAlign w:val="top"/>
          </w:tcPr>
          <w:p w14:paraId="5DF8219E">
            <w:pPr>
              <w:rPr>
                <w:rFonts w:ascii="Arial"/>
                <w:sz w:val="21"/>
              </w:rPr>
            </w:pPr>
          </w:p>
        </w:tc>
        <w:tc>
          <w:tcPr>
            <w:tcW w:w="113" w:type="dxa"/>
            <w:vMerge w:val="continue"/>
            <w:tcBorders>
              <w:top w:val="nil"/>
              <w:bottom w:val="nil"/>
            </w:tcBorders>
            <w:vAlign w:val="top"/>
          </w:tcPr>
          <w:p w14:paraId="3A7E48A0">
            <w:pPr>
              <w:rPr>
                <w:rFonts w:ascii="Arial"/>
                <w:sz w:val="21"/>
              </w:rPr>
            </w:pPr>
          </w:p>
        </w:tc>
        <w:tc>
          <w:tcPr>
            <w:tcW w:w="581" w:type="dxa"/>
            <w:vAlign w:val="top"/>
          </w:tcPr>
          <w:p w14:paraId="257C3DFB">
            <w:pPr>
              <w:spacing w:line="305" w:lineRule="auto"/>
              <w:rPr>
                <w:rFonts w:ascii="Arial"/>
                <w:sz w:val="21"/>
              </w:rPr>
            </w:pPr>
          </w:p>
          <w:p w14:paraId="2B762A62">
            <w:pPr>
              <w:spacing w:line="306" w:lineRule="auto"/>
              <w:rPr>
                <w:rFonts w:ascii="Arial"/>
                <w:sz w:val="21"/>
              </w:rPr>
            </w:pPr>
          </w:p>
          <w:p w14:paraId="0F39977F">
            <w:pPr>
              <w:pStyle w:val="6"/>
              <w:spacing w:before="65"/>
              <w:ind w:left="244"/>
              <w:rPr>
                <w:sz w:val="20"/>
                <w:szCs w:val="20"/>
              </w:rPr>
            </w:pPr>
            <w:r>
              <w:rPr>
                <w:sz w:val="20"/>
                <w:szCs w:val="20"/>
              </w:rPr>
              <w:t>9</w:t>
            </w:r>
          </w:p>
        </w:tc>
        <w:tc>
          <w:tcPr>
            <w:tcW w:w="3977" w:type="dxa"/>
            <w:vAlign w:val="top"/>
          </w:tcPr>
          <w:p w14:paraId="385258C9">
            <w:pPr>
              <w:pStyle w:val="6"/>
              <w:spacing w:before="290" w:line="241" w:lineRule="auto"/>
              <w:ind w:left="60" w:right="57" w:firstLine="2"/>
              <w:jc w:val="both"/>
              <w:rPr>
                <w:sz w:val="20"/>
                <w:szCs w:val="20"/>
              </w:rPr>
            </w:pPr>
            <w:r>
              <w:rPr>
                <w:spacing w:val="2"/>
                <w:sz w:val="20"/>
                <w:szCs w:val="20"/>
              </w:rPr>
              <w:t>鼓励企业事业单位和其他生产经营者配套建</w:t>
            </w:r>
            <w:r>
              <w:rPr>
                <w:spacing w:val="13"/>
                <w:sz w:val="20"/>
                <w:szCs w:val="20"/>
              </w:rPr>
              <w:t xml:space="preserve"> </w:t>
            </w:r>
            <w:r>
              <w:rPr>
                <w:spacing w:val="2"/>
                <w:sz w:val="20"/>
                <w:szCs w:val="20"/>
              </w:rPr>
              <w:t>设工业用水回收利用设施和中水回用管网设</w:t>
            </w:r>
            <w:r>
              <w:rPr>
                <w:spacing w:val="15"/>
                <w:sz w:val="20"/>
                <w:szCs w:val="20"/>
              </w:rPr>
              <w:t xml:space="preserve"> </w:t>
            </w:r>
            <w:r>
              <w:rPr>
                <w:spacing w:val="2"/>
                <w:sz w:val="20"/>
                <w:szCs w:val="20"/>
              </w:rPr>
              <w:t>施，采取循环用水、综合利用以及废水处理</w:t>
            </w:r>
            <w:r>
              <w:rPr>
                <w:spacing w:val="15"/>
                <w:sz w:val="20"/>
                <w:szCs w:val="20"/>
              </w:rPr>
              <w:t xml:space="preserve"> </w:t>
            </w:r>
            <w:r>
              <w:rPr>
                <w:spacing w:val="-2"/>
                <w:sz w:val="20"/>
                <w:szCs w:val="20"/>
              </w:rPr>
              <w:t>回用等措施，提高水的重复利用率。</w:t>
            </w:r>
          </w:p>
        </w:tc>
        <w:tc>
          <w:tcPr>
            <w:tcW w:w="1989" w:type="dxa"/>
            <w:vAlign w:val="top"/>
          </w:tcPr>
          <w:p w14:paraId="726080E3">
            <w:pPr>
              <w:pStyle w:val="6"/>
              <w:spacing w:before="35" w:line="233" w:lineRule="auto"/>
              <w:ind w:left="63" w:right="52"/>
              <w:jc w:val="both"/>
              <w:rPr>
                <w:sz w:val="20"/>
                <w:szCs w:val="20"/>
              </w:rPr>
            </w:pPr>
            <w:r>
              <w:rPr>
                <w:spacing w:val="7"/>
                <w:sz w:val="20"/>
                <w:szCs w:val="20"/>
              </w:rPr>
              <w:t>本项目生产废水能够</w:t>
            </w:r>
            <w:r>
              <w:rPr>
                <w:spacing w:val="3"/>
                <w:sz w:val="20"/>
                <w:szCs w:val="20"/>
              </w:rPr>
              <w:t xml:space="preserve"> </w:t>
            </w:r>
            <w:r>
              <w:rPr>
                <w:spacing w:val="6"/>
                <w:sz w:val="20"/>
                <w:szCs w:val="20"/>
              </w:rPr>
              <w:t>循环回用不外排；生</w:t>
            </w:r>
            <w:r>
              <w:rPr>
                <w:spacing w:val="3"/>
                <w:sz w:val="20"/>
                <w:szCs w:val="20"/>
              </w:rPr>
              <w:t xml:space="preserve"> </w:t>
            </w:r>
            <w:r>
              <w:rPr>
                <w:spacing w:val="7"/>
                <w:sz w:val="20"/>
                <w:szCs w:val="20"/>
              </w:rPr>
              <w:t>活污水设化粪池收集</w:t>
            </w:r>
            <w:r>
              <w:rPr>
                <w:spacing w:val="2"/>
                <w:sz w:val="20"/>
                <w:szCs w:val="20"/>
              </w:rPr>
              <w:t xml:space="preserve"> </w:t>
            </w:r>
            <w:r>
              <w:rPr>
                <w:spacing w:val="7"/>
                <w:sz w:val="20"/>
                <w:szCs w:val="20"/>
              </w:rPr>
              <w:t>处理后，经场镇污水</w:t>
            </w:r>
            <w:r>
              <w:rPr>
                <w:spacing w:val="3"/>
                <w:sz w:val="20"/>
                <w:szCs w:val="20"/>
              </w:rPr>
              <w:t xml:space="preserve"> </w:t>
            </w:r>
            <w:r>
              <w:rPr>
                <w:spacing w:val="7"/>
                <w:sz w:val="20"/>
                <w:szCs w:val="20"/>
              </w:rPr>
              <w:t>管网进入东岳场镇生</w:t>
            </w:r>
            <w:r>
              <w:rPr>
                <w:spacing w:val="3"/>
                <w:sz w:val="20"/>
                <w:szCs w:val="20"/>
              </w:rPr>
              <w:t xml:space="preserve"> </w:t>
            </w:r>
            <w:r>
              <w:rPr>
                <w:spacing w:val="-1"/>
                <w:sz w:val="20"/>
                <w:szCs w:val="20"/>
              </w:rPr>
              <w:t>活污水处理厂处理。</w:t>
            </w:r>
          </w:p>
        </w:tc>
        <w:tc>
          <w:tcPr>
            <w:tcW w:w="801" w:type="dxa"/>
            <w:vAlign w:val="top"/>
          </w:tcPr>
          <w:p w14:paraId="5A9D1906">
            <w:pPr>
              <w:spacing w:line="305" w:lineRule="auto"/>
              <w:rPr>
                <w:rFonts w:ascii="Arial"/>
                <w:sz w:val="21"/>
              </w:rPr>
            </w:pPr>
          </w:p>
          <w:p w14:paraId="1C432584">
            <w:pPr>
              <w:spacing w:line="306" w:lineRule="auto"/>
              <w:rPr>
                <w:rFonts w:ascii="Arial"/>
                <w:sz w:val="21"/>
              </w:rPr>
            </w:pPr>
          </w:p>
          <w:p w14:paraId="312752D6">
            <w:pPr>
              <w:pStyle w:val="6"/>
              <w:spacing w:before="65" w:line="220" w:lineRule="auto"/>
              <w:ind w:left="210"/>
              <w:rPr>
                <w:sz w:val="20"/>
                <w:szCs w:val="20"/>
              </w:rPr>
            </w:pPr>
            <w:r>
              <w:rPr>
                <w:spacing w:val="-3"/>
                <w:sz w:val="20"/>
                <w:szCs w:val="20"/>
              </w:rPr>
              <w:t>符合</w:t>
            </w:r>
          </w:p>
        </w:tc>
        <w:tc>
          <w:tcPr>
            <w:tcW w:w="119" w:type="dxa"/>
            <w:vMerge w:val="continue"/>
            <w:tcBorders>
              <w:top w:val="nil"/>
              <w:bottom w:val="nil"/>
            </w:tcBorders>
            <w:vAlign w:val="top"/>
          </w:tcPr>
          <w:p w14:paraId="1C68C0BE">
            <w:pPr>
              <w:rPr>
                <w:rFonts w:ascii="Arial"/>
                <w:sz w:val="21"/>
              </w:rPr>
            </w:pPr>
          </w:p>
        </w:tc>
      </w:tr>
      <w:tr w14:paraId="11F23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9" w:hRule="atLeast"/>
        </w:trPr>
        <w:tc>
          <w:tcPr>
            <w:tcW w:w="1323" w:type="dxa"/>
            <w:vMerge w:val="continue"/>
            <w:tcBorders>
              <w:top w:val="nil"/>
            </w:tcBorders>
            <w:vAlign w:val="top"/>
          </w:tcPr>
          <w:p w14:paraId="7BEEA279">
            <w:pPr>
              <w:rPr>
                <w:rFonts w:ascii="Arial"/>
                <w:sz w:val="21"/>
              </w:rPr>
            </w:pPr>
          </w:p>
        </w:tc>
        <w:tc>
          <w:tcPr>
            <w:tcW w:w="7580" w:type="dxa"/>
            <w:gridSpan w:val="6"/>
            <w:vAlign w:val="top"/>
          </w:tcPr>
          <w:p w14:paraId="795CF71C">
            <w:pPr>
              <w:pStyle w:val="6"/>
              <w:spacing w:before="135" w:line="352" w:lineRule="auto"/>
              <w:ind w:left="118" w:right="116" w:firstLine="461"/>
            </w:pPr>
            <w:r>
              <w:rPr>
                <w:spacing w:val="12"/>
              </w:rPr>
              <w:t>由上表分析可知，本项目建设符合《中华人民共和国长江保护</w:t>
            </w:r>
            <w:r>
              <w:rPr>
                <w:spacing w:val="11"/>
              </w:rPr>
              <w:t>法》《四</w:t>
            </w:r>
            <w:r>
              <w:t xml:space="preserve"> </w:t>
            </w:r>
            <w:r>
              <w:rPr>
                <w:spacing w:val="8"/>
              </w:rPr>
              <w:t>川省嘉陵江流域生态环境保护条例》中相关要</w:t>
            </w:r>
            <w:r>
              <w:rPr>
                <w:spacing w:val="7"/>
              </w:rPr>
              <w:t>求。</w:t>
            </w:r>
          </w:p>
          <w:p w14:paraId="563AF5A9">
            <w:pPr>
              <w:pStyle w:val="6"/>
              <w:spacing w:before="1" w:line="351" w:lineRule="auto"/>
              <w:ind w:left="129" w:right="13" w:hanging="18"/>
            </w:pPr>
            <w:r>
              <w:rPr>
                <w:b/>
                <w:bCs/>
              </w:rPr>
              <w:t>4、与《四川省、重庆市长江经济带发展负面清单实施细则</w:t>
            </w:r>
            <w:r>
              <w:rPr>
                <w:rFonts w:hint="eastAsia"/>
                <w:b/>
                <w:bCs/>
                <w:lang w:eastAsia="zh-CN"/>
              </w:rPr>
              <w:t>（</w:t>
            </w:r>
            <w:r>
              <w:rPr>
                <w:b/>
                <w:bCs/>
              </w:rPr>
              <w:t>试行，2022年版）》</w:t>
            </w:r>
            <w:r>
              <w:rPr>
                <w:spacing w:val="15"/>
              </w:rPr>
              <w:t xml:space="preserve"> </w:t>
            </w:r>
            <w:r>
              <w:rPr>
                <w:b/>
                <w:bCs/>
                <w:spacing w:val="3"/>
              </w:rPr>
              <w:t>的符合性分析</w:t>
            </w:r>
          </w:p>
          <w:p w14:paraId="542E94E2">
            <w:pPr>
              <w:pStyle w:val="6"/>
              <w:spacing w:before="1" w:line="352" w:lineRule="auto"/>
              <w:ind w:left="113" w:right="37" w:firstLine="460"/>
              <w:jc w:val="both"/>
            </w:pPr>
            <w:r>
              <w:rPr>
                <w:spacing w:val="12"/>
              </w:rPr>
              <w:t>四川省推动长江经济带发展领导小组办公室、重庆市推动长江经济带发</w:t>
            </w:r>
            <w:r>
              <w:rPr>
                <w:spacing w:val="2"/>
              </w:rPr>
              <w:t xml:space="preserve"> </w:t>
            </w:r>
            <w:r>
              <w:rPr>
                <w:spacing w:val="11"/>
              </w:rPr>
              <w:t>展领导小组办公室于2022年8月25日，发布了《关于印发</w:t>
            </w:r>
            <w:r>
              <w:rPr>
                <w:rFonts w:hint="eastAsia"/>
                <w:spacing w:val="11"/>
                <w:lang w:eastAsia="zh-CN"/>
              </w:rPr>
              <w:t>〈</w:t>
            </w:r>
            <w:r>
              <w:rPr>
                <w:spacing w:val="11"/>
              </w:rPr>
              <w:t>四川省、重庆市长</w:t>
            </w:r>
            <w:r>
              <w:rPr>
                <w:spacing w:val="15"/>
              </w:rPr>
              <w:t xml:space="preserve"> </w:t>
            </w:r>
            <w:r>
              <w:rPr>
                <w:spacing w:val="-3"/>
              </w:rPr>
              <w:t>江经济带发展负面清单实施细则</w:t>
            </w:r>
            <w:r>
              <w:rPr>
                <w:rFonts w:hint="eastAsia"/>
                <w:spacing w:val="-3"/>
                <w:lang w:eastAsia="zh-CN"/>
              </w:rPr>
              <w:t>（</w:t>
            </w:r>
            <w:r>
              <w:rPr>
                <w:spacing w:val="-3"/>
              </w:rPr>
              <w:t>试行，2022年版）</w:t>
            </w:r>
            <w:r>
              <w:rPr>
                <w:rFonts w:hint="eastAsia"/>
                <w:spacing w:val="-3"/>
                <w:lang w:eastAsia="zh-CN"/>
              </w:rPr>
              <w:t>〉的通知》</w:t>
            </w:r>
            <w:r>
              <w:rPr>
                <w:spacing w:val="-4"/>
              </w:rPr>
              <w:t>（川长江办</w:t>
            </w:r>
            <w:r>
              <w:rPr>
                <w:rFonts w:hint="eastAsia"/>
                <w:spacing w:val="-4"/>
                <w:lang w:eastAsia="zh-CN"/>
              </w:rPr>
              <w:t>〔2022〕17号</w:t>
            </w:r>
            <w:r>
              <w:rPr>
                <w:spacing w:val="5"/>
              </w:rPr>
              <w:t>）。本项目与《四川省、重庆市长江</w:t>
            </w:r>
            <w:r>
              <w:rPr>
                <w:spacing w:val="4"/>
              </w:rPr>
              <w:t>经济带发展负面清单实施细则</w:t>
            </w:r>
            <w:r>
              <w:rPr>
                <w:rFonts w:hint="eastAsia"/>
                <w:spacing w:val="4"/>
                <w:lang w:eastAsia="zh-CN"/>
              </w:rPr>
              <w:t>（</w:t>
            </w:r>
            <w:r>
              <w:rPr>
                <w:spacing w:val="4"/>
              </w:rPr>
              <w:t>试行，</w:t>
            </w:r>
            <w:r>
              <w:t xml:space="preserve"> </w:t>
            </w:r>
            <w:r>
              <w:rPr>
                <w:spacing w:val="7"/>
              </w:rPr>
              <w:t>2022年版）》的符合性分析见下表。</w:t>
            </w:r>
          </w:p>
        </w:tc>
      </w:tr>
    </w:tbl>
    <w:p w14:paraId="75EECB40">
      <w:pPr>
        <w:rPr>
          <w:rFonts w:ascii="Arial"/>
          <w:sz w:val="21"/>
        </w:rPr>
      </w:pPr>
    </w:p>
    <w:p w14:paraId="79FA2D6E">
      <w:pPr>
        <w:rPr>
          <w:rFonts w:ascii="Arial" w:hAnsi="Arial" w:eastAsia="Arial" w:cs="Arial"/>
          <w:sz w:val="21"/>
          <w:szCs w:val="21"/>
        </w:rPr>
        <w:sectPr>
          <w:footerReference r:id="rId26" w:type="default"/>
          <w:pgSz w:w="11907" w:h="16839"/>
          <w:pgMar w:top="1431" w:right="1498" w:bottom="1055" w:left="1498" w:header="0" w:footer="800" w:gutter="0"/>
          <w:cols w:space="720" w:num="1"/>
        </w:sectPr>
      </w:pPr>
    </w:p>
    <w:p w14:paraId="660BE68E">
      <w:pPr>
        <w:spacing w:before="28"/>
      </w:pPr>
    </w:p>
    <w:tbl>
      <w:tblPr>
        <w:tblStyle w:val="5"/>
        <w:tblW w:w="89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0"/>
        <w:gridCol w:w="492"/>
        <w:gridCol w:w="3795"/>
        <w:gridCol w:w="2496"/>
        <w:gridCol w:w="790"/>
      </w:tblGrid>
      <w:tr w14:paraId="5ED49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330" w:type="dxa"/>
            <w:vMerge w:val="restart"/>
            <w:tcBorders>
              <w:bottom w:val="nil"/>
            </w:tcBorders>
            <w:vAlign w:val="top"/>
          </w:tcPr>
          <w:p w14:paraId="0628E6ED">
            <w:pPr>
              <w:rPr>
                <w:rFonts w:ascii="Arial"/>
                <w:sz w:val="21"/>
              </w:rPr>
            </w:pPr>
          </w:p>
        </w:tc>
        <w:tc>
          <w:tcPr>
            <w:tcW w:w="7573" w:type="dxa"/>
            <w:gridSpan w:val="4"/>
            <w:vAlign w:val="top"/>
          </w:tcPr>
          <w:p w14:paraId="3F4C23D5">
            <w:pPr>
              <w:pStyle w:val="6"/>
              <w:spacing w:before="144" w:line="220" w:lineRule="auto"/>
              <w:ind w:left="1096"/>
            </w:pPr>
            <w:r>
              <w:rPr>
                <w:b/>
                <w:bCs/>
                <w:spacing w:val="-2"/>
              </w:rPr>
              <w:t>表1-7</w:t>
            </w:r>
            <w:r>
              <w:rPr>
                <w:spacing w:val="-2"/>
              </w:rPr>
              <w:t xml:space="preserve">    </w:t>
            </w:r>
            <w:r>
              <w:rPr>
                <w:b/>
                <w:bCs/>
                <w:spacing w:val="-2"/>
              </w:rPr>
              <w:t>项目与“川长江办〔2022</w:t>
            </w:r>
            <w:r>
              <w:rPr>
                <w:b/>
                <w:bCs/>
                <w:spacing w:val="-3"/>
              </w:rPr>
              <w:t>〕17号</w:t>
            </w:r>
            <w:r>
              <w:rPr>
                <w:spacing w:val="-77"/>
              </w:rPr>
              <w:t xml:space="preserve"> </w:t>
            </w:r>
            <w:r>
              <w:rPr>
                <w:b/>
                <w:bCs/>
                <w:spacing w:val="-3"/>
              </w:rPr>
              <w:t>”的符合性分析</w:t>
            </w:r>
          </w:p>
        </w:tc>
      </w:tr>
      <w:tr w14:paraId="14964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330" w:type="dxa"/>
            <w:vMerge w:val="continue"/>
            <w:tcBorders>
              <w:top w:val="nil"/>
              <w:bottom w:val="nil"/>
            </w:tcBorders>
            <w:vAlign w:val="top"/>
          </w:tcPr>
          <w:p w14:paraId="354E6F97">
            <w:pPr>
              <w:rPr>
                <w:rFonts w:ascii="Arial"/>
                <w:sz w:val="21"/>
              </w:rPr>
            </w:pPr>
          </w:p>
        </w:tc>
        <w:tc>
          <w:tcPr>
            <w:tcW w:w="492" w:type="dxa"/>
            <w:textDirection w:val="tbRlV"/>
            <w:vAlign w:val="top"/>
          </w:tcPr>
          <w:p w14:paraId="3D9D7A62">
            <w:pPr>
              <w:pStyle w:val="6"/>
              <w:spacing w:before="103" w:line="210" w:lineRule="auto"/>
              <w:ind w:left="30"/>
              <w:rPr>
                <w:sz w:val="20"/>
                <w:szCs w:val="20"/>
              </w:rPr>
            </w:pPr>
            <w:r>
              <w:rPr>
                <w:b/>
                <w:bCs/>
                <w:spacing w:val="27"/>
                <w:sz w:val="20"/>
                <w:szCs w:val="20"/>
              </w:rPr>
              <w:t>序号</w:t>
            </w:r>
          </w:p>
        </w:tc>
        <w:tc>
          <w:tcPr>
            <w:tcW w:w="3795" w:type="dxa"/>
            <w:vAlign w:val="top"/>
          </w:tcPr>
          <w:p w14:paraId="41436613">
            <w:pPr>
              <w:pStyle w:val="6"/>
              <w:spacing w:before="159" w:line="220" w:lineRule="auto"/>
              <w:ind w:left="929"/>
              <w:rPr>
                <w:sz w:val="20"/>
                <w:szCs w:val="20"/>
              </w:rPr>
            </w:pPr>
            <w:r>
              <w:rPr>
                <w:b/>
                <w:bCs/>
                <w:spacing w:val="-4"/>
                <w:sz w:val="20"/>
                <w:szCs w:val="20"/>
              </w:rPr>
              <w:t>《负面清单》原文内容</w:t>
            </w:r>
          </w:p>
        </w:tc>
        <w:tc>
          <w:tcPr>
            <w:tcW w:w="2496" w:type="dxa"/>
            <w:vAlign w:val="top"/>
          </w:tcPr>
          <w:p w14:paraId="2E7EFE7F">
            <w:pPr>
              <w:pStyle w:val="6"/>
              <w:spacing w:before="160" w:line="219" w:lineRule="auto"/>
              <w:ind w:left="764"/>
              <w:rPr>
                <w:sz w:val="20"/>
                <w:szCs w:val="20"/>
              </w:rPr>
            </w:pPr>
            <w:r>
              <w:rPr>
                <w:b/>
                <w:bCs/>
                <w:spacing w:val="-4"/>
                <w:sz w:val="20"/>
                <w:szCs w:val="20"/>
              </w:rPr>
              <w:t>本项目情况</w:t>
            </w:r>
          </w:p>
        </w:tc>
        <w:tc>
          <w:tcPr>
            <w:tcW w:w="790" w:type="dxa"/>
            <w:vAlign w:val="top"/>
          </w:tcPr>
          <w:p w14:paraId="46FDA98C">
            <w:pPr>
              <w:pStyle w:val="6"/>
              <w:spacing w:before="159" w:line="220" w:lineRule="auto"/>
              <w:ind w:left="76"/>
              <w:rPr>
                <w:sz w:val="20"/>
                <w:szCs w:val="20"/>
              </w:rPr>
            </w:pPr>
            <w:r>
              <w:rPr>
                <w:b/>
                <w:bCs/>
                <w:spacing w:val="-5"/>
                <w:sz w:val="20"/>
                <w:szCs w:val="20"/>
              </w:rPr>
              <w:t>符合性</w:t>
            </w:r>
          </w:p>
        </w:tc>
      </w:tr>
      <w:tr w14:paraId="43162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6" w:hRule="atLeast"/>
        </w:trPr>
        <w:tc>
          <w:tcPr>
            <w:tcW w:w="1330" w:type="dxa"/>
            <w:vMerge w:val="continue"/>
            <w:tcBorders>
              <w:top w:val="nil"/>
              <w:bottom w:val="nil"/>
            </w:tcBorders>
            <w:vAlign w:val="top"/>
          </w:tcPr>
          <w:p w14:paraId="0FD255EB">
            <w:pPr>
              <w:rPr>
                <w:rFonts w:ascii="Arial"/>
                <w:sz w:val="21"/>
              </w:rPr>
            </w:pPr>
          </w:p>
        </w:tc>
        <w:tc>
          <w:tcPr>
            <w:tcW w:w="492" w:type="dxa"/>
            <w:vAlign w:val="top"/>
          </w:tcPr>
          <w:p w14:paraId="4FEDC08A">
            <w:pPr>
              <w:spacing w:line="353" w:lineRule="auto"/>
              <w:rPr>
                <w:rFonts w:ascii="Arial"/>
                <w:sz w:val="21"/>
              </w:rPr>
            </w:pPr>
          </w:p>
          <w:p w14:paraId="2CAD1DBF">
            <w:pPr>
              <w:pStyle w:val="6"/>
              <w:spacing w:before="65" w:line="242" w:lineRule="auto"/>
              <w:ind w:left="256"/>
              <w:rPr>
                <w:sz w:val="20"/>
                <w:szCs w:val="20"/>
              </w:rPr>
            </w:pPr>
            <w:r>
              <w:rPr>
                <w:sz w:val="20"/>
                <w:szCs w:val="20"/>
              </w:rPr>
              <w:t>1</w:t>
            </w:r>
          </w:p>
        </w:tc>
        <w:tc>
          <w:tcPr>
            <w:tcW w:w="3795" w:type="dxa"/>
            <w:vAlign w:val="top"/>
          </w:tcPr>
          <w:p w14:paraId="7742CFFE">
            <w:pPr>
              <w:pStyle w:val="6"/>
              <w:spacing w:before="30" w:line="232" w:lineRule="auto"/>
              <w:ind w:left="102" w:right="37" w:hanging="1"/>
              <w:jc w:val="both"/>
              <w:rPr>
                <w:sz w:val="20"/>
                <w:szCs w:val="20"/>
              </w:rPr>
            </w:pPr>
            <w:r>
              <w:rPr>
                <w:spacing w:val="2"/>
                <w:sz w:val="20"/>
                <w:szCs w:val="20"/>
              </w:rPr>
              <w:t>第七条禁止在自然保护区核心区、缓冲区</w:t>
            </w:r>
            <w:r>
              <w:rPr>
                <w:spacing w:val="14"/>
                <w:sz w:val="20"/>
                <w:szCs w:val="20"/>
              </w:rPr>
              <w:t xml:space="preserve"> </w:t>
            </w:r>
            <w:r>
              <w:rPr>
                <w:spacing w:val="2"/>
                <w:sz w:val="20"/>
                <w:szCs w:val="20"/>
              </w:rPr>
              <w:t>的岸线和河段范围内投资建设旅游和生产</w:t>
            </w:r>
            <w:r>
              <w:rPr>
                <w:spacing w:val="12"/>
                <w:sz w:val="20"/>
                <w:szCs w:val="20"/>
              </w:rPr>
              <w:t xml:space="preserve"> </w:t>
            </w:r>
            <w:r>
              <w:rPr>
                <w:spacing w:val="2"/>
                <w:sz w:val="20"/>
                <w:szCs w:val="20"/>
              </w:rPr>
              <w:t>经营项目。自然保护区的内部未分区的，</w:t>
            </w:r>
            <w:r>
              <w:rPr>
                <w:spacing w:val="8"/>
                <w:sz w:val="20"/>
                <w:szCs w:val="20"/>
              </w:rPr>
              <w:t xml:space="preserve"> </w:t>
            </w:r>
            <w:r>
              <w:rPr>
                <w:spacing w:val="-2"/>
                <w:sz w:val="20"/>
                <w:szCs w:val="20"/>
              </w:rPr>
              <w:t>依照核心区和缓冲区的规定管控。</w:t>
            </w:r>
          </w:p>
        </w:tc>
        <w:tc>
          <w:tcPr>
            <w:tcW w:w="2496" w:type="dxa"/>
            <w:vAlign w:val="top"/>
          </w:tcPr>
          <w:p w14:paraId="66630BC4">
            <w:pPr>
              <w:pStyle w:val="6"/>
              <w:spacing w:before="30" w:line="232" w:lineRule="auto"/>
              <w:ind w:left="82" w:right="48"/>
              <w:jc w:val="both"/>
              <w:rPr>
                <w:sz w:val="20"/>
                <w:szCs w:val="20"/>
              </w:rPr>
            </w:pPr>
            <w:r>
              <w:rPr>
                <w:spacing w:val="14"/>
                <w:sz w:val="20"/>
                <w:szCs w:val="20"/>
              </w:rPr>
              <w:t>本项目位于通川区东岳新</w:t>
            </w:r>
            <w:r>
              <w:rPr>
                <w:spacing w:val="5"/>
                <w:sz w:val="20"/>
                <w:szCs w:val="20"/>
              </w:rPr>
              <w:t xml:space="preserve"> </w:t>
            </w:r>
            <w:r>
              <w:rPr>
                <w:spacing w:val="-4"/>
                <w:sz w:val="20"/>
                <w:szCs w:val="20"/>
              </w:rPr>
              <w:t>型工业集聚区，建设区域不</w:t>
            </w:r>
            <w:r>
              <w:rPr>
                <w:spacing w:val="7"/>
                <w:sz w:val="20"/>
                <w:szCs w:val="20"/>
              </w:rPr>
              <w:t xml:space="preserve"> </w:t>
            </w:r>
            <w:r>
              <w:rPr>
                <w:spacing w:val="14"/>
                <w:sz w:val="20"/>
                <w:szCs w:val="20"/>
              </w:rPr>
              <w:t>属于自然保护区等生态敏</w:t>
            </w:r>
            <w:r>
              <w:rPr>
                <w:spacing w:val="4"/>
                <w:sz w:val="20"/>
                <w:szCs w:val="20"/>
              </w:rPr>
              <w:t xml:space="preserve"> </w:t>
            </w:r>
            <w:r>
              <w:rPr>
                <w:spacing w:val="-9"/>
                <w:sz w:val="20"/>
                <w:szCs w:val="20"/>
              </w:rPr>
              <w:t>感区。</w:t>
            </w:r>
          </w:p>
        </w:tc>
        <w:tc>
          <w:tcPr>
            <w:tcW w:w="790" w:type="dxa"/>
            <w:vAlign w:val="top"/>
          </w:tcPr>
          <w:p w14:paraId="414D1BAF">
            <w:pPr>
              <w:spacing w:line="353" w:lineRule="auto"/>
              <w:rPr>
                <w:rFonts w:ascii="Arial"/>
                <w:sz w:val="21"/>
              </w:rPr>
            </w:pPr>
          </w:p>
          <w:p w14:paraId="362E6F42">
            <w:pPr>
              <w:pStyle w:val="6"/>
              <w:spacing w:before="65" w:line="220" w:lineRule="auto"/>
              <w:ind w:left="178"/>
              <w:rPr>
                <w:sz w:val="20"/>
                <w:szCs w:val="20"/>
              </w:rPr>
            </w:pPr>
            <w:r>
              <w:rPr>
                <w:spacing w:val="-3"/>
                <w:sz w:val="20"/>
                <w:szCs w:val="20"/>
              </w:rPr>
              <w:t>符合</w:t>
            </w:r>
          </w:p>
        </w:tc>
      </w:tr>
      <w:tr w14:paraId="7B15E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1330" w:type="dxa"/>
            <w:vMerge w:val="continue"/>
            <w:tcBorders>
              <w:top w:val="nil"/>
              <w:bottom w:val="nil"/>
            </w:tcBorders>
            <w:vAlign w:val="top"/>
          </w:tcPr>
          <w:p w14:paraId="14414731">
            <w:pPr>
              <w:rPr>
                <w:rFonts w:ascii="Arial"/>
                <w:sz w:val="21"/>
              </w:rPr>
            </w:pPr>
          </w:p>
        </w:tc>
        <w:tc>
          <w:tcPr>
            <w:tcW w:w="492" w:type="dxa"/>
            <w:vAlign w:val="top"/>
          </w:tcPr>
          <w:p w14:paraId="4E2B40C7">
            <w:pPr>
              <w:spacing w:line="352" w:lineRule="auto"/>
              <w:rPr>
                <w:rFonts w:ascii="Arial"/>
                <w:sz w:val="21"/>
              </w:rPr>
            </w:pPr>
          </w:p>
          <w:p w14:paraId="6DA0EFB9">
            <w:pPr>
              <w:pStyle w:val="6"/>
              <w:spacing w:before="65" w:line="242" w:lineRule="auto"/>
              <w:ind w:left="244"/>
              <w:rPr>
                <w:sz w:val="20"/>
                <w:szCs w:val="20"/>
              </w:rPr>
            </w:pPr>
            <w:r>
              <w:rPr>
                <w:sz w:val="20"/>
                <w:szCs w:val="20"/>
              </w:rPr>
              <w:t>2</w:t>
            </w:r>
          </w:p>
        </w:tc>
        <w:tc>
          <w:tcPr>
            <w:tcW w:w="3795" w:type="dxa"/>
            <w:vAlign w:val="top"/>
          </w:tcPr>
          <w:p w14:paraId="4DB1A9E6">
            <w:pPr>
              <w:pStyle w:val="6"/>
              <w:spacing w:before="30" w:line="231" w:lineRule="auto"/>
              <w:ind w:left="101" w:right="37"/>
              <w:jc w:val="both"/>
              <w:rPr>
                <w:sz w:val="20"/>
                <w:szCs w:val="20"/>
              </w:rPr>
            </w:pPr>
            <w:r>
              <w:rPr>
                <w:spacing w:val="2"/>
                <w:sz w:val="20"/>
                <w:szCs w:val="20"/>
              </w:rPr>
              <w:t>第九条禁止在饮用水</w:t>
            </w:r>
            <w:r>
              <w:rPr>
                <w:rFonts w:hint="eastAsia"/>
                <w:spacing w:val="2"/>
                <w:sz w:val="20"/>
                <w:szCs w:val="20"/>
                <w:lang w:eastAsia="zh-CN"/>
              </w:rPr>
              <w:t>水源</w:t>
            </w:r>
            <w:r>
              <w:rPr>
                <w:spacing w:val="2"/>
                <w:sz w:val="20"/>
                <w:szCs w:val="20"/>
              </w:rPr>
              <w:t>保护区的岸线</w:t>
            </w:r>
            <w:r>
              <w:rPr>
                <w:spacing w:val="14"/>
                <w:sz w:val="20"/>
                <w:szCs w:val="20"/>
              </w:rPr>
              <w:t xml:space="preserve"> </w:t>
            </w:r>
            <w:r>
              <w:rPr>
                <w:spacing w:val="2"/>
                <w:sz w:val="20"/>
                <w:szCs w:val="20"/>
              </w:rPr>
              <w:t>和河段范围内新建、扩建对水体污染严重</w:t>
            </w:r>
            <w:r>
              <w:rPr>
                <w:spacing w:val="13"/>
                <w:sz w:val="20"/>
                <w:szCs w:val="20"/>
              </w:rPr>
              <w:t xml:space="preserve"> </w:t>
            </w:r>
            <w:r>
              <w:rPr>
                <w:spacing w:val="2"/>
                <w:sz w:val="20"/>
                <w:szCs w:val="20"/>
              </w:rPr>
              <w:t>的建设项目，禁止改建增加排污量的建设</w:t>
            </w:r>
            <w:r>
              <w:rPr>
                <w:spacing w:val="13"/>
                <w:sz w:val="20"/>
                <w:szCs w:val="20"/>
              </w:rPr>
              <w:t xml:space="preserve"> </w:t>
            </w:r>
            <w:r>
              <w:rPr>
                <w:spacing w:val="-9"/>
                <w:sz w:val="20"/>
                <w:szCs w:val="20"/>
              </w:rPr>
              <w:t>项目。</w:t>
            </w:r>
          </w:p>
        </w:tc>
        <w:tc>
          <w:tcPr>
            <w:tcW w:w="2496" w:type="dxa"/>
            <w:vAlign w:val="top"/>
          </w:tcPr>
          <w:p w14:paraId="01C39D83">
            <w:pPr>
              <w:pStyle w:val="6"/>
              <w:spacing w:before="159" w:line="241" w:lineRule="auto"/>
              <w:ind w:left="83" w:right="46" w:hanging="1"/>
              <w:jc w:val="both"/>
              <w:rPr>
                <w:sz w:val="20"/>
                <w:szCs w:val="20"/>
              </w:rPr>
            </w:pPr>
            <w:r>
              <w:rPr>
                <w:spacing w:val="26"/>
                <w:sz w:val="20"/>
                <w:szCs w:val="20"/>
              </w:rPr>
              <w:t>本项目距离</w:t>
            </w:r>
            <w:r>
              <w:rPr>
                <w:spacing w:val="-48"/>
                <w:sz w:val="20"/>
                <w:szCs w:val="20"/>
              </w:rPr>
              <w:t xml:space="preserve"> </w:t>
            </w:r>
            <w:r>
              <w:rPr>
                <w:spacing w:val="26"/>
                <w:sz w:val="20"/>
                <w:szCs w:val="20"/>
              </w:rPr>
              <w:t>西面</w:t>
            </w:r>
            <w:r>
              <w:rPr>
                <w:spacing w:val="-52"/>
                <w:sz w:val="20"/>
                <w:szCs w:val="20"/>
              </w:rPr>
              <w:t xml:space="preserve"> </w:t>
            </w:r>
            <w:r>
              <w:rPr>
                <w:spacing w:val="26"/>
                <w:sz w:val="20"/>
                <w:szCs w:val="20"/>
              </w:rPr>
              <w:t>双龙河</w:t>
            </w:r>
            <w:r>
              <w:rPr>
                <w:sz w:val="20"/>
                <w:szCs w:val="20"/>
              </w:rPr>
              <w:t xml:space="preserve"> </w:t>
            </w:r>
            <w:r>
              <w:rPr>
                <w:spacing w:val="-3"/>
                <w:sz w:val="20"/>
                <w:szCs w:val="20"/>
              </w:rPr>
              <w:t>725m，建设区域不属于饮用</w:t>
            </w:r>
            <w:r>
              <w:rPr>
                <w:sz w:val="20"/>
                <w:szCs w:val="20"/>
              </w:rPr>
              <w:t xml:space="preserve"> </w:t>
            </w:r>
            <w:r>
              <w:rPr>
                <w:spacing w:val="-3"/>
                <w:sz w:val="20"/>
                <w:szCs w:val="20"/>
              </w:rPr>
              <w:t>水源保护区范围。</w:t>
            </w:r>
          </w:p>
        </w:tc>
        <w:tc>
          <w:tcPr>
            <w:tcW w:w="790" w:type="dxa"/>
            <w:vAlign w:val="top"/>
          </w:tcPr>
          <w:p w14:paraId="2F28F69C">
            <w:pPr>
              <w:spacing w:line="352" w:lineRule="auto"/>
              <w:rPr>
                <w:rFonts w:ascii="Arial"/>
                <w:sz w:val="21"/>
              </w:rPr>
            </w:pPr>
          </w:p>
          <w:p w14:paraId="68E7BEB4">
            <w:pPr>
              <w:pStyle w:val="6"/>
              <w:spacing w:before="65" w:line="220" w:lineRule="auto"/>
              <w:ind w:left="178"/>
              <w:rPr>
                <w:sz w:val="20"/>
                <w:szCs w:val="20"/>
              </w:rPr>
            </w:pPr>
            <w:r>
              <w:rPr>
                <w:spacing w:val="-3"/>
                <w:sz w:val="20"/>
                <w:szCs w:val="20"/>
              </w:rPr>
              <w:t>符合</w:t>
            </w:r>
          </w:p>
        </w:tc>
      </w:tr>
      <w:tr w14:paraId="5A912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1330" w:type="dxa"/>
            <w:vMerge w:val="continue"/>
            <w:tcBorders>
              <w:top w:val="nil"/>
              <w:bottom w:val="nil"/>
            </w:tcBorders>
            <w:vAlign w:val="top"/>
          </w:tcPr>
          <w:p w14:paraId="242F5836">
            <w:pPr>
              <w:rPr>
                <w:rFonts w:ascii="Arial"/>
                <w:sz w:val="21"/>
              </w:rPr>
            </w:pPr>
          </w:p>
        </w:tc>
        <w:tc>
          <w:tcPr>
            <w:tcW w:w="492" w:type="dxa"/>
            <w:vAlign w:val="top"/>
          </w:tcPr>
          <w:p w14:paraId="5C652E52">
            <w:pPr>
              <w:pStyle w:val="6"/>
              <w:spacing w:before="291"/>
              <w:ind w:left="245"/>
              <w:rPr>
                <w:sz w:val="20"/>
                <w:szCs w:val="20"/>
              </w:rPr>
            </w:pPr>
            <w:r>
              <w:rPr>
                <w:sz w:val="20"/>
                <w:szCs w:val="20"/>
              </w:rPr>
              <w:t>3</w:t>
            </w:r>
          </w:p>
        </w:tc>
        <w:tc>
          <w:tcPr>
            <w:tcW w:w="3795" w:type="dxa"/>
            <w:vAlign w:val="top"/>
          </w:tcPr>
          <w:p w14:paraId="75105101">
            <w:pPr>
              <w:pStyle w:val="6"/>
              <w:spacing w:before="32" w:line="228" w:lineRule="auto"/>
              <w:ind w:left="103" w:right="37" w:hanging="2"/>
              <w:jc w:val="both"/>
              <w:rPr>
                <w:sz w:val="20"/>
                <w:szCs w:val="20"/>
              </w:rPr>
            </w:pPr>
            <w:r>
              <w:rPr>
                <w:spacing w:val="2"/>
                <w:sz w:val="20"/>
                <w:szCs w:val="20"/>
              </w:rPr>
              <w:t>第十八条禁止在长江干支流、重要湖泊岸</w:t>
            </w:r>
            <w:r>
              <w:rPr>
                <w:spacing w:val="14"/>
                <w:sz w:val="20"/>
                <w:szCs w:val="20"/>
              </w:rPr>
              <w:t xml:space="preserve"> </w:t>
            </w:r>
            <w:r>
              <w:rPr>
                <w:spacing w:val="2"/>
                <w:sz w:val="20"/>
                <w:szCs w:val="20"/>
              </w:rPr>
              <w:t>线一公里范围内新建、扩建化工园区和化</w:t>
            </w:r>
            <w:r>
              <w:rPr>
                <w:spacing w:val="11"/>
                <w:sz w:val="20"/>
                <w:szCs w:val="20"/>
              </w:rPr>
              <w:t xml:space="preserve"> </w:t>
            </w:r>
            <w:r>
              <w:rPr>
                <w:spacing w:val="-8"/>
                <w:sz w:val="20"/>
                <w:szCs w:val="20"/>
              </w:rPr>
              <w:t>工项目。</w:t>
            </w:r>
          </w:p>
        </w:tc>
        <w:tc>
          <w:tcPr>
            <w:tcW w:w="2496" w:type="dxa"/>
            <w:vAlign w:val="top"/>
          </w:tcPr>
          <w:p w14:paraId="0C41F385">
            <w:pPr>
              <w:pStyle w:val="6"/>
              <w:spacing w:before="291" w:line="219" w:lineRule="auto"/>
              <w:ind w:left="82"/>
              <w:rPr>
                <w:sz w:val="20"/>
                <w:szCs w:val="20"/>
              </w:rPr>
            </w:pPr>
            <w:r>
              <w:rPr>
                <w:spacing w:val="-1"/>
                <w:sz w:val="20"/>
                <w:szCs w:val="20"/>
              </w:rPr>
              <w:t>本项目不属于化工项目</w:t>
            </w:r>
          </w:p>
        </w:tc>
        <w:tc>
          <w:tcPr>
            <w:tcW w:w="790" w:type="dxa"/>
            <w:vAlign w:val="top"/>
          </w:tcPr>
          <w:p w14:paraId="2EAEA728">
            <w:pPr>
              <w:pStyle w:val="6"/>
              <w:spacing w:before="290" w:line="220" w:lineRule="auto"/>
              <w:ind w:left="178"/>
              <w:rPr>
                <w:sz w:val="20"/>
                <w:szCs w:val="20"/>
              </w:rPr>
            </w:pPr>
            <w:r>
              <w:rPr>
                <w:spacing w:val="-3"/>
                <w:sz w:val="20"/>
                <w:szCs w:val="20"/>
              </w:rPr>
              <w:t>符合</w:t>
            </w:r>
          </w:p>
        </w:tc>
      </w:tr>
      <w:tr w14:paraId="3ED9E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1" w:hRule="atLeast"/>
        </w:trPr>
        <w:tc>
          <w:tcPr>
            <w:tcW w:w="1330" w:type="dxa"/>
            <w:vMerge w:val="continue"/>
            <w:tcBorders>
              <w:top w:val="nil"/>
              <w:bottom w:val="nil"/>
            </w:tcBorders>
            <w:vAlign w:val="top"/>
          </w:tcPr>
          <w:p w14:paraId="4437DD73">
            <w:pPr>
              <w:rPr>
                <w:rFonts w:ascii="Arial"/>
                <w:sz w:val="21"/>
              </w:rPr>
            </w:pPr>
          </w:p>
        </w:tc>
        <w:tc>
          <w:tcPr>
            <w:tcW w:w="492" w:type="dxa"/>
            <w:vAlign w:val="top"/>
          </w:tcPr>
          <w:p w14:paraId="5BDC5EB0">
            <w:pPr>
              <w:spacing w:line="241" w:lineRule="auto"/>
              <w:rPr>
                <w:rFonts w:ascii="Arial"/>
                <w:sz w:val="21"/>
              </w:rPr>
            </w:pPr>
          </w:p>
          <w:p w14:paraId="6436B90F">
            <w:pPr>
              <w:spacing w:line="241" w:lineRule="auto"/>
              <w:rPr>
                <w:rFonts w:ascii="Arial"/>
                <w:sz w:val="21"/>
              </w:rPr>
            </w:pPr>
          </w:p>
          <w:p w14:paraId="4B7E4D07">
            <w:pPr>
              <w:pStyle w:val="6"/>
              <w:spacing w:before="65" w:line="242" w:lineRule="auto"/>
              <w:ind w:left="240"/>
              <w:rPr>
                <w:sz w:val="20"/>
                <w:szCs w:val="20"/>
              </w:rPr>
            </w:pPr>
            <w:r>
              <w:rPr>
                <w:sz w:val="20"/>
                <w:szCs w:val="20"/>
              </w:rPr>
              <w:t>4</w:t>
            </w:r>
          </w:p>
        </w:tc>
        <w:tc>
          <w:tcPr>
            <w:tcW w:w="3795" w:type="dxa"/>
            <w:vAlign w:val="top"/>
          </w:tcPr>
          <w:p w14:paraId="1145BFA3">
            <w:pPr>
              <w:pStyle w:val="6"/>
              <w:spacing w:before="28" w:line="233" w:lineRule="auto"/>
              <w:ind w:left="103" w:right="37" w:hanging="2"/>
              <w:jc w:val="both"/>
              <w:rPr>
                <w:sz w:val="20"/>
                <w:szCs w:val="20"/>
              </w:rPr>
            </w:pPr>
            <w:r>
              <w:rPr>
                <w:spacing w:val="2"/>
                <w:sz w:val="20"/>
                <w:szCs w:val="20"/>
              </w:rPr>
              <w:t>第十九条禁止在长江干流岸线三公里范围</w:t>
            </w:r>
            <w:r>
              <w:rPr>
                <w:spacing w:val="14"/>
                <w:sz w:val="20"/>
                <w:szCs w:val="20"/>
              </w:rPr>
              <w:t xml:space="preserve"> </w:t>
            </w:r>
            <w:r>
              <w:rPr>
                <w:spacing w:val="2"/>
                <w:sz w:val="20"/>
                <w:szCs w:val="20"/>
              </w:rPr>
              <w:t>内和重要支流岸线一公里范围内新建、改</w:t>
            </w:r>
            <w:r>
              <w:rPr>
                <w:spacing w:val="11"/>
                <w:sz w:val="20"/>
                <w:szCs w:val="20"/>
              </w:rPr>
              <w:t xml:space="preserve"> </w:t>
            </w:r>
            <w:r>
              <w:rPr>
                <w:spacing w:val="2"/>
                <w:sz w:val="20"/>
                <w:szCs w:val="20"/>
              </w:rPr>
              <w:t>建、扩建尾矿库、冶炼渣库、磷石膏库，</w:t>
            </w:r>
            <w:r>
              <w:rPr>
                <w:spacing w:val="8"/>
                <w:sz w:val="20"/>
                <w:szCs w:val="20"/>
              </w:rPr>
              <w:t xml:space="preserve"> </w:t>
            </w:r>
            <w:r>
              <w:rPr>
                <w:spacing w:val="2"/>
                <w:sz w:val="20"/>
                <w:szCs w:val="20"/>
              </w:rPr>
              <w:t>以提升安全、生态环境保护水平为目的的</w:t>
            </w:r>
            <w:r>
              <w:rPr>
                <w:spacing w:val="11"/>
                <w:sz w:val="20"/>
                <w:szCs w:val="20"/>
              </w:rPr>
              <w:t xml:space="preserve"> </w:t>
            </w:r>
            <w:r>
              <w:rPr>
                <w:spacing w:val="-2"/>
                <w:sz w:val="20"/>
                <w:szCs w:val="20"/>
              </w:rPr>
              <w:t>改建除外。</w:t>
            </w:r>
          </w:p>
        </w:tc>
        <w:tc>
          <w:tcPr>
            <w:tcW w:w="2496" w:type="dxa"/>
            <w:vAlign w:val="top"/>
          </w:tcPr>
          <w:p w14:paraId="476249AC">
            <w:pPr>
              <w:pStyle w:val="6"/>
              <w:spacing w:before="30" w:line="241" w:lineRule="auto"/>
              <w:ind w:left="82"/>
              <w:jc w:val="both"/>
              <w:rPr>
                <w:sz w:val="20"/>
                <w:szCs w:val="20"/>
              </w:rPr>
            </w:pPr>
            <w:r>
              <w:rPr>
                <w:spacing w:val="12"/>
                <w:sz w:val="20"/>
                <w:szCs w:val="20"/>
              </w:rPr>
              <w:t>本项目为生物质成型燃料</w:t>
            </w:r>
            <w:r>
              <w:rPr>
                <w:spacing w:val="6"/>
                <w:sz w:val="20"/>
                <w:szCs w:val="20"/>
              </w:rPr>
              <w:t xml:space="preserve"> </w:t>
            </w:r>
            <w:r>
              <w:rPr>
                <w:spacing w:val="-6"/>
                <w:sz w:val="20"/>
                <w:szCs w:val="20"/>
              </w:rPr>
              <w:t>生产项目，不涉及建设尾矿</w:t>
            </w:r>
            <w:r>
              <w:rPr>
                <w:spacing w:val="10"/>
                <w:sz w:val="20"/>
                <w:szCs w:val="20"/>
              </w:rPr>
              <w:t xml:space="preserve"> </w:t>
            </w:r>
            <w:r>
              <w:rPr>
                <w:spacing w:val="-15"/>
                <w:sz w:val="20"/>
                <w:szCs w:val="20"/>
              </w:rPr>
              <w:t>库、冶炼渣库、磷石膏库等。</w:t>
            </w:r>
          </w:p>
        </w:tc>
        <w:tc>
          <w:tcPr>
            <w:tcW w:w="790" w:type="dxa"/>
            <w:vAlign w:val="top"/>
          </w:tcPr>
          <w:p w14:paraId="44BB00F2">
            <w:pPr>
              <w:spacing w:line="241" w:lineRule="auto"/>
              <w:rPr>
                <w:rFonts w:ascii="Arial"/>
                <w:sz w:val="21"/>
              </w:rPr>
            </w:pPr>
          </w:p>
          <w:p w14:paraId="2F7EC3CD">
            <w:pPr>
              <w:spacing w:line="241" w:lineRule="auto"/>
              <w:rPr>
                <w:rFonts w:ascii="Arial"/>
                <w:sz w:val="21"/>
              </w:rPr>
            </w:pPr>
          </w:p>
          <w:p w14:paraId="66B53620">
            <w:pPr>
              <w:pStyle w:val="6"/>
              <w:spacing w:before="65" w:line="220" w:lineRule="auto"/>
              <w:ind w:left="178"/>
              <w:rPr>
                <w:sz w:val="20"/>
                <w:szCs w:val="20"/>
              </w:rPr>
            </w:pPr>
            <w:r>
              <w:rPr>
                <w:spacing w:val="-3"/>
                <w:sz w:val="20"/>
                <w:szCs w:val="20"/>
              </w:rPr>
              <w:t>符合</w:t>
            </w:r>
          </w:p>
        </w:tc>
      </w:tr>
      <w:tr w14:paraId="0FDE1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1330" w:type="dxa"/>
            <w:vMerge w:val="continue"/>
            <w:tcBorders>
              <w:top w:val="nil"/>
              <w:bottom w:val="nil"/>
            </w:tcBorders>
            <w:vAlign w:val="top"/>
          </w:tcPr>
          <w:p w14:paraId="7B0912E4">
            <w:pPr>
              <w:rPr>
                <w:rFonts w:ascii="Arial"/>
                <w:sz w:val="21"/>
              </w:rPr>
            </w:pPr>
          </w:p>
        </w:tc>
        <w:tc>
          <w:tcPr>
            <w:tcW w:w="492" w:type="dxa"/>
            <w:vAlign w:val="top"/>
          </w:tcPr>
          <w:p w14:paraId="7D0E823B">
            <w:pPr>
              <w:pStyle w:val="6"/>
              <w:spacing w:before="294"/>
              <w:ind w:left="245"/>
              <w:rPr>
                <w:sz w:val="20"/>
                <w:szCs w:val="20"/>
              </w:rPr>
            </w:pPr>
            <w:r>
              <w:rPr>
                <w:sz w:val="20"/>
                <w:szCs w:val="20"/>
              </w:rPr>
              <w:t>5</w:t>
            </w:r>
          </w:p>
        </w:tc>
        <w:tc>
          <w:tcPr>
            <w:tcW w:w="3795" w:type="dxa"/>
            <w:vAlign w:val="top"/>
          </w:tcPr>
          <w:p w14:paraId="40956834">
            <w:pPr>
              <w:pStyle w:val="6"/>
              <w:spacing w:before="34" w:line="229" w:lineRule="auto"/>
              <w:ind w:left="99" w:right="37" w:firstLine="1"/>
              <w:rPr>
                <w:sz w:val="20"/>
                <w:szCs w:val="20"/>
              </w:rPr>
            </w:pPr>
            <w:r>
              <w:rPr>
                <w:spacing w:val="2"/>
                <w:sz w:val="20"/>
                <w:szCs w:val="20"/>
              </w:rPr>
              <w:t>第二十一条禁止在合规园区外新建、扩建</w:t>
            </w:r>
            <w:r>
              <w:rPr>
                <w:spacing w:val="14"/>
                <w:sz w:val="20"/>
                <w:szCs w:val="20"/>
              </w:rPr>
              <w:t xml:space="preserve"> </w:t>
            </w:r>
            <w:r>
              <w:rPr>
                <w:spacing w:val="1"/>
                <w:sz w:val="20"/>
                <w:szCs w:val="20"/>
              </w:rPr>
              <w:t>钢铁、石化、化工、焦化、建材、有色、</w:t>
            </w:r>
            <w:r>
              <w:rPr>
                <w:spacing w:val="4"/>
                <w:sz w:val="20"/>
                <w:szCs w:val="20"/>
              </w:rPr>
              <w:t xml:space="preserve"> </w:t>
            </w:r>
            <w:r>
              <w:rPr>
                <w:spacing w:val="-1"/>
                <w:sz w:val="20"/>
                <w:szCs w:val="20"/>
              </w:rPr>
              <w:t>制浆造纸等高污染项目。</w:t>
            </w:r>
          </w:p>
        </w:tc>
        <w:tc>
          <w:tcPr>
            <w:tcW w:w="2496" w:type="dxa"/>
            <w:vAlign w:val="top"/>
          </w:tcPr>
          <w:p w14:paraId="1543E551">
            <w:pPr>
              <w:pStyle w:val="6"/>
              <w:spacing w:before="31" w:line="230" w:lineRule="auto"/>
              <w:ind w:left="82" w:right="45"/>
              <w:jc w:val="both"/>
              <w:rPr>
                <w:sz w:val="20"/>
                <w:szCs w:val="20"/>
              </w:rPr>
            </w:pPr>
            <w:r>
              <w:rPr>
                <w:spacing w:val="-4"/>
                <w:sz w:val="20"/>
                <w:szCs w:val="20"/>
              </w:rPr>
              <w:t>本项目不属于钢铁、石化、</w:t>
            </w:r>
            <w:r>
              <w:rPr>
                <w:spacing w:val="10"/>
                <w:sz w:val="20"/>
                <w:szCs w:val="20"/>
              </w:rPr>
              <w:t xml:space="preserve"> </w:t>
            </w:r>
            <w:r>
              <w:rPr>
                <w:spacing w:val="-4"/>
                <w:sz w:val="20"/>
                <w:szCs w:val="20"/>
              </w:rPr>
              <w:t>化工、焦化、建材、有色、</w:t>
            </w:r>
            <w:r>
              <w:rPr>
                <w:spacing w:val="10"/>
                <w:sz w:val="20"/>
                <w:szCs w:val="20"/>
              </w:rPr>
              <w:t xml:space="preserve"> </w:t>
            </w:r>
            <w:r>
              <w:rPr>
                <w:spacing w:val="-1"/>
                <w:sz w:val="20"/>
                <w:szCs w:val="20"/>
              </w:rPr>
              <w:t>制浆造纸等高污染项目</w:t>
            </w:r>
          </w:p>
        </w:tc>
        <w:tc>
          <w:tcPr>
            <w:tcW w:w="790" w:type="dxa"/>
            <w:vAlign w:val="top"/>
          </w:tcPr>
          <w:p w14:paraId="452B27D6">
            <w:pPr>
              <w:pStyle w:val="6"/>
              <w:spacing w:before="294" w:line="220" w:lineRule="auto"/>
              <w:ind w:left="178"/>
              <w:rPr>
                <w:sz w:val="20"/>
                <w:szCs w:val="20"/>
              </w:rPr>
            </w:pPr>
            <w:r>
              <w:rPr>
                <w:spacing w:val="-3"/>
                <w:sz w:val="20"/>
                <w:szCs w:val="20"/>
              </w:rPr>
              <w:t>符合</w:t>
            </w:r>
          </w:p>
        </w:tc>
      </w:tr>
      <w:tr w14:paraId="27484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trPr>
        <w:tc>
          <w:tcPr>
            <w:tcW w:w="1330" w:type="dxa"/>
            <w:vMerge w:val="continue"/>
            <w:tcBorders>
              <w:top w:val="nil"/>
              <w:bottom w:val="nil"/>
            </w:tcBorders>
            <w:vAlign w:val="top"/>
          </w:tcPr>
          <w:p w14:paraId="05E6FAAC">
            <w:pPr>
              <w:rPr>
                <w:rFonts w:ascii="Arial"/>
                <w:sz w:val="21"/>
              </w:rPr>
            </w:pPr>
          </w:p>
        </w:tc>
        <w:tc>
          <w:tcPr>
            <w:tcW w:w="492" w:type="dxa"/>
            <w:vAlign w:val="top"/>
          </w:tcPr>
          <w:p w14:paraId="401ACE68">
            <w:pPr>
              <w:spacing w:line="306" w:lineRule="auto"/>
              <w:rPr>
                <w:rFonts w:ascii="Arial"/>
                <w:sz w:val="21"/>
              </w:rPr>
            </w:pPr>
          </w:p>
          <w:p w14:paraId="3823B5F2">
            <w:pPr>
              <w:spacing w:line="307" w:lineRule="auto"/>
              <w:rPr>
                <w:rFonts w:ascii="Arial"/>
                <w:sz w:val="21"/>
              </w:rPr>
            </w:pPr>
          </w:p>
          <w:p w14:paraId="139B7AF8">
            <w:pPr>
              <w:pStyle w:val="6"/>
              <w:spacing w:before="65"/>
              <w:ind w:left="243"/>
              <w:rPr>
                <w:sz w:val="20"/>
                <w:szCs w:val="20"/>
              </w:rPr>
            </w:pPr>
            <w:r>
              <w:rPr>
                <w:sz w:val="20"/>
                <w:szCs w:val="20"/>
              </w:rPr>
              <w:t>6</w:t>
            </w:r>
          </w:p>
        </w:tc>
        <w:tc>
          <w:tcPr>
            <w:tcW w:w="3795" w:type="dxa"/>
            <w:vAlign w:val="top"/>
          </w:tcPr>
          <w:p w14:paraId="2C2F2BA7">
            <w:pPr>
              <w:pStyle w:val="6"/>
              <w:spacing w:before="29" w:line="234" w:lineRule="auto"/>
              <w:ind w:left="100" w:right="35"/>
              <w:jc w:val="both"/>
              <w:rPr>
                <w:sz w:val="20"/>
                <w:szCs w:val="20"/>
              </w:rPr>
            </w:pPr>
            <w:r>
              <w:rPr>
                <w:spacing w:val="2"/>
                <w:sz w:val="20"/>
                <w:szCs w:val="20"/>
              </w:rPr>
              <w:t>第二十三条禁止新建、扩建法律法规和相</w:t>
            </w:r>
            <w:r>
              <w:rPr>
                <w:spacing w:val="14"/>
                <w:sz w:val="20"/>
                <w:szCs w:val="20"/>
              </w:rPr>
              <w:t xml:space="preserve"> </w:t>
            </w:r>
            <w:r>
              <w:rPr>
                <w:spacing w:val="2"/>
                <w:sz w:val="20"/>
                <w:szCs w:val="20"/>
              </w:rPr>
              <w:t>关政策明令禁止的落后产能项目。对《产</w:t>
            </w:r>
            <w:r>
              <w:rPr>
                <w:spacing w:val="15"/>
                <w:sz w:val="20"/>
                <w:szCs w:val="20"/>
              </w:rPr>
              <w:t xml:space="preserve"> </w:t>
            </w:r>
            <w:r>
              <w:rPr>
                <w:spacing w:val="2"/>
                <w:sz w:val="20"/>
                <w:szCs w:val="20"/>
              </w:rPr>
              <w:t>业结构调整指导目录》中淘汰类项目，禁</w:t>
            </w:r>
            <w:r>
              <w:rPr>
                <w:spacing w:val="15"/>
                <w:sz w:val="20"/>
                <w:szCs w:val="20"/>
              </w:rPr>
              <w:t xml:space="preserve"> </w:t>
            </w:r>
            <w:r>
              <w:rPr>
                <w:spacing w:val="-3"/>
                <w:sz w:val="20"/>
                <w:szCs w:val="20"/>
              </w:rPr>
              <w:t>止投资</w:t>
            </w:r>
            <w:r>
              <w:rPr>
                <w:rFonts w:hint="eastAsia"/>
                <w:spacing w:val="-3"/>
                <w:sz w:val="20"/>
                <w:szCs w:val="20"/>
                <w:lang w:eastAsia="zh-CN"/>
              </w:rPr>
              <w:t>；</w:t>
            </w:r>
            <w:r>
              <w:rPr>
                <w:spacing w:val="-3"/>
                <w:sz w:val="20"/>
                <w:szCs w:val="20"/>
              </w:rPr>
              <w:t>限制类的新建项目，禁止投资，对</w:t>
            </w:r>
            <w:r>
              <w:rPr>
                <w:spacing w:val="10"/>
                <w:sz w:val="20"/>
                <w:szCs w:val="20"/>
              </w:rPr>
              <w:t xml:space="preserve"> </w:t>
            </w:r>
            <w:r>
              <w:rPr>
                <w:spacing w:val="2"/>
                <w:sz w:val="20"/>
                <w:szCs w:val="20"/>
              </w:rPr>
              <w:t>属于限制类的现有生产能力，允许企业在</w:t>
            </w:r>
            <w:r>
              <w:rPr>
                <w:spacing w:val="15"/>
                <w:sz w:val="20"/>
                <w:szCs w:val="20"/>
              </w:rPr>
              <w:t xml:space="preserve"> </w:t>
            </w:r>
            <w:r>
              <w:rPr>
                <w:spacing w:val="-2"/>
                <w:sz w:val="20"/>
                <w:szCs w:val="20"/>
              </w:rPr>
              <w:t>一定期限内采取措施改造升级。</w:t>
            </w:r>
          </w:p>
        </w:tc>
        <w:tc>
          <w:tcPr>
            <w:tcW w:w="2496" w:type="dxa"/>
            <w:vAlign w:val="top"/>
          </w:tcPr>
          <w:p w14:paraId="4A8316B2">
            <w:pPr>
              <w:pStyle w:val="6"/>
              <w:spacing w:before="32" w:line="241" w:lineRule="auto"/>
              <w:ind w:left="81" w:right="47" w:firstLine="1"/>
              <w:rPr>
                <w:sz w:val="20"/>
                <w:szCs w:val="20"/>
              </w:rPr>
            </w:pPr>
            <w:r>
              <w:rPr>
                <w:spacing w:val="14"/>
                <w:sz w:val="20"/>
                <w:szCs w:val="20"/>
              </w:rPr>
              <w:t>本项目符合国家现行产业</w:t>
            </w:r>
            <w:r>
              <w:rPr>
                <w:spacing w:val="4"/>
                <w:sz w:val="20"/>
                <w:szCs w:val="20"/>
              </w:rPr>
              <w:t xml:space="preserve"> </w:t>
            </w:r>
            <w:r>
              <w:rPr>
                <w:spacing w:val="-4"/>
                <w:sz w:val="20"/>
                <w:szCs w:val="20"/>
              </w:rPr>
              <w:t>政策，已取得投资备案手续</w:t>
            </w:r>
          </w:p>
        </w:tc>
        <w:tc>
          <w:tcPr>
            <w:tcW w:w="790" w:type="dxa"/>
            <w:vAlign w:val="top"/>
          </w:tcPr>
          <w:p w14:paraId="08155ACC">
            <w:pPr>
              <w:spacing w:line="306" w:lineRule="auto"/>
              <w:rPr>
                <w:rFonts w:ascii="Arial"/>
                <w:sz w:val="21"/>
              </w:rPr>
            </w:pPr>
          </w:p>
          <w:p w14:paraId="4F4E2C6F">
            <w:pPr>
              <w:spacing w:line="306" w:lineRule="auto"/>
              <w:rPr>
                <w:rFonts w:ascii="Arial"/>
                <w:sz w:val="21"/>
              </w:rPr>
            </w:pPr>
          </w:p>
          <w:p w14:paraId="3671BE8F">
            <w:pPr>
              <w:pStyle w:val="6"/>
              <w:spacing w:before="65" w:line="220" w:lineRule="auto"/>
              <w:ind w:left="178"/>
              <w:rPr>
                <w:sz w:val="20"/>
                <w:szCs w:val="20"/>
              </w:rPr>
            </w:pPr>
            <w:r>
              <w:rPr>
                <w:spacing w:val="-3"/>
                <w:sz w:val="20"/>
                <w:szCs w:val="20"/>
              </w:rPr>
              <w:t>符合</w:t>
            </w:r>
          </w:p>
        </w:tc>
      </w:tr>
      <w:tr w14:paraId="5C0C8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1" w:hRule="atLeast"/>
        </w:trPr>
        <w:tc>
          <w:tcPr>
            <w:tcW w:w="1330" w:type="dxa"/>
            <w:vMerge w:val="continue"/>
            <w:tcBorders>
              <w:top w:val="nil"/>
              <w:bottom w:val="nil"/>
            </w:tcBorders>
            <w:vAlign w:val="top"/>
          </w:tcPr>
          <w:p w14:paraId="4970C037">
            <w:pPr>
              <w:rPr>
                <w:rFonts w:ascii="Arial"/>
                <w:sz w:val="21"/>
              </w:rPr>
            </w:pPr>
          </w:p>
        </w:tc>
        <w:tc>
          <w:tcPr>
            <w:tcW w:w="492" w:type="dxa"/>
            <w:vAlign w:val="top"/>
          </w:tcPr>
          <w:p w14:paraId="567758E1">
            <w:pPr>
              <w:spacing w:line="242" w:lineRule="auto"/>
              <w:rPr>
                <w:rFonts w:ascii="Arial"/>
                <w:sz w:val="21"/>
              </w:rPr>
            </w:pPr>
          </w:p>
          <w:p w14:paraId="2B6D3CAB">
            <w:pPr>
              <w:spacing w:line="242" w:lineRule="auto"/>
              <w:rPr>
                <w:rFonts w:ascii="Arial"/>
                <w:sz w:val="21"/>
              </w:rPr>
            </w:pPr>
          </w:p>
          <w:p w14:paraId="114F8BD4">
            <w:pPr>
              <w:pStyle w:val="6"/>
              <w:spacing w:before="65"/>
              <w:ind w:left="246"/>
              <w:rPr>
                <w:sz w:val="20"/>
                <w:szCs w:val="20"/>
              </w:rPr>
            </w:pPr>
            <w:r>
              <w:rPr>
                <w:sz w:val="20"/>
                <w:szCs w:val="20"/>
              </w:rPr>
              <w:t>7</w:t>
            </w:r>
          </w:p>
        </w:tc>
        <w:tc>
          <w:tcPr>
            <w:tcW w:w="3795" w:type="dxa"/>
            <w:vAlign w:val="top"/>
          </w:tcPr>
          <w:p w14:paraId="5EE44078">
            <w:pPr>
              <w:pStyle w:val="6"/>
              <w:spacing w:before="34" w:line="232" w:lineRule="auto"/>
              <w:ind w:left="100" w:right="37"/>
              <w:rPr>
                <w:sz w:val="20"/>
                <w:szCs w:val="20"/>
              </w:rPr>
            </w:pPr>
            <w:r>
              <w:rPr>
                <w:spacing w:val="2"/>
                <w:sz w:val="20"/>
                <w:szCs w:val="20"/>
              </w:rPr>
              <w:t>第二十四条禁止新建、扩建不符合国家产</w:t>
            </w:r>
            <w:r>
              <w:rPr>
                <w:spacing w:val="14"/>
                <w:sz w:val="20"/>
                <w:szCs w:val="20"/>
              </w:rPr>
              <w:t xml:space="preserve"> </w:t>
            </w:r>
            <w:r>
              <w:rPr>
                <w:spacing w:val="1"/>
                <w:sz w:val="20"/>
                <w:szCs w:val="20"/>
              </w:rPr>
              <w:t>能置换要求的严重过剩产能行业的项目。</w:t>
            </w:r>
            <w:r>
              <w:rPr>
                <w:spacing w:val="3"/>
                <w:sz w:val="20"/>
                <w:szCs w:val="20"/>
              </w:rPr>
              <w:t xml:space="preserve"> </w:t>
            </w:r>
            <w:r>
              <w:rPr>
                <w:spacing w:val="2"/>
                <w:sz w:val="20"/>
                <w:szCs w:val="20"/>
              </w:rPr>
              <w:t>对于不符合国家产能置换要求的严重过剩</w:t>
            </w:r>
            <w:r>
              <w:rPr>
                <w:spacing w:val="15"/>
                <w:sz w:val="20"/>
                <w:szCs w:val="20"/>
              </w:rPr>
              <w:t xml:space="preserve"> </w:t>
            </w:r>
            <w:r>
              <w:rPr>
                <w:spacing w:val="2"/>
                <w:sz w:val="20"/>
                <w:szCs w:val="20"/>
              </w:rPr>
              <w:t>产能行业，不得以其他任何名义、任何方</w:t>
            </w:r>
            <w:r>
              <w:rPr>
                <w:spacing w:val="15"/>
                <w:sz w:val="20"/>
                <w:szCs w:val="20"/>
              </w:rPr>
              <w:t xml:space="preserve"> </w:t>
            </w:r>
            <w:r>
              <w:rPr>
                <w:spacing w:val="-3"/>
                <w:sz w:val="20"/>
                <w:szCs w:val="20"/>
              </w:rPr>
              <w:t>式备案新增产能项目。</w:t>
            </w:r>
          </w:p>
        </w:tc>
        <w:tc>
          <w:tcPr>
            <w:tcW w:w="2496" w:type="dxa"/>
            <w:vAlign w:val="top"/>
          </w:tcPr>
          <w:p w14:paraId="4E921375">
            <w:pPr>
              <w:pStyle w:val="6"/>
              <w:spacing w:before="31" w:line="241" w:lineRule="auto"/>
              <w:ind w:left="80" w:right="47" w:firstLine="2"/>
              <w:jc w:val="both"/>
              <w:rPr>
                <w:sz w:val="20"/>
                <w:szCs w:val="20"/>
              </w:rPr>
            </w:pPr>
            <w:r>
              <w:rPr>
                <w:spacing w:val="14"/>
                <w:sz w:val="20"/>
                <w:szCs w:val="20"/>
              </w:rPr>
              <w:t>本项目为生物质成型燃料</w:t>
            </w:r>
            <w:r>
              <w:rPr>
                <w:spacing w:val="5"/>
                <w:sz w:val="20"/>
                <w:szCs w:val="20"/>
              </w:rPr>
              <w:t xml:space="preserve"> </w:t>
            </w:r>
            <w:r>
              <w:rPr>
                <w:spacing w:val="-4"/>
                <w:sz w:val="20"/>
                <w:szCs w:val="20"/>
              </w:rPr>
              <w:t>生产项目，不属于国家产能</w:t>
            </w:r>
            <w:r>
              <w:rPr>
                <w:spacing w:val="10"/>
                <w:sz w:val="20"/>
                <w:szCs w:val="20"/>
              </w:rPr>
              <w:t xml:space="preserve"> </w:t>
            </w:r>
            <w:r>
              <w:rPr>
                <w:spacing w:val="14"/>
                <w:sz w:val="20"/>
                <w:szCs w:val="20"/>
              </w:rPr>
              <w:t>置换要求的严重过剩产能</w:t>
            </w:r>
            <w:r>
              <w:rPr>
                <w:spacing w:val="7"/>
                <w:sz w:val="20"/>
                <w:szCs w:val="20"/>
              </w:rPr>
              <w:t xml:space="preserve"> </w:t>
            </w:r>
            <w:r>
              <w:rPr>
                <w:spacing w:val="-1"/>
                <w:sz w:val="20"/>
                <w:szCs w:val="20"/>
              </w:rPr>
              <w:t>行业的项目</w:t>
            </w:r>
          </w:p>
        </w:tc>
        <w:tc>
          <w:tcPr>
            <w:tcW w:w="790" w:type="dxa"/>
            <w:vAlign w:val="top"/>
          </w:tcPr>
          <w:p w14:paraId="41061D52">
            <w:pPr>
              <w:spacing w:line="242" w:lineRule="auto"/>
              <w:rPr>
                <w:rFonts w:ascii="Arial"/>
                <w:sz w:val="21"/>
              </w:rPr>
            </w:pPr>
          </w:p>
          <w:p w14:paraId="0480C14D">
            <w:pPr>
              <w:spacing w:line="242" w:lineRule="auto"/>
              <w:rPr>
                <w:rFonts w:ascii="Arial"/>
                <w:sz w:val="21"/>
              </w:rPr>
            </w:pPr>
          </w:p>
          <w:p w14:paraId="78E2BF76">
            <w:pPr>
              <w:pStyle w:val="6"/>
              <w:spacing w:before="65" w:line="220" w:lineRule="auto"/>
              <w:ind w:left="178"/>
              <w:rPr>
                <w:sz w:val="20"/>
                <w:szCs w:val="20"/>
              </w:rPr>
            </w:pPr>
            <w:r>
              <w:rPr>
                <w:spacing w:val="-3"/>
                <w:sz w:val="20"/>
                <w:szCs w:val="20"/>
              </w:rPr>
              <w:t>符合</w:t>
            </w:r>
          </w:p>
        </w:tc>
      </w:tr>
      <w:tr w14:paraId="00E5C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2" w:hRule="atLeast"/>
        </w:trPr>
        <w:tc>
          <w:tcPr>
            <w:tcW w:w="1330" w:type="dxa"/>
            <w:vMerge w:val="continue"/>
            <w:tcBorders>
              <w:top w:val="nil"/>
              <w:bottom w:val="nil"/>
            </w:tcBorders>
            <w:vAlign w:val="top"/>
          </w:tcPr>
          <w:p w14:paraId="39F68AC8">
            <w:pPr>
              <w:rPr>
                <w:rFonts w:ascii="Arial"/>
                <w:sz w:val="21"/>
              </w:rPr>
            </w:pPr>
          </w:p>
        </w:tc>
        <w:tc>
          <w:tcPr>
            <w:tcW w:w="492" w:type="dxa"/>
            <w:vAlign w:val="top"/>
          </w:tcPr>
          <w:p w14:paraId="562B9CC6">
            <w:pPr>
              <w:spacing w:line="306" w:lineRule="auto"/>
              <w:rPr>
                <w:rFonts w:ascii="Arial"/>
                <w:sz w:val="21"/>
              </w:rPr>
            </w:pPr>
          </w:p>
          <w:p w14:paraId="1D84021D">
            <w:pPr>
              <w:spacing w:line="307" w:lineRule="auto"/>
              <w:rPr>
                <w:rFonts w:ascii="Arial"/>
                <w:sz w:val="21"/>
              </w:rPr>
            </w:pPr>
          </w:p>
          <w:p w14:paraId="412E0ADD">
            <w:pPr>
              <w:pStyle w:val="6"/>
              <w:spacing w:before="65"/>
              <w:ind w:left="242"/>
              <w:rPr>
                <w:sz w:val="20"/>
                <w:szCs w:val="20"/>
              </w:rPr>
            </w:pPr>
            <w:r>
              <w:rPr>
                <w:sz w:val="20"/>
                <w:szCs w:val="20"/>
              </w:rPr>
              <w:t>8</w:t>
            </w:r>
          </w:p>
        </w:tc>
        <w:tc>
          <w:tcPr>
            <w:tcW w:w="3795" w:type="dxa"/>
            <w:vAlign w:val="top"/>
          </w:tcPr>
          <w:p w14:paraId="06E10E3D">
            <w:pPr>
              <w:spacing w:line="242" w:lineRule="auto"/>
              <w:rPr>
                <w:rFonts w:ascii="Arial"/>
                <w:sz w:val="21"/>
              </w:rPr>
            </w:pPr>
          </w:p>
          <w:p w14:paraId="70723C16">
            <w:pPr>
              <w:spacing w:line="243" w:lineRule="auto"/>
              <w:rPr>
                <w:rFonts w:ascii="Arial"/>
                <w:sz w:val="21"/>
              </w:rPr>
            </w:pPr>
          </w:p>
          <w:p w14:paraId="3B442231">
            <w:pPr>
              <w:pStyle w:val="6"/>
              <w:spacing w:before="65" w:line="241" w:lineRule="auto"/>
              <w:ind w:left="106" w:right="37" w:hanging="5"/>
              <w:rPr>
                <w:sz w:val="20"/>
                <w:szCs w:val="20"/>
              </w:rPr>
            </w:pPr>
            <w:r>
              <w:rPr>
                <w:spacing w:val="2"/>
                <w:sz w:val="20"/>
                <w:szCs w:val="20"/>
              </w:rPr>
              <w:t>第二十六条禁止新建、扩建不符合要求的</w:t>
            </w:r>
            <w:r>
              <w:rPr>
                <w:spacing w:val="14"/>
                <w:sz w:val="20"/>
                <w:szCs w:val="20"/>
              </w:rPr>
              <w:t xml:space="preserve"> </w:t>
            </w:r>
            <w:r>
              <w:rPr>
                <w:spacing w:val="-2"/>
                <w:sz w:val="20"/>
                <w:szCs w:val="20"/>
              </w:rPr>
              <w:t>高耗能、高排放、低水平项目。</w:t>
            </w:r>
          </w:p>
        </w:tc>
        <w:tc>
          <w:tcPr>
            <w:tcW w:w="2496" w:type="dxa"/>
            <w:vAlign w:val="top"/>
          </w:tcPr>
          <w:p w14:paraId="16EC9D54">
            <w:pPr>
              <w:pStyle w:val="6"/>
              <w:spacing w:before="31" w:line="234" w:lineRule="auto"/>
              <w:ind w:left="67" w:right="46" w:firstLine="13"/>
              <w:jc w:val="both"/>
              <w:rPr>
                <w:sz w:val="20"/>
                <w:szCs w:val="20"/>
              </w:rPr>
            </w:pPr>
            <w:r>
              <w:rPr>
                <w:spacing w:val="14"/>
                <w:sz w:val="20"/>
                <w:szCs w:val="20"/>
              </w:rPr>
              <w:t>根据《关于印发〈四川省</w:t>
            </w:r>
            <w:r>
              <w:rPr>
                <w:spacing w:val="5"/>
                <w:sz w:val="20"/>
                <w:szCs w:val="20"/>
              </w:rPr>
              <w:t xml:space="preserve"> </w:t>
            </w:r>
            <w:r>
              <w:rPr>
                <w:spacing w:val="-5"/>
                <w:sz w:val="20"/>
                <w:szCs w:val="20"/>
              </w:rPr>
              <w:t>“两高</w:t>
            </w:r>
            <w:r>
              <w:rPr>
                <w:spacing w:val="-73"/>
                <w:sz w:val="20"/>
                <w:szCs w:val="20"/>
              </w:rPr>
              <w:t xml:space="preserve"> </w:t>
            </w:r>
            <w:r>
              <w:rPr>
                <w:spacing w:val="-5"/>
                <w:sz w:val="20"/>
                <w:szCs w:val="20"/>
              </w:rPr>
              <w:t>”项目管理目录（试</w:t>
            </w:r>
            <w:r>
              <w:rPr>
                <w:sz w:val="20"/>
                <w:szCs w:val="20"/>
              </w:rPr>
              <w:t xml:space="preserve"> </w:t>
            </w:r>
            <w:r>
              <w:rPr>
                <w:spacing w:val="-3"/>
                <w:sz w:val="20"/>
                <w:szCs w:val="20"/>
              </w:rPr>
              <w:t>行）〉的通知》（川发改环</w:t>
            </w:r>
            <w:r>
              <w:rPr>
                <w:spacing w:val="10"/>
                <w:sz w:val="20"/>
                <w:szCs w:val="20"/>
              </w:rPr>
              <w:t xml:space="preserve"> </w:t>
            </w:r>
            <w:r>
              <w:rPr>
                <w:spacing w:val="4"/>
                <w:sz w:val="20"/>
                <w:szCs w:val="20"/>
              </w:rPr>
              <w:t>资函〔2024〕259号</w:t>
            </w:r>
            <w:r>
              <w:rPr>
                <w:spacing w:val="11"/>
                <w:sz w:val="20"/>
                <w:szCs w:val="20"/>
              </w:rPr>
              <w:t>），</w:t>
            </w:r>
            <w:r>
              <w:rPr>
                <w:spacing w:val="4"/>
                <w:sz w:val="20"/>
                <w:szCs w:val="20"/>
              </w:rPr>
              <w:t>本</w:t>
            </w:r>
            <w:r>
              <w:rPr>
                <w:spacing w:val="1"/>
                <w:sz w:val="20"/>
                <w:szCs w:val="20"/>
              </w:rPr>
              <w:t xml:space="preserve"> </w:t>
            </w:r>
            <w:r>
              <w:rPr>
                <w:spacing w:val="15"/>
                <w:sz w:val="20"/>
                <w:szCs w:val="20"/>
              </w:rPr>
              <w:t>项目不属于高耗能、高排</w:t>
            </w:r>
            <w:r>
              <w:rPr>
                <w:spacing w:val="8"/>
                <w:sz w:val="20"/>
                <w:szCs w:val="20"/>
              </w:rPr>
              <w:t xml:space="preserve"> </w:t>
            </w:r>
            <w:r>
              <w:rPr>
                <w:spacing w:val="-1"/>
                <w:sz w:val="20"/>
                <w:szCs w:val="20"/>
              </w:rPr>
              <w:t>放、低水平项目。</w:t>
            </w:r>
          </w:p>
        </w:tc>
        <w:tc>
          <w:tcPr>
            <w:tcW w:w="790" w:type="dxa"/>
            <w:vAlign w:val="top"/>
          </w:tcPr>
          <w:p w14:paraId="42AE3800">
            <w:pPr>
              <w:spacing w:line="306" w:lineRule="auto"/>
              <w:rPr>
                <w:rFonts w:ascii="Arial"/>
                <w:sz w:val="21"/>
              </w:rPr>
            </w:pPr>
          </w:p>
          <w:p w14:paraId="3E291140">
            <w:pPr>
              <w:spacing w:line="307" w:lineRule="auto"/>
              <w:rPr>
                <w:rFonts w:ascii="Arial"/>
                <w:sz w:val="21"/>
              </w:rPr>
            </w:pPr>
          </w:p>
          <w:p w14:paraId="2609CD91">
            <w:pPr>
              <w:pStyle w:val="6"/>
              <w:spacing w:before="65" w:line="220" w:lineRule="auto"/>
              <w:ind w:left="178"/>
              <w:rPr>
                <w:sz w:val="20"/>
                <w:szCs w:val="20"/>
              </w:rPr>
            </w:pPr>
            <w:r>
              <w:rPr>
                <w:spacing w:val="-3"/>
                <w:sz w:val="20"/>
                <w:szCs w:val="20"/>
              </w:rPr>
              <w:t>符合</w:t>
            </w:r>
          </w:p>
        </w:tc>
      </w:tr>
      <w:tr w14:paraId="73478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8" w:hRule="atLeast"/>
        </w:trPr>
        <w:tc>
          <w:tcPr>
            <w:tcW w:w="1330" w:type="dxa"/>
            <w:vMerge w:val="continue"/>
            <w:tcBorders>
              <w:top w:val="nil"/>
            </w:tcBorders>
            <w:vAlign w:val="top"/>
          </w:tcPr>
          <w:p w14:paraId="7179AC29">
            <w:pPr>
              <w:rPr>
                <w:rFonts w:ascii="Arial"/>
                <w:sz w:val="21"/>
              </w:rPr>
            </w:pPr>
          </w:p>
        </w:tc>
        <w:tc>
          <w:tcPr>
            <w:tcW w:w="7573" w:type="dxa"/>
            <w:gridSpan w:val="4"/>
            <w:vAlign w:val="top"/>
          </w:tcPr>
          <w:p w14:paraId="5F2EFF08">
            <w:pPr>
              <w:pStyle w:val="6"/>
              <w:spacing w:before="136" w:line="351" w:lineRule="auto"/>
              <w:ind w:left="114" w:right="116" w:firstLine="458"/>
            </w:pPr>
            <w:r>
              <w:rPr>
                <w:spacing w:val="12"/>
              </w:rPr>
              <w:t>由上表分析可知，本项目的建设符合《四川省、重庆市长江经</w:t>
            </w:r>
            <w:r>
              <w:rPr>
                <w:spacing w:val="11"/>
              </w:rPr>
              <w:t>济带发展</w:t>
            </w:r>
            <w:r>
              <w:t xml:space="preserve"> </w:t>
            </w:r>
            <w:r>
              <w:rPr>
                <w:spacing w:val="7"/>
              </w:rPr>
              <w:t>负面清单实施细则</w:t>
            </w:r>
            <w:r>
              <w:rPr>
                <w:rFonts w:hint="eastAsia"/>
                <w:spacing w:val="7"/>
                <w:lang w:eastAsia="zh-CN"/>
              </w:rPr>
              <w:t>（</w:t>
            </w:r>
            <w:r>
              <w:rPr>
                <w:spacing w:val="7"/>
              </w:rPr>
              <w:t>试行，2022年版）》的相关要求。</w:t>
            </w:r>
          </w:p>
          <w:p w14:paraId="471B2840">
            <w:pPr>
              <w:pStyle w:val="6"/>
              <w:spacing w:before="1" w:line="227" w:lineRule="auto"/>
              <w:ind w:left="109"/>
            </w:pPr>
            <w:r>
              <w:rPr>
                <w:b/>
                <w:bCs/>
                <w:spacing w:val="7"/>
              </w:rPr>
              <w:t>5、与污染防治相关法律法规符合性分析</w:t>
            </w:r>
          </w:p>
          <w:p w14:paraId="624F1819">
            <w:pPr>
              <w:pStyle w:val="6"/>
              <w:spacing w:before="141" w:line="228" w:lineRule="auto"/>
              <w:ind w:left="557"/>
            </w:pPr>
            <w:r>
              <w:rPr>
                <w:b/>
                <w:bCs/>
                <w:spacing w:val="6"/>
              </w:rPr>
              <w:t>（1）与《大气污染防治法》的符合性</w:t>
            </w:r>
          </w:p>
        </w:tc>
      </w:tr>
    </w:tbl>
    <w:p w14:paraId="4E4CCAF6">
      <w:pPr>
        <w:rPr>
          <w:rFonts w:ascii="Arial"/>
          <w:sz w:val="21"/>
        </w:rPr>
      </w:pPr>
    </w:p>
    <w:p w14:paraId="37115697">
      <w:pPr>
        <w:rPr>
          <w:rFonts w:ascii="Arial" w:hAnsi="Arial" w:eastAsia="Arial" w:cs="Arial"/>
          <w:sz w:val="21"/>
          <w:szCs w:val="21"/>
        </w:rPr>
        <w:sectPr>
          <w:footerReference r:id="rId27" w:type="default"/>
          <w:pgSz w:w="11907" w:h="16839"/>
          <w:pgMar w:top="1431" w:right="1498" w:bottom="1055" w:left="1498" w:header="0" w:footer="802" w:gutter="0"/>
          <w:cols w:space="720" w:num="1"/>
        </w:sectPr>
      </w:pPr>
    </w:p>
    <w:p w14:paraId="29F2A441">
      <w:pPr>
        <w:spacing w:before="28"/>
      </w:pPr>
    </w:p>
    <w:tbl>
      <w:tblPr>
        <w:tblStyle w:val="5"/>
        <w:tblW w:w="89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6"/>
        <w:gridCol w:w="592"/>
        <w:gridCol w:w="4098"/>
        <w:gridCol w:w="2038"/>
        <w:gridCol w:w="747"/>
        <w:gridCol w:w="92"/>
      </w:tblGrid>
      <w:tr w14:paraId="64711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6" w:hRule="atLeast"/>
        </w:trPr>
        <w:tc>
          <w:tcPr>
            <w:tcW w:w="1336" w:type="dxa"/>
            <w:vMerge w:val="restart"/>
            <w:tcBorders>
              <w:bottom w:val="nil"/>
            </w:tcBorders>
            <w:vAlign w:val="top"/>
          </w:tcPr>
          <w:p w14:paraId="5C7DB692">
            <w:pPr>
              <w:rPr>
                <w:rFonts w:ascii="Arial"/>
                <w:sz w:val="21"/>
              </w:rPr>
            </w:pPr>
          </w:p>
        </w:tc>
        <w:tc>
          <w:tcPr>
            <w:tcW w:w="7567" w:type="dxa"/>
            <w:gridSpan w:val="5"/>
            <w:vAlign w:val="top"/>
          </w:tcPr>
          <w:p w14:paraId="2DAD2DF8">
            <w:pPr>
              <w:pStyle w:val="6"/>
              <w:spacing w:before="144" w:line="220" w:lineRule="auto"/>
              <w:ind w:left="1461"/>
            </w:pPr>
            <w:r>
              <w:rPr>
                <w:b/>
                <w:bCs/>
                <w:spacing w:val="-3"/>
              </w:rPr>
              <w:t>表1-8</w:t>
            </w:r>
            <w:r>
              <w:rPr>
                <w:spacing w:val="-3"/>
              </w:rPr>
              <w:t xml:space="preserve">   </w:t>
            </w:r>
            <w:r>
              <w:rPr>
                <w:b/>
                <w:bCs/>
                <w:spacing w:val="-3"/>
              </w:rPr>
              <w:t>项目与“大气污染防治法</w:t>
            </w:r>
            <w:r>
              <w:rPr>
                <w:spacing w:val="-71"/>
              </w:rPr>
              <w:t xml:space="preserve"> </w:t>
            </w:r>
            <w:r>
              <w:rPr>
                <w:b/>
                <w:bCs/>
                <w:spacing w:val="-3"/>
              </w:rPr>
              <w:t>”的符合性分析</w:t>
            </w:r>
          </w:p>
          <w:p w14:paraId="7E7F935F">
            <w:pPr>
              <w:spacing w:line="103" w:lineRule="auto"/>
              <w:rPr>
                <w:rFonts w:ascii="Arial"/>
                <w:sz w:val="2"/>
              </w:rPr>
            </w:pPr>
          </w:p>
          <w:tbl>
            <w:tblPr>
              <w:tblStyle w:val="5"/>
              <w:tblW w:w="7256" w:type="dxa"/>
              <w:tblInd w:w="1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6"/>
              <w:gridCol w:w="3834"/>
              <w:gridCol w:w="2203"/>
              <w:gridCol w:w="713"/>
            </w:tblGrid>
            <w:tr w14:paraId="4182B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506" w:type="dxa"/>
                  <w:vAlign w:val="top"/>
                </w:tcPr>
                <w:p w14:paraId="44E052CD">
                  <w:pPr>
                    <w:pStyle w:val="6"/>
                    <w:spacing w:before="40" w:line="212" w:lineRule="auto"/>
                    <w:ind w:left="56"/>
                    <w:rPr>
                      <w:sz w:val="20"/>
                      <w:szCs w:val="20"/>
                    </w:rPr>
                  </w:pPr>
                  <w:r>
                    <w:rPr>
                      <w:b/>
                      <w:bCs/>
                      <w:spacing w:val="-4"/>
                      <w:sz w:val="20"/>
                      <w:szCs w:val="20"/>
                    </w:rPr>
                    <w:t>序号</w:t>
                  </w:r>
                </w:p>
              </w:tc>
              <w:tc>
                <w:tcPr>
                  <w:tcW w:w="3834" w:type="dxa"/>
                  <w:vAlign w:val="top"/>
                </w:tcPr>
                <w:p w14:paraId="1D80C3E1">
                  <w:pPr>
                    <w:pStyle w:val="6"/>
                    <w:spacing w:before="40" w:line="212" w:lineRule="auto"/>
                    <w:ind w:left="1524"/>
                    <w:rPr>
                      <w:sz w:val="20"/>
                      <w:szCs w:val="20"/>
                    </w:rPr>
                  </w:pPr>
                  <w:r>
                    <w:rPr>
                      <w:b/>
                      <w:bCs/>
                      <w:spacing w:val="-5"/>
                      <w:sz w:val="20"/>
                      <w:szCs w:val="20"/>
                    </w:rPr>
                    <w:t>原文内容</w:t>
                  </w:r>
                </w:p>
              </w:tc>
              <w:tc>
                <w:tcPr>
                  <w:tcW w:w="2203" w:type="dxa"/>
                  <w:vAlign w:val="top"/>
                </w:tcPr>
                <w:p w14:paraId="4D47176E">
                  <w:pPr>
                    <w:pStyle w:val="6"/>
                    <w:spacing w:before="40" w:line="212" w:lineRule="auto"/>
                    <w:ind w:left="606"/>
                    <w:rPr>
                      <w:sz w:val="20"/>
                      <w:szCs w:val="20"/>
                    </w:rPr>
                  </w:pPr>
                  <w:r>
                    <w:rPr>
                      <w:b/>
                      <w:bCs/>
                      <w:spacing w:val="-4"/>
                      <w:sz w:val="20"/>
                      <w:szCs w:val="20"/>
                    </w:rPr>
                    <w:t>本项目情况</w:t>
                  </w:r>
                </w:p>
              </w:tc>
              <w:tc>
                <w:tcPr>
                  <w:tcW w:w="713" w:type="dxa"/>
                  <w:vAlign w:val="top"/>
                </w:tcPr>
                <w:p w14:paraId="7B68E7E7">
                  <w:pPr>
                    <w:pStyle w:val="6"/>
                    <w:spacing w:before="40" w:line="212" w:lineRule="auto"/>
                    <w:ind w:left="62"/>
                    <w:rPr>
                      <w:sz w:val="20"/>
                      <w:szCs w:val="20"/>
                    </w:rPr>
                  </w:pPr>
                  <w:r>
                    <w:rPr>
                      <w:b/>
                      <w:bCs/>
                      <w:spacing w:val="-5"/>
                      <w:sz w:val="20"/>
                      <w:szCs w:val="20"/>
                    </w:rPr>
                    <w:t>符合性</w:t>
                  </w:r>
                </w:p>
              </w:tc>
            </w:tr>
            <w:tr w14:paraId="7240B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trPr>
              <w:tc>
                <w:tcPr>
                  <w:tcW w:w="506" w:type="dxa"/>
                  <w:vAlign w:val="top"/>
                </w:tcPr>
                <w:p w14:paraId="2DA38EC1">
                  <w:pPr>
                    <w:spacing w:line="305" w:lineRule="auto"/>
                    <w:rPr>
                      <w:rFonts w:ascii="Arial"/>
                      <w:sz w:val="21"/>
                    </w:rPr>
                  </w:pPr>
                </w:p>
                <w:p w14:paraId="07308D4D">
                  <w:pPr>
                    <w:spacing w:line="305" w:lineRule="auto"/>
                    <w:rPr>
                      <w:rFonts w:ascii="Arial"/>
                      <w:sz w:val="21"/>
                    </w:rPr>
                  </w:pPr>
                </w:p>
                <w:p w14:paraId="796E301E">
                  <w:pPr>
                    <w:pStyle w:val="6"/>
                    <w:spacing w:before="65" w:line="242" w:lineRule="auto"/>
                    <w:ind w:left="222"/>
                    <w:rPr>
                      <w:sz w:val="20"/>
                      <w:szCs w:val="20"/>
                    </w:rPr>
                  </w:pPr>
                  <w:r>
                    <w:rPr>
                      <w:sz w:val="20"/>
                      <w:szCs w:val="20"/>
                    </w:rPr>
                    <w:t>1</w:t>
                  </w:r>
                </w:p>
              </w:tc>
              <w:tc>
                <w:tcPr>
                  <w:tcW w:w="3834" w:type="dxa"/>
                  <w:vAlign w:val="top"/>
                </w:tcPr>
                <w:p w14:paraId="2FE790A5">
                  <w:pPr>
                    <w:pStyle w:val="6"/>
                    <w:spacing w:before="29" w:line="234" w:lineRule="auto"/>
                    <w:ind w:left="14" w:right="8"/>
                    <w:rPr>
                      <w:sz w:val="20"/>
                      <w:szCs w:val="20"/>
                    </w:rPr>
                  </w:pPr>
                  <w:r>
                    <w:rPr>
                      <w:sz w:val="20"/>
                      <w:szCs w:val="20"/>
                    </w:rPr>
                    <w:t>第十八条  企业事业单位和其他生产经营者</w:t>
                  </w:r>
                  <w:r>
                    <w:rPr>
                      <w:spacing w:val="5"/>
                      <w:sz w:val="20"/>
                      <w:szCs w:val="20"/>
                    </w:rPr>
                    <w:t xml:space="preserve"> </w:t>
                  </w:r>
                  <w:r>
                    <w:rPr>
                      <w:sz w:val="20"/>
                      <w:szCs w:val="20"/>
                    </w:rPr>
                    <w:t>建设对大气环境有影响的项目，应当依法进</w:t>
                  </w:r>
                  <w:r>
                    <w:rPr>
                      <w:spacing w:val="4"/>
                      <w:sz w:val="20"/>
                      <w:szCs w:val="20"/>
                    </w:rPr>
                    <w:t xml:space="preserve"> </w:t>
                  </w:r>
                  <w:r>
                    <w:rPr>
                      <w:sz w:val="20"/>
                      <w:szCs w:val="20"/>
                    </w:rPr>
                    <w:t>行环境影响评价、公开环境影响评价文件；</w:t>
                  </w:r>
                  <w:r>
                    <w:rPr>
                      <w:spacing w:val="2"/>
                      <w:sz w:val="20"/>
                      <w:szCs w:val="20"/>
                    </w:rPr>
                    <w:t xml:space="preserve"> </w:t>
                  </w:r>
                  <w:r>
                    <w:rPr>
                      <w:sz w:val="20"/>
                      <w:szCs w:val="20"/>
                    </w:rPr>
                    <w:t>向大气排放污染物的，应当符合大气污染物</w:t>
                  </w:r>
                  <w:r>
                    <w:rPr>
                      <w:spacing w:val="4"/>
                      <w:sz w:val="20"/>
                      <w:szCs w:val="20"/>
                    </w:rPr>
                    <w:t xml:space="preserve"> </w:t>
                  </w:r>
                  <w:r>
                    <w:rPr>
                      <w:sz w:val="20"/>
                      <w:szCs w:val="20"/>
                    </w:rPr>
                    <w:t>排放标准，遵守重点大气污染物排放总量控</w:t>
                  </w:r>
                  <w:r>
                    <w:rPr>
                      <w:spacing w:val="4"/>
                      <w:sz w:val="20"/>
                      <w:szCs w:val="20"/>
                    </w:rPr>
                    <w:t xml:space="preserve"> </w:t>
                  </w:r>
                  <w:r>
                    <w:rPr>
                      <w:spacing w:val="-7"/>
                      <w:sz w:val="20"/>
                      <w:szCs w:val="20"/>
                    </w:rPr>
                    <w:t>制要求。</w:t>
                  </w:r>
                </w:p>
              </w:tc>
              <w:tc>
                <w:tcPr>
                  <w:tcW w:w="2203" w:type="dxa"/>
                  <w:vAlign w:val="top"/>
                </w:tcPr>
                <w:p w14:paraId="04900976">
                  <w:pPr>
                    <w:pStyle w:val="6"/>
                    <w:spacing w:before="162"/>
                    <w:ind w:left="17" w:right="5" w:firstLine="2"/>
                    <w:jc w:val="both"/>
                    <w:rPr>
                      <w:sz w:val="20"/>
                      <w:szCs w:val="20"/>
                    </w:rPr>
                  </w:pPr>
                  <w:r>
                    <w:rPr>
                      <w:spacing w:val="17"/>
                      <w:sz w:val="20"/>
                      <w:szCs w:val="20"/>
                    </w:rPr>
                    <w:t>项目按要求开展环境影</w:t>
                  </w:r>
                  <w:r>
                    <w:rPr>
                      <w:sz w:val="20"/>
                      <w:szCs w:val="20"/>
                    </w:rPr>
                    <w:t xml:space="preserve"> </w:t>
                  </w:r>
                  <w:r>
                    <w:rPr>
                      <w:spacing w:val="-3"/>
                      <w:sz w:val="20"/>
                      <w:szCs w:val="20"/>
                    </w:rPr>
                    <w:t>响评价；严格执行大气污</w:t>
                  </w:r>
                  <w:r>
                    <w:rPr>
                      <w:spacing w:val="7"/>
                      <w:sz w:val="20"/>
                      <w:szCs w:val="20"/>
                    </w:rPr>
                    <w:t xml:space="preserve"> </w:t>
                  </w:r>
                  <w:r>
                    <w:rPr>
                      <w:spacing w:val="-3"/>
                      <w:sz w:val="20"/>
                      <w:szCs w:val="20"/>
                    </w:rPr>
                    <w:t>染物排放标准，执行重点</w:t>
                  </w:r>
                  <w:r>
                    <w:rPr>
                      <w:spacing w:val="7"/>
                      <w:sz w:val="20"/>
                      <w:szCs w:val="20"/>
                    </w:rPr>
                    <w:t xml:space="preserve"> </w:t>
                  </w:r>
                  <w:r>
                    <w:rPr>
                      <w:spacing w:val="17"/>
                      <w:sz w:val="20"/>
                      <w:szCs w:val="20"/>
                    </w:rPr>
                    <w:t>大气污染物排放总量控</w:t>
                  </w:r>
                  <w:r>
                    <w:rPr>
                      <w:spacing w:val="2"/>
                      <w:sz w:val="20"/>
                      <w:szCs w:val="20"/>
                    </w:rPr>
                    <w:t xml:space="preserve"> </w:t>
                  </w:r>
                  <w:r>
                    <w:rPr>
                      <w:spacing w:val="-7"/>
                      <w:sz w:val="20"/>
                      <w:szCs w:val="20"/>
                    </w:rPr>
                    <w:t>制要求。</w:t>
                  </w:r>
                </w:p>
              </w:tc>
              <w:tc>
                <w:tcPr>
                  <w:tcW w:w="713" w:type="dxa"/>
                  <w:vAlign w:val="top"/>
                </w:tcPr>
                <w:p w14:paraId="14D8CD7B">
                  <w:pPr>
                    <w:spacing w:line="305" w:lineRule="auto"/>
                    <w:rPr>
                      <w:rFonts w:ascii="Arial"/>
                      <w:sz w:val="21"/>
                    </w:rPr>
                  </w:pPr>
                </w:p>
                <w:p w14:paraId="37F85520">
                  <w:pPr>
                    <w:spacing w:line="305" w:lineRule="auto"/>
                    <w:rPr>
                      <w:rFonts w:ascii="Arial"/>
                      <w:sz w:val="21"/>
                    </w:rPr>
                  </w:pPr>
                </w:p>
                <w:p w14:paraId="0AF7ACAB">
                  <w:pPr>
                    <w:pStyle w:val="6"/>
                    <w:spacing w:before="65" w:line="220" w:lineRule="auto"/>
                    <w:ind w:left="164"/>
                    <w:rPr>
                      <w:sz w:val="20"/>
                      <w:szCs w:val="20"/>
                    </w:rPr>
                  </w:pPr>
                  <w:r>
                    <w:rPr>
                      <w:spacing w:val="-3"/>
                      <w:sz w:val="20"/>
                      <w:szCs w:val="20"/>
                    </w:rPr>
                    <w:t>符合</w:t>
                  </w:r>
                </w:p>
              </w:tc>
            </w:tr>
            <w:tr w14:paraId="1B1E0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506" w:type="dxa"/>
                  <w:vAlign w:val="top"/>
                </w:tcPr>
                <w:p w14:paraId="2E3BA4D0">
                  <w:pPr>
                    <w:spacing w:line="305" w:lineRule="auto"/>
                    <w:rPr>
                      <w:rFonts w:ascii="Arial"/>
                      <w:sz w:val="21"/>
                    </w:rPr>
                  </w:pPr>
                </w:p>
                <w:p w14:paraId="47DD722F">
                  <w:pPr>
                    <w:spacing w:line="305" w:lineRule="auto"/>
                    <w:rPr>
                      <w:rFonts w:ascii="Arial"/>
                      <w:sz w:val="21"/>
                    </w:rPr>
                  </w:pPr>
                </w:p>
                <w:p w14:paraId="5AE2F989">
                  <w:pPr>
                    <w:pStyle w:val="6"/>
                    <w:spacing w:before="65" w:line="242" w:lineRule="auto"/>
                    <w:ind w:left="210"/>
                    <w:rPr>
                      <w:sz w:val="20"/>
                      <w:szCs w:val="20"/>
                    </w:rPr>
                  </w:pPr>
                  <w:r>
                    <w:rPr>
                      <w:sz w:val="20"/>
                      <w:szCs w:val="20"/>
                    </w:rPr>
                    <w:t>2</w:t>
                  </w:r>
                </w:p>
              </w:tc>
              <w:tc>
                <w:tcPr>
                  <w:tcW w:w="3834" w:type="dxa"/>
                  <w:vAlign w:val="top"/>
                </w:tcPr>
                <w:p w14:paraId="2BEFCEF1">
                  <w:pPr>
                    <w:pStyle w:val="6"/>
                    <w:spacing w:before="162"/>
                    <w:ind w:left="12" w:firstLine="1"/>
                    <w:jc w:val="both"/>
                    <w:rPr>
                      <w:sz w:val="20"/>
                      <w:szCs w:val="20"/>
                    </w:rPr>
                  </w:pPr>
                  <w:r>
                    <w:rPr>
                      <w:spacing w:val="-9"/>
                      <w:sz w:val="20"/>
                      <w:szCs w:val="20"/>
                    </w:rPr>
                    <w:t>第四十三条  钢铁、建材、有色金属、石油、</w:t>
                  </w:r>
                  <w:r>
                    <w:rPr>
                      <w:spacing w:val="3"/>
                      <w:sz w:val="20"/>
                      <w:szCs w:val="20"/>
                    </w:rPr>
                    <w:t xml:space="preserve"> </w:t>
                  </w:r>
                  <w:r>
                    <w:rPr>
                      <w:spacing w:val="-3"/>
                      <w:sz w:val="20"/>
                      <w:szCs w:val="20"/>
                    </w:rPr>
                    <w:t>化工等企业生产过程中排放粉尘、硫化物和</w:t>
                  </w:r>
                  <w:r>
                    <w:rPr>
                      <w:spacing w:val="2"/>
                      <w:sz w:val="20"/>
                      <w:szCs w:val="20"/>
                    </w:rPr>
                    <w:t xml:space="preserve"> </w:t>
                  </w:r>
                  <w:r>
                    <w:rPr>
                      <w:spacing w:val="-4"/>
                      <w:sz w:val="20"/>
                      <w:szCs w:val="20"/>
                    </w:rPr>
                    <w:t>氮氧化物的，应当采用清洁生产工艺，配套</w:t>
                  </w:r>
                  <w:r>
                    <w:rPr>
                      <w:spacing w:val="5"/>
                      <w:sz w:val="20"/>
                      <w:szCs w:val="20"/>
                    </w:rPr>
                    <w:t xml:space="preserve">  </w:t>
                  </w:r>
                  <w:r>
                    <w:rPr>
                      <w:spacing w:val="-3"/>
                      <w:sz w:val="20"/>
                      <w:szCs w:val="20"/>
                    </w:rPr>
                    <w:t>建设除尘、脱硫、脱硝等装置，或者采取技</w:t>
                  </w:r>
                  <w:r>
                    <w:rPr>
                      <w:spacing w:val="2"/>
                      <w:sz w:val="20"/>
                      <w:szCs w:val="20"/>
                    </w:rPr>
                    <w:t xml:space="preserve"> </w:t>
                  </w:r>
                  <w:r>
                    <w:rPr>
                      <w:spacing w:val="-4"/>
                      <w:sz w:val="20"/>
                      <w:szCs w:val="20"/>
                    </w:rPr>
                    <w:t>术改造等其他控制大气污染物排放的措施。</w:t>
                  </w:r>
                </w:p>
              </w:tc>
              <w:tc>
                <w:tcPr>
                  <w:tcW w:w="2203" w:type="dxa"/>
                  <w:vAlign w:val="top"/>
                </w:tcPr>
                <w:p w14:paraId="79B1D2ED">
                  <w:pPr>
                    <w:pStyle w:val="6"/>
                    <w:spacing w:before="28" w:line="234" w:lineRule="auto"/>
                    <w:ind w:left="16" w:right="6" w:firstLine="3"/>
                    <w:jc w:val="both"/>
                    <w:rPr>
                      <w:sz w:val="20"/>
                      <w:szCs w:val="20"/>
                    </w:rPr>
                  </w:pPr>
                  <w:r>
                    <w:rPr>
                      <w:spacing w:val="17"/>
                      <w:sz w:val="20"/>
                      <w:szCs w:val="20"/>
                    </w:rPr>
                    <w:t>项目营运期废气主要为</w:t>
                  </w:r>
                  <w:r>
                    <w:rPr>
                      <w:sz w:val="20"/>
                      <w:szCs w:val="20"/>
                    </w:rPr>
                    <w:t xml:space="preserve"> SO</w:t>
                  </w:r>
                  <w:r>
                    <w:rPr>
                      <w:spacing w:val="5"/>
                      <w:sz w:val="9"/>
                      <w:szCs w:val="9"/>
                    </w:rPr>
                    <w:t>2</w:t>
                  </w:r>
                  <w:r>
                    <w:rPr>
                      <w:spacing w:val="-13"/>
                      <w:sz w:val="9"/>
                      <w:szCs w:val="9"/>
                    </w:rPr>
                    <w:t xml:space="preserve"> </w:t>
                  </w:r>
                  <w:r>
                    <w:rPr>
                      <w:spacing w:val="5"/>
                      <w:sz w:val="20"/>
                      <w:szCs w:val="20"/>
                    </w:rPr>
                    <w:t>、</w:t>
                  </w:r>
                  <w:r>
                    <w:rPr>
                      <w:sz w:val="20"/>
                      <w:szCs w:val="20"/>
                    </w:rPr>
                    <w:t>NO</w:t>
                  </w:r>
                  <w:r>
                    <w:rPr>
                      <w:sz w:val="9"/>
                      <w:szCs w:val="9"/>
                    </w:rPr>
                    <w:t>x</w:t>
                  </w:r>
                  <w:r>
                    <w:rPr>
                      <w:spacing w:val="5"/>
                      <w:sz w:val="20"/>
                      <w:szCs w:val="20"/>
                    </w:rPr>
                    <w:t>、颗粒物等，通</w:t>
                  </w:r>
                  <w:r>
                    <w:rPr>
                      <w:sz w:val="20"/>
                      <w:szCs w:val="20"/>
                    </w:rPr>
                    <w:t xml:space="preserve"> </w:t>
                  </w:r>
                  <w:r>
                    <w:rPr>
                      <w:spacing w:val="17"/>
                      <w:sz w:val="20"/>
                      <w:szCs w:val="20"/>
                    </w:rPr>
                    <w:t>过采取相应的污染防治</w:t>
                  </w:r>
                  <w:r>
                    <w:rPr>
                      <w:spacing w:val="3"/>
                      <w:sz w:val="20"/>
                      <w:szCs w:val="20"/>
                    </w:rPr>
                    <w:t xml:space="preserve"> </w:t>
                  </w:r>
                  <w:r>
                    <w:rPr>
                      <w:spacing w:val="17"/>
                      <w:sz w:val="20"/>
                      <w:szCs w:val="20"/>
                    </w:rPr>
                    <w:t>措施后能够实现达标排</w:t>
                  </w:r>
                  <w:r>
                    <w:rPr>
                      <w:spacing w:val="3"/>
                      <w:sz w:val="20"/>
                      <w:szCs w:val="20"/>
                    </w:rPr>
                    <w:t xml:space="preserve"> </w:t>
                  </w:r>
                  <w:r>
                    <w:rPr>
                      <w:spacing w:val="12"/>
                      <w:sz w:val="20"/>
                      <w:szCs w:val="20"/>
                    </w:rPr>
                    <w:t>放，</w:t>
                  </w:r>
                  <w:r>
                    <w:rPr>
                      <w:spacing w:val="-47"/>
                      <w:sz w:val="20"/>
                      <w:szCs w:val="20"/>
                    </w:rPr>
                    <w:t xml:space="preserve"> </w:t>
                  </w:r>
                  <w:r>
                    <w:rPr>
                      <w:spacing w:val="12"/>
                      <w:sz w:val="20"/>
                      <w:szCs w:val="20"/>
                    </w:rPr>
                    <w:t>对周围环境影响较</w:t>
                  </w:r>
                  <w:r>
                    <w:rPr>
                      <w:sz w:val="20"/>
                      <w:szCs w:val="20"/>
                    </w:rPr>
                    <w:t xml:space="preserve"> </w:t>
                  </w:r>
                  <w:r>
                    <w:rPr>
                      <w:spacing w:val="-10"/>
                      <w:sz w:val="20"/>
                      <w:szCs w:val="20"/>
                    </w:rPr>
                    <w:t>小。</w:t>
                  </w:r>
                </w:p>
              </w:tc>
              <w:tc>
                <w:tcPr>
                  <w:tcW w:w="713" w:type="dxa"/>
                  <w:vAlign w:val="top"/>
                </w:tcPr>
                <w:p w14:paraId="76A407EE">
                  <w:pPr>
                    <w:spacing w:line="305" w:lineRule="auto"/>
                    <w:rPr>
                      <w:rFonts w:ascii="Arial"/>
                      <w:sz w:val="21"/>
                    </w:rPr>
                  </w:pPr>
                </w:p>
                <w:p w14:paraId="7568445E">
                  <w:pPr>
                    <w:spacing w:line="305" w:lineRule="auto"/>
                    <w:rPr>
                      <w:rFonts w:ascii="Arial"/>
                      <w:sz w:val="21"/>
                    </w:rPr>
                  </w:pPr>
                </w:p>
                <w:p w14:paraId="4BB8E0CF">
                  <w:pPr>
                    <w:pStyle w:val="6"/>
                    <w:spacing w:before="65" w:line="220" w:lineRule="auto"/>
                    <w:ind w:left="164"/>
                    <w:rPr>
                      <w:sz w:val="20"/>
                      <w:szCs w:val="20"/>
                    </w:rPr>
                  </w:pPr>
                  <w:r>
                    <w:rPr>
                      <w:spacing w:val="-3"/>
                      <w:sz w:val="20"/>
                      <w:szCs w:val="20"/>
                    </w:rPr>
                    <w:t>符合</w:t>
                  </w:r>
                </w:p>
              </w:tc>
            </w:tr>
            <w:tr w14:paraId="3B797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506" w:type="dxa"/>
                  <w:vAlign w:val="top"/>
                </w:tcPr>
                <w:p w14:paraId="0FA01525">
                  <w:pPr>
                    <w:spacing w:line="354" w:lineRule="auto"/>
                    <w:rPr>
                      <w:rFonts w:ascii="Arial"/>
                      <w:sz w:val="21"/>
                    </w:rPr>
                  </w:pPr>
                </w:p>
                <w:p w14:paraId="01E184D7">
                  <w:pPr>
                    <w:pStyle w:val="6"/>
                    <w:spacing w:before="65" w:line="242" w:lineRule="auto"/>
                    <w:ind w:left="207"/>
                    <w:rPr>
                      <w:sz w:val="20"/>
                      <w:szCs w:val="20"/>
                    </w:rPr>
                  </w:pPr>
                  <w:r>
                    <w:rPr>
                      <w:sz w:val="20"/>
                      <w:szCs w:val="20"/>
                    </w:rPr>
                    <w:t>4</w:t>
                  </w:r>
                </w:p>
              </w:tc>
              <w:tc>
                <w:tcPr>
                  <w:tcW w:w="3834" w:type="dxa"/>
                  <w:vAlign w:val="top"/>
                </w:tcPr>
                <w:p w14:paraId="2A139FE9">
                  <w:pPr>
                    <w:pStyle w:val="6"/>
                    <w:spacing w:before="33" w:line="231" w:lineRule="auto"/>
                    <w:ind w:left="13"/>
                    <w:jc w:val="both"/>
                    <w:rPr>
                      <w:sz w:val="20"/>
                      <w:szCs w:val="20"/>
                    </w:rPr>
                  </w:pPr>
                  <w:r>
                    <w:rPr>
                      <w:spacing w:val="-9"/>
                      <w:sz w:val="20"/>
                      <w:szCs w:val="20"/>
                    </w:rPr>
                    <w:t>第四十八条  钢铁、建材、有色金属、石油、</w:t>
                  </w:r>
                  <w:r>
                    <w:rPr>
                      <w:spacing w:val="2"/>
                      <w:sz w:val="20"/>
                      <w:szCs w:val="20"/>
                    </w:rPr>
                    <w:t xml:space="preserve"> </w:t>
                  </w:r>
                  <w:r>
                    <w:rPr>
                      <w:spacing w:val="-3"/>
                      <w:sz w:val="20"/>
                      <w:szCs w:val="20"/>
                    </w:rPr>
                    <w:t>化工、制药、矿产开采等企业，应当加强精</w:t>
                  </w:r>
                  <w:r>
                    <w:rPr>
                      <w:spacing w:val="1"/>
                      <w:sz w:val="20"/>
                      <w:szCs w:val="20"/>
                    </w:rPr>
                    <w:t xml:space="preserve"> </w:t>
                  </w:r>
                  <w:r>
                    <w:rPr>
                      <w:spacing w:val="-4"/>
                      <w:sz w:val="20"/>
                      <w:szCs w:val="20"/>
                    </w:rPr>
                    <w:t>细化管理，采取集中收集处理等措施，严格</w:t>
                  </w:r>
                  <w:r>
                    <w:rPr>
                      <w:spacing w:val="12"/>
                      <w:sz w:val="20"/>
                      <w:szCs w:val="20"/>
                    </w:rPr>
                    <w:t xml:space="preserve"> </w:t>
                  </w:r>
                  <w:r>
                    <w:rPr>
                      <w:spacing w:val="-5"/>
                      <w:sz w:val="20"/>
                      <w:szCs w:val="20"/>
                    </w:rPr>
                    <w:t>控制粉尘和气态污染物的排放。</w:t>
                  </w:r>
                </w:p>
              </w:tc>
              <w:tc>
                <w:tcPr>
                  <w:tcW w:w="2203" w:type="dxa"/>
                  <w:vAlign w:val="top"/>
                </w:tcPr>
                <w:p w14:paraId="3A1F48BC">
                  <w:pPr>
                    <w:pStyle w:val="6"/>
                    <w:spacing w:before="33" w:line="231" w:lineRule="auto"/>
                    <w:ind w:left="16" w:right="5" w:firstLine="3"/>
                    <w:jc w:val="both"/>
                    <w:rPr>
                      <w:sz w:val="20"/>
                      <w:szCs w:val="20"/>
                    </w:rPr>
                  </w:pPr>
                  <w:r>
                    <w:rPr>
                      <w:spacing w:val="17"/>
                      <w:sz w:val="20"/>
                      <w:szCs w:val="20"/>
                    </w:rPr>
                    <w:t>项目将对生产过程的废</w:t>
                  </w:r>
                  <w:r>
                    <w:rPr>
                      <w:sz w:val="20"/>
                      <w:szCs w:val="20"/>
                    </w:rPr>
                    <w:t xml:space="preserve"> </w:t>
                  </w:r>
                  <w:r>
                    <w:rPr>
                      <w:spacing w:val="-3"/>
                      <w:sz w:val="20"/>
                      <w:szCs w:val="20"/>
                    </w:rPr>
                    <w:t>气采取集中收集处理，实</w:t>
                  </w:r>
                  <w:r>
                    <w:rPr>
                      <w:spacing w:val="8"/>
                      <w:sz w:val="20"/>
                      <w:szCs w:val="20"/>
                    </w:rPr>
                    <w:t xml:space="preserve"> </w:t>
                  </w:r>
                  <w:r>
                    <w:rPr>
                      <w:spacing w:val="-3"/>
                      <w:sz w:val="20"/>
                      <w:szCs w:val="20"/>
                    </w:rPr>
                    <w:t>现达标排放，对周围环境</w:t>
                  </w:r>
                  <w:r>
                    <w:rPr>
                      <w:spacing w:val="8"/>
                      <w:sz w:val="20"/>
                      <w:szCs w:val="20"/>
                    </w:rPr>
                    <w:t xml:space="preserve"> </w:t>
                  </w:r>
                  <w:r>
                    <w:rPr>
                      <w:spacing w:val="-2"/>
                      <w:sz w:val="20"/>
                      <w:szCs w:val="20"/>
                    </w:rPr>
                    <w:t>影响较小。</w:t>
                  </w:r>
                </w:p>
              </w:tc>
              <w:tc>
                <w:tcPr>
                  <w:tcW w:w="713" w:type="dxa"/>
                  <w:vAlign w:val="top"/>
                </w:tcPr>
                <w:p w14:paraId="1E3CAD76">
                  <w:pPr>
                    <w:spacing w:line="355" w:lineRule="auto"/>
                    <w:rPr>
                      <w:rFonts w:ascii="Arial"/>
                      <w:sz w:val="21"/>
                    </w:rPr>
                  </w:pPr>
                </w:p>
                <w:p w14:paraId="7AA8E15D">
                  <w:pPr>
                    <w:pStyle w:val="6"/>
                    <w:spacing w:before="65" w:line="220" w:lineRule="auto"/>
                    <w:ind w:left="164"/>
                    <w:rPr>
                      <w:sz w:val="20"/>
                      <w:szCs w:val="20"/>
                    </w:rPr>
                  </w:pPr>
                  <w:r>
                    <w:rPr>
                      <w:spacing w:val="-3"/>
                      <w:sz w:val="20"/>
                      <w:szCs w:val="20"/>
                    </w:rPr>
                    <w:t>符合</w:t>
                  </w:r>
                </w:p>
              </w:tc>
            </w:tr>
            <w:tr w14:paraId="2A1EB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506" w:type="dxa"/>
                  <w:vAlign w:val="top"/>
                </w:tcPr>
                <w:p w14:paraId="48E2D3C5">
                  <w:pPr>
                    <w:spacing w:line="306" w:lineRule="auto"/>
                    <w:rPr>
                      <w:rFonts w:ascii="Arial"/>
                      <w:sz w:val="21"/>
                    </w:rPr>
                  </w:pPr>
                </w:p>
                <w:p w14:paraId="7D9D2A1A">
                  <w:pPr>
                    <w:spacing w:line="306" w:lineRule="auto"/>
                    <w:rPr>
                      <w:rFonts w:ascii="Arial"/>
                      <w:sz w:val="21"/>
                    </w:rPr>
                  </w:pPr>
                </w:p>
                <w:p w14:paraId="3230BA0D">
                  <w:pPr>
                    <w:pStyle w:val="6"/>
                    <w:spacing w:before="65"/>
                    <w:ind w:left="212"/>
                    <w:rPr>
                      <w:sz w:val="20"/>
                      <w:szCs w:val="20"/>
                    </w:rPr>
                  </w:pPr>
                  <w:r>
                    <w:rPr>
                      <w:sz w:val="20"/>
                      <w:szCs w:val="20"/>
                    </w:rPr>
                    <w:t>5</w:t>
                  </w:r>
                </w:p>
              </w:tc>
              <w:tc>
                <w:tcPr>
                  <w:tcW w:w="3834" w:type="dxa"/>
                  <w:vAlign w:val="top"/>
                </w:tcPr>
                <w:p w14:paraId="3F5318BB">
                  <w:pPr>
                    <w:pStyle w:val="6"/>
                    <w:spacing w:before="163"/>
                    <w:ind w:left="13" w:right="9"/>
                    <w:rPr>
                      <w:sz w:val="20"/>
                      <w:szCs w:val="20"/>
                    </w:rPr>
                  </w:pPr>
                  <w:r>
                    <w:rPr>
                      <w:spacing w:val="-2"/>
                      <w:sz w:val="20"/>
                      <w:szCs w:val="20"/>
                    </w:rPr>
                    <w:t>第七十条  运输煤炭、垃圾、渣土、砂石、</w:t>
                  </w:r>
                  <w:r>
                    <w:rPr>
                      <w:spacing w:val="15"/>
                      <w:sz w:val="20"/>
                      <w:szCs w:val="20"/>
                    </w:rPr>
                    <w:t xml:space="preserve"> </w:t>
                  </w:r>
                  <w:r>
                    <w:rPr>
                      <w:sz w:val="20"/>
                      <w:szCs w:val="20"/>
                    </w:rPr>
                    <w:t>土方、灰浆等散装、流体物料的车辆应当采</w:t>
                  </w:r>
                  <w:r>
                    <w:rPr>
                      <w:spacing w:val="5"/>
                      <w:sz w:val="20"/>
                      <w:szCs w:val="20"/>
                    </w:rPr>
                    <w:t xml:space="preserve"> </w:t>
                  </w:r>
                  <w:r>
                    <w:rPr>
                      <w:sz w:val="20"/>
                      <w:szCs w:val="20"/>
                    </w:rPr>
                    <w:t>取密闭或者其他措施防止物料遗撒造成扬尘</w:t>
                  </w:r>
                  <w:r>
                    <w:rPr>
                      <w:spacing w:val="5"/>
                      <w:sz w:val="20"/>
                      <w:szCs w:val="20"/>
                    </w:rPr>
                    <w:t xml:space="preserve"> </w:t>
                  </w:r>
                  <w:r>
                    <w:rPr>
                      <w:sz w:val="20"/>
                      <w:szCs w:val="20"/>
                    </w:rPr>
                    <w:t>污染，并按照规定路线行驶。装卸物料应当</w:t>
                  </w:r>
                  <w:r>
                    <w:rPr>
                      <w:spacing w:val="5"/>
                      <w:sz w:val="20"/>
                      <w:szCs w:val="20"/>
                    </w:rPr>
                    <w:t xml:space="preserve"> </w:t>
                  </w:r>
                  <w:r>
                    <w:rPr>
                      <w:spacing w:val="-2"/>
                      <w:sz w:val="20"/>
                      <w:szCs w:val="20"/>
                    </w:rPr>
                    <w:t>采取密闭或者喷淋等方式防治扬尘污染。</w:t>
                  </w:r>
                </w:p>
              </w:tc>
              <w:tc>
                <w:tcPr>
                  <w:tcW w:w="2203" w:type="dxa"/>
                  <w:vAlign w:val="top"/>
                </w:tcPr>
                <w:p w14:paraId="2EC96F3A">
                  <w:pPr>
                    <w:pStyle w:val="6"/>
                    <w:spacing w:before="33" w:line="234" w:lineRule="auto"/>
                    <w:ind w:left="17" w:right="4"/>
                    <w:jc w:val="both"/>
                    <w:rPr>
                      <w:sz w:val="20"/>
                      <w:szCs w:val="20"/>
                    </w:rPr>
                  </w:pPr>
                  <w:r>
                    <w:rPr>
                      <w:spacing w:val="17"/>
                      <w:sz w:val="20"/>
                      <w:szCs w:val="20"/>
                    </w:rPr>
                    <w:t>本项目生产所用原料采</w:t>
                  </w:r>
                  <w:r>
                    <w:rPr>
                      <w:spacing w:val="2"/>
                      <w:sz w:val="20"/>
                      <w:szCs w:val="20"/>
                    </w:rPr>
                    <w:t xml:space="preserve"> </w:t>
                  </w:r>
                  <w:r>
                    <w:rPr>
                      <w:spacing w:val="17"/>
                      <w:sz w:val="20"/>
                      <w:szCs w:val="20"/>
                    </w:rPr>
                    <w:t>用加盖篷布的车辆运输</w:t>
                  </w:r>
                  <w:r>
                    <w:rPr>
                      <w:spacing w:val="2"/>
                      <w:sz w:val="20"/>
                      <w:szCs w:val="20"/>
                    </w:rPr>
                    <w:t xml:space="preserve"> </w:t>
                  </w:r>
                  <w:r>
                    <w:rPr>
                      <w:spacing w:val="-3"/>
                      <w:sz w:val="20"/>
                      <w:szCs w:val="20"/>
                    </w:rPr>
                    <w:t>至厂区内，在封闭式堆棚</w:t>
                  </w:r>
                  <w:r>
                    <w:rPr>
                      <w:spacing w:val="6"/>
                      <w:sz w:val="20"/>
                      <w:szCs w:val="20"/>
                    </w:rPr>
                    <w:t xml:space="preserve"> </w:t>
                  </w:r>
                  <w:r>
                    <w:rPr>
                      <w:spacing w:val="-3"/>
                      <w:sz w:val="20"/>
                      <w:szCs w:val="20"/>
                    </w:rPr>
                    <w:t>内堆放。产品采取袋装方</w:t>
                  </w:r>
                  <w:r>
                    <w:rPr>
                      <w:spacing w:val="6"/>
                      <w:sz w:val="20"/>
                      <w:szCs w:val="20"/>
                    </w:rPr>
                    <w:t xml:space="preserve"> </w:t>
                  </w:r>
                  <w:r>
                    <w:rPr>
                      <w:spacing w:val="-3"/>
                      <w:sz w:val="20"/>
                      <w:szCs w:val="20"/>
                    </w:rPr>
                    <w:t>式外运出售，能够有效防</w:t>
                  </w:r>
                  <w:r>
                    <w:rPr>
                      <w:spacing w:val="6"/>
                      <w:sz w:val="20"/>
                      <w:szCs w:val="20"/>
                    </w:rPr>
                    <w:t xml:space="preserve"> </w:t>
                  </w:r>
                  <w:r>
                    <w:rPr>
                      <w:spacing w:val="-2"/>
                      <w:sz w:val="20"/>
                      <w:szCs w:val="20"/>
                    </w:rPr>
                    <w:t>治扬尘污染</w:t>
                  </w:r>
                </w:p>
              </w:tc>
              <w:tc>
                <w:tcPr>
                  <w:tcW w:w="713" w:type="dxa"/>
                  <w:vAlign w:val="top"/>
                </w:tcPr>
                <w:p w14:paraId="398D85DC">
                  <w:pPr>
                    <w:spacing w:line="306" w:lineRule="auto"/>
                    <w:rPr>
                      <w:rFonts w:ascii="Arial"/>
                      <w:sz w:val="21"/>
                    </w:rPr>
                  </w:pPr>
                </w:p>
                <w:p w14:paraId="5BD9E0C3">
                  <w:pPr>
                    <w:spacing w:line="306" w:lineRule="auto"/>
                    <w:rPr>
                      <w:rFonts w:ascii="Arial"/>
                      <w:sz w:val="21"/>
                    </w:rPr>
                  </w:pPr>
                </w:p>
                <w:p w14:paraId="10B58699">
                  <w:pPr>
                    <w:pStyle w:val="6"/>
                    <w:spacing w:before="65" w:line="220" w:lineRule="auto"/>
                    <w:ind w:left="164"/>
                    <w:rPr>
                      <w:sz w:val="20"/>
                      <w:szCs w:val="20"/>
                    </w:rPr>
                  </w:pPr>
                  <w:r>
                    <w:rPr>
                      <w:spacing w:val="-3"/>
                      <w:sz w:val="20"/>
                      <w:szCs w:val="20"/>
                    </w:rPr>
                    <w:t>符合</w:t>
                  </w:r>
                </w:p>
              </w:tc>
            </w:tr>
          </w:tbl>
          <w:p w14:paraId="43BD1A30">
            <w:pPr>
              <w:pStyle w:val="6"/>
              <w:spacing w:before="131" w:line="352" w:lineRule="auto"/>
              <w:ind w:left="102" w:right="110" w:firstLine="449"/>
            </w:pPr>
            <w:r>
              <w:rPr>
                <w:b/>
                <w:bCs/>
                <w:spacing w:val="6"/>
              </w:rPr>
              <w:t>（2）与《土壤污染源头防控行动计划》（环土壤〔2024〕80号</w:t>
            </w:r>
            <w:r>
              <w:rPr>
                <w:b/>
                <w:bCs/>
                <w:spacing w:val="5"/>
              </w:rPr>
              <w:t>）的符合</w:t>
            </w:r>
            <w:r>
              <w:t xml:space="preserve"> </w:t>
            </w:r>
            <w:r>
              <w:rPr>
                <w:b/>
                <w:bCs/>
                <w:spacing w:val="4"/>
              </w:rPr>
              <w:t>性分析</w:t>
            </w:r>
          </w:p>
          <w:p w14:paraId="41541163">
            <w:pPr>
              <w:pStyle w:val="6"/>
              <w:spacing w:before="1" w:line="352" w:lineRule="auto"/>
              <w:ind w:left="98" w:right="54" w:firstLine="443"/>
              <w:jc w:val="both"/>
            </w:pPr>
            <w:r>
              <w:rPr>
                <w:spacing w:val="8"/>
              </w:rPr>
              <w:t>2024年11月7日，生态环境部会同国家发展改革委、工业和信息化部、财</w:t>
            </w:r>
            <w:r>
              <w:rPr>
                <w:spacing w:val="13"/>
              </w:rPr>
              <w:t xml:space="preserve"> 政部、自然资源部、住房城乡建设部、农业农村部制定了《土</w:t>
            </w:r>
            <w:r>
              <w:rPr>
                <w:spacing w:val="12"/>
              </w:rPr>
              <w:t>壤污染源头防</w:t>
            </w:r>
            <w:r>
              <w:t xml:space="preserve"> </w:t>
            </w:r>
            <w:r>
              <w:rPr>
                <w:spacing w:val="7"/>
              </w:rPr>
              <w:t>控行动计划》（环土壤〔2024〕80号）。本项目与该文件的符合性分析如下：</w:t>
            </w:r>
          </w:p>
          <w:p w14:paraId="7C565E55">
            <w:pPr>
              <w:pStyle w:val="6"/>
              <w:spacing w:before="4" w:line="220" w:lineRule="auto"/>
              <w:ind w:left="881"/>
            </w:pPr>
            <w:r>
              <w:rPr>
                <w:b/>
                <w:bCs/>
                <w:spacing w:val="-3"/>
              </w:rPr>
              <w:t>表1-9</w:t>
            </w:r>
            <w:r>
              <w:rPr>
                <w:spacing w:val="-3"/>
              </w:rPr>
              <w:t xml:space="preserve">    </w:t>
            </w:r>
            <w:r>
              <w:rPr>
                <w:b/>
                <w:bCs/>
                <w:spacing w:val="-3"/>
              </w:rPr>
              <w:t>项目与“土壤污染源头防控行动计划</w:t>
            </w:r>
            <w:r>
              <w:rPr>
                <w:spacing w:val="-59"/>
              </w:rPr>
              <w:t xml:space="preserve"> </w:t>
            </w:r>
            <w:r>
              <w:rPr>
                <w:b/>
                <w:bCs/>
                <w:spacing w:val="-3"/>
              </w:rPr>
              <w:t>”的符合性分析</w:t>
            </w:r>
          </w:p>
        </w:tc>
      </w:tr>
      <w:tr w14:paraId="45C50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336" w:type="dxa"/>
            <w:vMerge w:val="continue"/>
            <w:tcBorders>
              <w:top w:val="nil"/>
              <w:bottom w:val="nil"/>
            </w:tcBorders>
            <w:vAlign w:val="top"/>
          </w:tcPr>
          <w:p w14:paraId="0839F0C4">
            <w:pPr>
              <w:rPr>
                <w:rFonts w:ascii="Arial"/>
                <w:sz w:val="21"/>
              </w:rPr>
            </w:pPr>
          </w:p>
        </w:tc>
        <w:tc>
          <w:tcPr>
            <w:tcW w:w="592" w:type="dxa"/>
            <w:vAlign w:val="top"/>
          </w:tcPr>
          <w:p w14:paraId="29605B65">
            <w:pPr>
              <w:pStyle w:val="6"/>
              <w:spacing w:before="33" w:line="204" w:lineRule="auto"/>
              <w:ind w:right="21"/>
              <w:jc w:val="right"/>
              <w:rPr>
                <w:sz w:val="20"/>
                <w:szCs w:val="20"/>
              </w:rPr>
            </w:pPr>
            <w:r>
              <w:rPr>
                <w:b/>
                <w:bCs/>
                <w:spacing w:val="-4"/>
                <w:sz w:val="20"/>
                <w:szCs w:val="20"/>
              </w:rPr>
              <w:t>序号</w:t>
            </w:r>
          </w:p>
        </w:tc>
        <w:tc>
          <w:tcPr>
            <w:tcW w:w="4098" w:type="dxa"/>
            <w:vAlign w:val="top"/>
          </w:tcPr>
          <w:p w14:paraId="0CBB4EEF">
            <w:pPr>
              <w:pStyle w:val="6"/>
              <w:spacing w:before="33" w:line="204" w:lineRule="auto"/>
              <w:ind w:left="1704"/>
              <w:rPr>
                <w:sz w:val="20"/>
                <w:szCs w:val="20"/>
              </w:rPr>
            </w:pPr>
            <w:r>
              <w:rPr>
                <w:b/>
                <w:bCs/>
                <w:spacing w:val="-5"/>
                <w:sz w:val="20"/>
                <w:szCs w:val="20"/>
              </w:rPr>
              <w:t>原文内容</w:t>
            </w:r>
          </w:p>
        </w:tc>
        <w:tc>
          <w:tcPr>
            <w:tcW w:w="2038" w:type="dxa"/>
            <w:vAlign w:val="top"/>
          </w:tcPr>
          <w:p w14:paraId="78B75C57">
            <w:pPr>
              <w:pStyle w:val="6"/>
              <w:spacing w:before="33" w:line="204" w:lineRule="auto"/>
              <w:ind w:left="541"/>
              <w:rPr>
                <w:sz w:val="20"/>
                <w:szCs w:val="20"/>
              </w:rPr>
            </w:pPr>
            <w:r>
              <w:rPr>
                <w:b/>
                <w:bCs/>
                <w:spacing w:val="-4"/>
                <w:sz w:val="20"/>
                <w:szCs w:val="20"/>
              </w:rPr>
              <w:t>本项目情况</w:t>
            </w:r>
          </w:p>
        </w:tc>
        <w:tc>
          <w:tcPr>
            <w:tcW w:w="747" w:type="dxa"/>
            <w:vAlign w:val="top"/>
          </w:tcPr>
          <w:p w14:paraId="45AD6903">
            <w:pPr>
              <w:pStyle w:val="6"/>
              <w:spacing w:before="33" w:line="204" w:lineRule="auto"/>
              <w:ind w:left="86"/>
              <w:rPr>
                <w:sz w:val="20"/>
                <w:szCs w:val="20"/>
              </w:rPr>
            </w:pPr>
            <w:r>
              <w:rPr>
                <w:b/>
                <w:bCs/>
                <w:spacing w:val="-5"/>
                <w:sz w:val="20"/>
                <w:szCs w:val="20"/>
              </w:rPr>
              <w:t>符合性</w:t>
            </w:r>
          </w:p>
        </w:tc>
        <w:tc>
          <w:tcPr>
            <w:tcW w:w="92" w:type="dxa"/>
            <w:tcBorders>
              <w:top w:val="nil"/>
              <w:bottom w:val="nil"/>
            </w:tcBorders>
            <w:vAlign w:val="top"/>
          </w:tcPr>
          <w:p w14:paraId="04108CE9">
            <w:pPr>
              <w:rPr>
                <w:rFonts w:ascii="Arial"/>
                <w:sz w:val="21"/>
              </w:rPr>
            </w:pPr>
          </w:p>
        </w:tc>
      </w:tr>
      <w:tr w14:paraId="7966B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5" w:hRule="atLeast"/>
        </w:trPr>
        <w:tc>
          <w:tcPr>
            <w:tcW w:w="1336" w:type="dxa"/>
            <w:vMerge w:val="continue"/>
            <w:tcBorders>
              <w:top w:val="nil"/>
              <w:bottom w:val="nil"/>
            </w:tcBorders>
            <w:vAlign w:val="top"/>
          </w:tcPr>
          <w:p w14:paraId="0DA6FD2C">
            <w:pPr>
              <w:rPr>
                <w:rFonts w:ascii="Arial"/>
                <w:sz w:val="21"/>
              </w:rPr>
            </w:pPr>
          </w:p>
        </w:tc>
        <w:tc>
          <w:tcPr>
            <w:tcW w:w="592" w:type="dxa"/>
            <w:vAlign w:val="top"/>
          </w:tcPr>
          <w:p w14:paraId="2F7BD0F1">
            <w:pPr>
              <w:spacing w:line="252" w:lineRule="auto"/>
              <w:rPr>
                <w:rFonts w:ascii="Arial"/>
                <w:sz w:val="21"/>
              </w:rPr>
            </w:pPr>
          </w:p>
          <w:p w14:paraId="34FB93F1">
            <w:pPr>
              <w:spacing w:line="252" w:lineRule="auto"/>
              <w:rPr>
                <w:rFonts w:ascii="Arial"/>
                <w:sz w:val="21"/>
              </w:rPr>
            </w:pPr>
          </w:p>
          <w:p w14:paraId="331FC9BD">
            <w:pPr>
              <w:spacing w:line="252" w:lineRule="auto"/>
              <w:rPr>
                <w:rFonts w:ascii="Arial"/>
                <w:sz w:val="21"/>
              </w:rPr>
            </w:pPr>
          </w:p>
          <w:p w14:paraId="22421C27">
            <w:pPr>
              <w:spacing w:line="252" w:lineRule="auto"/>
              <w:rPr>
                <w:rFonts w:ascii="Arial"/>
                <w:sz w:val="21"/>
              </w:rPr>
            </w:pPr>
          </w:p>
          <w:p w14:paraId="4393D9FA">
            <w:pPr>
              <w:spacing w:line="253" w:lineRule="auto"/>
              <w:rPr>
                <w:rFonts w:ascii="Arial"/>
                <w:sz w:val="21"/>
              </w:rPr>
            </w:pPr>
          </w:p>
          <w:p w14:paraId="7B8CEC58">
            <w:pPr>
              <w:spacing w:line="253" w:lineRule="auto"/>
              <w:rPr>
                <w:rFonts w:ascii="Arial"/>
                <w:sz w:val="21"/>
              </w:rPr>
            </w:pPr>
          </w:p>
          <w:p w14:paraId="05162EF3">
            <w:pPr>
              <w:pStyle w:val="6"/>
              <w:spacing w:before="65" w:line="242" w:lineRule="auto"/>
              <w:ind w:left="334"/>
              <w:rPr>
                <w:sz w:val="20"/>
                <w:szCs w:val="20"/>
              </w:rPr>
            </w:pPr>
            <w:r>
              <w:rPr>
                <w:sz w:val="20"/>
                <w:szCs w:val="20"/>
              </w:rPr>
              <w:t>1</w:t>
            </w:r>
          </w:p>
        </w:tc>
        <w:tc>
          <w:tcPr>
            <w:tcW w:w="4098" w:type="dxa"/>
            <w:vAlign w:val="top"/>
          </w:tcPr>
          <w:p w14:paraId="39C9A101">
            <w:pPr>
              <w:pStyle w:val="6"/>
              <w:spacing w:before="32" w:line="220" w:lineRule="auto"/>
              <w:jc w:val="right"/>
              <w:rPr>
                <w:sz w:val="20"/>
                <w:szCs w:val="20"/>
              </w:rPr>
            </w:pPr>
            <w:r>
              <w:rPr>
                <w:spacing w:val="-3"/>
                <w:sz w:val="20"/>
                <w:szCs w:val="20"/>
              </w:rPr>
              <w:t>(一)落实生态环境分区管控。加强农用地分类</w:t>
            </w:r>
          </w:p>
          <w:p w14:paraId="5C5A55EB">
            <w:pPr>
              <w:pStyle w:val="6"/>
              <w:spacing w:before="20" w:line="220" w:lineRule="auto"/>
              <w:jc w:val="right"/>
              <w:rPr>
                <w:sz w:val="20"/>
                <w:szCs w:val="20"/>
              </w:rPr>
            </w:pPr>
            <w:r>
              <w:rPr>
                <w:spacing w:val="-1"/>
                <w:sz w:val="20"/>
                <w:szCs w:val="20"/>
              </w:rPr>
              <w:t>管理，衔接国土空间规划，根据土壤污染程度</w:t>
            </w:r>
          </w:p>
          <w:p w14:paraId="30F19749">
            <w:pPr>
              <w:pStyle w:val="6"/>
              <w:spacing w:before="20" w:line="220" w:lineRule="auto"/>
              <w:jc w:val="right"/>
              <w:rPr>
                <w:sz w:val="20"/>
                <w:szCs w:val="20"/>
              </w:rPr>
            </w:pPr>
            <w:r>
              <w:rPr>
                <w:spacing w:val="-1"/>
                <w:sz w:val="20"/>
                <w:szCs w:val="20"/>
              </w:rPr>
              <w:t>和相关标准，动态调整优先保护类安全利用类</w:t>
            </w:r>
          </w:p>
          <w:p w14:paraId="6A9D7434">
            <w:pPr>
              <w:pStyle w:val="6"/>
              <w:spacing w:before="22" w:line="220" w:lineRule="auto"/>
              <w:jc w:val="right"/>
              <w:rPr>
                <w:sz w:val="20"/>
                <w:szCs w:val="20"/>
              </w:rPr>
            </w:pPr>
            <w:r>
              <w:rPr>
                <w:spacing w:val="-1"/>
                <w:sz w:val="20"/>
                <w:szCs w:val="20"/>
              </w:rPr>
              <w:t>和严格管控类农用地的数量和边界，细化并落</w:t>
            </w:r>
          </w:p>
          <w:p w14:paraId="5E576ADC">
            <w:pPr>
              <w:pStyle w:val="6"/>
              <w:spacing w:before="21" w:line="220" w:lineRule="auto"/>
              <w:jc w:val="right"/>
              <w:rPr>
                <w:sz w:val="20"/>
                <w:szCs w:val="20"/>
              </w:rPr>
            </w:pPr>
            <w:r>
              <w:rPr>
                <w:spacing w:val="-1"/>
                <w:sz w:val="20"/>
                <w:szCs w:val="20"/>
              </w:rPr>
              <w:t>实分类管理措施。城镇开发边界外不得规划建</w:t>
            </w:r>
          </w:p>
          <w:p w14:paraId="3604AFDA">
            <w:pPr>
              <w:pStyle w:val="6"/>
              <w:spacing w:before="21" w:line="220" w:lineRule="auto"/>
              <w:jc w:val="right"/>
              <w:rPr>
                <w:sz w:val="20"/>
                <w:szCs w:val="20"/>
              </w:rPr>
            </w:pPr>
            <w:r>
              <w:rPr>
                <w:spacing w:val="-1"/>
                <w:sz w:val="20"/>
                <w:szCs w:val="20"/>
              </w:rPr>
              <w:t>设各类开发区，区内各类开发建设活动应严格</w:t>
            </w:r>
          </w:p>
          <w:p w14:paraId="692A51B5">
            <w:pPr>
              <w:pStyle w:val="6"/>
              <w:spacing w:before="20" w:line="220" w:lineRule="auto"/>
              <w:jc w:val="right"/>
              <w:rPr>
                <w:sz w:val="20"/>
                <w:szCs w:val="20"/>
              </w:rPr>
            </w:pPr>
            <w:r>
              <w:rPr>
                <w:spacing w:val="-1"/>
                <w:sz w:val="20"/>
                <w:szCs w:val="20"/>
              </w:rPr>
              <w:t>落实生态环境准入清单。严格重点建设用地安</w:t>
            </w:r>
          </w:p>
          <w:p w14:paraId="1078DBAE">
            <w:pPr>
              <w:pStyle w:val="6"/>
              <w:spacing w:before="21" w:line="220" w:lineRule="auto"/>
              <w:jc w:val="right"/>
              <w:rPr>
                <w:sz w:val="20"/>
                <w:szCs w:val="20"/>
              </w:rPr>
            </w:pPr>
            <w:r>
              <w:rPr>
                <w:spacing w:val="-1"/>
                <w:sz w:val="20"/>
                <w:szCs w:val="20"/>
              </w:rPr>
              <w:t>全利用。完善地下水环境风险管控划定技术要</w:t>
            </w:r>
          </w:p>
          <w:p w14:paraId="684154BA">
            <w:pPr>
              <w:pStyle w:val="6"/>
              <w:spacing w:before="21" w:line="219" w:lineRule="auto"/>
              <w:jc w:val="right"/>
              <w:rPr>
                <w:sz w:val="20"/>
                <w:szCs w:val="20"/>
              </w:rPr>
            </w:pPr>
            <w:r>
              <w:rPr>
                <w:spacing w:val="-1"/>
                <w:sz w:val="20"/>
                <w:szCs w:val="20"/>
              </w:rPr>
              <w:t>求，划定地下水污染防治重点区，精准编制差</w:t>
            </w:r>
          </w:p>
          <w:p w14:paraId="72528001">
            <w:pPr>
              <w:pStyle w:val="6"/>
              <w:spacing w:before="22" w:line="220" w:lineRule="auto"/>
              <w:jc w:val="right"/>
              <w:rPr>
                <w:sz w:val="20"/>
                <w:szCs w:val="20"/>
              </w:rPr>
            </w:pPr>
            <w:r>
              <w:rPr>
                <w:spacing w:val="-1"/>
                <w:sz w:val="20"/>
                <w:szCs w:val="20"/>
              </w:rPr>
              <w:t>异化准入清单，提出土壤和地下水污染风险管</w:t>
            </w:r>
          </w:p>
          <w:p w14:paraId="359AEED5">
            <w:pPr>
              <w:pStyle w:val="6"/>
              <w:spacing w:before="22" w:line="220" w:lineRule="auto"/>
              <w:ind w:left="100"/>
              <w:rPr>
                <w:sz w:val="20"/>
                <w:szCs w:val="20"/>
              </w:rPr>
            </w:pPr>
            <w:r>
              <w:rPr>
                <w:spacing w:val="-2"/>
                <w:sz w:val="20"/>
                <w:szCs w:val="20"/>
              </w:rPr>
              <w:t>控要求。形成地下水环境风险管控分区成果，</w:t>
            </w:r>
          </w:p>
          <w:p w14:paraId="35AD9F5C">
            <w:pPr>
              <w:pStyle w:val="6"/>
              <w:spacing w:before="21" w:line="220" w:lineRule="auto"/>
              <w:jc w:val="right"/>
              <w:rPr>
                <w:sz w:val="20"/>
                <w:szCs w:val="20"/>
              </w:rPr>
            </w:pPr>
            <w:r>
              <w:rPr>
                <w:spacing w:val="-1"/>
                <w:sz w:val="20"/>
                <w:szCs w:val="20"/>
              </w:rPr>
              <w:t>纳入生态环境分区管控体系，并加强与国土空</w:t>
            </w:r>
          </w:p>
          <w:p w14:paraId="70156DC3">
            <w:pPr>
              <w:pStyle w:val="6"/>
              <w:spacing w:before="22" w:line="202" w:lineRule="auto"/>
              <w:ind w:left="1216"/>
              <w:rPr>
                <w:sz w:val="20"/>
                <w:szCs w:val="20"/>
              </w:rPr>
            </w:pPr>
            <w:r>
              <w:rPr>
                <w:spacing w:val="-5"/>
                <w:sz w:val="20"/>
                <w:szCs w:val="20"/>
              </w:rPr>
              <w:t>间规划的动态衔接。</w:t>
            </w:r>
          </w:p>
        </w:tc>
        <w:tc>
          <w:tcPr>
            <w:tcW w:w="2038" w:type="dxa"/>
            <w:vAlign w:val="top"/>
          </w:tcPr>
          <w:p w14:paraId="3888779B">
            <w:pPr>
              <w:spacing w:line="306" w:lineRule="auto"/>
              <w:rPr>
                <w:rFonts w:ascii="Arial"/>
                <w:sz w:val="21"/>
              </w:rPr>
            </w:pPr>
          </w:p>
          <w:p w14:paraId="13F4B43B">
            <w:pPr>
              <w:spacing w:line="306" w:lineRule="auto"/>
              <w:rPr>
                <w:rFonts w:ascii="Arial"/>
                <w:sz w:val="21"/>
              </w:rPr>
            </w:pPr>
          </w:p>
          <w:p w14:paraId="5286471F">
            <w:pPr>
              <w:pStyle w:val="6"/>
              <w:spacing w:before="65" w:line="219" w:lineRule="auto"/>
              <w:ind w:left="144"/>
              <w:rPr>
                <w:sz w:val="20"/>
                <w:szCs w:val="20"/>
              </w:rPr>
            </w:pPr>
            <w:r>
              <w:rPr>
                <w:spacing w:val="-1"/>
                <w:sz w:val="20"/>
                <w:szCs w:val="20"/>
              </w:rPr>
              <w:t>本项目租用标准厂房</w:t>
            </w:r>
          </w:p>
          <w:p w14:paraId="679B6C39">
            <w:pPr>
              <w:pStyle w:val="6"/>
              <w:spacing w:before="22" w:line="221" w:lineRule="auto"/>
              <w:jc w:val="right"/>
              <w:rPr>
                <w:sz w:val="20"/>
                <w:szCs w:val="20"/>
              </w:rPr>
            </w:pPr>
            <w:r>
              <w:rPr>
                <w:spacing w:val="-2"/>
                <w:sz w:val="20"/>
                <w:szCs w:val="20"/>
              </w:rPr>
              <w:t>建设，厂房占地区域土</w:t>
            </w:r>
          </w:p>
          <w:p w14:paraId="7695A3CE">
            <w:pPr>
              <w:pStyle w:val="6"/>
              <w:spacing w:before="19" w:line="221" w:lineRule="auto"/>
              <w:jc w:val="right"/>
              <w:rPr>
                <w:sz w:val="20"/>
                <w:szCs w:val="20"/>
              </w:rPr>
            </w:pPr>
            <w:r>
              <w:rPr>
                <w:spacing w:val="-2"/>
                <w:sz w:val="20"/>
                <w:szCs w:val="20"/>
              </w:rPr>
              <w:t>地性质为工业用地，不</w:t>
            </w:r>
          </w:p>
          <w:p w14:paraId="6A8B14C4">
            <w:pPr>
              <w:pStyle w:val="6"/>
              <w:spacing w:before="20" w:line="220" w:lineRule="auto"/>
              <w:jc w:val="right"/>
              <w:rPr>
                <w:sz w:val="20"/>
                <w:szCs w:val="20"/>
              </w:rPr>
            </w:pPr>
            <w:r>
              <w:rPr>
                <w:spacing w:val="-2"/>
                <w:sz w:val="20"/>
                <w:szCs w:val="20"/>
              </w:rPr>
              <w:t>属于农用地，符合生态</w:t>
            </w:r>
          </w:p>
          <w:p w14:paraId="4A261CC4">
            <w:pPr>
              <w:pStyle w:val="6"/>
              <w:spacing w:before="20" w:line="220" w:lineRule="auto"/>
              <w:jc w:val="right"/>
              <w:rPr>
                <w:sz w:val="20"/>
                <w:szCs w:val="20"/>
              </w:rPr>
            </w:pPr>
            <w:r>
              <w:rPr>
                <w:spacing w:val="-2"/>
                <w:sz w:val="20"/>
                <w:szCs w:val="20"/>
              </w:rPr>
              <w:t>环境分区管控要求。项</w:t>
            </w:r>
          </w:p>
          <w:p w14:paraId="32DC9898">
            <w:pPr>
              <w:pStyle w:val="6"/>
              <w:spacing w:before="21" w:line="219" w:lineRule="auto"/>
              <w:ind w:left="181"/>
              <w:rPr>
                <w:sz w:val="20"/>
                <w:szCs w:val="20"/>
              </w:rPr>
            </w:pPr>
            <w:r>
              <w:rPr>
                <w:spacing w:val="-5"/>
                <w:sz w:val="20"/>
                <w:szCs w:val="20"/>
              </w:rPr>
              <w:t>目已采取分区防渗措</w:t>
            </w:r>
          </w:p>
          <w:p w14:paraId="30AC8BE8">
            <w:pPr>
              <w:pStyle w:val="6"/>
              <w:spacing w:before="22" w:line="220" w:lineRule="auto"/>
              <w:jc w:val="right"/>
              <w:rPr>
                <w:sz w:val="20"/>
                <w:szCs w:val="20"/>
              </w:rPr>
            </w:pPr>
            <w:r>
              <w:rPr>
                <w:spacing w:val="-2"/>
                <w:sz w:val="20"/>
                <w:szCs w:val="20"/>
              </w:rPr>
              <w:t>施，降低对区域土壤的</w:t>
            </w:r>
          </w:p>
          <w:p w14:paraId="46F7B924">
            <w:pPr>
              <w:pStyle w:val="6"/>
              <w:spacing w:before="20" w:line="221" w:lineRule="auto"/>
              <w:ind w:left="544"/>
              <w:rPr>
                <w:sz w:val="20"/>
                <w:szCs w:val="20"/>
              </w:rPr>
            </w:pPr>
            <w:r>
              <w:rPr>
                <w:spacing w:val="-2"/>
                <w:sz w:val="20"/>
                <w:szCs w:val="20"/>
              </w:rPr>
              <w:t>污染风险。</w:t>
            </w:r>
          </w:p>
        </w:tc>
        <w:tc>
          <w:tcPr>
            <w:tcW w:w="747" w:type="dxa"/>
            <w:vAlign w:val="top"/>
          </w:tcPr>
          <w:p w14:paraId="01A79A18">
            <w:pPr>
              <w:spacing w:line="252" w:lineRule="auto"/>
              <w:rPr>
                <w:rFonts w:ascii="Arial"/>
                <w:sz w:val="21"/>
              </w:rPr>
            </w:pPr>
          </w:p>
          <w:p w14:paraId="6702EAE5">
            <w:pPr>
              <w:spacing w:line="252" w:lineRule="auto"/>
              <w:rPr>
                <w:rFonts w:ascii="Arial"/>
                <w:sz w:val="21"/>
              </w:rPr>
            </w:pPr>
          </w:p>
          <w:p w14:paraId="6314FF8A">
            <w:pPr>
              <w:spacing w:line="252" w:lineRule="auto"/>
              <w:rPr>
                <w:rFonts w:ascii="Arial"/>
                <w:sz w:val="21"/>
              </w:rPr>
            </w:pPr>
          </w:p>
          <w:p w14:paraId="0B841DE2">
            <w:pPr>
              <w:spacing w:line="252" w:lineRule="auto"/>
              <w:rPr>
                <w:rFonts w:ascii="Arial"/>
                <w:sz w:val="21"/>
              </w:rPr>
            </w:pPr>
          </w:p>
          <w:p w14:paraId="464AA722">
            <w:pPr>
              <w:spacing w:line="253" w:lineRule="auto"/>
              <w:rPr>
                <w:rFonts w:ascii="Arial"/>
                <w:sz w:val="21"/>
              </w:rPr>
            </w:pPr>
          </w:p>
          <w:p w14:paraId="255F0844">
            <w:pPr>
              <w:spacing w:line="253" w:lineRule="auto"/>
              <w:rPr>
                <w:rFonts w:ascii="Arial"/>
                <w:sz w:val="21"/>
              </w:rPr>
            </w:pPr>
          </w:p>
          <w:p w14:paraId="028F1586">
            <w:pPr>
              <w:pStyle w:val="6"/>
              <w:spacing w:before="65" w:line="220" w:lineRule="auto"/>
              <w:ind w:left="188"/>
              <w:rPr>
                <w:sz w:val="20"/>
                <w:szCs w:val="20"/>
              </w:rPr>
            </w:pPr>
            <w:r>
              <w:rPr>
                <w:spacing w:val="-3"/>
                <w:sz w:val="20"/>
                <w:szCs w:val="20"/>
              </w:rPr>
              <w:t>符合</w:t>
            </w:r>
          </w:p>
        </w:tc>
        <w:tc>
          <w:tcPr>
            <w:tcW w:w="92" w:type="dxa"/>
            <w:tcBorders>
              <w:top w:val="nil"/>
              <w:bottom w:val="nil"/>
            </w:tcBorders>
            <w:vAlign w:val="top"/>
          </w:tcPr>
          <w:p w14:paraId="2AE52ACC">
            <w:pPr>
              <w:rPr>
                <w:rFonts w:ascii="Arial"/>
                <w:sz w:val="21"/>
              </w:rPr>
            </w:pPr>
          </w:p>
        </w:tc>
      </w:tr>
      <w:tr w14:paraId="672BA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1336" w:type="dxa"/>
            <w:vMerge w:val="continue"/>
            <w:tcBorders>
              <w:top w:val="nil"/>
            </w:tcBorders>
            <w:vAlign w:val="top"/>
          </w:tcPr>
          <w:p w14:paraId="0D8EA6F8">
            <w:pPr>
              <w:rPr>
                <w:rFonts w:ascii="Arial"/>
                <w:sz w:val="21"/>
              </w:rPr>
            </w:pPr>
          </w:p>
        </w:tc>
        <w:tc>
          <w:tcPr>
            <w:tcW w:w="592" w:type="dxa"/>
            <w:vAlign w:val="top"/>
          </w:tcPr>
          <w:p w14:paraId="4602DF80">
            <w:pPr>
              <w:pStyle w:val="6"/>
              <w:spacing w:before="293" w:line="242" w:lineRule="auto"/>
              <w:ind w:left="322"/>
              <w:rPr>
                <w:sz w:val="20"/>
                <w:szCs w:val="20"/>
              </w:rPr>
            </w:pPr>
            <w:r>
              <w:rPr>
                <w:sz w:val="20"/>
                <w:szCs w:val="20"/>
              </w:rPr>
              <w:t>2</w:t>
            </w:r>
          </w:p>
        </w:tc>
        <w:tc>
          <w:tcPr>
            <w:tcW w:w="4098" w:type="dxa"/>
            <w:vAlign w:val="top"/>
          </w:tcPr>
          <w:p w14:paraId="69B18ED7">
            <w:pPr>
              <w:pStyle w:val="6"/>
              <w:spacing w:before="33" w:line="229" w:lineRule="auto"/>
              <w:ind w:left="100" w:firstLine="36"/>
              <w:jc w:val="both"/>
              <w:rPr>
                <w:sz w:val="20"/>
                <w:szCs w:val="20"/>
              </w:rPr>
            </w:pPr>
            <w:r>
              <w:rPr>
                <w:spacing w:val="-3"/>
                <w:sz w:val="20"/>
                <w:szCs w:val="20"/>
              </w:rPr>
              <w:t>(六)严防污水废液渗漏。全面推进工业园区污</w:t>
            </w:r>
            <w:r>
              <w:rPr>
                <w:spacing w:val="18"/>
                <w:sz w:val="20"/>
                <w:szCs w:val="20"/>
              </w:rPr>
              <w:t xml:space="preserve"> </w:t>
            </w:r>
            <w:r>
              <w:rPr>
                <w:spacing w:val="-1"/>
                <w:sz w:val="20"/>
                <w:szCs w:val="20"/>
              </w:rPr>
              <w:t>水管网排查整治。鼓励有条件的化工园区开展</w:t>
            </w:r>
            <w:r>
              <w:rPr>
                <w:spacing w:val="11"/>
                <w:sz w:val="20"/>
                <w:szCs w:val="20"/>
              </w:rPr>
              <w:t xml:space="preserve"> </w:t>
            </w:r>
            <w:r>
              <w:rPr>
                <w:spacing w:val="-1"/>
                <w:sz w:val="20"/>
                <w:szCs w:val="20"/>
              </w:rPr>
              <w:t>初期雨水污染控制试点示范，实施化工企业污</w:t>
            </w:r>
          </w:p>
        </w:tc>
        <w:tc>
          <w:tcPr>
            <w:tcW w:w="2038" w:type="dxa"/>
            <w:vAlign w:val="top"/>
          </w:tcPr>
          <w:p w14:paraId="1A57CF04">
            <w:pPr>
              <w:pStyle w:val="6"/>
              <w:spacing w:before="33" w:line="229" w:lineRule="auto"/>
              <w:ind w:left="44" w:right="5" w:firstLine="99"/>
              <w:jc w:val="both"/>
              <w:rPr>
                <w:sz w:val="20"/>
                <w:szCs w:val="20"/>
              </w:rPr>
            </w:pPr>
            <w:r>
              <w:rPr>
                <w:spacing w:val="-1"/>
                <w:sz w:val="20"/>
                <w:szCs w:val="20"/>
              </w:rPr>
              <w:t>本项目生产废水能够</w:t>
            </w:r>
            <w:r>
              <w:rPr>
                <w:sz w:val="20"/>
                <w:szCs w:val="20"/>
              </w:rPr>
              <w:t xml:space="preserve">  </w:t>
            </w:r>
            <w:r>
              <w:rPr>
                <w:spacing w:val="-2"/>
                <w:sz w:val="20"/>
                <w:szCs w:val="20"/>
              </w:rPr>
              <w:t>循环回用不外排；生活</w:t>
            </w:r>
            <w:r>
              <w:rPr>
                <w:spacing w:val="1"/>
                <w:sz w:val="20"/>
                <w:szCs w:val="20"/>
              </w:rPr>
              <w:t xml:space="preserve"> </w:t>
            </w:r>
            <w:r>
              <w:rPr>
                <w:spacing w:val="10"/>
                <w:sz w:val="20"/>
                <w:szCs w:val="20"/>
              </w:rPr>
              <w:t>污水设化粪池收集处</w:t>
            </w:r>
          </w:p>
        </w:tc>
        <w:tc>
          <w:tcPr>
            <w:tcW w:w="747" w:type="dxa"/>
            <w:vAlign w:val="top"/>
          </w:tcPr>
          <w:p w14:paraId="43E6CBAF">
            <w:pPr>
              <w:pStyle w:val="6"/>
              <w:spacing w:before="293" w:line="220" w:lineRule="auto"/>
              <w:ind w:left="188"/>
              <w:rPr>
                <w:sz w:val="20"/>
                <w:szCs w:val="20"/>
              </w:rPr>
            </w:pPr>
            <w:r>
              <w:rPr>
                <w:spacing w:val="-3"/>
                <w:sz w:val="20"/>
                <w:szCs w:val="20"/>
              </w:rPr>
              <w:t>符合</w:t>
            </w:r>
          </w:p>
        </w:tc>
        <w:tc>
          <w:tcPr>
            <w:tcW w:w="92" w:type="dxa"/>
            <w:tcBorders>
              <w:top w:val="nil"/>
            </w:tcBorders>
            <w:vAlign w:val="top"/>
          </w:tcPr>
          <w:p w14:paraId="0BA9C8CB">
            <w:pPr>
              <w:rPr>
                <w:rFonts w:ascii="Arial"/>
                <w:sz w:val="21"/>
              </w:rPr>
            </w:pPr>
          </w:p>
        </w:tc>
      </w:tr>
    </w:tbl>
    <w:p w14:paraId="68120112">
      <w:pPr>
        <w:rPr>
          <w:rFonts w:ascii="Arial"/>
          <w:sz w:val="21"/>
        </w:rPr>
      </w:pPr>
    </w:p>
    <w:p w14:paraId="739C79FF">
      <w:pPr>
        <w:rPr>
          <w:rFonts w:ascii="Arial" w:hAnsi="Arial" w:eastAsia="Arial" w:cs="Arial"/>
          <w:sz w:val="21"/>
          <w:szCs w:val="21"/>
        </w:rPr>
        <w:sectPr>
          <w:footerReference r:id="rId28" w:type="default"/>
          <w:pgSz w:w="11907" w:h="16839"/>
          <w:pgMar w:top="1431" w:right="1498" w:bottom="1055" w:left="1498" w:header="0" w:footer="801" w:gutter="0"/>
          <w:cols w:space="720" w:num="1"/>
        </w:sectPr>
      </w:pPr>
    </w:p>
    <w:p w14:paraId="448DF89E">
      <w:pPr>
        <w:spacing w:before="28"/>
      </w:pPr>
    </w:p>
    <w:tbl>
      <w:tblPr>
        <w:tblStyle w:val="5"/>
        <w:tblW w:w="89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9"/>
        <w:gridCol w:w="674"/>
        <w:gridCol w:w="154"/>
        <w:gridCol w:w="753"/>
        <w:gridCol w:w="3150"/>
        <w:gridCol w:w="20"/>
        <w:gridCol w:w="1986"/>
        <w:gridCol w:w="743"/>
        <w:gridCol w:w="94"/>
      </w:tblGrid>
      <w:tr w14:paraId="1CA01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5" w:hRule="atLeast"/>
        </w:trPr>
        <w:tc>
          <w:tcPr>
            <w:tcW w:w="1329" w:type="dxa"/>
            <w:vMerge w:val="restart"/>
            <w:tcBorders>
              <w:bottom w:val="nil"/>
            </w:tcBorders>
            <w:vAlign w:val="top"/>
          </w:tcPr>
          <w:p w14:paraId="55733217">
            <w:pPr>
              <w:rPr>
                <w:rFonts w:ascii="Arial"/>
                <w:sz w:val="21"/>
              </w:rPr>
            </w:pPr>
          </w:p>
        </w:tc>
        <w:tc>
          <w:tcPr>
            <w:tcW w:w="674" w:type="dxa"/>
            <w:vAlign w:val="top"/>
          </w:tcPr>
          <w:p w14:paraId="4DF86DCE">
            <w:pPr>
              <w:rPr>
                <w:rFonts w:ascii="Arial"/>
                <w:sz w:val="21"/>
              </w:rPr>
            </w:pPr>
            <w:r>
              <w:pict>
                <v:shape id="_x0000_s1034" o:spid="_x0000_s1034" style="position:absolute;left:0pt;margin-left:3.7pt;margin-top:0.95pt;height:77.85pt;width:0.5pt;mso-position-horizontal-relative:page;mso-position-vertical-relative:page;z-index:251668480;mso-width-relative:page;mso-height-relative:page;" fillcolor="#000000" filled="t" stroked="f" coordsize="10,1556" path="m0,1556l9,1556,9,0,0,0,0,1556xe">
                  <v:path/>
                  <v:fill on="t" focussize="0,0"/>
                  <v:stroke on="f"/>
                  <v:imagedata o:title=""/>
                  <o:lock v:ext="edit"/>
                </v:shape>
              </w:pict>
            </w:r>
          </w:p>
        </w:tc>
        <w:tc>
          <w:tcPr>
            <w:tcW w:w="4057" w:type="dxa"/>
            <w:gridSpan w:val="3"/>
            <w:vAlign w:val="top"/>
          </w:tcPr>
          <w:p w14:paraId="5EE0306F">
            <w:pPr>
              <w:pStyle w:val="6"/>
              <w:spacing w:before="42"/>
              <w:ind w:left="25" w:right="33" w:firstLine="3"/>
              <w:jc w:val="both"/>
              <w:rPr>
                <w:sz w:val="20"/>
                <w:szCs w:val="20"/>
              </w:rPr>
            </w:pPr>
            <w:r>
              <w:rPr>
                <w:spacing w:val="-2"/>
                <w:sz w:val="20"/>
                <w:szCs w:val="20"/>
              </w:rPr>
              <w:t>水“一企一管、明管输送、实时监测</w:t>
            </w:r>
            <w:r>
              <w:rPr>
                <w:spacing w:val="-71"/>
                <w:sz w:val="20"/>
                <w:szCs w:val="20"/>
              </w:rPr>
              <w:t xml:space="preserve"> </w:t>
            </w:r>
            <w:r>
              <w:rPr>
                <w:spacing w:val="-2"/>
                <w:sz w:val="20"/>
                <w:szCs w:val="20"/>
              </w:rPr>
              <w:t>”。深入</w:t>
            </w:r>
            <w:r>
              <w:rPr>
                <w:sz w:val="20"/>
                <w:szCs w:val="20"/>
              </w:rPr>
              <w:t xml:space="preserve"> </w:t>
            </w:r>
            <w:r>
              <w:rPr>
                <w:spacing w:val="-1"/>
                <w:sz w:val="20"/>
                <w:szCs w:val="20"/>
              </w:rPr>
              <w:t>推进化工园区突发水污染事件环境应急三级防</w:t>
            </w:r>
            <w:r>
              <w:rPr>
                <w:spacing w:val="12"/>
                <w:sz w:val="20"/>
                <w:szCs w:val="20"/>
              </w:rPr>
              <w:t xml:space="preserve"> </w:t>
            </w:r>
            <w:r>
              <w:rPr>
                <w:spacing w:val="-1"/>
                <w:sz w:val="20"/>
                <w:szCs w:val="20"/>
              </w:rPr>
              <w:t>控体系建设。持续推进涉重金属行业水污染物</w:t>
            </w:r>
            <w:r>
              <w:rPr>
                <w:spacing w:val="12"/>
                <w:sz w:val="20"/>
                <w:szCs w:val="20"/>
              </w:rPr>
              <w:t xml:space="preserve"> </w:t>
            </w:r>
            <w:r>
              <w:rPr>
                <w:spacing w:val="-2"/>
                <w:sz w:val="20"/>
                <w:szCs w:val="20"/>
              </w:rPr>
              <w:t>排放标准制修订。组织对蒸发塘建设、运行、</w:t>
            </w:r>
          </w:p>
          <w:p w14:paraId="4627082D">
            <w:pPr>
              <w:pStyle w:val="6"/>
              <w:spacing w:line="219" w:lineRule="auto"/>
              <w:ind w:left="829"/>
              <w:rPr>
                <w:sz w:val="20"/>
                <w:szCs w:val="20"/>
              </w:rPr>
            </w:pPr>
            <w:r>
              <w:rPr>
                <w:spacing w:val="-3"/>
                <w:sz w:val="20"/>
                <w:szCs w:val="20"/>
              </w:rPr>
              <w:t>维护等情况开展排查整治。</w:t>
            </w:r>
          </w:p>
        </w:tc>
        <w:tc>
          <w:tcPr>
            <w:tcW w:w="2006" w:type="dxa"/>
            <w:gridSpan w:val="2"/>
            <w:vAlign w:val="top"/>
          </w:tcPr>
          <w:p w14:paraId="0FDFDA05">
            <w:pPr>
              <w:pStyle w:val="6"/>
              <w:spacing w:before="43" w:line="220" w:lineRule="auto"/>
              <w:jc w:val="right"/>
              <w:rPr>
                <w:sz w:val="20"/>
                <w:szCs w:val="20"/>
              </w:rPr>
            </w:pPr>
            <w:r>
              <w:rPr>
                <w:spacing w:val="-2"/>
                <w:sz w:val="20"/>
                <w:szCs w:val="20"/>
              </w:rPr>
              <w:t>理后，经场镇污水管网</w:t>
            </w:r>
          </w:p>
          <w:p w14:paraId="36CC5633">
            <w:pPr>
              <w:pStyle w:val="6"/>
              <w:spacing w:before="20" w:line="220" w:lineRule="auto"/>
              <w:ind w:left="107"/>
              <w:rPr>
                <w:sz w:val="20"/>
                <w:szCs w:val="20"/>
              </w:rPr>
            </w:pPr>
            <w:r>
              <w:rPr>
                <w:spacing w:val="-1"/>
                <w:sz w:val="20"/>
                <w:szCs w:val="20"/>
              </w:rPr>
              <w:t>进入东岳场镇生活污</w:t>
            </w:r>
          </w:p>
          <w:p w14:paraId="64B4247E">
            <w:pPr>
              <w:pStyle w:val="6"/>
              <w:spacing w:before="21" w:line="219" w:lineRule="auto"/>
              <w:jc w:val="right"/>
              <w:rPr>
                <w:sz w:val="20"/>
                <w:szCs w:val="20"/>
              </w:rPr>
            </w:pPr>
            <w:r>
              <w:rPr>
                <w:spacing w:val="-2"/>
                <w:sz w:val="20"/>
                <w:szCs w:val="20"/>
              </w:rPr>
              <w:t>水处理厂处理。通过采</w:t>
            </w:r>
          </w:p>
          <w:p w14:paraId="4F711D92">
            <w:pPr>
              <w:pStyle w:val="6"/>
              <w:spacing w:before="22" w:line="221" w:lineRule="auto"/>
              <w:ind w:left="111"/>
              <w:rPr>
                <w:sz w:val="20"/>
                <w:szCs w:val="20"/>
              </w:rPr>
            </w:pPr>
            <w:r>
              <w:rPr>
                <w:spacing w:val="-2"/>
                <w:sz w:val="20"/>
                <w:szCs w:val="20"/>
              </w:rPr>
              <w:t>取相应的污染防治措</w:t>
            </w:r>
          </w:p>
          <w:p w14:paraId="17B196EE">
            <w:pPr>
              <w:pStyle w:val="6"/>
              <w:spacing w:before="20" w:line="220" w:lineRule="auto"/>
              <w:jc w:val="right"/>
              <w:rPr>
                <w:sz w:val="20"/>
                <w:szCs w:val="20"/>
              </w:rPr>
            </w:pPr>
            <w:r>
              <w:rPr>
                <w:spacing w:val="-1"/>
                <w:sz w:val="20"/>
                <w:szCs w:val="20"/>
              </w:rPr>
              <w:t>施，能够避免污水废液</w:t>
            </w:r>
          </w:p>
          <w:p w14:paraId="07304376">
            <w:pPr>
              <w:pStyle w:val="6"/>
              <w:spacing w:before="21" w:line="207" w:lineRule="auto"/>
              <w:ind w:left="710"/>
              <w:rPr>
                <w:sz w:val="20"/>
                <w:szCs w:val="20"/>
              </w:rPr>
            </w:pPr>
            <w:r>
              <w:rPr>
                <w:spacing w:val="-9"/>
                <w:sz w:val="20"/>
                <w:szCs w:val="20"/>
              </w:rPr>
              <w:t>渗漏。</w:t>
            </w:r>
          </w:p>
        </w:tc>
        <w:tc>
          <w:tcPr>
            <w:tcW w:w="837" w:type="dxa"/>
            <w:gridSpan w:val="2"/>
            <w:vAlign w:val="top"/>
          </w:tcPr>
          <w:p w14:paraId="710A95CE">
            <w:pPr>
              <w:rPr>
                <w:rFonts w:ascii="Arial"/>
                <w:sz w:val="21"/>
              </w:rPr>
            </w:pPr>
            <w:r>
              <w:pict>
                <v:shape id="_x0000_s1035" o:spid="_x0000_s1035" style="position:absolute;left:0pt;margin-left:37.25pt;margin-top:0.95pt;height:77.85pt;width:0.5pt;mso-position-horizontal-relative:page;mso-position-vertical-relative:page;z-index:251669504;mso-width-relative:page;mso-height-relative:page;" fillcolor="#000000" filled="t" stroked="f" coordsize="10,1556" path="m0,1556l9,1556,9,0,0,0,0,1556xe">
                  <v:path/>
                  <v:fill on="t" focussize="0,0"/>
                  <v:stroke on="f"/>
                  <v:imagedata o:title=""/>
                  <o:lock v:ext="edit"/>
                </v:shape>
              </w:pict>
            </w:r>
          </w:p>
        </w:tc>
      </w:tr>
      <w:tr w14:paraId="2DB84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0" w:hRule="atLeast"/>
        </w:trPr>
        <w:tc>
          <w:tcPr>
            <w:tcW w:w="1329" w:type="dxa"/>
            <w:vMerge w:val="continue"/>
            <w:tcBorders>
              <w:top w:val="nil"/>
              <w:bottom w:val="nil"/>
            </w:tcBorders>
            <w:vAlign w:val="top"/>
          </w:tcPr>
          <w:p w14:paraId="3ADF01AD">
            <w:pPr>
              <w:rPr>
                <w:rFonts w:ascii="Arial"/>
                <w:sz w:val="21"/>
              </w:rPr>
            </w:pPr>
          </w:p>
        </w:tc>
        <w:tc>
          <w:tcPr>
            <w:tcW w:w="674" w:type="dxa"/>
            <w:vAlign w:val="top"/>
          </w:tcPr>
          <w:p w14:paraId="44661AF7">
            <w:pPr>
              <w:spacing w:line="289" w:lineRule="auto"/>
              <w:rPr>
                <w:rFonts w:ascii="Arial"/>
                <w:sz w:val="21"/>
              </w:rPr>
            </w:pPr>
            <w:r>
              <w:pict>
                <v:shape id="_x0000_s1036" o:spid="_x0000_s1036" style="position:absolute;left:0pt;margin-left:3.7pt;margin-top:0.25pt;height:103.8pt;width:0.5pt;mso-position-horizontal-relative:page;mso-position-vertical-relative:page;z-index:251667456;mso-width-relative:page;mso-height-relative:page;" fillcolor="#000000" filled="t" stroked="f" coordsize="10,2076" path="m0,2075l9,2075,9,0,0,0,0,2075xe">
                  <v:path/>
                  <v:fill on="t" focussize="0,0"/>
                  <v:stroke on="f"/>
                  <v:imagedata o:title=""/>
                  <o:lock v:ext="edit"/>
                </v:shape>
              </w:pict>
            </w:r>
          </w:p>
          <w:p w14:paraId="14E188C1">
            <w:pPr>
              <w:spacing w:line="289" w:lineRule="auto"/>
              <w:rPr>
                <w:rFonts w:ascii="Arial"/>
                <w:sz w:val="21"/>
              </w:rPr>
            </w:pPr>
          </w:p>
          <w:p w14:paraId="0648CFE3">
            <w:pPr>
              <w:spacing w:line="290" w:lineRule="auto"/>
              <w:rPr>
                <w:rFonts w:ascii="Arial"/>
                <w:sz w:val="21"/>
              </w:rPr>
            </w:pPr>
          </w:p>
          <w:p w14:paraId="360E209A">
            <w:pPr>
              <w:pStyle w:val="6"/>
              <w:spacing w:before="65"/>
              <w:ind w:left="330"/>
              <w:rPr>
                <w:sz w:val="20"/>
                <w:szCs w:val="20"/>
              </w:rPr>
            </w:pPr>
            <w:r>
              <w:rPr>
                <w:sz w:val="20"/>
                <w:szCs w:val="20"/>
              </w:rPr>
              <w:t>3</w:t>
            </w:r>
          </w:p>
        </w:tc>
        <w:tc>
          <w:tcPr>
            <w:tcW w:w="4057" w:type="dxa"/>
            <w:gridSpan w:val="3"/>
            <w:vAlign w:val="top"/>
          </w:tcPr>
          <w:p w14:paraId="31057606">
            <w:pPr>
              <w:pStyle w:val="6"/>
              <w:spacing w:before="29" w:line="220" w:lineRule="auto"/>
              <w:ind w:left="61"/>
              <w:jc w:val="left"/>
              <w:rPr>
                <w:sz w:val="20"/>
                <w:szCs w:val="20"/>
              </w:rPr>
            </w:pPr>
            <w:r>
              <w:rPr>
                <w:spacing w:val="-2"/>
                <w:sz w:val="20"/>
                <w:szCs w:val="20"/>
              </w:rPr>
              <w:t>(七)减少涉重金属废气排放。持续高质量</w:t>
            </w:r>
            <w:r>
              <w:rPr>
                <w:spacing w:val="-3"/>
                <w:sz w:val="20"/>
                <w:szCs w:val="20"/>
              </w:rPr>
              <w:t>推进</w:t>
            </w:r>
          </w:p>
          <w:p w14:paraId="44B47285">
            <w:pPr>
              <w:pStyle w:val="6"/>
              <w:spacing w:before="22" w:line="220" w:lineRule="auto"/>
              <w:ind w:left="24"/>
              <w:jc w:val="left"/>
              <w:rPr>
                <w:sz w:val="20"/>
                <w:szCs w:val="20"/>
              </w:rPr>
            </w:pPr>
            <w:r>
              <w:rPr>
                <w:spacing w:val="-1"/>
                <w:sz w:val="20"/>
                <w:szCs w:val="20"/>
              </w:rPr>
              <w:t>钢铁、水泥焦化行业和燃煤锅炉企业超低排放</w:t>
            </w:r>
          </w:p>
          <w:p w14:paraId="4D4B20F8">
            <w:pPr>
              <w:pStyle w:val="6"/>
              <w:spacing w:before="20" w:line="220" w:lineRule="auto"/>
              <w:ind w:left="32"/>
              <w:jc w:val="left"/>
              <w:rPr>
                <w:sz w:val="20"/>
                <w:szCs w:val="20"/>
              </w:rPr>
            </w:pPr>
            <w:r>
              <w:rPr>
                <w:spacing w:val="-1"/>
                <w:sz w:val="20"/>
                <w:szCs w:val="20"/>
              </w:rPr>
              <w:t>改造工作，推动已完成超低排放改造的企业及</w:t>
            </w:r>
          </w:p>
          <w:p w14:paraId="427A6478">
            <w:pPr>
              <w:pStyle w:val="6"/>
              <w:spacing w:before="20" w:line="221" w:lineRule="auto"/>
              <w:ind w:left="35"/>
              <w:jc w:val="left"/>
              <w:rPr>
                <w:sz w:val="20"/>
                <w:szCs w:val="20"/>
              </w:rPr>
            </w:pPr>
            <w:r>
              <w:rPr>
                <w:spacing w:val="-1"/>
                <w:sz w:val="20"/>
                <w:szCs w:val="20"/>
              </w:rPr>
              <w:t>时变更排污许可证。开展重点行业大气污染物</w:t>
            </w:r>
          </w:p>
          <w:p w14:paraId="60B1EC10">
            <w:pPr>
              <w:pStyle w:val="6"/>
              <w:spacing w:before="20" w:line="220" w:lineRule="auto"/>
              <w:jc w:val="left"/>
              <w:rPr>
                <w:sz w:val="20"/>
                <w:szCs w:val="20"/>
              </w:rPr>
            </w:pPr>
            <w:r>
              <w:rPr>
                <w:spacing w:val="-8"/>
                <w:sz w:val="20"/>
                <w:szCs w:val="20"/>
              </w:rPr>
              <w:t>排放标准制修订。内蒙古、江西、河南、湖北、</w:t>
            </w:r>
          </w:p>
          <w:p w14:paraId="51B4A484">
            <w:pPr>
              <w:pStyle w:val="6"/>
              <w:spacing w:before="21" w:line="219" w:lineRule="auto"/>
              <w:jc w:val="left"/>
              <w:rPr>
                <w:sz w:val="20"/>
                <w:szCs w:val="20"/>
              </w:rPr>
            </w:pPr>
            <w:r>
              <w:rPr>
                <w:spacing w:val="-3"/>
                <w:sz w:val="20"/>
                <w:szCs w:val="20"/>
              </w:rPr>
              <w:t>湖南、广东、广西、四川</w:t>
            </w:r>
            <w:r>
              <w:rPr>
                <w:rFonts w:hint="eastAsia"/>
                <w:spacing w:val="-3"/>
                <w:sz w:val="20"/>
                <w:szCs w:val="20"/>
                <w:lang w:eastAsia="zh-CN"/>
              </w:rPr>
              <w:t>、</w:t>
            </w:r>
            <w:r>
              <w:rPr>
                <w:spacing w:val="-3"/>
                <w:sz w:val="20"/>
                <w:szCs w:val="20"/>
              </w:rPr>
              <w:t>贵州、云南、陕西</w:t>
            </w:r>
            <w:r>
              <w:rPr>
                <w:rFonts w:hint="eastAsia"/>
                <w:spacing w:val="-3"/>
                <w:sz w:val="20"/>
                <w:szCs w:val="20"/>
                <w:lang w:eastAsia="zh-CN"/>
              </w:rPr>
              <w:t>、</w:t>
            </w:r>
            <w:r>
              <w:rPr>
                <w:spacing w:val="-1"/>
                <w:sz w:val="20"/>
                <w:szCs w:val="20"/>
              </w:rPr>
              <w:t>甘肃、新疆等省(区)矿产资源开发活动集中的</w:t>
            </w:r>
            <w:r>
              <w:rPr>
                <w:spacing w:val="-2"/>
                <w:sz w:val="20"/>
                <w:szCs w:val="20"/>
              </w:rPr>
              <w:t>区域继续执行重点污染物特别排放限值。</w:t>
            </w:r>
          </w:p>
        </w:tc>
        <w:tc>
          <w:tcPr>
            <w:tcW w:w="2006" w:type="dxa"/>
            <w:gridSpan w:val="2"/>
            <w:vAlign w:val="top"/>
          </w:tcPr>
          <w:p w14:paraId="3158F985">
            <w:pPr>
              <w:rPr>
                <w:rFonts w:ascii="Arial"/>
                <w:sz w:val="21"/>
              </w:rPr>
            </w:pPr>
          </w:p>
          <w:p w14:paraId="340F6212">
            <w:pPr>
              <w:spacing w:line="241" w:lineRule="auto"/>
              <w:rPr>
                <w:rFonts w:ascii="Arial"/>
                <w:sz w:val="21"/>
              </w:rPr>
            </w:pPr>
          </w:p>
          <w:p w14:paraId="7577A915">
            <w:pPr>
              <w:pStyle w:val="6"/>
              <w:spacing w:before="65" w:line="219" w:lineRule="auto"/>
              <w:ind w:left="110"/>
              <w:rPr>
                <w:sz w:val="20"/>
                <w:szCs w:val="20"/>
              </w:rPr>
            </w:pPr>
            <w:r>
              <w:rPr>
                <w:spacing w:val="-1"/>
                <w:sz w:val="20"/>
                <w:szCs w:val="20"/>
              </w:rPr>
              <w:t>本项目为生物质成型</w:t>
            </w:r>
          </w:p>
          <w:p w14:paraId="5785D7C5">
            <w:pPr>
              <w:pStyle w:val="6"/>
              <w:spacing w:before="21" w:line="220" w:lineRule="auto"/>
              <w:ind w:left="11"/>
              <w:rPr>
                <w:sz w:val="20"/>
                <w:szCs w:val="20"/>
              </w:rPr>
            </w:pPr>
            <w:r>
              <w:rPr>
                <w:spacing w:val="-2"/>
                <w:sz w:val="20"/>
                <w:szCs w:val="20"/>
              </w:rPr>
              <w:t>燃料生产项目，生产营</w:t>
            </w:r>
          </w:p>
          <w:p w14:paraId="4B6B110B">
            <w:pPr>
              <w:pStyle w:val="6"/>
              <w:spacing w:before="20" w:line="221" w:lineRule="auto"/>
              <w:ind w:left="109"/>
              <w:rPr>
                <w:sz w:val="20"/>
                <w:szCs w:val="20"/>
              </w:rPr>
            </w:pPr>
            <w:r>
              <w:rPr>
                <w:spacing w:val="-1"/>
                <w:sz w:val="20"/>
                <w:szCs w:val="20"/>
              </w:rPr>
              <w:t>运过程不涉及重金属</w:t>
            </w:r>
          </w:p>
          <w:p w14:paraId="4F4C208C">
            <w:pPr>
              <w:pStyle w:val="6"/>
              <w:spacing w:before="19" w:line="221" w:lineRule="auto"/>
              <w:ind w:left="508"/>
              <w:rPr>
                <w:sz w:val="20"/>
                <w:szCs w:val="20"/>
              </w:rPr>
            </w:pPr>
            <w:r>
              <w:rPr>
                <w:spacing w:val="-2"/>
                <w:sz w:val="20"/>
                <w:szCs w:val="20"/>
              </w:rPr>
              <w:t>废气排放。</w:t>
            </w:r>
          </w:p>
        </w:tc>
        <w:tc>
          <w:tcPr>
            <w:tcW w:w="743" w:type="dxa"/>
            <w:tcBorders>
              <w:right w:val="single" w:color="000000" w:sz="8" w:space="0"/>
            </w:tcBorders>
            <w:vAlign w:val="top"/>
          </w:tcPr>
          <w:p w14:paraId="0D65176B">
            <w:pPr>
              <w:spacing w:line="289" w:lineRule="auto"/>
              <w:rPr>
                <w:rFonts w:ascii="Arial"/>
                <w:sz w:val="21"/>
              </w:rPr>
            </w:pPr>
          </w:p>
          <w:p w14:paraId="07C952BC">
            <w:pPr>
              <w:spacing w:line="289" w:lineRule="auto"/>
              <w:rPr>
                <w:rFonts w:ascii="Arial"/>
                <w:sz w:val="21"/>
              </w:rPr>
            </w:pPr>
          </w:p>
          <w:p w14:paraId="3A6275CF">
            <w:pPr>
              <w:spacing w:line="289" w:lineRule="auto"/>
              <w:rPr>
                <w:rFonts w:ascii="Arial"/>
                <w:sz w:val="21"/>
              </w:rPr>
            </w:pPr>
          </w:p>
          <w:p w14:paraId="01CE08C9">
            <w:pPr>
              <w:pStyle w:val="6"/>
              <w:spacing w:before="65" w:line="220" w:lineRule="auto"/>
              <w:ind w:left="186"/>
              <w:rPr>
                <w:sz w:val="20"/>
                <w:szCs w:val="20"/>
              </w:rPr>
            </w:pPr>
            <w:r>
              <w:rPr>
                <w:spacing w:val="-3"/>
                <w:sz w:val="20"/>
                <w:szCs w:val="20"/>
              </w:rPr>
              <w:t>符合</w:t>
            </w:r>
          </w:p>
        </w:tc>
        <w:tc>
          <w:tcPr>
            <w:tcW w:w="94" w:type="dxa"/>
            <w:tcBorders>
              <w:left w:val="single" w:color="000000" w:sz="8" w:space="0"/>
            </w:tcBorders>
            <w:vAlign w:val="top"/>
          </w:tcPr>
          <w:p w14:paraId="5DDC7246">
            <w:pPr>
              <w:rPr>
                <w:rFonts w:ascii="Arial"/>
                <w:sz w:val="21"/>
              </w:rPr>
            </w:pPr>
          </w:p>
        </w:tc>
      </w:tr>
      <w:tr w14:paraId="0246B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31" w:hRule="atLeast"/>
        </w:trPr>
        <w:tc>
          <w:tcPr>
            <w:tcW w:w="1329" w:type="dxa"/>
            <w:vMerge w:val="continue"/>
            <w:tcBorders>
              <w:top w:val="nil"/>
              <w:bottom w:val="nil"/>
            </w:tcBorders>
            <w:vAlign w:val="top"/>
          </w:tcPr>
          <w:p w14:paraId="4AA6E12B">
            <w:pPr>
              <w:rPr>
                <w:rFonts w:ascii="Arial"/>
                <w:sz w:val="21"/>
              </w:rPr>
            </w:pPr>
          </w:p>
        </w:tc>
        <w:tc>
          <w:tcPr>
            <w:tcW w:w="674" w:type="dxa"/>
            <w:vAlign w:val="top"/>
          </w:tcPr>
          <w:p w14:paraId="7129FA60">
            <w:pPr>
              <w:spacing w:line="253" w:lineRule="auto"/>
              <w:rPr>
                <w:rFonts w:ascii="Arial"/>
                <w:sz w:val="21"/>
              </w:rPr>
            </w:pPr>
            <w:r>
              <w:pict>
                <v:shape id="_x0000_s1037" o:spid="_x0000_s1037" style="position:absolute;left:0pt;margin-left:3.7pt;margin-top:0.3pt;height:246.45pt;width:0.5pt;mso-position-horizontal-relative:page;mso-position-vertical-relative:page;z-index:251666432;mso-width-relative:page;mso-height-relative:page;" fillcolor="#000000" filled="t" stroked="f" coordsize="10,4928" path="m0,4928l9,4928,9,0,0,0,0,4928xe">
                  <v:path/>
                  <v:fill on="t" focussize="0,0"/>
                  <v:stroke on="f"/>
                  <v:imagedata o:title=""/>
                  <o:lock v:ext="edit"/>
                </v:shape>
              </w:pict>
            </w:r>
          </w:p>
          <w:p w14:paraId="2366BCC1">
            <w:pPr>
              <w:spacing w:line="254" w:lineRule="auto"/>
              <w:rPr>
                <w:rFonts w:ascii="Arial"/>
                <w:sz w:val="21"/>
              </w:rPr>
            </w:pPr>
          </w:p>
          <w:p w14:paraId="51749ABD">
            <w:pPr>
              <w:spacing w:line="254" w:lineRule="auto"/>
              <w:rPr>
                <w:rFonts w:ascii="Arial"/>
                <w:sz w:val="21"/>
              </w:rPr>
            </w:pPr>
          </w:p>
          <w:p w14:paraId="751180F4">
            <w:pPr>
              <w:spacing w:line="254" w:lineRule="auto"/>
              <w:rPr>
                <w:rFonts w:ascii="Arial"/>
                <w:sz w:val="21"/>
              </w:rPr>
            </w:pPr>
          </w:p>
          <w:p w14:paraId="21599D52">
            <w:pPr>
              <w:spacing w:line="254" w:lineRule="auto"/>
              <w:rPr>
                <w:rFonts w:ascii="Arial"/>
                <w:sz w:val="21"/>
              </w:rPr>
            </w:pPr>
          </w:p>
          <w:p w14:paraId="3DB4C136">
            <w:pPr>
              <w:spacing w:line="254" w:lineRule="auto"/>
              <w:rPr>
                <w:rFonts w:ascii="Arial"/>
                <w:sz w:val="21"/>
              </w:rPr>
            </w:pPr>
          </w:p>
          <w:p w14:paraId="355EC2E5">
            <w:pPr>
              <w:spacing w:line="254" w:lineRule="auto"/>
              <w:rPr>
                <w:rFonts w:ascii="Arial"/>
                <w:sz w:val="21"/>
              </w:rPr>
            </w:pPr>
          </w:p>
          <w:p w14:paraId="76AF85FE">
            <w:pPr>
              <w:spacing w:line="254" w:lineRule="auto"/>
              <w:rPr>
                <w:rFonts w:ascii="Arial"/>
                <w:sz w:val="21"/>
              </w:rPr>
            </w:pPr>
          </w:p>
          <w:p w14:paraId="3AE176EB">
            <w:pPr>
              <w:spacing w:line="254" w:lineRule="auto"/>
              <w:rPr>
                <w:rFonts w:ascii="Arial"/>
                <w:sz w:val="21"/>
              </w:rPr>
            </w:pPr>
          </w:p>
          <w:p w14:paraId="23AFEF71">
            <w:pPr>
              <w:pStyle w:val="6"/>
              <w:spacing w:before="65" w:line="242" w:lineRule="auto"/>
              <w:ind w:left="325"/>
              <w:rPr>
                <w:sz w:val="20"/>
                <w:szCs w:val="20"/>
              </w:rPr>
            </w:pPr>
            <w:r>
              <w:rPr>
                <w:sz w:val="20"/>
                <w:szCs w:val="20"/>
              </w:rPr>
              <w:t>4</w:t>
            </w:r>
          </w:p>
        </w:tc>
        <w:tc>
          <w:tcPr>
            <w:tcW w:w="4057" w:type="dxa"/>
            <w:gridSpan w:val="3"/>
            <w:vAlign w:val="top"/>
          </w:tcPr>
          <w:p w14:paraId="26360FA2">
            <w:pPr>
              <w:pStyle w:val="6"/>
              <w:spacing w:before="30" w:line="220" w:lineRule="auto"/>
              <w:ind w:left="61"/>
              <w:rPr>
                <w:sz w:val="20"/>
                <w:szCs w:val="20"/>
              </w:rPr>
            </w:pPr>
            <w:r>
              <w:rPr>
                <w:spacing w:val="-2"/>
                <w:sz w:val="20"/>
                <w:szCs w:val="20"/>
              </w:rPr>
              <w:t>(八)推进固体废物源头减量和综合利用。</w:t>
            </w:r>
            <w:r>
              <w:rPr>
                <w:spacing w:val="-3"/>
                <w:sz w:val="20"/>
                <w:szCs w:val="20"/>
              </w:rPr>
              <w:t>加强</w:t>
            </w:r>
          </w:p>
          <w:p w14:paraId="28707C06">
            <w:pPr>
              <w:pStyle w:val="6"/>
              <w:spacing w:before="20" w:line="220" w:lineRule="auto"/>
              <w:ind w:left="29"/>
              <w:rPr>
                <w:sz w:val="20"/>
                <w:szCs w:val="20"/>
              </w:rPr>
            </w:pPr>
            <w:r>
              <w:rPr>
                <w:spacing w:val="-1"/>
                <w:sz w:val="20"/>
                <w:szCs w:val="20"/>
              </w:rPr>
              <w:t>一般工业固体废物规范化环境管理，开展历史</w:t>
            </w:r>
          </w:p>
          <w:p w14:paraId="66F8D941">
            <w:pPr>
              <w:pStyle w:val="6"/>
              <w:spacing w:before="20" w:line="220" w:lineRule="auto"/>
              <w:ind w:left="124"/>
              <w:rPr>
                <w:sz w:val="20"/>
                <w:szCs w:val="20"/>
              </w:rPr>
            </w:pPr>
            <w:r>
              <w:rPr>
                <w:spacing w:val="-1"/>
                <w:sz w:val="20"/>
                <w:szCs w:val="20"/>
              </w:rPr>
              <w:t>遗留固体废物堆存场摸底排查和分级分类整</w:t>
            </w:r>
          </w:p>
          <w:p w14:paraId="194D9A83">
            <w:pPr>
              <w:pStyle w:val="6"/>
              <w:spacing w:before="21" w:line="220" w:lineRule="auto"/>
              <w:jc w:val="right"/>
              <w:rPr>
                <w:sz w:val="20"/>
                <w:szCs w:val="20"/>
              </w:rPr>
            </w:pPr>
            <w:r>
              <w:rPr>
                <w:spacing w:val="-8"/>
                <w:sz w:val="20"/>
                <w:szCs w:val="20"/>
              </w:rPr>
              <w:t>改，全面完善防渗漏、防流失、防扬散等措施。</w:t>
            </w:r>
          </w:p>
          <w:p w14:paraId="25B76616">
            <w:pPr>
              <w:pStyle w:val="6"/>
              <w:spacing w:before="20" w:line="221" w:lineRule="auto"/>
              <w:ind w:left="26"/>
              <w:rPr>
                <w:sz w:val="20"/>
                <w:szCs w:val="20"/>
              </w:rPr>
            </w:pPr>
            <w:r>
              <w:rPr>
                <w:spacing w:val="-1"/>
                <w:sz w:val="20"/>
                <w:szCs w:val="20"/>
              </w:rPr>
              <w:t>严密防控危险废物环境风险，深化危险废物规</w:t>
            </w:r>
          </w:p>
          <w:p w14:paraId="68BB94FA">
            <w:pPr>
              <w:pStyle w:val="6"/>
              <w:spacing w:before="22" w:line="218" w:lineRule="auto"/>
              <w:ind w:left="30"/>
              <w:rPr>
                <w:sz w:val="20"/>
                <w:szCs w:val="20"/>
              </w:rPr>
            </w:pPr>
            <w:r>
              <w:rPr>
                <w:spacing w:val="-1"/>
                <w:sz w:val="20"/>
                <w:szCs w:val="20"/>
              </w:rPr>
              <w:t>范化环境管理评估，推进全过程信息化环境管</w:t>
            </w:r>
          </w:p>
          <w:p w14:paraId="59F8DF54">
            <w:pPr>
              <w:pStyle w:val="6"/>
              <w:spacing w:before="23" w:line="220" w:lineRule="auto"/>
              <w:ind w:left="28"/>
              <w:rPr>
                <w:sz w:val="20"/>
                <w:szCs w:val="20"/>
              </w:rPr>
            </w:pPr>
            <w:r>
              <w:rPr>
                <w:spacing w:val="-1"/>
                <w:sz w:val="20"/>
                <w:szCs w:val="20"/>
              </w:rPr>
              <w:t>理，严格管控最终填埋处置。</w:t>
            </w:r>
            <w:r>
              <w:rPr>
                <w:rFonts w:hint="eastAsia"/>
                <w:spacing w:val="-1"/>
                <w:sz w:val="20"/>
                <w:szCs w:val="20"/>
                <w:lang w:eastAsia="zh-CN"/>
              </w:rPr>
              <w:t>严厉打击</w:t>
            </w:r>
            <w:r>
              <w:rPr>
                <w:spacing w:val="-1"/>
                <w:sz w:val="20"/>
                <w:szCs w:val="20"/>
              </w:rPr>
              <w:t>非法排</w:t>
            </w:r>
          </w:p>
          <w:p w14:paraId="4F785F77">
            <w:pPr>
              <w:pStyle w:val="6"/>
              <w:spacing w:before="20" w:line="220" w:lineRule="auto"/>
              <w:ind w:left="25"/>
              <w:rPr>
                <w:sz w:val="20"/>
                <w:szCs w:val="20"/>
              </w:rPr>
            </w:pPr>
            <w:r>
              <w:rPr>
                <w:spacing w:val="-1"/>
                <w:sz w:val="20"/>
                <w:szCs w:val="20"/>
              </w:rPr>
              <w:t>放、倾倒、转移、处置固体废物，尤其是危险</w:t>
            </w:r>
          </w:p>
          <w:p w14:paraId="5A456F64">
            <w:pPr>
              <w:pStyle w:val="6"/>
              <w:spacing w:before="21" w:line="221" w:lineRule="auto"/>
              <w:ind w:left="25"/>
              <w:rPr>
                <w:sz w:val="20"/>
                <w:szCs w:val="20"/>
              </w:rPr>
            </w:pPr>
            <w:r>
              <w:rPr>
                <w:spacing w:val="-1"/>
                <w:sz w:val="20"/>
                <w:szCs w:val="20"/>
              </w:rPr>
              <w:t>废物环境违法犯罪行为。加快推进大宗固体废</w:t>
            </w:r>
          </w:p>
          <w:p w14:paraId="3C0BDAA6">
            <w:pPr>
              <w:pStyle w:val="6"/>
              <w:spacing w:before="20" w:line="220" w:lineRule="auto"/>
              <w:ind w:left="29"/>
              <w:rPr>
                <w:sz w:val="20"/>
                <w:szCs w:val="20"/>
              </w:rPr>
            </w:pPr>
            <w:r>
              <w:rPr>
                <w:spacing w:val="-1"/>
                <w:sz w:val="20"/>
                <w:szCs w:val="20"/>
              </w:rPr>
              <w:t>弃物综合利用示范基地、工业资源综合利用基</w:t>
            </w:r>
          </w:p>
          <w:p w14:paraId="1621AF7E">
            <w:pPr>
              <w:pStyle w:val="6"/>
              <w:spacing w:before="21" w:line="219" w:lineRule="auto"/>
              <w:ind w:left="25"/>
              <w:rPr>
                <w:sz w:val="20"/>
                <w:szCs w:val="20"/>
              </w:rPr>
            </w:pPr>
            <w:r>
              <w:rPr>
                <w:spacing w:val="-1"/>
                <w:sz w:val="20"/>
                <w:szCs w:val="20"/>
              </w:rPr>
              <w:t>地建设，推动提升磷石膏、赤泥等复杂难用大</w:t>
            </w:r>
          </w:p>
          <w:p w14:paraId="6AD10976">
            <w:pPr>
              <w:pStyle w:val="6"/>
              <w:spacing w:before="22" w:line="220" w:lineRule="auto"/>
              <w:ind w:left="27"/>
              <w:rPr>
                <w:sz w:val="20"/>
                <w:szCs w:val="20"/>
              </w:rPr>
            </w:pPr>
            <w:r>
              <w:rPr>
                <w:spacing w:val="-1"/>
                <w:sz w:val="20"/>
                <w:szCs w:val="20"/>
              </w:rPr>
              <w:t>宗固废净化处理和综合利用水平。加强废弃电</w:t>
            </w:r>
          </w:p>
          <w:p w14:paraId="6CA65275">
            <w:pPr>
              <w:pStyle w:val="6"/>
              <w:spacing w:before="23" w:line="219" w:lineRule="auto"/>
              <w:ind w:left="25"/>
              <w:rPr>
                <w:sz w:val="20"/>
                <w:szCs w:val="20"/>
              </w:rPr>
            </w:pPr>
            <w:r>
              <w:rPr>
                <w:spacing w:val="-1"/>
                <w:sz w:val="20"/>
                <w:szCs w:val="20"/>
              </w:rPr>
              <w:t>器电子产品、报废机动车、废有色金属等再生</w:t>
            </w:r>
          </w:p>
          <w:p w14:paraId="345F0882">
            <w:pPr>
              <w:pStyle w:val="6"/>
              <w:spacing w:before="21" w:line="220" w:lineRule="auto"/>
              <w:ind w:left="134"/>
              <w:rPr>
                <w:sz w:val="20"/>
                <w:szCs w:val="20"/>
              </w:rPr>
            </w:pPr>
            <w:r>
              <w:rPr>
                <w:spacing w:val="-1"/>
                <w:sz w:val="20"/>
                <w:szCs w:val="20"/>
              </w:rPr>
              <w:t>资源加工利用企业土壤和地下水污染防治监</w:t>
            </w:r>
          </w:p>
          <w:p w14:paraId="020C716C">
            <w:pPr>
              <w:pStyle w:val="6"/>
              <w:spacing w:before="21" w:line="220" w:lineRule="auto"/>
              <w:ind w:left="30"/>
              <w:rPr>
                <w:sz w:val="20"/>
                <w:szCs w:val="20"/>
              </w:rPr>
            </w:pPr>
            <w:r>
              <w:rPr>
                <w:spacing w:val="-1"/>
                <w:sz w:val="20"/>
                <w:szCs w:val="20"/>
              </w:rPr>
              <w:t>管，强化防渗等措施落实。加强生活垃圾填埋</w:t>
            </w:r>
          </w:p>
          <w:p w14:paraId="4D3379C7">
            <w:pPr>
              <w:pStyle w:val="6"/>
              <w:spacing w:before="21" w:line="220" w:lineRule="auto"/>
              <w:ind w:left="25"/>
              <w:rPr>
                <w:sz w:val="20"/>
                <w:szCs w:val="20"/>
              </w:rPr>
            </w:pPr>
            <w:r>
              <w:rPr>
                <w:spacing w:val="-1"/>
                <w:sz w:val="20"/>
                <w:szCs w:val="20"/>
              </w:rPr>
              <w:t>场和危险废物处置场运行监管，严格落实雨污</w:t>
            </w:r>
          </w:p>
          <w:p w14:paraId="34337E62">
            <w:pPr>
              <w:pStyle w:val="6"/>
              <w:spacing w:before="21" w:line="220" w:lineRule="auto"/>
              <w:ind w:left="28"/>
              <w:rPr>
                <w:sz w:val="20"/>
                <w:szCs w:val="20"/>
              </w:rPr>
            </w:pPr>
            <w:r>
              <w:rPr>
                <w:spacing w:val="-1"/>
                <w:sz w:val="20"/>
                <w:szCs w:val="20"/>
              </w:rPr>
              <w:t>分流、地表水与地下水导排、渗沥液收集与处</w:t>
            </w:r>
          </w:p>
          <w:p w14:paraId="5070200D">
            <w:pPr>
              <w:pStyle w:val="6"/>
              <w:spacing w:before="21" w:line="220" w:lineRule="auto"/>
              <w:ind w:left="28"/>
              <w:rPr>
                <w:sz w:val="20"/>
                <w:szCs w:val="20"/>
              </w:rPr>
            </w:pPr>
            <w:r>
              <w:rPr>
                <w:spacing w:val="-1"/>
                <w:sz w:val="20"/>
                <w:szCs w:val="20"/>
              </w:rPr>
              <w:t>理等污染防治措施，对库容已满的规范有序开</w:t>
            </w:r>
          </w:p>
          <w:p w14:paraId="11CF3305">
            <w:pPr>
              <w:pStyle w:val="6"/>
              <w:spacing w:before="22" w:line="204" w:lineRule="auto"/>
              <w:ind w:left="327"/>
              <w:rPr>
                <w:sz w:val="20"/>
                <w:szCs w:val="20"/>
              </w:rPr>
            </w:pPr>
            <w:r>
              <w:rPr>
                <w:spacing w:val="-1"/>
                <w:sz w:val="20"/>
                <w:szCs w:val="20"/>
              </w:rPr>
              <w:t>展封场治理。加强建筑垃圾处置监管。</w:t>
            </w:r>
          </w:p>
        </w:tc>
        <w:tc>
          <w:tcPr>
            <w:tcW w:w="2006" w:type="dxa"/>
            <w:gridSpan w:val="2"/>
            <w:vAlign w:val="top"/>
          </w:tcPr>
          <w:p w14:paraId="7BD3C945">
            <w:pPr>
              <w:spacing w:line="273" w:lineRule="auto"/>
              <w:rPr>
                <w:rFonts w:ascii="Arial"/>
                <w:sz w:val="21"/>
              </w:rPr>
            </w:pPr>
          </w:p>
          <w:p w14:paraId="5EAB1BE0">
            <w:pPr>
              <w:spacing w:line="273" w:lineRule="auto"/>
              <w:rPr>
                <w:rFonts w:ascii="Arial"/>
                <w:sz w:val="21"/>
              </w:rPr>
            </w:pPr>
          </w:p>
          <w:p w14:paraId="5EF964CE">
            <w:pPr>
              <w:spacing w:line="273" w:lineRule="auto"/>
              <w:rPr>
                <w:rFonts w:ascii="Arial"/>
                <w:sz w:val="21"/>
              </w:rPr>
            </w:pPr>
          </w:p>
          <w:p w14:paraId="02660362">
            <w:pPr>
              <w:spacing w:line="274" w:lineRule="auto"/>
              <w:rPr>
                <w:rFonts w:ascii="Arial"/>
                <w:sz w:val="21"/>
              </w:rPr>
            </w:pPr>
          </w:p>
          <w:p w14:paraId="38667CBD">
            <w:pPr>
              <w:spacing w:line="274" w:lineRule="auto"/>
              <w:rPr>
                <w:rFonts w:ascii="Arial"/>
                <w:sz w:val="21"/>
              </w:rPr>
            </w:pPr>
          </w:p>
          <w:p w14:paraId="3CE39F0A">
            <w:pPr>
              <w:spacing w:line="274" w:lineRule="auto"/>
              <w:rPr>
                <w:rFonts w:ascii="Arial"/>
                <w:sz w:val="21"/>
              </w:rPr>
            </w:pPr>
          </w:p>
          <w:p w14:paraId="45581853">
            <w:pPr>
              <w:pStyle w:val="6"/>
              <w:spacing w:before="65" w:line="219" w:lineRule="auto"/>
              <w:ind w:left="110"/>
              <w:rPr>
                <w:sz w:val="20"/>
                <w:szCs w:val="20"/>
              </w:rPr>
            </w:pPr>
            <w:r>
              <w:rPr>
                <w:spacing w:val="-1"/>
                <w:sz w:val="20"/>
                <w:szCs w:val="20"/>
              </w:rPr>
              <w:t>本项目各类固体废物</w:t>
            </w:r>
          </w:p>
          <w:p w14:paraId="4C049692">
            <w:pPr>
              <w:pStyle w:val="6"/>
              <w:spacing w:before="21" w:line="220" w:lineRule="auto"/>
              <w:ind w:left="110"/>
              <w:rPr>
                <w:sz w:val="20"/>
                <w:szCs w:val="20"/>
              </w:rPr>
            </w:pPr>
            <w:r>
              <w:rPr>
                <w:spacing w:val="-1"/>
                <w:sz w:val="20"/>
                <w:szCs w:val="20"/>
              </w:rPr>
              <w:t>均能够得到妥善处置</w:t>
            </w:r>
          </w:p>
          <w:p w14:paraId="5009CA6F">
            <w:pPr>
              <w:pStyle w:val="6"/>
              <w:spacing w:before="20" w:line="220" w:lineRule="auto"/>
              <w:jc w:val="right"/>
              <w:rPr>
                <w:sz w:val="20"/>
                <w:szCs w:val="20"/>
              </w:rPr>
            </w:pPr>
            <w:r>
              <w:rPr>
                <w:spacing w:val="-2"/>
                <w:sz w:val="20"/>
                <w:szCs w:val="20"/>
              </w:rPr>
              <w:t>或回收利用，危险废物</w:t>
            </w:r>
          </w:p>
          <w:p w14:paraId="0A806EA0">
            <w:pPr>
              <w:pStyle w:val="6"/>
              <w:spacing w:before="21" w:line="219" w:lineRule="auto"/>
              <w:ind w:left="108"/>
              <w:rPr>
                <w:sz w:val="20"/>
                <w:szCs w:val="20"/>
              </w:rPr>
            </w:pPr>
            <w:r>
              <w:rPr>
                <w:spacing w:val="-1"/>
                <w:sz w:val="20"/>
                <w:szCs w:val="20"/>
              </w:rPr>
              <w:t>采取外委有资质的单</w:t>
            </w:r>
          </w:p>
          <w:p w14:paraId="7275695F">
            <w:pPr>
              <w:pStyle w:val="6"/>
              <w:spacing w:before="22" w:line="220" w:lineRule="auto"/>
              <w:jc w:val="right"/>
              <w:rPr>
                <w:sz w:val="20"/>
                <w:szCs w:val="20"/>
              </w:rPr>
            </w:pPr>
            <w:r>
              <w:rPr>
                <w:spacing w:val="-1"/>
                <w:sz w:val="20"/>
                <w:szCs w:val="20"/>
              </w:rPr>
              <w:t>位回收处置，能够做到</w:t>
            </w:r>
          </w:p>
          <w:p w14:paraId="3F2CFEA7">
            <w:pPr>
              <w:pStyle w:val="6"/>
              <w:spacing w:before="22" w:line="220" w:lineRule="auto"/>
              <w:ind w:left="306"/>
              <w:rPr>
                <w:sz w:val="20"/>
                <w:szCs w:val="20"/>
              </w:rPr>
            </w:pPr>
            <w:r>
              <w:rPr>
                <w:spacing w:val="-1"/>
                <w:sz w:val="20"/>
                <w:szCs w:val="20"/>
              </w:rPr>
              <w:t>避免二次污染。</w:t>
            </w:r>
          </w:p>
        </w:tc>
        <w:tc>
          <w:tcPr>
            <w:tcW w:w="743" w:type="dxa"/>
            <w:tcBorders>
              <w:right w:val="single" w:color="000000" w:sz="8" w:space="0"/>
            </w:tcBorders>
            <w:vAlign w:val="top"/>
          </w:tcPr>
          <w:p w14:paraId="33EB0022">
            <w:pPr>
              <w:spacing w:line="253" w:lineRule="auto"/>
              <w:rPr>
                <w:rFonts w:ascii="Arial"/>
                <w:sz w:val="21"/>
              </w:rPr>
            </w:pPr>
          </w:p>
          <w:p w14:paraId="1933E909">
            <w:pPr>
              <w:spacing w:line="254" w:lineRule="auto"/>
              <w:rPr>
                <w:rFonts w:ascii="Arial"/>
                <w:sz w:val="21"/>
              </w:rPr>
            </w:pPr>
          </w:p>
          <w:p w14:paraId="630D26BF">
            <w:pPr>
              <w:spacing w:line="254" w:lineRule="auto"/>
              <w:rPr>
                <w:rFonts w:ascii="Arial"/>
                <w:sz w:val="21"/>
              </w:rPr>
            </w:pPr>
          </w:p>
          <w:p w14:paraId="7864025C">
            <w:pPr>
              <w:spacing w:line="254" w:lineRule="auto"/>
              <w:rPr>
                <w:rFonts w:ascii="Arial"/>
                <w:sz w:val="21"/>
              </w:rPr>
            </w:pPr>
          </w:p>
          <w:p w14:paraId="5418A9C4">
            <w:pPr>
              <w:spacing w:line="254" w:lineRule="auto"/>
              <w:rPr>
                <w:rFonts w:ascii="Arial"/>
                <w:sz w:val="21"/>
              </w:rPr>
            </w:pPr>
          </w:p>
          <w:p w14:paraId="78401C7E">
            <w:pPr>
              <w:spacing w:line="254" w:lineRule="auto"/>
              <w:rPr>
                <w:rFonts w:ascii="Arial"/>
                <w:sz w:val="21"/>
              </w:rPr>
            </w:pPr>
          </w:p>
          <w:p w14:paraId="0720456B">
            <w:pPr>
              <w:spacing w:line="254" w:lineRule="auto"/>
              <w:rPr>
                <w:rFonts w:ascii="Arial"/>
                <w:sz w:val="21"/>
              </w:rPr>
            </w:pPr>
          </w:p>
          <w:p w14:paraId="4A734AAD">
            <w:pPr>
              <w:spacing w:line="254" w:lineRule="auto"/>
              <w:rPr>
                <w:rFonts w:ascii="Arial"/>
                <w:sz w:val="21"/>
              </w:rPr>
            </w:pPr>
          </w:p>
          <w:p w14:paraId="31F1CAAC">
            <w:pPr>
              <w:spacing w:line="254" w:lineRule="auto"/>
              <w:rPr>
                <w:rFonts w:ascii="Arial"/>
                <w:sz w:val="21"/>
              </w:rPr>
            </w:pPr>
          </w:p>
          <w:p w14:paraId="112D0BFA">
            <w:pPr>
              <w:pStyle w:val="6"/>
              <w:spacing w:before="65" w:line="220" w:lineRule="auto"/>
              <w:ind w:left="186"/>
              <w:rPr>
                <w:sz w:val="20"/>
                <w:szCs w:val="20"/>
              </w:rPr>
            </w:pPr>
            <w:r>
              <w:rPr>
                <w:spacing w:val="-3"/>
                <w:sz w:val="20"/>
                <w:szCs w:val="20"/>
              </w:rPr>
              <w:t>符合</w:t>
            </w:r>
          </w:p>
        </w:tc>
        <w:tc>
          <w:tcPr>
            <w:tcW w:w="94" w:type="dxa"/>
            <w:tcBorders>
              <w:left w:val="single" w:color="000000" w:sz="8" w:space="0"/>
            </w:tcBorders>
            <w:vAlign w:val="top"/>
          </w:tcPr>
          <w:p w14:paraId="2221A94F">
            <w:pPr>
              <w:rPr>
                <w:rFonts w:ascii="Arial"/>
                <w:sz w:val="21"/>
              </w:rPr>
            </w:pPr>
          </w:p>
        </w:tc>
      </w:tr>
      <w:tr w14:paraId="23B68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329" w:type="dxa"/>
            <w:vMerge w:val="continue"/>
            <w:tcBorders>
              <w:top w:val="nil"/>
              <w:bottom w:val="nil"/>
            </w:tcBorders>
            <w:vAlign w:val="top"/>
          </w:tcPr>
          <w:p w14:paraId="6A5CEB34">
            <w:pPr>
              <w:rPr>
                <w:rFonts w:ascii="Arial"/>
                <w:sz w:val="21"/>
              </w:rPr>
            </w:pPr>
          </w:p>
        </w:tc>
        <w:tc>
          <w:tcPr>
            <w:tcW w:w="7574" w:type="dxa"/>
            <w:gridSpan w:val="8"/>
            <w:vAlign w:val="top"/>
          </w:tcPr>
          <w:p w14:paraId="3506D6E7">
            <w:pPr>
              <w:pStyle w:val="6"/>
              <w:spacing w:before="134" w:line="353" w:lineRule="auto"/>
              <w:ind w:left="105" w:right="38" w:firstLine="453"/>
            </w:pPr>
            <w:r>
              <w:rPr>
                <w:b/>
                <w:bCs/>
                <w:spacing w:val="2"/>
              </w:rPr>
              <w:t>（3）与《四川省打赢蓝天保卫战等九个实施方案的通知（川府发</w:t>
            </w:r>
            <w:r>
              <w:rPr>
                <w:rFonts w:hint="eastAsia"/>
                <w:b/>
                <w:bCs/>
                <w:spacing w:val="2"/>
                <w:lang w:eastAsia="zh-CN"/>
              </w:rPr>
              <w:t>〔2019〕4号</w:t>
            </w:r>
            <w:r>
              <w:rPr>
                <w:b/>
                <w:bCs/>
                <w:spacing w:val="6"/>
              </w:rPr>
              <w:t>）》的符合性</w:t>
            </w:r>
          </w:p>
          <w:p w14:paraId="2ED7D198">
            <w:pPr>
              <w:pStyle w:val="6"/>
              <w:spacing w:before="5" w:line="220" w:lineRule="auto"/>
              <w:ind w:left="519"/>
            </w:pPr>
            <w:r>
              <w:rPr>
                <w:b/>
                <w:bCs/>
                <w:spacing w:val="-2"/>
              </w:rPr>
              <w:t>表1-10</w:t>
            </w:r>
            <w:r>
              <w:rPr>
                <w:spacing w:val="-2"/>
              </w:rPr>
              <w:t xml:space="preserve">  </w:t>
            </w:r>
            <w:r>
              <w:rPr>
                <w:b/>
                <w:bCs/>
                <w:spacing w:val="-2"/>
              </w:rPr>
              <w:t>与四川省打赢蓝天保卫战等九个实施方案的通知的符合性分析</w:t>
            </w:r>
          </w:p>
        </w:tc>
      </w:tr>
      <w:tr w14:paraId="69710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329" w:type="dxa"/>
            <w:vMerge w:val="continue"/>
            <w:tcBorders>
              <w:top w:val="nil"/>
              <w:bottom w:val="nil"/>
            </w:tcBorders>
            <w:vAlign w:val="top"/>
          </w:tcPr>
          <w:p w14:paraId="4D2C5D79">
            <w:pPr>
              <w:rPr>
                <w:rFonts w:ascii="Arial"/>
                <w:sz w:val="21"/>
              </w:rPr>
            </w:pPr>
          </w:p>
        </w:tc>
        <w:tc>
          <w:tcPr>
            <w:tcW w:w="1581" w:type="dxa"/>
            <w:gridSpan w:val="3"/>
            <w:vAlign w:val="top"/>
          </w:tcPr>
          <w:p w14:paraId="57562D08">
            <w:pPr>
              <w:pStyle w:val="6"/>
              <w:spacing w:before="34" w:line="203" w:lineRule="auto"/>
              <w:ind w:left="465"/>
              <w:rPr>
                <w:sz w:val="20"/>
                <w:szCs w:val="20"/>
              </w:rPr>
            </w:pPr>
            <w:r>
              <w:rPr>
                <w:b/>
                <w:bCs/>
                <w:spacing w:val="-4"/>
                <w:sz w:val="20"/>
                <w:szCs w:val="20"/>
              </w:rPr>
              <w:t>条例名称</w:t>
            </w:r>
          </w:p>
        </w:tc>
        <w:tc>
          <w:tcPr>
            <w:tcW w:w="3170" w:type="dxa"/>
            <w:gridSpan w:val="2"/>
            <w:vAlign w:val="top"/>
          </w:tcPr>
          <w:p w14:paraId="60C632E7">
            <w:pPr>
              <w:pStyle w:val="6"/>
              <w:spacing w:before="34" w:line="203" w:lineRule="auto"/>
              <w:ind w:left="1242"/>
              <w:rPr>
                <w:sz w:val="20"/>
                <w:szCs w:val="20"/>
              </w:rPr>
            </w:pPr>
            <w:r>
              <w:rPr>
                <w:b/>
                <w:bCs/>
                <w:spacing w:val="-4"/>
                <w:sz w:val="20"/>
                <w:szCs w:val="20"/>
              </w:rPr>
              <w:t>相关要求</w:t>
            </w:r>
          </w:p>
        </w:tc>
        <w:tc>
          <w:tcPr>
            <w:tcW w:w="1986" w:type="dxa"/>
            <w:vAlign w:val="top"/>
          </w:tcPr>
          <w:p w14:paraId="5B79E462">
            <w:pPr>
              <w:pStyle w:val="6"/>
              <w:spacing w:before="34" w:line="203" w:lineRule="auto"/>
              <w:ind w:left="614"/>
              <w:rPr>
                <w:sz w:val="20"/>
                <w:szCs w:val="20"/>
              </w:rPr>
            </w:pPr>
            <w:r>
              <w:rPr>
                <w:b/>
                <w:bCs/>
                <w:spacing w:val="-5"/>
                <w:sz w:val="20"/>
                <w:szCs w:val="20"/>
              </w:rPr>
              <w:t>项目情况</w:t>
            </w:r>
          </w:p>
        </w:tc>
        <w:tc>
          <w:tcPr>
            <w:tcW w:w="837" w:type="dxa"/>
            <w:gridSpan w:val="2"/>
            <w:vAlign w:val="top"/>
          </w:tcPr>
          <w:p w14:paraId="43F01ECF">
            <w:pPr>
              <w:pStyle w:val="6"/>
              <w:spacing w:before="34" w:line="203" w:lineRule="auto"/>
              <w:ind w:left="78"/>
              <w:rPr>
                <w:sz w:val="20"/>
                <w:szCs w:val="20"/>
              </w:rPr>
            </w:pPr>
            <w:r>
              <w:rPr>
                <w:b/>
                <w:bCs/>
                <w:spacing w:val="-5"/>
                <w:sz w:val="20"/>
                <w:szCs w:val="20"/>
              </w:rPr>
              <w:t>符合性</w:t>
            </w:r>
          </w:p>
        </w:tc>
      </w:tr>
      <w:tr w14:paraId="5EA11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2" w:hRule="atLeast"/>
        </w:trPr>
        <w:tc>
          <w:tcPr>
            <w:tcW w:w="1329" w:type="dxa"/>
            <w:vMerge w:val="continue"/>
            <w:tcBorders>
              <w:top w:val="nil"/>
              <w:bottom w:val="nil"/>
            </w:tcBorders>
            <w:vAlign w:val="top"/>
          </w:tcPr>
          <w:p w14:paraId="0677A0AA">
            <w:pPr>
              <w:rPr>
                <w:rFonts w:ascii="Arial"/>
                <w:sz w:val="21"/>
              </w:rPr>
            </w:pPr>
          </w:p>
        </w:tc>
        <w:tc>
          <w:tcPr>
            <w:tcW w:w="828" w:type="dxa"/>
            <w:gridSpan w:val="2"/>
            <w:vMerge w:val="restart"/>
            <w:tcBorders>
              <w:bottom w:val="nil"/>
            </w:tcBorders>
            <w:vAlign w:val="top"/>
          </w:tcPr>
          <w:p w14:paraId="4973E3C0">
            <w:pPr>
              <w:pStyle w:val="6"/>
              <w:spacing w:before="298" w:line="220" w:lineRule="auto"/>
              <w:jc w:val="right"/>
              <w:rPr>
                <w:sz w:val="20"/>
                <w:szCs w:val="20"/>
              </w:rPr>
            </w:pPr>
            <w:r>
              <w:rPr>
                <w:spacing w:val="23"/>
                <w:sz w:val="20"/>
                <w:szCs w:val="20"/>
              </w:rPr>
              <w:t>四川省</w:t>
            </w:r>
          </w:p>
          <w:p w14:paraId="6AA8AF73">
            <w:pPr>
              <w:pStyle w:val="6"/>
              <w:spacing w:before="20" w:line="221" w:lineRule="auto"/>
              <w:jc w:val="right"/>
              <w:rPr>
                <w:sz w:val="20"/>
                <w:szCs w:val="20"/>
              </w:rPr>
            </w:pPr>
            <w:r>
              <w:rPr>
                <w:spacing w:val="28"/>
                <w:sz w:val="20"/>
                <w:szCs w:val="20"/>
              </w:rPr>
              <w:t>打赢蓝</w:t>
            </w:r>
          </w:p>
          <w:p w14:paraId="4046FA2C">
            <w:pPr>
              <w:pStyle w:val="6"/>
              <w:spacing w:before="19" w:line="221" w:lineRule="auto"/>
              <w:jc w:val="right"/>
              <w:rPr>
                <w:sz w:val="20"/>
                <w:szCs w:val="20"/>
              </w:rPr>
            </w:pPr>
            <w:r>
              <w:rPr>
                <w:spacing w:val="28"/>
                <w:sz w:val="20"/>
                <w:szCs w:val="20"/>
              </w:rPr>
              <w:t>天保卫</w:t>
            </w:r>
          </w:p>
          <w:p w14:paraId="4139AF15">
            <w:pPr>
              <w:pStyle w:val="6"/>
              <w:spacing w:before="21" w:line="220" w:lineRule="auto"/>
              <w:jc w:val="right"/>
              <w:rPr>
                <w:sz w:val="20"/>
                <w:szCs w:val="20"/>
              </w:rPr>
            </w:pPr>
            <w:r>
              <w:rPr>
                <w:spacing w:val="26"/>
                <w:sz w:val="20"/>
                <w:szCs w:val="20"/>
              </w:rPr>
              <w:t>战等九</w:t>
            </w:r>
          </w:p>
          <w:p w14:paraId="25277FE6">
            <w:pPr>
              <w:pStyle w:val="6"/>
              <w:spacing w:before="21" w:line="220" w:lineRule="auto"/>
              <w:jc w:val="right"/>
              <w:rPr>
                <w:sz w:val="20"/>
                <w:szCs w:val="20"/>
              </w:rPr>
            </w:pPr>
            <w:r>
              <w:rPr>
                <w:spacing w:val="29"/>
                <w:sz w:val="20"/>
                <w:szCs w:val="20"/>
              </w:rPr>
              <w:t>个实施</w:t>
            </w:r>
          </w:p>
          <w:p w14:paraId="6200CEB5">
            <w:pPr>
              <w:pStyle w:val="6"/>
              <w:spacing w:before="23"/>
              <w:ind w:left="133" w:firstLine="1"/>
              <w:jc w:val="both"/>
              <w:rPr>
                <w:sz w:val="20"/>
                <w:szCs w:val="20"/>
              </w:rPr>
            </w:pPr>
            <w:r>
              <w:rPr>
                <w:spacing w:val="12"/>
                <w:sz w:val="20"/>
                <w:szCs w:val="20"/>
              </w:rPr>
              <w:t>方案的</w:t>
            </w:r>
            <w:r>
              <w:rPr>
                <w:sz w:val="20"/>
                <w:szCs w:val="20"/>
              </w:rPr>
              <w:t xml:space="preserve"> </w:t>
            </w:r>
            <w:r>
              <w:rPr>
                <w:spacing w:val="-29"/>
                <w:w w:val="94"/>
                <w:sz w:val="20"/>
                <w:szCs w:val="20"/>
              </w:rPr>
              <w:t>通知（川</w:t>
            </w:r>
            <w:r>
              <w:rPr>
                <w:spacing w:val="2"/>
                <w:sz w:val="20"/>
                <w:szCs w:val="20"/>
              </w:rPr>
              <w:t xml:space="preserve"> </w:t>
            </w:r>
            <w:r>
              <w:rPr>
                <w:spacing w:val="-14"/>
                <w:w w:val="93"/>
                <w:sz w:val="20"/>
                <w:szCs w:val="20"/>
              </w:rPr>
              <w:t>府</w:t>
            </w:r>
            <w:r>
              <w:rPr>
                <w:spacing w:val="47"/>
                <w:sz w:val="20"/>
                <w:szCs w:val="20"/>
              </w:rPr>
              <w:t xml:space="preserve">  </w:t>
            </w:r>
            <w:r>
              <w:rPr>
                <w:spacing w:val="-14"/>
                <w:w w:val="93"/>
                <w:sz w:val="20"/>
                <w:szCs w:val="20"/>
              </w:rPr>
              <w:t>发</w:t>
            </w:r>
            <w:r>
              <w:rPr>
                <w:sz w:val="20"/>
                <w:szCs w:val="20"/>
              </w:rPr>
              <w:t xml:space="preserve"> </w:t>
            </w:r>
            <w:r>
              <w:rPr>
                <w:rFonts w:hint="eastAsia"/>
                <w:sz w:val="20"/>
                <w:szCs w:val="20"/>
                <w:lang w:eastAsia="zh-CN"/>
              </w:rPr>
              <w:t>〔2019〕4号</w:t>
            </w:r>
            <w:r>
              <w:rPr>
                <w:spacing w:val="-12"/>
                <w:sz w:val="20"/>
                <w:szCs w:val="20"/>
              </w:rPr>
              <w:t>）</w:t>
            </w:r>
          </w:p>
        </w:tc>
        <w:tc>
          <w:tcPr>
            <w:tcW w:w="753" w:type="dxa"/>
            <w:vMerge w:val="restart"/>
            <w:tcBorders>
              <w:bottom w:val="nil"/>
            </w:tcBorders>
            <w:vAlign w:val="top"/>
          </w:tcPr>
          <w:p w14:paraId="4940080B">
            <w:pPr>
              <w:spacing w:line="292" w:lineRule="auto"/>
              <w:rPr>
                <w:rFonts w:ascii="Arial"/>
                <w:sz w:val="21"/>
              </w:rPr>
            </w:pPr>
          </w:p>
          <w:p w14:paraId="77A0AA50">
            <w:pPr>
              <w:spacing w:line="292" w:lineRule="auto"/>
              <w:rPr>
                <w:rFonts w:ascii="Arial"/>
                <w:sz w:val="21"/>
              </w:rPr>
            </w:pPr>
          </w:p>
          <w:p w14:paraId="5AEF9C54">
            <w:pPr>
              <w:spacing w:line="292" w:lineRule="auto"/>
              <w:rPr>
                <w:rFonts w:ascii="Arial"/>
                <w:sz w:val="21"/>
              </w:rPr>
            </w:pPr>
          </w:p>
          <w:p w14:paraId="5405BA5A">
            <w:pPr>
              <w:pStyle w:val="6"/>
              <w:spacing w:before="65" w:line="220" w:lineRule="auto"/>
              <w:jc w:val="right"/>
              <w:rPr>
                <w:sz w:val="20"/>
                <w:szCs w:val="20"/>
              </w:rPr>
            </w:pPr>
            <w:r>
              <w:rPr>
                <w:spacing w:val="-2"/>
                <w:sz w:val="20"/>
                <w:szCs w:val="20"/>
              </w:rPr>
              <w:t>四川省</w:t>
            </w:r>
          </w:p>
          <w:p w14:paraId="2C724E1E">
            <w:pPr>
              <w:pStyle w:val="6"/>
              <w:spacing w:before="21" w:line="221" w:lineRule="auto"/>
              <w:jc w:val="right"/>
              <w:rPr>
                <w:sz w:val="20"/>
                <w:szCs w:val="20"/>
              </w:rPr>
            </w:pPr>
            <w:r>
              <w:rPr>
                <w:spacing w:val="4"/>
                <w:sz w:val="20"/>
                <w:szCs w:val="20"/>
              </w:rPr>
              <w:t>打赢蓝</w:t>
            </w:r>
          </w:p>
          <w:p w14:paraId="4D3E534E">
            <w:pPr>
              <w:pStyle w:val="6"/>
              <w:spacing w:before="19" w:line="221" w:lineRule="auto"/>
              <w:jc w:val="right"/>
              <w:rPr>
                <w:sz w:val="20"/>
                <w:szCs w:val="20"/>
              </w:rPr>
            </w:pPr>
            <w:r>
              <w:rPr>
                <w:spacing w:val="3"/>
                <w:sz w:val="20"/>
                <w:szCs w:val="20"/>
              </w:rPr>
              <w:t>天保卫</w:t>
            </w:r>
          </w:p>
          <w:p w14:paraId="28077ACE">
            <w:pPr>
              <w:pStyle w:val="6"/>
              <w:spacing w:before="20" w:line="242" w:lineRule="auto"/>
              <w:ind w:left="133" w:firstLine="8"/>
              <w:rPr>
                <w:sz w:val="20"/>
                <w:szCs w:val="20"/>
              </w:rPr>
            </w:pPr>
            <w:r>
              <w:rPr>
                <w:spacing w:val="2"/>
                <w:sz w:val="20"/>
                <w:szCs w:val="20"/>
              </w:rPr>
              <w:t>战实施</w:t>
            </w:r>
            <w:r>
              <w:rPr>
                <w:sz w:val="20"/>
                <w:szCs w:val="20"/>
              </w:rPr>
              <w:t xml:space="preserve"> </w:t>
            </w:r>
            <w:r>
              <w:rPr>
                <w:spacing w:val="-5"/>
                <w:sz w:val="20"/>
                <w:szCs w:val="20"/>
              </w:rPr>
              <w:t>方案</w:t>
            </w:r>
          </w:p>
        </w:tc>
        <w:tc>
          <w:tcPr>
            <w:tcW w:w="3170" w:type="dxa"/>
            <w:gridSpan w:val="2"/>
            <w:vAlign w:val="top"/>
          </w:tcPr>
          <w:p w14:paraId="6609169A">
            <w:pPr>
              <w:pStyle w:val="6"/>
              <w:spacing w:before="295"/>
              <w:ind w:left="130"/>
              <w:jc w:val="both"/>
              <w:rPr>
                <w:sz w:val="20"/>
                <w:szCs w:val="20"/>
              </w:rPr>
            </w:pPr>
            <w:r>
              <w:rPr>
                <w:spacing w:val="-3"/>
                <w:sz w:val="20"/>
                <w:szCs w:val="20"/>
              </w:rPr>
              <w:t>重点区域执行大气污染物特别排放</w:t>
            </w:r>
            <w:r>
              <w:rPr>
                <w:spacing w:val="7"/>
                <w:sz w:val="20"/>
                <w:szCs w:val="20"/>
              </w:rPr>
              <w:t xml:space="preserve"> </w:t>
            </w:r>
            <w:r>
              <w:rPr>
                <w:spacing w:val="-11"/>
                <w:sz w:val="20"/>
                <w:szCs w:val="20"/>
              </w:rPr>
              <w:t>限值，严禁新增钢铁、电力、水泥、</w:t>
            </w:r>
            <w:r>
              <w:rPr>
                <w:spacing w:val="9"/>
                <w:sz w:val="20"/>
                <w:szCs w:val="20"/>
              </w:rPr>
              <w:t xml:space="preserve"> </w:t>
            </w:r>
            <w:r>
              <w:rPr>
                <w:spacing w:val="-11"/>
                <w:sz w:val="20"/>
                <w:szCs w:val="20"/>
              </w:rPr>
              <w:t>玻璃、砖瓦、陶瓷、焦化、电解铝、</w:t>
            </w:r>
            <w:r>
              <w:rPr>
                <w:spacing w:val="9"/>
                <w:sz w:val="20"/>
                <w:szCs w:val="20"/>
              </w:rPr>
              <w:t xml:space="preserve"> </w:t>
            </w:r>
            <w:r>
              <w:rPr>
                <w:spacing w:val="-6"/>
                <w:sz w:val="20"/>
                <w:szCs w:val="20"/>
              </w:rPr>
              <w:t>有色等重点行业大气污染物排放。</w:t>
            </w:r>
          </w:p>
        </w:tc>
        <w:tc>
          <w:tcPr>
            <w:tcW w:w="1986" w:type="dxa"/>
            <w:vAlign w:val="top"/>
          </w:tcPr>
          <w:p w14:paraId="77BBADDD">
            <w:pPr>
              <w:pStyle w:val="6"/>
              <w:spacing w:before="37" w:line="233" w:lineRule="auto"/>
              <w:ind w:left="101" w:right="64"/>
              <w:jc w:val="both"/>
              <w:rPr>
                <w:sz w:val="20"/>
                <w:szCs w:val="20"/>
              </w:rPr>
            </w:pPr>
            <w:r>
              <w:rPr>
                <w:spacing w:val="1"/>
                <w:sz w:val="20"/>
                <w:szCs w:val="20"/>
              </w:rPr>
              <w:t>本项目为生物质成型</w:t>
            </w:r>
            <w:r>
              <w:rPr>
                <w:spacing w:val="4"/>
                <w:sz w:val="20"/>
                <w:szCs w:val="20"/>
              </w:rPr>
              <w:t xml:space="preserve"> </w:t>
            </w:r>
            <w:r>
              <w:rPr>
                <w:spacing w:val="-1"/>
                <w:sz w:val="20"/>
                <w:szCs w:val="20"/>
              </w:rPr>
              <w:t>燃料生产项目，不属</w:t>
            </w:r>
            <w:r>
              <w:rPr>
                <w:spacing w:val="6"/>
                <w:sz w:val="20"/>
                <w:szCs w:val="20"/>
              </w:rPr>
              <w:t xml:space="preserve"> </w:t>
            </w:r>
            <w:r>
              <w:rPr>
                <w:spacing w:val="1"/>
                <w:sz w:val="20"/>
                <w:szCs w:val="20"/>
              </w:rPr>
              <w:t>于重点大气污染物排</w:t>
            </w:r>
            <w:r>
              <w:rPr>
                <w:spacing w:val="4"/>
                <w:sz w:val="20"/>
                <w:szCs w:val="20"/>
              </w:rPr>
              <w:t xml:space="preserve"> </w:t>
            </w:r>
            <w:r>
              <w:rPr>
                <w:spacing w:val="1"/>
                <w:sz w:val="20"/>
                <w:szCs w:val="20"/>
              </w:rPr>
              <w:t>放行业。项目将严格</w:t>
            </w:r>
            <w:r>
              <w:rPr>
                <w:spacing w:val="4"/>
                <w:sz w:val="20"/>
                <w:szCs w:val="20"/>
              </w:rPr>
              <w:t xml:space="preserve"> </w:t>
            </w:r>
            <w:r>
              <w:rPr>
                <w:spacing w:val="1"/>
                <w:sz w:val="20"/>
                <w:szCs w:val="20"/>
              </w:rPr>
              <w:t>执行大气污染物排放</w:t>
            </w:r>
            <w:r>
              <w:rPr>
                <w:spacing w:val="4"/>
                <w:sz w:val="20"/>
                <w:szCs w:val="20"/>
              </w:rPr>
              <w:t xml:space="preserve"> </w:t>
            </w:r>
            <w:r>
              <w:rPr>
                <w:spacing w:val="-2"/>
                <w:sz w:val="20"/>
                <w:szCs w:val="20"/>
              </w:rPr>
              <w:t>限值要求。</w:t>
            </w:r>
          </w:p>
        </w:tc>
        <w:tc>
          <w:tcPr>
            <w:tcW w:w="837" w:type="dxa"/>
            <w:gridSpan w:val="2"/>
            <w:vAlign w:val="top"/>
          </w:tcPr>
          <w:p w14:paraId="246A1772">
            <w:pPr>
              <w:spacing w:line="306" w:lineRule="auto"/>
              <w:rPr>
                <w:rFonts w:ascii="Arial"/>
                <w:sz w:val="21"/>
              </w:rPr>
            </w:pPr>
          </w:p>
          <w:p w14:paraId="2FE718ED">
            <w:pPr>
              <w:spacing w:line="307" w:lineRule="auto"/>
              <w:rPr>
                <w:rFonts w:ascii="Arial"/>
                <w:sz w:val="21"/>
              </w:rPr>
            </w:pPr>
          </w:p>
          <w:p w14:paraId="21D5D016">
            <w:pPr>
              <w:pStyle w:val="6"/>
              <w:spacing w:before="65" w:line="220" w:lineRule="auto"/>
              <w:ind w:left="180"/>
              <w:rPr>
                <w:sz w:val="20"/>
                <w:szCs w:val="20"/>
              </w:rPr>
            </w:pPr>
            <w:r>
              <w:rPr>
                <w:spacing w:val="-3"/>
                <w:sz w:val="20"/>
                <w:szCs w:val="20"/>
              </w:rPr>
              <w:t>符合</w:t>
            </w:r>
          </w:p>
        </w:tc>
      </w:tr>
      <w:tr w14:paraId="0A92E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65" w:hRule="atLeast"/>
        </w:trPr>
        <w:tc>
          <w:tcPr>
            <w:tcW w:w="1329" w:type="dxa"/>
            <w:vMerge w:val="continue"/>
            <w:tcBorders>
              <w:top w:val="nil"/>
            </w:tcBorders>
            <w:vAlign w:val="top"/>
          </w:tcPr>
          <w:p w14:paraId="34820F1C">
            <w:pPr>
              <w:rPr>
                <w:rFonts w:ascii="Arial"/>
                <w:sz w:val="21"/>
              </w:rPr>
            </w:pPr>
          </w:p>
        </w:tc>
        <w:tc>
          <w:tcPr>
            <w:tcW w:w="828" w:type="dxa"/>
            <w:gridSpan w:val="2"/>
            <w:vMerge w:val="continue"/>
            <w:tcBorders>
              <w:top w:val="nil"/>
            </w:tcBorders>
            <w:vAlign w:val="top"/>
          </w:tcPr>
          <w:p w14:paraId="5B5B7119">
            <w:pPr>
              <w:rPr>
                <w:rFonts w:ascii="Arial"/>
                <w:sz w:val="21"/>
              </w:rPr>
            </w:pPr>
          </w:p>
        </w:tc>
        <w:tc>
          <w:tcPr>
            <w:tcW w:w="753" w:type="dxa"/>
            <w:vMerge w:val="continue"/>
            <w:tcBorders>
              <w:top w:val="nil"/>
            </w:tcBorders>
            <w:vAlign w:val="top"/>
          </w:tcPr>
          <w:p w14:paraId="6397BD13">
            <w:pPr>
              <w:rPr>
                <w:rFonts w:ascii="Arial"/>
                <w:sz w:val="21"/>
              </w:rPr>
            </w:pPr>
          </w:p>
        </w:tc>
        <w:tc>
          <w:tcPr>
            <w:tcW w:w="3170" w:type="dxa"/>
            <w:gridSpan w:val="2"/>
            <w:vAlign w:val="top"/>
          </w:tcPr>
          <w:p w14:paraId="54F4DCF8">
            <w:pPr>
              <w:pStyle w:val="6"/>
              <w:spacing w:before="33" w:line="234" w:lineRule="auto"/>
              <w:ind w:left="128"/>
              <w:jc w:val="both"/>
              <w:rPr>
                <w:sz w:val="20"/>
                <w:szCs w:val="20"/>
              </w:rPr>
            </w:pPr>
            <w:r>
              <w:rPr>
                <w:spacing w:val="-2"/>
                <w:sz w:val="20"/>
                <w:szCs w:val="20"/>
              </w:rPr>
              <w:t>加强扬尘管控，提高城市环境管理</w:t>
            </w:r>
            <w:r>
              <w:rPr>
                <w:spacing w:val="9"/>
                <w:sz w:val="20"/>
                <w:szCs w:val="20"/>
              </w:rPr>
              <w:t xml:space="preserve"> </w:t>
            </w:r>
            <w:r>
              <w:rPr>
                <w:spacing w:val="-2"/>
                <w:sz w:val="20"/>
                <w:szCs w:val="20"/>
              </w:rPr>
              <w:t>水平。强化堆场扬尘管控。工业企</w:t>
            </w:r>
            <w:r>
              <w:rPr>
                <w:spacing w:val="9"/>
                <w:sz w:val="20"/>
                <w:szCs w:val="20"/>
              </w:rPr>
              <w:t xml:space="preserve"> </w:t>
            </w:r>
            <w:r>
              <w:rPr>
                <w:spacing w:val="-2"/>
                <w:sz w:val="20"/>
                <w:szCs w:val="20"/>
              </w:rPr>
              <w:t>业堆场实施规范化全封闭管理。易</w:t>
            </w:r>
            <w:r>
              <w:rPr>
                <w:spacing w:val="9"/>
                <w:sz w:val="20"/>
                <w:szCs w:val="20"/>
              </w:rPr>
              <w:t xml:space="preserve"> </w:t>
            </w:r>
            <w:r>
              <w:rPr>
                <w:spacing w:val="-2"/>
                <w:sz w:val="20"/>
                <w:szCs w:val="20"/>
              </w:rPr>
              <w:t>产生扬尘的物料堆场采用封闭式库</w:t>
            </w:r>
            <w:r>
              <w:rPr>
                <w:spacing w:val="9"/>
                <w:sz w:val="20"/>
                <w:szCs w:val="20"/>
              </w:rPr>
              <w:t xml:space="preserve"> </w:t>
            </w:r>
            <w:r>
              <w:rPr>
                <w:spacing w:val="-11"/>
                <w:sz w:val="20"/>
                <w:szCs w:val="20"/>
              </w:rPr>
              <w:t>仓，不具备封闭式库仓改造条件的，</w:t>
            </w:r>
            <w:r>
              <w:rPr>
                <w:spacing w:val="11"/>
                <w:sz w:val="20"/>
                <w:szCs w:val="20"/>
              </w:rPr>
              <w:t xml:space="preserve"> </w:t>
            </w:r>
            <w:r>
              <w:rPr>
                <w:spacing w:val="12"/>
                <w:sz w:val="20"/>
                <w:szCs w:val="20"/>
              </w:rPr>
              <w:t>应设置不低于料堆高度的严密围</w:t>
            </w:r>
          </w:p>
        </w:tc>
        <w:tc>
          <w:tcPr>
            <w:tcW w:w="1986" w:type="dxa"/>
            <w:vAlign w:val="top"/>
          </w:tcPr>
          <w:p w14:paraId="03709CC7">
            <w:pPr>
              <w:pStyle w:val="6"/>
              <w:spacing w:before="33" w:line="234" w:lineRule="auto"/>
              <w:ind w:left="100" w:right="64" w:firstLine="4"/>
              <w:jc w:val="both"/>
              <w:rPr>
                <w:sz w:val="20"/>
                <w:szCs w:val="20"/>
              </w:rPr>
            </w:pPr>
            <w:r>
              <w:rPr>
                <w:spacing w:val="1"/>
                <w:sz w:val="20"/>
                <w:szCs w:val="20"/>
              </w:rPr>
              <w:t>项目生产所用原料采 用加盖篷布的车辆运</w:t>
            </w:r>
            <w:r>
              <w:rPr>
                <w:spacing w:val="5"/>
                <w:sz w:val="20"/>
                <w:szCs w:val="20"/>
              </w:rPr>
              <w:t xml:space="preserve"> </w:t>
            </w:r>
            <w:r>
              <w:rPr>
                <w:spacing w:val="1"/>
                <w:sz w:val="20"/>
                <w:szCs w:val="20"/>
              </w:rPr>
              <w:t>输至厂区内，在封闭</w:t>
            </w:r>
            <w:r>
              <w:rPr>
                <w:spacing w:val="5"/>
                <w:sz w:val="20"/>
                <w:szCs w:val="20"/>
              </w:rPr>
              <w:t xml:space="preserve"> </w:t>
            </w:r>
            <w:r>
              <w:rPr>
                <w:spacing w:val="1"/>
                <w:sz w:val="20"/>
                <w:szCs w:val="20"/>
              </w:rPr>
              <w:t>式厂房内堆放。产品</w:t>
            </w:r>
            <w:r>
              <w:rPr>
                <w:spacing w:val="6"/>
                <w:sz w:val="20"/>
                <w:szCs w:val="20"/>
              </w:rPr>
              <w:t xml:space="preserve"> </w:t>
            </w:r>
            <w:r>
              <w:rPr>
                <w:spacing w:val="1"/>
                <w:sz w:val="20"/>
                <w:szCs w:val="20"/>
              </w:rPr>
              <w:t>采取袋装方式外运出</w:t>
            </w:r>
            <w:r>
              <w:rPr>
                <w:spacing w:val="5"/>
                <w:sz w:val="20"/>
                <w:szCs w:val="20"/>
              </w:rPr>
              <w:t xml:space="preserve"> </w:t>
            </w:r>
            <w:r>
              <w:rPr>
                <w:spacing w:val="1"/>
                <w:sz w:val="20"/>
                <w:szCs w:val="20"/>
              </w:rPr>
              <w:t>售，能够有效防治扬</w:t>
            </w:r>
          </w:p>
        </w:tc>
        <w:tc>
          <w:tcPr>
            <w:tcW w:w="837" w:type="dxa"/>
            <w:gridSpan w:val="2"/>
            <w:vAlign w:val="top"/>
          </w:tcPr>
          <w:p w14:paraId="733BC428">
            <w:pPr>
              <w:spacing w:line="306" w:lineRule="auto"/>
              <w:rPr>
                <w:rFonts w:ascii="Arial"/>
                <w:sz w:val="21"/>
              </w:rPr>
            </w:pPr>
          </w:p>
          <w:p w14:paraId="06C3EBC6">
            <w:pPr>
              <w:spacing w:line="307" w:lineRule="auto"/>
              <w:rPr>
                <w:rFonts w:ascii="Arial"/>
                <w:sz w:val="21"/>
              </w:rPr>
            </w:pPr>
          </w:p>
          <w:p w14:paraId="56BC0929">
            <w:pPr>
              <w:pStyle w:val="6"/>
              <w:spacing w:before="65" w:line="220" w:lineRule="auto"/>
              <w:ind w:left="180"/>
              <w:rPr>
                <w:sz w:val="20"/>
                <w:szCs w:val="20"/>
              </w:rPr>
            </w:pPr>
            <w:r>
              <w:rPr>
                <w:spacing w:val="-3"/>
                <w:sz w:val="20"/>
                <w:szCs w:val="20"/>
              </w:rPr>
              <w:t>符合</w:t>
            </w:r>
          </w:p>
        </w:tc>
      </w:tr>
    </w:tbl>
    <w:p w14:paraId="5B79F6F0">
      <w:pPr>
        <w:rPr>
          <w:rFonts w:ascii="Arial"/>
          <w:sz w:val="21"/>
        </w:rPr>
      </w:pPr>
    </w:p>
    <w:p w14:paraId="197DD062">
      <w:pPr>
        <w:rPr>
          <w:rFonts w:ascii="Arial" w:hAnsi="Arial" w:eastAsia="Arial" w:cs="Arial"/>
          <w:sz w:val="21"/>
          <w:szCs w:val="21"/>
        </w:rPr>
        <w:sectPr>
          <w:footerReference r:id="rId29" w:type="default"/>
          <w:pgSz w:w="11907" w:h="16839"/>
          <w:pgMar w:top="1431" w:right="1498" w:bottom="1055" w:left="1498" w:header="0" w:footer="802" w:gutter="0"/>
          <w:cols w:space="720" w:num="1"/>
        </w:sectPr>
      </w:pPr>
    </w:p>
    <w:p w14:paraId="48583F21">
      <w:pPr>
        <w:spacing w:before="28"/>
      </w:pPr>
    </w:p>
    <w:tbl>
      <w:tblPr>
        <w:tblStyle w:val="5"/>
        <w:tblW w:w="89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3"/>
        <w:gridCol w:w="80"/>
        <w:gridCol w:w="825"/>
        <w:gridCol w:w="750"/>
        <w:gridCol w:w="3140"/>
        <w:gridCol w:w="1936"/>
        <w:gridCol w:w="764"/>
        <w:gridCol w:w="85"/>
      </w:tblGrid>
      <w:tr w14:paraId="47CB12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2" w:hRule="atLeast"/>
        </w:trPr>
        <w:tc>
          <w:tcPr>
            <w:tcW w:w="1323" w:type="dxa"/>
            <w:vMerge w:val="restart"/>
            <w:tcBorders>
              <w:bottom w:val="nil"/>
            </w:tcBorders>
            <w:vAlign w:val="top"/>
          </w:tcPr>
          <w:p w14:paraId="595556A8">
            <w:pPr>
              <w:rPr>
                <w:rFonts w:ascii="Arial"/>
                <w:sz w:val="21"/>
              </w:rPr>
            </w:pPr>
          </w:p>
        </w:tc>
        <w:tc>
          <w:tcPr>
            <w:tcW w:w="80" w:type="dxa"/>
            <w:tcBorders>
              <w:bottom w:val="nil"/>
            </w:tcBorders>
            <w:vAlign w:val="top"/>
          </w:tcPr>
          <w:p w14:paraId="6DA78BBB">
            <w:pPr>
              <w:rPr>
                <w:rFonts w:ascii="Arial"/>
                <w:sz w:val="21"/>
              </w:rPr>
            </w:pPr>
          </w:p>
        </w:tc>
        <w:tc>
          <w:tcPr>
            <w:tcW w:w="825" w:type="dxa"/>
            <w:vMerge w:val="restart"/>
            <w:tcBorders>
              <w:bottom w:val="nil"/>
            </w:tcBorders>
            <w:vAlign w:val="top"/>
          </w:tcPr>
          <w:p w14:paraId="7DDCB902">
            <w:pPr>
              <w:rPr>
                <w:rFonts w:ascii="Arial"/>
                <w:sz w:val="21"/>
              </w:rPr>
            </w:pPr>
          </w:p>
        </w:tc>
        <w:tc>
          <w:tcPr>
            <w:tcW w:w="750" w:type="dxa"/>
            <w:vAlign w:val="top"/>
          </w:tcPr>
          <w:p w14:paraId="16AF57B5">
            <w:pPr>
              <w:rPr>
                <w:rFonts w:ascii="Arial"/>
                <w:sz w:val="21"/>
              </w:rPr>
            </w:pPr>
          </w:p>
        </w:tc>
        <w:tc>
          <w:tcPr>
            <w:tcW w:w="3140" w:type="dxa"/>
            <w:vAlign w:val="top"/>
          </w:tcPr>
          <w:p w14:paraId="4251498C">
            <w:pPr>
              <w:pStyle w:val="6"/>
              <w:spacing w:before="37" w:line="237" w:lineRule="auto"/>
              <w:ind w:left="61" w:right="55"/>
              <w:rPr>
                <w:sz w:val="20"/>
                <w:szCs w:val="20"/>
              </w:rPr>
            </w:pPr>
            <w:r>
              <w:rPr>
                <w:spacing w:val="1"/>
                <w:sz w:val="20"/>
                <w:szCs w:val="20"/>
              </w:rPr>
              <w:t>挡，并采取覆盖措施有效控制扬尘</w:t>
            </w:r>
            <w:r>
              <w:rPr>
                <w:spacing w:val="2"/>
                <w:sz w:val="20"/>
                <w:szCs w:val="20"/>
              </w:rPr>
              <w:t xml:space="preserve"> </w:t>
            </w:r>
            <w:r>
              <w:rPr>
                <w:spacing w:val="1"/>
                <w:sz w:val="20"/>
                <w:szCs w:val="20"/>
              </w:rPr>
              <w:t>污染；堆场内进行搅拌、粉碎、筛</w:t>
            </w:r>
            <w:r>
              <w:rPr>
                <w:spacing w:val="2"/>
                <w:sz w:val="20"/>
                <w:szCs w:val="20"/>
              </w:rPr>
              <w:t xml:space="preserve"> </w:t>
            </w:r>
            <w:r>
              <w:rPr>
                <w:spacing w:val="1"/>
                <w:sz w:val="20"/>
                <w:szCs w:val="20"/>
              </w:rPr>
              <w:t>分等作业时应喷水抑尘，遇重污染</w:t>
            </w:r>
            <w:r>
              <w:rPr>
                <w:spacing w:val="2"/>
                <w:sz w:val="20"/>
                <w:szCs w:val="20"/>
              </w:rPr>
              <w:t xml:space="preserve"> </w:t>
            </w:r>
            <w:r>
              <w:rPr>
                <w:spacing w:val="-1"/>
                <w:sz w:val="20"/>
                <w:szCs w:val="20"/>
              </w:rPr>
              <w:t>天气时禁止进行产生扬尘的作业。</w:t>
            </w:r>
            <w:r>
              <w:rPr>
                <w:spacing w:val="2"/>
                <w:sz w:val="20"/>
                <w:szCs w:val="20"/>
              </w:rPr>
              <w:t xml:space="preserve"> </w:t>
            </w:r>
            <w:r>
              <w:rPr>
                <w:spacing w:val="1"/>
                <w:sz w:val="20"/>
                <w:szCs w:val="20"/>
              </w:rPr>
              <w:t>物料装卸配备喷淋等防尘设施，转</w:t>
            </w:r>
            <w:r>
              <w:rPr>
                <w:spacing w:val="2"/>
                <w:sz w:val="20"/>
                <w:szCs w:val="20"/>
              </w:rPr>
              <w:t xml:space="preserve"> </w:t>
            </w:r>
            <w:r>
              <w:rPr>
                <w:spacing w:val="-1"/>
                <w:sz w:val="20"/>
                <w:szCs w:val="20"/>
              </w:rPr>
              <w:t>运物料尽量采取封闭式皮带输送。</w:t>
            </w:r>
            <w:r>
              <w:rPr>
                <w:spacing w:val="2"/>
                <w:sz w:val="20"/>
                <w:szCs w:val="20"/>
              </w:rPr>
              <w:t xml:space="preserve"> </w:t>
            </w:r>
            <w:r>
              <w:rPr>
                <w:spacing w:val="1"/>
                <w:sz w:val="20"/>
                <w:szCs w:val="20"/>
              </w:rPr>
              <w:t>厂区主要运输通道实施硬化并定期</w:t>
            </w:r>
            <w:r>
              <w:rPr>
                <w:spacing w:val="2"/>
                <w:sz w:val="20"/>
                <w:szCs w:val="20"/>
              </w:rPr>
              <w:t xml:space="preserve"> </w:t>
            </w:r>
            <w:r>
              <w:rPr>
                <w:spacing w:val="1"/>
                <w:sz w:val="20"/>
                <w:szCs w:val="20"/>
              </w:rPr>
              <w:t>冲洗或湿式清扫，堆场进出口设置</w:t>
            </w:r>
            <w:r>
              <w:rPr>
                <w:spacing w:val="2"/>
                <w:sz w:val="20"/>
                <w:szCs w:val="20"/>
              </w:rPr>
              <w:t xml:space="preserve"> </w:t>
            </w:r>
            <w:r>
              <w:rPr>
                <w:spacing w:val="1"/>
                <w:sz w:val="20"/>
                <w:szCs w:val="20"/>
              </w:rPr>
              <w:t>车辆冲洗设施，运输车辆实施密闭</w:t>
            </w:r>
            <w:r>
              <w:rPr>
                <w:spacing w:val="2"/>
                <w:sz w:val="20"/>
                <w:szCs w:val="20"/>
              </w:rPr>
              <w:t xml:space="preserve"> </w:t>
            </w:r>
            <w:r>
              <w:rPr>
                <w:spacing w:val="1"/>
                <w:sz w:val="20"/>
                <w:szCs w:val="20"/>
              </w:rPr>
              <w:t>或全覆盖，及时收集清理堆场外道</w:t>
            </w:r>
            <w:r>
              <w:rPr>
                <w:spacing w:val="2"/>
                <w:sz w:val="20"/>
                <w:szCs w:val="20"/>
              </w:rPr>
              <w:t xml:space="preserve"> </w:t>
            </w:r>
            <w:r>
              <w:rPr>
                <w:rFonts w:hint="eastAsia"/>
                <w:spacing w:val="2"/>
                <w:sz w:val="20"/>
                <w:szCs w:val="20"/>
                <w:lang w:eastAsia="zh-CN"/>
              </w:rPr>
              <w:t>路上洒落</w:t>
            </w:r>
            <w:r>
              <w:rPr>
                <w:spacing w:val="-3"/>
                <w:sz w:val="20"/>
                <w:szCs w:val="20"/>
              </w:rPr>
              <w:t>的物料。</w:t>
            </w:r>
          </w:p>
        </w:tc>
        <w:tc>
          <w:tcPr>
            <w:tcW w:w="1936" w:type="dxa"/>
            <w:vAlign w:val="top"/>
          </w:tcPr>
          <w:p w14:paraId="0A4EF779">
            <w:pPr>
              <w:pStyle w:val="6"/>
              <w:spacing w:before="43" w:line="221" w:lineRule="auto"/>
              <w:ind w:left="64"/>
              <w:rPr>
                <w:sz w:val="20"/>
                <w:szCs w:val="20"/>
              </w:rPr>
            </w:pPr>
            <w:r>
              <w:rPr>
                <w:spacing w:val="-3"/>
                <w:sz w:val="20"/>
                <w:szCs w:val="20"/>
              </w:rPr>
              <w:t>尘污染。</w:t>
            </w:r>
          </w:p>
          <w:p w14:paraId="55B33853">
            <w:pPr>
              <w:pStyle w:val="6"/>
              <w:spacing w:before="20"/>
              <w:ind w:left="64" w:right="52"/>
              <w:rPr>
                <w:sz w:val="20"/>
                <w:szCs w:val="20"/>
              </w:rPr>
            </w:pPr>
            <w:r>
              <w:rPr>
                <w:spacing w:val="1"/>
                <w:sz w:val="20"/>
                <w:szCs w:val="20"/>
              </w:rPr>
              <w:t>本项目在封闭的车间</w:t>
            </w:r>
            <w:r>
              <w:rPr>
                <w:spacing w:val="4"/>
                <w:sz w:val="20"/>
                <w:szCs w:val="20"/>
              </w:rPr>
              <w:t xml:space="preserve"> </w:t>
            </w:r>
            <w:r>
              <w:rPr>
                <w:spacing w:val="1"/>
                <w:sz w:val="20"/>
                <w:szCs w:val="20"/>
              </w:rPr>
              <w:t>内进行生产活动，配</w:t>
            </w:r>
            <w:r>
              <w:rPr>
                <w:spacing w:val="4"/>
                <w:sz w:val="20"/>
                <w:szCs w:val="20"/>
              </w:rPr>
              <w:t xml:space="preserve"> </w:t>
            </w:r>
            <w:r>
              <w:rPr>
                <w:spacing w:val="1"/>
                <w:sz w:val="20"/>
                <w:szCs w:val="20"/>
              </w:rPr>
              <w:t>套有除尘设施，因产</w:t>
            </w:r>
            <w:r>
              <w:rPr>
                <w:spacing w:val="4"/>
                <w:sz w:val="20"/>
                <w:szCs w:val="20"/>
              </w:rPr>
              <w:t xml:space="preserve"> </w:t>
            </w:r>
            <w:r>
              <w:rPr>
                <w:spacing w:val="1"/>
                <w:sz w:val="20"/>
                <w:szCs w:val="20"/>
              </w:rPr>
              <w:t>品的特殊性不宜采取</w:t>
            </w:r>
            <w:r>
              <w:rPr>
                <w:spacing w:val="4"/>
                <w:sz w:val="20"/>
                <w:szCs w:val="20"/>
              </w:rPr>
              <w:t xml:space="preserve"> </w:t>
            </w:r>
            <w:r>
              <w:rPr>
                <w:spacing w:val="26"/>
                <w:sz w:val="20"/>
                <w:szCs w:val="20"/>
              </w:rPr>
              <w:t>喷雾降尘的措施抑</w:t>
            </w:r>
            <w:r>
              <w:rPr>
                <w:spacing w:val="5"/>
                <w:sz w:val="20"/>
                <w:szCs w:val="20"/>
              </w:rPr>
              <w:t xml:space="preserve"> </w:t>
            </w:r>
            <w:r>
              <w:rPr>
                <w:spacing w:val="1"/>
                <w:sz w:val="20"/>
                <w:szCs w:val="20"/>
              </w:rPr>
              <w:t>尘，转运物料采用封</w:t>
            </w:r>
            <w:r>
              <w:rPr>
                <w:spacing w:val="4"/>
                <w:sz w:val="20"/>
                <w:szCs w:val="20"/>
              </w:rPr>
              <w:t xml:space="preserve"> </w:t>
            </w:r>
            <w:r>
              <w:rPr>
                <w:spacing w:val="1"/>
                <w:sz w:val="20"/>
                <w:szCs w:val="20"/>
              </w:rPr>
              <w:t>闭式皮带或密闭型螺</w:t>
            </w:r>
            <w:r>
              <w:rPr>
                <w:spacing w:val="4"/>
                <w:sz w:val="20"/>
                <w:szCs w:val="20"/>
              </w:rPr>
              <w:t xml:space="preserve"> </w:t>
            </w:r>
            <w:r>
              <w:rPr>
                <w:spacing w:val="-7"/>
                <w:sz w:val="20"/>
                <w:szCs w:val="20"/>
              </w:rPr>
              <w:t>旋绞龙。</w:t>
            </w:r>
          </w:p>
        </w:tc>
        <w:tc>
          <w:tcPr>
            <w:tcW w:w="764" w:type="dxa"/>
            <w:vAlign w:val="top"/>
          </w:tcPr>
          <w:p w14:paraId="55E754CE">
            <w:pPr>
              <w:rPr>
                <w:rFonts w:ascii="Arial"/>
                <w:sz w:val="21"/>
              </w:rPr>
            </w:pPr>
          </w:p>
        </w:tc>
        <w:tc>
          <w:tcPr>
            <w:tcW w:w="85" w:type="dxa"/>
            <w:tcBorders>
              <w:bottom w:val="nil"/>
            </w:tcBorders>
            <w:vAlign w:val="top"/>
          </w:tcPr>
          <w:p w14:paraId="3ED98D6F">
            <w:pPr>
              <w:rPr>
                <w:rFonts w:ascii="Arial"/>
                <w:sz w:val="21"/>
              </w:rPr>
            </w:pPr>
          </w:p>
        </w:tc>
      </w:tr>
      <w:tr w14:paraId="1CFD3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0" w:hRule="atLeast"/>
        </w:trPr>
        <w:tc>
          <w:tcPr>
            <w:tcW w:w="1323" w:type="dxa"/>
            <w:vMerge w:val="continue"/>
            <w:tcBorders>
              <w:top w:val="nil"/>
              <w:bottom w:val="nil"/>
            </w:tcBorders>
            <w:vAlign w:val="top"/>
          </w:tcPr>
          <w:p w14:paraId="5F6B3045">
            <w:pPr>
              <w:rPr>
                <w:rFonts w:ascii="Arial"/>
                <w:sz w:val="21"/>
              </w:rPr>
            </w:pPr>
          </w:p>
        </w:tc>
        <w:tc>
          <w:tcPr>
            <w:tcW w:w="80" w:type="dxa"/>
            <w:tcBorders>
              <w:top w:val="nil"/>
              <w:bottom w:val="nil"/>
            </w:tcBorders>
            <w:vAlign w:val="top"/>
          </w:tcPr>
          <w:p w14:paraId="77544D31">
            <w:pPr>
              <w:rPr>
                <w:rFonts w:ascii="Arial"/>
                <w:sz w:val="21"/>
              </w:rPr>
            </w:pPr>
          </w:p>
        </w:tc>
        <w:tc>
          <w:tcPr>
            <w:tcW w:w="825" w:type="dxa"/>
            <w:vMerge w:val="continue"/>
            <w:tcBorders>
              <w:top w:val="nil"/>
              <w:bottom w:val="nil"/>
            </w:tcBorders>
            <w:vAlign w:val="top"/>
          </w:tcPr>
          <w:p w14:paraId="69CE516C">
            <w:pPr>
              <w:rPr>
                <w:rFonts w:ascii="Arial"/>
                <w:sz w:val="21"/>
              </w:rPr>
            </w:pPr>
          </w:p>
        </w:tc>
        <w:tc>
          <w:tcPr>
            <w:tcW w:w="750" w:type="dxa"/>
            <w:vMerge w:val="restart"/>
            <w:tcBorders>
              <w:bottom w:val="nil"/>
            </w:tcBorders>
            <w:vAlign w:val="top"/>
          </w:tcPr>
          <w:p w14:paraId="516D3AF7">
            <w:pPr>
              <w:pStyle w:val="6"/>
              <w:spacing w:before="223" w:line="220" w:lineRule="auto"/>
              <w:ind w:left="80"/>
              <w:rPr>
                <w:sz w:val="20"/>
                <w:szCs w:val="20"/>
              </w:rPr>
            </w:pPr>
            <w:r>
              <w:rPr>
                <w:spacing w:val="3"/>
                <w:sz w:val="20"/>
                <w:szCs w:val="20"/>
              </w:rPr>
              <w:t>四川省</w:t>
            </w:r>
          </w:p>
          <w:p w14:paraId="68EAC592">
            <w:pPr>
              <w:pStyle w:val="6"/>
              <w:spacing w:before="20" w:line="221" w:lineRule="auto"/>
              <w:ind w:left="64"/>
              <w:rPr>
                <w:sz w:val="20"/>
                <w:szCs w:val="20"/>
              </w:rPr>
            </w:pPr>
            <w:r>
              <w:rPr>
                <w:spacing w:val="8"/>
                <w:sz w:val="20"/>
                <w:szCs w:val="20"/>
              </w:rPr>
              <w:t>打赢碧</w:t>
            </w:r>
          </w:p>
          <w:p w14:paraId="5A4D09F8">
            <w:pPr>
              <w:pStyle w:val="6"/>
              <w:spacing w:before="20" w:line="220" w:lineRule="auto"/>
              <w:ind w:left="63"/>
              <w:rPr>
                <w:sz w:val="20"/>
                <w:szCs w:val="20"/>
              </w:rPr>
            </w:pPr>
            <w:r>
              <w:rPr>
                <w:spacing w:val="8"/>
                <w:sz w:val="20"/>
                <w:szCs w:val="20"/>
              </w:rPr>
              <w:t>水保卫</w:t>
            </w:r>
          </w:p>
          <w:p w14:paraId="7A8EBB32">
            <w:pPr>
              <w:pStyle w:val="6"/>
              <w:spacing w:before="20" w:line="242" w:lineRule="auto"/>
              <w:ind w:left="62" w:right="54" w:firstLine="8"/>
              <w:rPr>
                <w:sz w:val="20"/>
                <w:szCs w:val="20"/>
              </w:rPr>
            </w:pPr>
            <w:r>
              <w:rPr>
                <w:spacing w:val="6"/>
                <w:sz w:val="20"/>
                <w:szCs w:val="20"/>
              </w:rPr>
              <w:t>战实施</w:t>
            </w:r>
            <w:r>
              <w:rPr>
                <w:sz w:val="20"/>
                <w:szCs w:val="20"/>
              </w:rPr>
              <w:t xml:space="preserve"> </w:t>
            </w:r>
            <w:r>
              <w:rPr>
                <w:spacing w:val="-2"/>
                <w:sz w:val="20"/>
                <w:szCs w:val="20"/>
              </w:rPr>
              <w:t>方案</w:t>
            </w:r>
          </w:p>
        </w:tc>
        <w:tc>
          <w:tcPr>
            <w:tcW w:w="3140" w:type="dxa"/>
            <w:vAlign w:val="top"/>
          </w:tcPr>
          <w:p w14:paraId="1C390E41">
            <w:pPr>
              <w:pStyle w:val="6"/>
              <w:spacing w:before="87" w:line="220" w:lineRule="auto"/>
              <w:ind w:left="61"/>
              <w:rPr>
                <w:sz w:val="20"/>
                <w:szCs w:val="20"/>
              </w:rPr>
            </w:pPr>
            <w:r>
              <w:rPr>
                <w:spacing w:val="-1"/>
                <w:sz w:val="20"/>
                <w:szCs w:val="20"/>
              </w:rPr>
              <w:t>减少工业废水排放量</w:t>
            </w:r>
          </w:p>
        </w:tc>
        <w:tc>
          <w:tcPr>
            <w:tcW w:w="1936" w:type="dxa"/>
            <w:vMerge w:val="restart"/>
            <w:tcBorders>
              <w:bottom w:val="nil"/>
            </w:tcBorders>
            <w:vAlign w:val="top"/>
          </w:tcPr>
          <w:p w14:paraId="7770BCE0">
            <w:pPr>
              <w:pStyle w:val="6"/>
              <w:spacing w:before="93"/>
              <w:ind w:left="63" w:right="52"/>
              <w:jc w:val="both"/>
              <w:rPr>
                <w:sz w:val="20"/>
                <w:szCs w:val="20"/>
              </w:rPr>
            </w:pPr>
            <w:r>
              <w:rPr>
                <w:spacing w:val="1"/>
                <w:sz w:val="20"/>
                <w:szCs w:val="20"/>
              </w:rPr>
              <w:t>本项目生产废水能够</w:t>
            </w:r>
            <w:r>
              <w:rPr>
                <w:spacing w:val="4"/>
                <w:sz w:val="20"/>
                <w:szCs w:val="20"/>
              </w:rPr>
              <w:t xml:space="preserve"> </w:t>
            </w:r>
            <w:r>
              <w:rPr>
                <w:sz w:val="20"/>
                <w:szCs w:val="20"/>
              </w:rPr>
              <w:t>循环回用不外排；生</w:t>
            </w:r>
            <w:r>
              <w:rPr>
                <w:spacing w:val="4"/>
                <w:sz w:val="20"/>
                <w:szCs w:val="20"/>
              </w:rPr>
              <w:t xml:space="preserve"> </w:t>
            </w:r>
            <w:r>
              <w:rPr>
                <w:spacing w:val="1"/>
                <w:sz w:val="20"/>
                <w:szCs w:val="20"/>
              </w:rPr>
              <w:t>活污水设化粪池收集</w:t>
            </w:r>
            <w:r>
              <w:rPr>
                <w:spacing w:val="4"/>
                <w:sz w:val="20"/>
                <w:szCs w:val="20"/>
              </w:rPr>
              <w:t xml:space="preserve"> </w:t>
            </w:r>
            <w:r>
              <w:rPr>
                <w:spacing w:val="1"/>
                <w:sz w:val="20"/>
                <w:szCs w:val="20"/>
              </w:rPr>
              <w:t>处理后，经场镇污水</w:t>
            </w:r>
            <w:r>
              <w:rPr>
                <w:spacing w:val="5"/>
                <w:sz w:val="20"/>
                <w:szCs w:val="20"/>
              </w:rPr>
              <w:t xml:space="preserve"> </w:t>
            </w:r>
            <w:r>
              <w:rPr>
                <w:spacing w:val="1"/>
                <w:sz w:val="20"/>
                <w:szCs w:val="20"/>
              </w:rPr>
              <w:t>管网进入东岳场镇生</w:t>
            </w:r>
            <w:r>
              <w:rPr>
                <w:spacing w:val="5"/>
                <w:sz w:val="20"/>
                <w:szCs w:val="20"/>
              </w:rPr>
              <w:t xml:space="preserve"> </w:t>
            </w:r>
            <w:r>
              <w:rPr>
                <w:spacing w:val="-1"/>
                <w:sz w:val="20"/>
                <w:szCs w:val="20"/>
              </w:rPr>
              <w:t>活污水处理厂处理。</w:t>
            </w:r>
          </w:p>
        </w:tc>
        <w:tc>
          <w:tcPr>
            <w:tcW w:w="764" w:type="dxa"/>
            <w:vAlign w:val="top"/>
          </w:tcPr>
          <w:p w14:paraId="65F9D310">
            <w:pPr>
              <w:pStyle w:val="6"/>
              <w:spacing w:before="87" w:line="220" w:lineRule="auto"/>
              <w:ind w:left="192"/>
              <w:rPr>
                <w:sz w:val="20"/>
                <w:szCs w:val="20"/>
              </w:rPr>
            </w:pPr>
            <w:r>
              <w:rPr>
                <w:spacing w:val="-3"/>
                <w:sz w:val="20"/>
                <w:szCs w:val="20"/>
              </w:rPr>
              <w:t>符合</w:t>
            </w:r>
          </w:p>
        </w:tc>
        <w:tc>
          <w:tcPr>
            <w:tcW w:w="85" w:type="dxa"/>
            <w:tcBorders>
              <w:top w:val="nil"/>
              <w:bottom w:val="nil"/>
            </w:tcBorders>
            <w:vAlign w:val="top"/>
          </w:tcPr>
          <w:p w14:paraId="294749E4">
            <w:pPr>
              <w:rPr>
                <w:rFonts w:ascii="Arial"/>
                <w:sz w:val="21"/>
              </w:rPr>
            </w:pPr>
          </w:p>
        </w:tc>
      </w:tr>
      <w:tr w14:paraId="41158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1" w:hRule="atLeast"/>
        </w:trPr>
        <w:tc>
          <w:tcPr>
            <w:tcW w:w="1323" w:type="dxa"/>
            <w:vMerge w:val="continue"/>
            <w:tcBorders>
              <w:top w:val="nil"/>
              <w:bottom w:val="nil"/>
            </w:tcBorders>
            <w:vAlign w:val="top"/>
          </w:tcPr>
          <w:p w14:paraId="6A732BB5">
            <w:pPr>
              <w:rPr>
                <w:rFonts w:ascii="Arial"/>
                <w:sz w:val="21"/>
              </w:rPr>
            </w:pPr>
          </w:p>
        </w:tc>
        <w:tc>
          <w:tcPr>
            <w:tcW w:w="80" w:type="dxa"/>
            <w:tcBorders>
              <w:top w:val="nil"/>
              <w:bottom w:val="nil"/>
            </w:tcBorders>
            <w:vAlign w:val="top"/>
          </w:tcPr>
          <w:p w14:paraId="185C2B34">
            <w:pPr>
              <w:rPr>
                <w:rFonts w:ascii="Arial"/>
                <w:sz w:val="21"/>
              </w:rPr>
            </w:pPr>
          </w:p>
        </w:tc>
        <w:tc>
          <w:tcPr>
            <w:tcW w:w="825" w:type="dxa"/>
            <w:vMerge w:val="continue"/>
            <w:tcBorders>
              <w:top w:val="nil"/>
            </w:tcBorders>
            <w:vAlign w:val="top"/>
          </w:tcPr>
          <w:p w14:paraId="3E31D13C">
            <w:pPr>
              <w:rPr>
                <w:rFonts w:ascii="Arial"/>
                <w:sz w:val="21"/>
              </w:rPr>
            </w:pPr>
          </w:p>
        </w:tc>
        <w:tc>
          <w:tcPr>
            <w:tcW w:w="750" w:type="dxa"/>
            <w:vMerge w:val="continue"/>
            <w:tcBorders>
              <w:top w:val="nil"/>
            </w:tcBorders>
            <w:vAlign w:val="top"/>
          </w:tcPr>
          <w:p w14:paraId="7ABD6B85">
            <w:pPr>
              <w:rPr>
                <w:rFonts w:ascii="Arial"/>
                <w:sz w:val="21"/>
              </w:rPr>
            </w:pPr>
          </w:p>
        </w:tc>
        <w:tc>
          <w:tcPr>
            <w:tcW w:w="3140" w:type="dxa"/>
            <w:vAlign w:val="top"/>
          </w:tcPr>
          <w:p w14:paraId="2880EB4A">
            <w:pPr>
              <w:pStyle w:val="6"/>
              <w:spacing w:before="28" w:line="233" w:lineRule="auto"/>
              <w:ind w:left="61" w:right="55"/>
              <w:rPr>
                <w:sz w:val="20"/>
                <w:szCs w:val="20"/>
              </w:rPr>
            </w:pPr>
            <w:r>
              <w:rPr>
                <w:spacing w:val="-1"/>
                <w:sz w:val="20"/>
                <w:szCs w:val="20"/>
              </w:rPr>
              <w:t>加强水资源节约。在岷江、沱江、</w:t>
            </w:r>
            <w:r>
              <w:rPr>
                <w:spacing w:val="2"/>
                <w:sz w:val="20"/>
                <w:szCs w:val="20"/>
              </w:rPr>
              <w:t xml:space="preserve"> </w:t>
            </w:r>
            <w:r>
              <w:rPr>
                <w:spacing w:val="1"/>
                <w:sz w:val="20"/>
                <w:szCs w:val="20"/>
              </w:rPr>
              <w:t xml:space="preserve">嘉陵江等流域，实行重点扶持，落 实国家节水行动，推动节水型社会 建设。抓好工业节水，提高水重复 </w:t>
            </w:r>
            <w:r>
              <w:rPr>
                <w:spacing w:val="-7"/>
                <w:sz w:val="20"/>
                <w:szCs w:val="20"/>
              </w:rPr>
              <w:t>利用率。</w:t>
            </w:r>
          </w:p>
        </w:tc>
        <w:tc>
          <w:tcPr>
            <w:tcW w:w="1936" w:type="dxa"/>
            <w:vMerge w:val="continue"/>
            <w:tcBorders>
              <w:top w:val="nil"/>
            </w:tcBorders>
            <w:vAlign w:val="top"/>
          </w:tcPr>
          <w:p w14:paraId="6A533A38">
            <w:pPr>
              <w:rPr>
                <w:rFonts w:ascii="Arial"/>
                <w:sz w:val="21"/>
              </w:rPr>
            </w:pPr>
          </w:p>
        </w:tc>
        <w:tc>
          <w:tcPr>
            <w:tcW w:w="764" w:type="dxa"/>
            <w:vAlign w:val="top"/>
          </w:tcPr>
          <w:p w14:paraId="1FB342BA">
            <w:pPr>
              <w:rPr>
                <w:rFonts w:ascii="Arial"/>
                <w:sz w:val="21"/>
              </w:rPr>
            </w:pPr>
          </w:p>
          <w:p w14:paraId="12A6936C">
            <w:pPr>
              <w:rPr>
                <w:rFonts w:ascii="Arial"/>
                <w:sz w:val="21"/>
              </w:rPr>
            </w:pPr>
          </w:p>
          <w:p w14:paraId="7F8464F9">
            <w:pPr>
              <w:pStyle w:val="6"/>
              <w:spacing w:before="65" w:line="220" w:lineRule="auto"/>
              <w:ind w:left="192"/>
              <w:rPr>
                <w:sz w:val="20"/>
                <w:szCs w:val="20"/>
              </w:rPr>
            </w:pPr>
            <w:r>
              <w:rPr>
                <w:spacing w:val="-3"/>
                <w:sz w:val="20"/>
                <w:szCs w:val="20"/>
              </w:rPr>
              <w:t>符合</w:t>
            </w:r>
          </w:p>
        </w:tc>
        <w:tc>
          <w:tcPr>
            <w:tcW w:w="85" w:type="dxa"/>
            <w:tcBorders>
              <w:top w:val="nil"/>
              <w:bottom w:val="nil"/>
            </w:tcBorders>
            <w:vAlign w:val="top"/>
          </w:tcPr>
          <w:p w14:paraId="015E954C">
            <w:pPr>
              <w:rPr>
                <w:rFonts w:ascii="Arial"/>
                <w:sz w:val="21"/>
              </w:rPr>
            </w:pPr>
          </w:p>
        </w:tc>
      </w:tr>
      <w:tr w14:paraId="7CF27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8" w:hRule="atLeast"/>
        </w:trPr>
        <w:tc>
          <w:tcPr>
            <w:tcW w:w="1323" w:type="dxa"/>
            <w:vMerge w:val="continue"/>
            <w:tcBorders>
              <w:top w:val="nil"/>
            </w:tcBorders>
            <w:vAlign w:val="top"/>
          </w:tcPr>
          <w:p w14:paraId="48E157CD">
            <w:pPr>
              <w:rPr>
                <w:rFonts w:ascii="Arial"/>
                <w:sz w:val="21"/>
              </w:rPr>
            </w:pPr>
          </w:p>
        </w:tc>
        <w:tc>
          <w:tcPr>
            <w:tcW w:w="7580" w:type="dxa"/>
            <w:gridSpan w:val="7"/>
            <w:vAlign w:val="top"/>
          </w:tcPr>
          <w:p w14:paraId="0F2EB2F4">
            <w:pPr>
              <w:pStyle w:val="6"/>
              <w:spacing w:before="132" w:line="353" w:lineRule="auto"/>
              <w:ind w:left="128" w:right="38" w:firstLine="436"/>
            </w:pPr>
            <w:r>
              <w:rPr>
                <w:b/>
                <w:bCs/>
                <w:spacing w:val="2"/>
              </w:rPr>
              <w:t>（4）与《四川省空气质量持续改善行动计划实施方案》（川府发</w:t>
            </w:r>
            <w:r>
              <w:rPr>
                <w:rFonts w:hint="eastAsia"/>
                <w:b/>
                <w:bCs/>
                <w:spacing w:val="2"/>
                <w:lang w:eastAsia="zh-CN"/>
              </w:rPr>
              <w:t>〔2024〕15号</w:t>
            </w:r>
            <w:r>
              <w:rPr>
                <w:b/>
                <w:bCs/>
                <w:spacing w:val="3"/>
              </w:rPr>
              <w:t>）的符合性</w:t>
            </w:r>
          </w:p>
          <w:p w14:paraId="7A3A7C98">
            <w:pPr>
              <w:pStyle w:val="6"/>
              <w:spacing w:before="5" w:line="220" w:lineRule="auto"/>
              <w:ind w:left="261"/>
            </w:pPr>
            <w:r>
              <w:rPr>
                <w:b/>
                <w:bCs/>
                <w:spacing w:val="-3"/>
              </w:rPr>
              <w:t>表1-11</w:t>
            </w:r>
            <w:r>
              <w:rPr>
                <w:spacing w:val="-3"/>
              </w:rPr>
              <w:t xml:space="preserve"> </w:t>
            </w:r>
            <w:r>
              <w:rPr>
                <w:b/>
                <w:bCs/>
                <w:spacing w:val="-3"/>
              </w:rPr>
              <w:t>项目与“</w:t>
            </w:r>
            <w:r>
              <w:rPr>
                <w:spacing w:val="-76"/>
              </w:rPr>
              <w:t xml:space="preserve"> </w:t>
            </w:r>
            <w:r>
              <w:rPr>
                <w:b/>
                <w:bCs/>
                <w:spacing w:val="-3"/>
              </w:rPr>
              <w:t>四川省空气质量持续改善行动计划</w:t>
            </w:r>
            <w:r>
              <w:rPr>
                <w:b/>
                <w:bCs/>
                <w:spacing w:val="-4"/>
              </w:rPr>
              <w:t>实施方案</w:t>
            </w:r>
            <w:r>
              <w:rPr>
                <w:spacing w:val="-74"/>
              </w:rPr>
              <w:t xml:space="preserve"> </w:t>
            </w:r>
            <w:r>
              <w:rPr>
                <w:b/>
                <w:bCs/>
                <w:spacing w:val="-4"/>
              </w:rPr>
              <w:t>”的符合性分析</w:t>
            </w:r>
          </w:p>
          <w:p w14:paraId="6BAEC0E0">
            <w:pPr>
              <w:spacing w:line="103" w:lineRule="auto"/>
              <w:rPr>
                <w:rFonts w:ascii="Arial"/>
                <w:sz w:val="2"/>
              </w:rPr>
            </w:pPr>
          </w:p>
          <w:tbl>
            <w:tblPr>
              <w:tblStyle w:val="5"/>
              <w:tblW w:w="7204" w:type="dxa"/>
              <w:tblInd w:w="1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2"/>
              <w:gridCol w:w="3608"/>
              <w:gridCol w:w="2317"/>
              <w:gridCol w:w="687"/>
            </w:tblGrid>
            <w:tr w14:paraId="797DA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592" w:type="dxa"/>
                  <w:vAlign w:val="top"/>
                </w:tcPr>
                <w:p w14:paraId="3EB67FA2">
                  <w:pPr>
                    <w:pStyle w:val="6"/>
                    <w:spacing w:before="33" w:line="207" w:lineRule="auto"/>
                    <w:ind w:left="99"/>
                    <w:rPr>
                      <w:sz w:val="20"/>
                      <w:szCs w:val="20"/>
                    </w:rPr>
                  </w:pPr>
                  <w:r>
                    <w:rPr>
                      <w:b/>
                      <w:bCs/>
                      <w:spacing w:val="-4"/>
                      <w:sz w:val="20"/>
                      <w:szCs w:val="20"/>
                    </w:rPr>
                    <w:t>序号</w:t>
                  </w:r>
                </w:p>
              </w:tc>
              <w:tc>
                <w:tcPr>
                  <w:tcW w:w="3608" w:type="dxa"/>
                  <w:vAlign w:val="top"/>
                </w:tcPr>
                <w:p w14:paraId="141122A1">
                  <w:pPr>
                    <w:pStyle w:val="6"/>
                    <w:spacing w:before="33" w:line="207" w:lineRule="auto"/>
                    <w:ind w:left="1410"/>
                    <w:rPr>
                      <w:sz w:val="20"/>
                      <w:szCs w:val="20"/>
                    </w:rPr>
                  </w:pPr>
                  <w:r>
                    <w:rPr>
                      <w:b/>
                      <w:bCs/>
                      <w:spacing w:val="-5"/>
                      <w:sz w:val="20"/>
                      <w:szCs w:val="20"/>
                    </w:rPr>
                    <w:t>原文内容</w:t>
                  </w:r>
                </w:p>
              </w:tc>
              <w:tc>
                <w:tcPr>
                  <w:tcW w:w="2317" w:type="dxa"/>
                  <w:vAlign w:val="top"/>
                </w:tcPr>
                <w:p w14:paraId="4B6B5FF2">
                  <w:pPr>
                    <w:pStyle w:val="6"/>
                    <w:spacing w:before="33" w:line="207" w:lineRule="auto"/>
                    <w:ind w:left="662"/>
                    <w:rPr>
                      <w:sz w:val="20"/>
                      <w:szCs w:val="20"/>
                    </w:rPr>
                  </w:pPr>
                  <w:r>
                    <w:rPr>
                      <w:b/>
                      <w:bCs/>
                      <w:spacing w:val="-4"/>
                      <w:sz w:val="20"/>
                      <w:szCs w:val="20"/>
                    </w:rPr>
                    <w:t>本项目情况</w:t>
                  </w:r>
                </w:p>
              </w:tc>
              <w:tc>
                <w:tcPr>
                  <w:tcW w:w="687" w:type="dxa"/>
                  <w:vAlign w:val="top"/>
                </w:tcPr>
                <w:p w14:paraId="790457BB">
                  <w:pPr>
                    <w:pStyle w:val="6"/>
                    <w:spacing w:before="33" w:line="207" w:lineRule="auto"/>
                    <w:ind w:left="48"/>
                    <w:rPr>
                      <w:sz w:val="20"/>
                      <w:szCs w:val="20"/>
                    </w:rPr>
                  </w:pPr>
                  <w:r>
                    <w:rPr>
                      <w:b/>
                      <w:bCs/>
                      <w:spacing w:val="-5"/>
                      <w:sz w:val="20"/>
                      <w:szCs w:val="20"/>
                    </w:rPr>
                    <w:t>符合性</w:t>
                  </w:r>
                </w:p>
              </w:tc>
            </w:tr>
            <w:tr w14:paraId="57158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8" w:hRule="atLeast"/>
              </w:trPr>
              <w:tc>
                <w:tcPr>
                  <w:tcW w:w="592" w:type="dxa"/>
                  <w:vAlign w:val="top"/>
                </w:tcPr>
                <w:p w14:paraId="7479F6E4">
                  <w:pPr>
                    <w:spacing w:line="289" w:lineRule="auto"/>
                    <w:rPr>
                      <w:rFonts w:ascii="Arial"/>
                      <w:sz w:val="21"/>
                    </w:rPr>
                  </w:pPr>
                </w:p>
                <w:p w14:paraId="42FEEE4C">
                  <w:pPr>
                    <w:spacing w:line="289" w:lineRule="auto"/>
                    <w:rPr>
                      <w:rFonts w:ascii="Arial"/>
                      <w:sz w:val="21"/>
                    </w:rPr>
                  </w:pPr>
                </w:p>
                <w:p w14:paraId="62360563">
                  <w:pPr>
                    <w:spacing w:line="289" w:lineRule="auto"/>
                    <w:rPr>
                      <w:rFonts w:ascii="Arial"/>
                      <w:sz w:val="21"/>
                    </w:rPr>
                  </w:pPr>
                </w:p>
                <w:p w14:paraId="4DBF5A90">
                  <w:pPr>
                    <w:pStyle w:val="6"/>
                    <w:spacing w:before="65" w:line="242" w:lineRule="auto"/>
                    <w:ind w:left="266"/>
                    <w:rPr>
                      <w:sz w:val="20"/>
                      <w:szCs w:val="20"/>
                    </w:rPr>
                  </w:pPr>
                  <w:r>
                    <w:rPr>
                      <w:sz w:val="20"/>
                      <w:szCs w:val="20"/>
                    </w:rPr>
                    <w:t>1</w:t>
                  </w:r>
                </w:p>
              </w:tc>
              <w:tc>
                <w:tcPr>
                  <w:tcW w:w="3608" w:type="dxa"/>
                  <w:vAlign w:val="top"/>
                </w:tcPr>
                <w:p w14:paraId="2CB3C66A">
                  <w:pPr>
                    <w:pStyle w:val="6"/>
                    <w:spacing w:before="31" w:line="235" w:lineRule="auto"/>
                    <w:ind w:left="12" w:firstLine="35"/>
                    <w:jc w:val="both"/>
                    <w:rPr>
                      <w:sz w:val="20"/>
                      <w:szCs w:val="20"/>
                    </w:rPr>
                  </w:pPr>
                  <w:r>
                    <w:rPr>
                      <w:rFonts w:hint="eastAsia"/>
                      <w:spacing w:val="-6"/>
                      <w:sz w:val="20"/>
                      <w:szCs w:val="20"/>
                      <w:lang w:eastAsia="zh-CN"/>
                    </w:rPr>
                    <w:t>（</w:t>
                  </w:r>
                  <w:r>
                    <w:rPr>
                      <w:spacing w:val="-6"/>
                      <w:sz w:val="20"/>
                      <w:szCs w:val="20"/>
                    </w:rPr>
                    <w:t>一</w:t>
                  </w:r>
                  <w:r>
                    <w:rPr>
                      <w:rFonts w:hint="eastAsia"/>
                      <w:spacing w:val="-6"/>
                      <w:sz w:val="20"/>
                      <w:szCs w:val="20"/>
                      <w:lang w:eastAsia="zh-CN"/>
                    </w:rPr>
                    <w:t>）</w:t>
                  </w:r>
                  <w:r>
                    <w:rPr>
                      <w:spacing w:val="-6"/>
                      <w:sz w:val="20"/>
                      <w:szCs w:val="20"/>
                    </w:rPr>
                    <w:t>严格产业准入。坚决遏制高耗能、高</w:t>
                  </w:r>
                  <w:r>
                    <w:rPr>
                      <w:sz w:val="20"/>
                      <w:szCs w:val="20"/>
                    </w:rPr>
                    <w:t xml:space="preserve"> </w:t>
                  </w:r>
                  <w:r>
                    <w:rPr>
                      <w:spacing w:val="-5"/>
                      <w:sz w:val="20"/>
                      <w:szCs w:val="20"/>
                    </w:rPr>
                    <w:t>排放、低水平项目盲目上马。新改扩建项</w:t>
                  </w:r>
                  <w:r>
                    <w:rPr>
                      <w:spacing w:val="11"/>
                      <w:sz w:val="20"/>
                      <w:szCs w:val="20"/>
                    </w:rPr>
                    <w:t xml:space="preserve"> </w:t>
                  </w:r>
                  <w:r>
                    <w:rPr>
                      <w:spacing w:val="-5"/>
                      <w:sz w:val="20"/>
                      <w:szCs w:val="20"/>
                    </w:rPr>
                    <w:t>目严格落实国家和四川省产业规划、产业</w:t>
                  </w:r>
                  <w:r>
                    <w:rPr>
                      <w:spacing w:val="11"/>
                      <w:sz w:val="20"/>
                      <w:szCs w:val="20"/>
                    </w:rPr>
                    <w:t xml:space="preserve"> </w:t>
                  </w:r>
                  <w:r>
                    <w:rPr>
                      <w:spacing w:val="-12"/>
                      <w:sz w:val="20"/>
                      <w:szCs w:val="20"/>
                    </w:rPr>
                    <w:t>政策、生态环境分区管控方案、规划环评、</w:t>
                  </w:r>
                  <w:r>
                    <w:rPr>
                      <w:spacing w:val="17"/>
                      <w:sz w:val="20"/>
                      <w:szCs w:val="20"/>
                    </w:rPr>
                    <w:t xml:space="preserve"> </w:t>
                  </w:r>
                  <w:r>
                    <w:rPr>
                      <w:spacing w:val="-5"/>
                      <w:sz w:val="20"/>
                      <w:szCs w:val="20"/>
                    </w:rPr>
                    <w:t>项目环评、节能审查、产能置换、重点污</w:t>
                  </w:r>
                  <w:r>
                    <w:rPr>
                      <w:spacing w:val="12"/>
                      <w:sz w:val="20"/>
                      <w:szCs w:val="20"/>
                    </w:rPr>
                    <w:t xml:space="preserve"> </w:t>
                  </w:r>
                  <w:r>
                    <w:rPr>
                      <w:spacing w:val="-5"/>
                      <w:sz w:val="20"/>
                      <w:szCs w:val="20"/>
                    </w:rPr>
                    <w:t>染物总量控制、污染物排放区域削减、碳</w:t>
                  </w:r>
                  <w:r>
                    <w:rPr>
                      <w:spacing w:val="11"/>
                      <w:sz w:val="20"/>
                      <w:szCs w:val="20"/>
                    </w:rPr>
                    <w:t xml:space="preserve"> </w:t>
                  </w:r>
                  <w:r>
                    <w:rPr>
                      <w:spacing w:val="-5"/>
                      <w:sz w:val="20"/>
                      <w:szCs w:val="20"/>
                    </w:rPr>
                    <w:t>排放达峰目标等相关要求，原则上采用清</w:t>
                  </w:r>
                  <w:r>
                    <w:rPr>
                      <w:spacing w:val="11"/>
                      <w:sz w:val="20"/>
                      <w:szCs w:val="20"/>
                    </w:rPr>
                    <w:t xml:space="preserve"> </w:t>
                  </w:r>
                  <w:r>
                    <w:rPr>
                      <w:spacing w:val="-6"/>
                      <w:sz w:val="20"/>
                      <w:szCs w:val="20"/>
                    </w:rPr>
                    <w:t>洁运输方式。</w:t>
                  </w:r>
                </w:p>
              </w:tc>
              <w:tc>
                <w:tcPr>
                  <w:tcW w:w="2317" w:type="dxa"/>
                  <w:vAlign w:val="top"/>
                </w:tcPr>
                <w:p w14:paraId="641812C8">
                  <w:pPr>
                    <w:spacing w:line="355" w:lineRule="auto"/>
                    <w:rPr>
                      <w:rFonts w:ascii="Arial"/>
                      <w:sz w:val="21"/>
                    </w:rPr>
                  </w:pPr>
                </w:p>
                <w:p w14:paraId="6CE1EB47">
                  <w:pPr>
                    <w:pStyle w:val="6"/>
                    <w:spacing w:before="65"/>
                    <w:ind w:left="15" w:right="5" w:firstLine="1"/>
                    <w:jc w:val="both"/>
                    <w:rPr>
                      <w:sz w:val="20"/>
                      <w:szCs w:val="20"/>
                    </w:rPr>
                  </w:pPr>
                  <w:r>
                    <w:rPr>
                      <w:spacing w:val="7"/>
                      <w:sz w:val="20"/>
                      <w:szCs w:val="20"/>
                    </w:rPr>
                    <w:t>本项目不属于两高和低水</w:t>
                  </w:r>
                  <w:r>
                    <w:rPr>
                      <w:spacing w:val="9"/>
                      <w:sz w:val="20"/>
                      <w:szCs w:val="20"/>
                    </w:rPr>
                    <w:t xml:space="preserve"> </w:t>
                  </w:r>
                  <w:r>
                    <w:rPr>
                      <w:spacing w:val="3"/>
                      <w:sz w:val="20"/>
                      <w:szCs w:val="20"/>
                    </w:rPr>
                    <w:t>平项目，</w:t>
                  </w:r>
                  <w:r>
                    <w:rPr>
                      <w:spacing w:val="-43"/>
                      <w:sz w:val="20"/>
                      <w:szCs w:val="20"/>
                    </w:rPr>
                    <w:t xml:space="preserve"> </w:t>
                  </w:r>
                  <w:r>
                    <w:rPr>
                      <w:spacing w:val="3"/>
                      <w:sz w:val="20"/>
                      <w:szCs w:val="20"/>
                    </w:rPr>
                    <w:t>已取得达州市通</w:t>
                  </w:r>
                  <w:r>
                    <w:rPr>
                      <w:sz w:val="20"/>
                      <w:szCs w:val="20"/>
                    </w:rPr>
                    <w:t xml:space="preserve"> </w:t>
                  </w:r>
                  <w:r>
                    <w:rPr>
                      <w:spacing w:val="6"/>
                      <w:sz w:val="20"/>
                      <w:szCs w:val="20"/>
                    </w:rPr>
                    <w:t>川区发展和改革局的《四</w:t>
                  </w:r>
                  <w:r>
                    <w:rPr>
                      <w:spacing w:val="3"/>
                      <w:sz w:val="20"/>
                      <w:szCs w:val="20"/>
                    </w:rPr>
                    <w:t xml:space="preserve"> </w:t>
                  </w:r>
                  <w:r>
                    <w:rPr>
                      <w:spacing w:val="8"/>
                      <w:sz w:val="20"/>
                      <w:szCs w:val="20"/>
                    </w:rPr>
                    <w:t>川省固定资产投资项目备</w:t>
                  </w:r>
                  <w:r>
                    <w:rPr>
                      <w:sz w:val="20"/>
                      <w:szCs w:val="20"/>
                    </w:rPr>
                    <w:t xml:space="preserve"> </w:t>
                  </w:r>
                  <w:r>
                    <w:rPr>
                      <w:spacing w:val="-7"/>
                      <w:sz w:val="20"/>
                      <w:szCs w:val="20"/>
                    </w:rPr>
                    <w:t>案表》。</w:t>
                  </w:r>
                </w:p>
              </w:tc>
              <w:tc>
                <w:tcPr>
                  <w:tcW w:w="687" w:type="dxa"/>
                  <w:vAlign w:val="top"/>
                </w:tcPr>
                <w:p w14:paraId="70255459">
                  <w:pPr>
                    <w:spacing w:line="289" w:lineRule="auto"/>
                    <w:rPr>
                      <w:rFonts w:ascii="Arial"/>
                      <w:sz w:val="21"/>
                    </w:rPr>
                  </w:pPr>
                </w:p>
                <w:p w14:paraId="1A41D7B9">
                  <w:pPr>
                    <w:spacing w:line="289" w:lineRule="auto"/>
                    <w:rPr>
                      <w:rFonts w:ascii="Arial"/>
                      <w:sz w:val="21"/>
                    </w:rPr>
                  </w:pPr>
                </w:p>
                <w:p w14:paraId="1CBDC8DC">
                  <w:pPr>
                    <w:spacing w:line="290" w:lineRule="auto"/>
                    <w:rPr>
                      <w:rFonts w:ascii="Arial"/>
                      <w:sz w:val="21"/>
                    </w:rPr>
                  </w:pPr>
                </w:p>
                <w:p w14:paraId="589095FB">
                  <w:pPr>
                    <w:pStyle w:val="6"/>
                    <w:spacing w:before="65" w:line="220" w:lineRule="auto"/>
                    <w:ind w:left="149"/>
                    <w:rPr>
                      <w:sz w:val="20"/>
                      <w:szCs w:val="20"/>
                    </w:rPr>
                  </w:pPr>
                  <w:r>
                    <w:rPr>
                      <w:spacing w:val="-3"/>
                      <w:sz w:val="20"/>
                      <w:szCs w:val="20"/>
                    </w:rPr>
                    <w:t>符合</w:t>
                  </w:r>
                </w:p>
              </w:tc>
            </w:tr>
            <w:tr w14:paraId="68BB8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592" w:type="dxa"/>
                  <w:vAlign w:val="top"/>
                </w:tcPr>
                <w:p w14:paraId="3639630E">
                  <w:pPr>
                    <w:spacing w:line="306" w:lineRule="auto"/>
                    <w:rPr>
                      <w:rFonts w:ascii="Arial"/>
                      <w:sz w:val="21"/>
                    </w:rPr>
                  </w:pPr>
                </w:p>
                <w:p w14:paraId="7893786D">
                  <w:pPr>
                    <w:spacing w:line="306" w:lineRule="auto"/>
                    <w:rPr>
                      <w:rFonts w:ascii="Arial"/>
                      <w:sz w:val="21"/>
                    </w:rPr>
                  </w:pPr>
                </w:p>
                <w:p w14:paraId="6B4C98D4">
                  <w:pPr>
                    <w:pStyle w:val="6"/>
                    <w:spacing w:before="65" w:line="242" w:lineRule="auto"/>
                    <w:ind w:left="253"/>
                    <w:rPr>
                      <w:sz w:val="20"/>
                      <w:szCs w:val="20"/>
                    </w:rPr>
                  </w:pPr>
                  <w:r>
                    <w:rPr>
                      <w:sz w:val="20"/>
                      <w:szCs w:val="20"/>
                    </w:rPr>
                    <w:t>2</w:t>
                  </w:r>
                </w:p>
              </w:tc>
              <w:tc>
                <w:tcPr>
                  <w:tcW w:w="3608" w:type="dxa"/>
                  <w:vAlign w:val="top"/>
                </w:tcPr>
                <w:p w14:paraId="6A15225C">
                  <w:pPr>
                    <w:pStyle w:val="6"/>
                    <w:spacing w:before="33" w:line="234" w:lineRule="auto"/>
                    <w:ind w:left="14" w:right="8" w:firstLine="34"/>
                    <w:rPr>
                      <w:sz w:val="20"/>
                      <w:szCs w:val="20"/>
                    </w:rPr>
                  </w:pPr>
                  <w:r>
                    <w:rPr>
                      <w:rFonts w:hint="eastAsia"/>
                      <w:spacing w:val="-3"/>
                      <w:sz w:val="20"/>
                      <w:szCs w:val="20"/>
                      <w:lang w:eastAsia="zh-CN"/>
                    </w:rPr>
                    <w:t>（</w:t>
                  </w:r>
                  <w:r>
                    <w:rPr>
                      <w:spacing w:val="-3"/>
                      <w:sz w:val="20"/>
                      <w:szCs w:val="20"/>
                    </w:rPr>
                    <w:t>二</w:t>
                  </w:r>
                  <w:r>
                    <w:rPr>
                      <w:rFonts w:hint="eastAsia"/>
                      <w:spacing w:val="-3"/>
                      <w:sz w:val="20"/>
                      <w:szCs w:val="20"/>
                      <w:lang w:eastAsia="zh-CN"/>
                    </w:rPr>
                    <w:t>）</w:t>
                  </w:r>
                  <w:r>
                    <w:rPr>
                      <w:spacing w:val="-3"/>
                      <w:sz w:val="20"/>
                      <w:szCs w:val="20"/>
                    </w:rPr>
                    <w:t>加快调整优化重点行业产能。严格执</w:t>
                  </w:r>
                  <w:r>
                    <w:rPr>
                      <w:spacing w:val="2"/>
                      <w:sz w:val="20"/>
                      <w:szCs w:val="20"/>
                    </w:rPr>
                    <w:t xml:space="preserve"> </w:t>
                  </w:r>
                  <w:r>
                    <w:rPr>
                      <w:spacing w:val="-6"/>
                      <w:sz w:val="20"/>
                      <w:szCs w:val="20"/>
                    </w:rPr>
                    <w:t>行《产业结构调整指导目录</w:t>
                  </w:r>
                  <w:r>
                    <w:rPr>
                      <w:rFonts w:hint="eastAsia"/>
                      <w:spacing w:val="-6"/>
                      <w:sz w:val="20"/>
                      <w:szCs w:val="20"/>
                      <w:lang w:eastAsia="zh-CN"/>
                    </w:rPr>
                    <w:t>（</w:t>
                  </w:r>
                  <w:r>
                    <w:rPr>
                      <w:spacing w:val="-6"/>
                      <w:sz w:val="20"/>
                      <w:szCs w:val="20"/>
                    </w:rPr>
                    <w:t>2024年本</w:t>
                  </w:r>
                  <w:r>
                    <w:rPr>
                      <w:rFonts w:hint="eastAsia"/>
                      <w:spacing w:val="-6"/>
                      <w:sz w:val="20"/>
                      <w:szCs w:val="20"/>
                      <w:lang w:eastAsia="zh-CN"/>
                    </w:rPr>
                    <w:t>）</w:t>
                  </w:r>
                  <w:r>
                    <w:rPr>
                      <w:spacing w:val="-6"/>
                      <w:sz w:val="20"/>
                      <w:szCs w:val="20"/>
                    </w:rPr>
                    <w:t>》</w:t>
                  </w:r>
                  <w:r>
                    <w:rPr>
                      <w:rFonts w:hint="eastAsia"/>
                      <w:spacing w:val="-6"/>
                      <w:sz w:val="20"/>
                      <w:szCs w:val="20"/>
                      <w:lang w:eastAsia="zh-CN"/>
                    </w:rPr>
                    <w:t>，</w:t>
                  </w:r>
                  <w:r>
                    <w:rPr>
                      <w:spacing w:val="10"/>
                      <w:sz w:val="20"/>
                      <w:szCs w:val="20"/>
                    </w:rPr>
                    <w:t xml:space="preserve"> 制定实施年度推动落后产能退出</w:t>
                  </w:r>
                  <w:r>
                    <w:rPr>
                      <w:rFonts w:hint="eastAsia"/>
                      <w:spacing w:val="10"/>
                      <w:sz w:val="20"/>
                      <w:szCs w:val="20"/>
                      <w:lang w:eastAsia="zh-CN"/>
                    </w:rPr>
                    <w:t>工作</w:t>
                  </w:r>
                  <w:r>
                    <w:rPr>
                      <w:spacing w:val="-3"/>
                      <w:sz w:val="20"/>
                      <w:szCs w:val="20"/>
                    </w:rPr>
                    <w:t>重点城市提高能耗、环保、质量、安全、</w:t>
                  </w:r>
                  <w:r>
                    <w:rPr>
                      <w:spacing w:val="16"/>
                      <w:sz w:val="20"/>
                      <w:szCs w:val="20"/>
                    </w:rPr>
                    <w:t xml:space="preserve"> </w:t>
                  </w:r>
                  <w:r>
                    <w:rPr>
                      <w:spacing w:val="4"/>
                      <w:sz w:val="20"/>
                      <w:szCs w:val="20"/>
                    </w:rPr>
                    <w:t>技术等要求</w:t>
                  </w:r>
                  <w:r>
                    <w:rPr>
                      <w:rFonts w:hint="eastAsia"/>
                      <w:spacing w:val="4"/>
                      <w:sz w:val="20"/>
                      <w:szCs w:val="20"/>
                      <w:lang w:eastAsia="zh-CN"/>
                    </w:rPr>
                    <w:t>，</w:t>
                  </w:r>
                  <w:r>
                    <w:rPr>
                      <w:spacing w:val="4"/>
                      <w:sz w:val="20"/>
                      <w:szCs w:val="20"/>
                    </w:rPr>
                    <w:t>支持限制案。重类涉气行业</w:t>
                  </w:r>
                  <w:r>
                    <w:rPr>
                      <w:spacing w:val="7"/>
                      <w:sz w:val="20"/>
                      <w:szCs w:val="20"/>
                    </w:rPr>
                    <w:t xml:space="preserve"> </w:t>
                  </w:r>
                  <w:r>
                    <w:rPr>
                      <w:spacing w:val="-2"/>
                      <w:sz w:val="20"/>
                      <w:szCs w:val="20"/>
                    </w:rPr>
                    <w:t>工艺装备通过等量或减量置换退出。</w:t>
                  </w:r>
                </w:p>
              </w:tc>
              <w:tc>
                <w:tcPr>
                  <w:tcW w:w="2317" w:type="dxa"/>
                  <w:vAlign w:val="top"/>
                </w:tcPr>
                <w:p w14:paraId="3316041B">
                  <w:pPr>
                    <w:spacing w:line="354" w:lineRule="auto"/>
                    <w:rPr>
                      <w:rFonts w:ascii="Arial"/>
                      <w:sz w:val="21"/>
                    </w:rPr>
                  </w:pPr>
                </w:p>
                <w:p w14:paraId="4F6DE313">
                  <w:pPr>
                    <w:pStyle w:val="6"/>
                    <w:spacing w:before="65" w:line="241" w:lineRule="auto"/>
                    <w:ind w:left="17" w:right="7"/>
                    <w:jc w:val="both"/>
                    <w:rPr>
                      <w:sz w:val="20"/>
                      <w:szCs w:val="20"/>
                    </w:rPr>
                  </w:pPr>
                  <w:r>
                    <w:rPr>
                      <w:spacing w:val="7"/>
                      <w:sz w:val="20"/>
                      <w:szCs w:val="20"/>
                    </w:rPr>
                    <w:t>本项目符合《产业结构调</w:t>
                  </w:r>
                  <w:r>
                    <w:rPr>
                      <w:spacing w:val="9"/>
                      <w:sz w:val="20"/>
                      <w:szCs w:val="20"/>
                    </w:rPr>
                    <w:t xml:space="preserve"> </w:t>
                  </w:r>
                  <w:r>
                    <w:rPr>
                      <w:spacing w:val="5"/>
                      <w:sz w:val="20"/>
                      <w:szCs w:val="20"/>
                    </w:rPr>
                    <w:t>整指导目录</w:t>
                  </w:r>
                  <w:r>
                    <w:rPr>
                      <w:rFonts w:hint="eastAsia"/>
                      <w:spacing w:val="5"/>
                      <w:sz w:val="20"/>
                      <w:szCs w:val="20"/>
                      <w:lang w:eastAsia="zh-CN"/>
                    </w:rPr>
                    <w:t>（</w:t>
                  </w:r>
                  <w:r>
                    <w:rPr>
                      <w:spacing w:val="5"/>
                      <w:sz w:val="20"/>
                      <w:szCs w:val="20"/>
                    </w:rPr>
                    <w:t>2024年本</w:t>
                  </w:r>
                  <w:r>
                    <w:rPr>
                      <w:rFonts w:hint="eastAsia"/>
                      <w:spacing w:val="5"/>
                      <w:sz w:val="20"/>
                      <w:szCs w:val="20"/>
                      <w:lang w:eastAsia="zh-CN"/>
                    </w:rPr>
                    <w:t>）</w:t>
                  </w:r>
                  <w:r>
                    <w:rPr>
                      <w:spacing w:val="5"/>
                      <w:sz w:val="20"/>
                      <w:szCs w:val="20"/>
                    </w:rPr>
                    <w:t>》</w:t>
                  </w:r>
                  <w:r>
                    <w:rPr>
                      <w:spacing w:val="11"/>
                      <w:sz w:val="20"/>
                      <w:szCs w:val="20"/>
                    </w:rPr>
                    <w:t xml:space="preserve"> </w:t>
                  </w:r>
                  <w:r>
                    <w:rPr>
                      <w:spacing w:val="-1"/>
                      <w:sz w:val="20"/>
                      <w:szCs w:val="20"/>
                    </w:rPr>
                    <w:t>要求，属于允许类项目。</w:t>
                  </w:r>
                </w:p>
              </w:tc>
              <w:tc>
                <w:tcPr>
                  <w:tcW w:w="687" w:type="dxa"/>
                  <w:vAlign w:val="top"/>
                </w:tcPr>
                <w:p w14:paraId="39699F69">
                  <w:pPr>
                    <w:spacing w:line="306" w:lineRule="auto"/>
                    <w:rPr>
                      <w:rFonts w:ascii="Arial"/>
                      <w:sz w:val="21"/>
                    </w:rPr>
                  </w:pPr>
                </w:p>
                <w:p w14:paraId="62DDEB84">
                  <w:pPr>
                    <w:spacing w:line="307" w:lineRule="auto"/>
                    <w:rPr>
                      <w:rFonts w:ascii="Arial"/>
                      <w:sz w:val="21"/>
                    </w:rPr>
                  </w:pPr>
                </w:p>
                <w:p w14:paraId="79173832">
                  <w:pPr>
                    <w:pStyle w:val="6"/>
                    <w:spacing w:before="65" w:line="220" w:lineRule="auto"/>
                    <w:ind w:left="149"/>
                    <w:rPr>
                      <w:sz w:val="20"/>
                      <w:szCs w:val="20"/>
                    </w:rPr>
                  </w:pPr>
                  <w:r>
                    <w:rPr>
                      <w:spacing w:val="-3"/>
                      <w:sz w:val="20"/>
                      <w:szCs w:val="20"/>
                    </w:rPr>
                    <w:t>符合</w:t>
                  </w:r>
                </w:p>
              </w:tc>
            </w:tr>
          </w:tbl>
          <w:p w14:paraId="7BE7E31D">
            <w:pPr>
              <w:pStyle w:val="6"/>
              <w:spacing w:before="131" w:line="228" w:lineRule="auto"/>
              <w:ind w:left="114"/>
            </w:pPr>
            <w:r>
              <w:rPr>
                <w:b/>
                <w:bCs/>
                <w:spacing w:val="6"/>
              </w:rPr>
              <w:t>6、国土空间规划的符合性</w:t>
            </w:r>
          </w:p>
          <w:p w14:paraId="48795C37">
            <w:pPr>
              <w:pStyle w:val="6"/>
              <w:spacing w:before="139" w:line="352" w:lineRule="auto"/>
              <w:ind w:left="111" w:right="109" w:firstLine="443"/>
              <w:jc w:val="both"/>
            </w:pPr>
            <w:r>
              <w:rPr>
                <w:spacing w:val="10"/>
              </w:rPr>
              <w:t>2024年4月7日，</w:t>
            </w:r>
            <w:r>
              <w:rPr>
                <w:spacing w:val="-52"/>
              </w:rPr>
              <w:t xml:space="preserve"> </w:t>
            </w:r>
            <w:r>
              <w:rPr>
                <w:spacing w:val="10"/>
              </w:rPr>
              <w:t>四川省人民政府发布了《关于印发〈四川省国土空间规</w:t>
            </w:r>
            <w:r>
              <w:t xml:space="preserve"> </w:t>
            </w:r>
            <w:r>
              <w:rPr>
                <w:spacing w:val="7"/>
              </w:rPr>
              <w:t>划（2021—2035年）〉的通知》（川府发〔2024〕8号</w:t>
            </w:r>
            <w:r>
              <w:t>），</w:t>
            </w:r>
            <w:r>
              <w:rPr>
                <w:spacing w:val="-48"/>
              </w:rPr>
              <w:t xml:space="preserve"> </w:t>
            </w:r>
            <w:r>
              <w:rPr>
                <w:spacing w:val="7"/>
              </w:rPr>
              <w:t>明确</w:t>
            </w:r>
            <w:r>
              <w:rPr>
                <w:spacing w:val="6"/>
              </w:rPr>
              <w:t>了四川省的战</w:t>
            </w:r>
            <w:r>
              <w:t xml:space="preserve"> </w:t>
            </w:r>
            <w:r>
              <w:rPr>
                <w:spacing w:val="9"/>
              </w:rPr>
              <w:t>略定位、规划目标、空间总体格局等，是未来十多年四川的发展蓝图。</w:t>
            </w:r>
          </w:p>
          <w:p w14:paraId="56D91B35">
            <w:pPr>
              <w:pStyle w:val="6"/>
              <w:spacing w:before="3" w:line="327" w:lineRule="auto"/>
              <w:ind w:left="116" w:right="109" w:firstLine="439"/>
              <w:jc w:val="both"/>
            </w:pPr>
            <w:r>
              <w:rPr>
                <w:spacing w:val="7"/>
              </w:rPr>
              <w:t>2024年2月27日，</w:t>
            </w:r>
            <w:r>
              <w:rPr>
                <w:spacing w:val="-84"/>
              </w:rPr>
              <w:t xml:space="preserve"> </w:t>
            </w:r>
            <w:r>
              <w:rPr>
                <w:spacing w:val="7"/>
              </w:rPr>
              <w:t>《达州市国土空间总体规划（2021—2035年）》由四川</w:t>
            </w:r>
            <w:r>
              <w:t xml:space="preserve"> </w:t>
            </w:r>
            <w:r>
              <w:rPr>
                <w:spacing w:val="11"/>
              </w:rPr>
              <w:t>省人民政府发布。</w:t>
            </w:r>
            <w:r>
              <w:rPr>
                <w:spacing w:val="-80"/>
              </w:rPr>
              <w:t xml:space="preserve"> </w:t>
            </w:r>
            <w:r>
              <w:rPr>
                <w:spacing w:val="11"/>
              </w:rPr>
              <w:t>《达州市国土空间总体规划（</w:t>
            </w:r>
            <w:r>
              <w:rPr>
                <w:spacing w:val="10"/>
              </w:rPr>
              <w:t>2021—2035年）》是为推动</w:t>
            </w:r>
            <w:r>
              <w:t xml:space="preserve"> </w:t>
            </w:r>
            <w:r>
              <w:rPr>
                <w:spacing w:val="13"/>
              </w:rPr>
              <w:t>高质量发展、促进共同富裕，聚焦共建万达开川渝</w:t>
            </w:r>
            <w:r>
              <w:rPr>
                <w:spacing w:val="12"/>
              </w:rPr>
              <w:t>统筹发展示范区，着力建</w:t>
            </w:r>
            <w:r>
              <w:t xml:space="preserve"> </w:t>
            </w:r>
            <w:r>
              <w:rPr>
                <w:spacing w:val="13"/>
              </w:rPr>
              <w:t>设巴文化传承创新和旅游发展高地、万达开天然气</w:t>
            </w:r>
            <w:r>
              <w:rPr>
                <w:spacing w:val="12"/>
              </w:rPr>
              <w:t>锂钾综合利用集聚区和东</w:t>
            </w:r>
            <w:r>
              <w:t xml:space="preserve"> </w:t>
            </w:r>
            <w:r>
              <w:rPr>
                <w:spacing w:val="9"/>
              </w:rPr>
              <w:t>出北上国际陆港枢纽，组团培育川东北省域经济副中心而制定的文件。</w:t>
            </w:r>
          </w:p>
        </w:tc>
      </w:tr>
    </w:tbl>
    <w:p w14:paraId="74E1225C">
      <w:pPr>
        <w:rPr>
          <w:rFonts w:ascii="Arial"/>
          <w:sz w:val="21"/>
        </w:rPr>
      </w:pPr>
    </w:p>
    <w:p w14:paraId="04AF2AC5">
      <w:pPr>
        <w:rPr>
          <w:rFonts w:ascii="Arial" w:hAnsi="Arial" w:eastAsia="Arial" w:cs="Arial"/>
          <w:sz w:val="21"/>
          <w:szCs w:val="21"/>
        </w:rPr>
        <w:sectPr>
          <w:footerReference r:id="rId30" w:type="default"/>
          <w:pgSz w:w="11907" w:h="16839"/>
          <w:pgMar w:top="1431" w:right="1498" w:bottom="1055" w:left="1498" w:header="0" w:footer="802" w:gutter="0"/>
          <w:cols w:space="720" w:num="1"/>
        </w:sectPr>
      </w:pPr>
    </w:p>
    <w:p w14:paraId="08B7D62F">
      <w:pPr>
        <w:spacing w:before="28"/>
      </w:pPr>
    </w:p>
    <w:tbl>
      <w:tblPr>
        <w:tblStyle w:val="5"/>
        <w:tblW w:w="89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3"/>
        <w:gridCol w:w="7580"/>
      </w:tblGrid>
      <w:tr w14:paraId="2EE94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23" w:hRule="atLeast"/>
        </w:trPr>
        <w:tc>
          <w:tcPr>
            <w:tcW w:w="1323" w:type="dxa"/>
            <w:vAlign w:val="top"/>
          </w:tcPr>
          <w:p w14:paraId="5A4C12B6">
            <w:pPr>
              <w:rPr>
                <w:rFonts w:ascii="Arial"/>
                <w:sz w:val="21"/>
              </w:rPr>
            </w:pPr>
          </w:p>
        </w:tc>
        <w:tc>
          <w:tcPr>
            <w:tcW w:w="7580" w:type="dxa"/>
            <w:vAlign w:val="top"/>
          </w:tcPr>
          <w:p w14:paraId="3C00468F">
            <w:pPr>
              <w:pStyle w:val="6"/>
              <w:spacing w:before="136" w:line="227" w:lineRule="auto"/>
              <w:ind w:left="553"/>
            </w:pPr>
            <w:r>
              <w:rPr>
                <w:spacing w:val="7"/>
              </w:rPr>
              <w:t>本项目与上述规划的符合性分析如下：</w:t>
            </w:r>
          </w:p>
          <w:p w14:paraId="1BF664EC">
            <w:pPr>
              <w:pStyle w:val="6"/>
              <w:spacing w:before="148" w:line="220" w:lineRule="auto"/>
              <w:ind w:left="1684"/>
            </w:pPr>
            <w:r>
              <w:rPr>
                <w:b/>
                <w:bCs/>
                <w:spacing w:val="-2"/>
              </w:rPr>
              <w:t>表1-12</w:t>
            </w:r>
            <w:r>
              <w:rPr>
                <w:spacing w:val="-2"/>
              </w:rPr>
              <w:t xml:space="preserve">    </w:t>
            </w:r>
            <w:r>
              <w:rPr>
                <w:b/>
                <w:bCs/>
                <w:spacing w:val="-2"/>
              </w:rPr>
              <w:t>项目与国土空间规划的符合性分析</w:t>
            </w:r>
          </w:p>
          <w:p w14:paraId="69A17F8A">
            <w:pPr>
              <w:spacing w:line="115" w:lineRule="auto"/>
              <w:rPr>
                <w:rFonts w:ascii="Arial"/>
                <w:sz w:val="2"/>
              </w:rPr>
            </w:pPr>
          </w:p>
          <w:tbl>
            <w:tblPr>
              <w:tblStyle w:val="5"/>
              <w:tblW w:w="7404" w:type="dxa"/>
              <w:tblInd w:w="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3"/>
              <w:gridCol w:w="3968"/>
              <w:gridCol w:w="1407"/>
              <w:gridCol w:w="846"/>
            </w:tblGrid>
            <w:tr w14:paraId="407E4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1183" w:type="dxa"/>
                  <w:vAlign w:val="top"/>
                </w:tcPr>
                <w:p w14:paraId="7657F944">
                  <w:pPr>
                    <w:pStyle w:val="6"/>
                    <w:spacing w:before="34" w:line="207" w:lineRule="auto"/>
                    <w:ind w:left="396"/>
                    <w:rPr>
                      <w:sz w:val="20"/>
                      <w:szCs w:val="20"/>
                    </w:rPr>
                  </w:pPr>
                  <w:r>
                    <w:rPr>
                      <w:b/>
                      <w:bCs/>
                      <w:spacing w:val="-4"/>
                      <w:sz w:val="20"/>
                      <w:szCs w:val="20"/>
                    </w:rPr>
                    <w:t>文件</w:t>
                  </w:r>
                </w:p>
              </w:tc>
              <w:tc>
                <w:tcPr>
                  <w:tcW w:w="3968" w:type="dxa"/>
                  <w:vAlign w:val="top"/>
                </w:tcPr>
                <w:p w14:paraId="25AE8A81">
                  <w:pPr>
                    <w:pStyle w:val="6"/>
                    <w:spacing w:before="34" w:line="207" w:lineRule="auto"/>
                    <w:ind w:left="1589"/>
                    <w:rPr>
                      <w:sz w:val="20"/>
                      <w:szCs w:val="20"/>
                    </w:rPr>
                  </w:pPr>
                  <w:r>
                    <w:rPr>
                      <w:b/>
                      <w:bCs/>
                      <w:spacing w:val="-4"/>
                      <w:sz w:val="20"/>
                      <w:szCs w:val="20"/>
                    </w:rPr>
                    <w:t>规划要求</w:t>
                  </w:r>
                </w:p>
              </w:tc>
              <w:tc>
                <w:tcPr>
                  <w:tcW w:w="1407" w:type="dxa"/>
                  <w:vAlign w:val="top"/>
                </w:tcPr>
                <w:p w14:paraId="545BC817">
                  <w:pPr>
                    <w:pStyle w:val="6"/>
                    <w:spacing w:before="34" w:line="207" w:lineRule="auto"/>
                    <w:ind w:left="207"/>
                    <w:rPr>
                      <w:sz w:val="20"/>
                      <w:szCs w:val="20"/>
                    </w:rPr>
                  </w:pPr>
                  <w:r>
                    <w:rPr>
                      <w:b/>
                      <w:bCs/>
                      <w:spacing w:val="-4"/>
                      <w:sz w:val="20"/>
                      <w:szCs w:val="20"/>
                    </w:rPr>
                    <w:t>本项目情况</w:t>
                  </w:r>
                </w:p>
              </w:tc>
              <w:tc>
                <w:tcPr>
                  <w:tcW w:w="846" w:type="dxa"/>
                  <w:vAlign w:val="top"/>
                </w:tcPr>
                <w:p w14:paraId="25023BFE">
                  <w:pPr>
                    <w:pStyle w:val="6"/>
                    <w:spacing w:before="34" w:line="207" w:lineRule="auto"/>
                    <w:ind w:left="127"/>
                    <w:rPr>
                      <w:sz w:val="20"/>
                      <w:szCs w:val="20"/>
                    </w:rPr>
                  </w:pPr>
                  <w:r>
                    <w:rPr>
                      <w:b/>
                      <w:bCs/>
                      <w:spacing w:val="-5"/>
                      <w:sz w:val="20"/>
                      <w:szCs w:val="20"/>
                    </w:rPr>
                    <w:t>符合性</w:t>
                  </w:r>
                </w:p>
              </w:tc>
            </w:tr>
            <w:tr w14:paraId="764E3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3" w:hRule="atLeast"/>
              </w:trPr>
              <w:tc>
                <w:tcPr>
                  <w:tcW w:w="1183" w:type="dxa"/>
                  <w:vAlign w:val="top"/>
                </w:tcPr>
                <w:p w14:paraId="24D4AAB2">
                  <w:pPr>
                    <w:spacing w:line="250" w:lineRule="auto"/>
                    <w:rPr>
                      <w:rFonts w:ascii="Arial"/>
                      <w:sz w:val="21"/>
                    </w:rPr>
                  </w:pPr>
                </w:p>
                <w:p w14:paraId="2976B714">
                  <w:pPr>
                    <w:spacing w:line="250" w:lineRule="auto"/>
                    <w:rPr>
                      <w:rFonts w:ascii="Arial"/>
                      <w:sz w:val="21"/>
                    </w:rPr>
                  </w:pPr>
                </w:p>
                <w:p w14:paraId="413640CC">
                  <w:pPr>
                    <w:spacing w:line="251" w:lineRule="auto"/>
                    <w:rPr>
                      <w:rFonts w:ascii="Arial"/>
                      <w:sz w:val="21"/>
                    </w:rPr>
                  </w:pPr>
                </w:p>
                <w:p w14:paraId="729AF6CA">
                  <w:pPr>
                    <w:spacing w:line="251" w:lineRule="auto"/>
                    <w:rPr>
                      <w:rFonts w:ascii="Arial"/>
                      <w:sz w:val="21"/>
                    </w:rPr>
                  </w:pPr>
                </w:p>
                <w:p w14:paraId="08996B12">
                  <w:pPr>
                    <w:spacing w:line="251" w:lineRule="auto"/>
                    <w:rPr>
                      <w:rFonts w:ascii="Arial"/>
                      <w:sz w:val="21"/>
                    </w:rPr>
                  </w:pPr>
                </w:p>
                <w:p w14:paraId="6537A20E">
                  <w:pPr>
                    <w:pStyle w:val="6"/>
                    <w:spacing w:before="65" w:line="220" w:lineRule="auto"/>
                    <w:ind w:left="65"/>
                    <w:rPr>
                      <w:sz w:val="20"/>
                      <w:szCs w:val="20"/>
                    </w:rPr>
                  </w:pPr>
                  <w:r>
                    <w:rPr>
                      <w:spacing w:val="8"/>
                      <w:sz w:val="20"/>
                      <w:szCs w:val="20"/>
                    </w:rPr>
                    <w:t>《四川省国</w:t>
                  </w:r>
                </w:p>
                <w:p w14:paraId="7F509A74">
                  <w:pPr>
                    <w:pStyle w:val="6"/>
                    <w:spacing w:before="19" w:line="241" w:lineRule="auto"/>
                    <w:ind w:left="63" w:firstLine="1"/>
                    <w:jc w:val="both"/>
                    <w:rPr>
                      <w:sz w:val="20"/>
                      <w:szCs w:val="20"/>
                    </w:rPr>
                  </w:pPr>
                  <w:r>
                    <w:rPr>
                      <w:spacing w:val="9"/>
                      <w:sz w:val="20"/>
                      <w:szCs w:val="20"/>
                    </w:rPr>
                    <w:t>土空间规划</w:t>
                  </w:r>
                  <w:r>
                    <w:rPr>
                      <w:sz w:val="20"/>
                      <w:szCs w:val="20"/>
                    </w:rPr>
                    <w:t xml:space="preserve"> </w:t>
                  </w:r>
                  <w:r>
                    <w:rPr>
                      <w:spacing w:val="-4"/>
                      <w:sz w:val="20"/>
                      <w:szCs w:val="20"/>
                    </w:rPr>
                    <w:t>（</w:t>
                  </w:r>
                  <w:r>
                    <w:rPr>
                      <w:spacing w:val="-21"/>
                      <w:sz w:val="20"/>
                      <w:szCs w:val="20"/>
                    </w:rPr>
                    <w:t xml:space="preserve"> </w:t>
                  </w:r>
                  <w:r>
                    <w:rPr>
                      <w:spacing w:val="-4"/>
                      <w:sz w:val="20"/>
                      <w:szCs w:val="20"/>
                    </w:rPr>
                    <w:t>2021—20</w:t>
                  </w:r>
                  <w:r>
                    <w:rPr>
                      <w:sz w:val="20"/>
                      <w:szCs w:val="20"/>
                    </w:rPr>
                    <w:t xml:space="preserve"> </w:t>
                  </w:r>
                  <w:r>
                    <w:rPr>
                      <w:spacing w:val="-22"/>
                      <w:sz w:val="20"/>
                      <w:szCs w:val="20"/>
                    </w:rPr>
                    <w:t>35年）》（川</w:t>
                  </w:r>
                  <w:r>
                    <w:rPr>
                      <w:spacing w:val="1"/>
                      <w:sz w:val="20"/>
                      <w:szCs w:val="20"/>
                    </w:rPr>
                    <w:t xml:space="preserve"> </w:t>
                  </w:r>
                  <w:r>
                    <w:rPr>
                      <w:spacing w:val="-11"/>
                      <w:sz w:val="20"/>
                      <w:szCs w:val="20"/>
                    </w:rPr>
                    <w:t>府发</w:t>
                  </w:r>
                  <w:r>
                    <w:rPr>
                      <w:rFonts w:hint="eastAsia"/>
                      <w:spacing w:val="-11"/>
                      <w:sz w:val="20"/>
                      <w:szCs w:val="20"/>
                      <w:lang w:eastAsia="zh-CN"/>
                    </w:rPr>
                    <w:t>〔2024〕8号</w:t>
                  </w:r>
                  <w:r>
                    <w:rPr>
                      <w:spacing w:val="-6"/>
                      <w:sz w:val="20"/>
                      <w:szCs w:val="20"/>
                    </w:rPr>
                    <w:t>）</w:t>
                  </w:r>
                </w:p>
              </w:tc>
              <w:tc>
                <w:tcPr>
                  <w:tcW w:w="3968" w:type="dxa"/>
                  <w:vAlign w:val="top"/>
                </w:tcPr>
                <w:p w14:paraId="280D932C">
                  <w:pPr>
                    <w:pStyle w:val="6"/>
                    <w:spacing w:before="34" w:line="237" w:lineRule="auto"/>
                    <w:ind w:left="61" w:right="52"/>
                    <w:jc w:val="both"/>
                    <w:rPr>
                      <w:sz w:val="20"/>
                      <w:szCs w:val="20"/>
                    </w:rPr>
                  </w:pPr>
                  <w:r>
                    <w:rPr>
                      <w:spacing w:val="2"/>
                      <w:sz w:val="20"/>
                      <w:szCs w:val="20"/>
                    </w:rPr>
                    <w:t>第五节推动五大片区突出特色、协同共兴川</w:t>
                  </w:r>
                  <w:r>
                    <w:rPr>
                      <w:spacing w:val="4"/>
                      <w:sz w:val="20"/>
                      <w:szCs w:val="20"/>
                    </w:rPr>
                    <w:t xml:space="preserve"> </w:t>
                  </w:r>
                  <w:r>
                    <w:rPr>
                      <w:spacing w:val="2"/>
                      <w:sz w:val="20"/>
                      <w:szCs w:val="20"/>
                    </w:rPr>
                    <w:t>东北经济区。严格保护现状优质耕地，积极</w:t>
                  </w:r>
                  <w:r>
                    <w:rPr>
                      <w:spacing w:val="4"/>
                      <w:sz w:val="20"/>
                      <w:szCs w:val="20"/>
                    </w:rPr>
                    <w:t xml:space="preserve"> </w:t>
                  </w:r>
                  <w:r>
                    <w:rPr>
                      <w:spacing w:val="7"/>
                      <w:sz w:val="20"/>
                      <w:szCs w:val="20"/>
                    </w:rPr>
                    <w:t>开发耕地后备资源</w:t>
                  </w:r>
                  <w:r>
                    <w:rPr>
                      <w:rFonts w:hint="eastAsia"/>
                      <w:spacing w:val="7"/>
                      <w:sz w:val="20"/>
                      <w:szCs w:val="20"/>
                      <w:lang w:eastAsia="zh-CN"/>
                    </w:rPr>
                    <w:t>，</w:t>
                  </w:r>
                  <w:r>
                    <w:rPr>
                      <w:spacing w:val="7"/>
                      <w:sz w:val="20"/>
                      <w:szCs w:val="20"/>
                    </w:rPr>
                    <w:t>加大水资源配置工程建</w:t>
                  </w:r>
                  <w:r>
                    <w:rPr>
                      <w:spacing w:val="13"/>
                      <w:sz w:val="20"/>
                      <w:szCs w:val="20"/>
                    </w:rPr>
                    <w:t xml:space="preserve"> </w:t>
                  </w:r>
                  <w:r>
                    <w:rPr>
                      <w:spacing w:val="-3"/>
                      <w:sz w:val="20"/>
                      <w:szCs w:val="20"/>
                    </w:rPr>
                    <w:t>设力度</w:t>
                  </w:r>
                  <w:r>
                    <w:rPr>
                      <w:rFonts w:hint="eastAsia"/>
                      <w:spacing w:val="-3"/>
                      <w:sz w:val="20"/>
                      <w:szCs w:val="20"/>
                      <w:lang w:eastAsia="zh-CN"/>
                    </w:rPr>
                    <w:t>，</w:t>
                  </w:r>
                  <w:r>
                    <w:rPr>
                      <w:spacing w:val="-3"/>
                      <w:sz w:val="20"/>
                      <w:szCs w:val="20"/>
                    </w:rPr>
                    <w:t>全面提高片区耕地产出效率。强化对</w:t>
                  </w:r>
                  <w:r>
                    <w:rPr>
                      <w:spacing w:val="7"/>
                      <w:sz w:val="20"/>
                      <w:szCs w:val="20"/>
                    </w:rPr>
                    <w:t xml:space="preserve"> </w:t>
                  </w:r>
                  <w:r>
                    <w:rPr>
                      <w:spacing w:val="2"/>
                      <w:sz w:val="20"/>
                      <w:szCs w:val="20"/>
                    </w:rPr>
                    <w:t>大巴山、米仓山等盆周生态功能区的严格保</w:t>
                  </w:r>
                  <w:r>
                    <w:rPr>
                      <w:spacing w:val="4"/>
                      <w:sz w:val="20"/>
                      <w:szCs w:val="20"/>
                    </w:rPr>
                    <w:t xml:space="preserve"> </w:t>
                  </w:r>
                  <w:r>
                    <w:rPr>
                      <w:sz w:val="20"/>
                      <w:szCs w:val="20"/>
                    </w:rPr>
                    <w:t>护。突出分层组织、相互协调</w:t>
                  </w:r>
                  <w:r>
                    <w:rPr>
                      <w:spacing w:val="-54"/>
                      <w:sz w:val="20"/>
                      <w:szCs w:val="20"/>
                    </w:rPr>
                    <w:t xml:space="preserve"> </w:t>
                  </w:r>
                  <w:r>
                    <w:rPr>
                      <w:sz w:val="20"/>
                      <w:szCs w:val="20"/>
                    </w:rPr>
                    <w:t>”按照“南北 差异、重点集聚、轴带提升、整体振兴</w:t>
                  </w:r>
                  <w:r>
                    <w:rPr>
                      <w:spacing w:val="-54"/>
                      <w:sz w:val="20"/>
                      <w:szCs w:val="20"/>
                    </w:rPr>
                    <w:t xml:space="preserve"> </w:t>
                  </w:r>
                  <w:r>
                    <w:rPr>
                      <w:sz w:val="20"/>
                      <w:szCs w:val="20"/>
                    </w:rPr>
                    <w:t xml:space="preserve">”的 </w:t>
                  </w:r>
                  <w:r>
                    <w:rPr>
                      <w:spacing w:val="2"/>
                      <w:sz w:val="20"/>
                      <w:szCs w:val="20"/>
                    </w:rPr>
                    <w:t>思路优化城镇空间。强化川东北与渝东北一</w:t>
                  </w:r>
                  <w:r>
                    <w:rPr>
                      <w:spacing w:val="4"/>
                      <w:sz w:val="20"/>
                      <w:szCs w:val="20"/>
                    </w:rPr>
                    <w:t xml:space="preserve"> </w:t>
                  </w:r>
                  <w:r>
                    <w:rPr>
                      <w:spacing w:val="2"/>
                      <w:sz w:val="20"/>
                      <w:szCs w:val="20"/>
                    </w:rPr>
                    <w:t>体化发展。共同打造万达开川渝统筹发展示</w:t>
                  </w:r>
                  <w:r>
                    <w:rPr>
                      <w:spacing w:val="4"/>
                      <w:sz w:val="20"/>
                      <w:szCs w:val="20"/>
                    </w:rPr>
                    <w:t xml:space="preserve"> </w:t>
                  </w:r>
                  <w:r>
                    <w:rPr>
                      <w:spacing w:val="2"/>
                      <w:sz w:val="20"/>
                      <w:szCs w:val="20"/>
                    </w:rPr>
                    <w:t>范区，着力构建省际高质量发展引领区。打</w:t>
                  </w:r>
                  <w:r>
                    <w:rPr>
                      <w:spacing w:val="4"/>
                      <w:sz w:val="20"/>
                      <w:szCs w:val="20"/>
                    </w:rPr>
                    <w:t xml:space="preserve"> </w:t>
                  </w:r>
                  <w:r>
                    <w:rPr>
                      <w:spacing w:val="2"/>
                      <w:sz w:val="20"/>
                      <w:szCs w:val="20"/>
                    </w:rPr>
                    <w:t>造成南达万沿线经济走廊，加快建设东出北</w:t>
                  </w:r>
                  <w:r>
                    <w:rPr>
                      <w:spacing w:val="4"/>
                      <w:sz w:val="20"/>
                      <w:szCs w:val="20"/>
                    </w:rPr>
                    <w:t xml:space="preserve"> </w:t>
                  </w:r>
                  <w:r>
                    <w:rPr>
                      <w:spacing w:val="2"/>
                      <w:sz w:val="20"/>
                      <w:szCs w:val="20"/>
                    </w:rPr>
                    <w:t>上综合交通运输大通道</w:t>
                  </w:r>
                  <w:r>
                    <w:rPr>
                      <w:rFonts w:hint="eastAsia"/>
                      <w:spacing w:val="2"/>
                      <w:sz w:val="20"/>
                      <w:szCs w:val="20"/>
                      <w:lang w:eastAsia="zh-CN"/>
                    </w:rPr>
                    <w:t>，</w:t>
                  </w:r>
                  <w:r>
                    <w:rPr>
                      <w:spacing w:val="2"/>
                      <w:sz w:val="20"/>
                      <w:szCs w:val="20"/>
                    </w:rPr>
                    <w:t>推动南充</w:t>
                  </w:r>
                  <w:r>
                    <w:rPr>
                      <w:rFonts w:hint="eastAsia"/>
                      <w:spacing w:val="2"/>
                      <w:sz w:val="20"/>
                      <w:szCs w:val="20"/>
                      <w:lang w:eastAsia="zh-CN"/>
                    </w:rPr>
                    <w:t>－</w:t>
                  </w:r>
                  <w:r>
                    <w:rPr>
                      <w:spacing w:val="2"/>
                      <w:sz w:val="20"/>
                      <w:szCs w:val="20"/>
                    </w:rPr>
                    <w:t>达州组团</w:t>
                  </w:r>
                  <w:r>
                    <w:rPr>
                      <w:spacing w:val="6"/>
                      <w:sz w:val="20"/>
                      <w:szCs w:val="20"/>
                    </w:rPr>
                    <w:t xml:space="preserve"> </w:t>
                  </w:r>
                  <w:r>
                    <w:rPr>
                      <w:spacing w:val="-3"/>
                      <w:sz w:val="20"/>
                      <w:szCs w:val="20"/>
                    </w:rPr>
                    <w:t>全面建设省域经济副中心，塑造嘉陵江</w:t>
                  </w:r>
                  <w:r>
                    <w:rPr>
                      <w:rFonts w:hint="eastAsia"/>
                      <w:spacing w:val="-3"/>
                      <w:sz w:val="20"/>
                      <w:szCs w:val="20"/>
                      <w:lang w:eastAsia="zh-CN"/>
                    </w:rPr>
                    <w:t>－</w:t>
                  </w:r>
                  <w:r>
                    <w:rPr>
                      <w:spacing w:val="-3"/>
                      <w:sz w:val="20"/>
                      <w:szCs w:val="20"/>
                    </w:rPr>
                    <w:t>渠江</w:t>
                  </w:r>
                  <w:r>
                    <w:rPr>
                      <w:spacing w:val="7"/>
                      <w:sz w:val="20"/>
                      <w:szCs w:val="20"/>
                    </w:rPr>
                    <w:t xml:space="preserve"> </w:t>
                  </w:r>
                  <w:r>
                    <w:rPr>
                      <w:spacing w:val="2"/>
                      <w:sz w:val="20"/>
                      <w:szCs w:val="20"/>
                    </w:rPr>
                    <w:t>绿色生态经济带。建设四川省东向和北向的</w:t>
                  </w:r>
                  <w:r>
                    <w:rPr>
                      <w:spacing w:val="4"/>
                      <w:sz w:val="20"/>
                      <w:szCs w:val="20"/>
                    </w:rPr>
                    <w:t xml:space="preserve"> </w:t>
                  </w:r>
                  <w:r>
                    <w:rPr>
                      <w:spacing w:val="2"/>
                      <w:sz w:val="20"/>
                      <w:szCs w:val="20"/>
                    </w:rPr>
                    <w:t>出川综合交通枢纽、川渝陕甘结合部的区域</w:t>
                  </w:r>
                  <w:r>
                    <w:rPr>
                      <w:spacing w:val="4"/>
                      <w:sz w:val="20"/>
                      <w:szCs w:val="20"/>
                    </w:rPr>
                    <w:t xml:space="preserve"> </w:t>
                  </w:r>
                  <w:r>
                    <w:rPr>
                      <w:spacing w:val="-1"/>
                      <w:sz w:val="20"/>
                      <w:szCs w:val="20"/>
                    </w:rPr>
                    <w:t>经济中心，推动川东北地区振兴发展。</w:t>
                  </w:r>
                </w:p>
              </w:tc>
              <w:tc>
                <w:tcPr>
                  <w:tcW w:w="1407" w:type="dxa"/>
                  <w:vAlign w:val="top"/>
                </w:tcPr>
                <w:p w14:paraId="56548970">
                  <w:pPr>
                    <w:spacing w:line="281" w:lineRule="auto"/>
                    <w:rPr>
                      <w:rFonts w:ascii="Arial"/>
                      <w:sz w:val="21"/>
                    </w:rPr>
                  </w:pPr>
                </w:p>
                <w:p w14:paraId="337119FD">
                  <w:pPr>
                    <w:spacing w:line="281" w:lineRule="auto"/>
                    <w:rPr>
                      <w:rFonts w:ascii="Arial"/>
                      <w:sz w:val="21"/>
                    </w:rPr>
                  </w:pPr>
                </w:p>
                <w:p w14:paraId="2BB394AE">
                  <w:pPr>
                    <w:spacing w:line="281" w:lineRule="auto"/>
                    <w:rPr>
                      <w:rFonts w:ascii="Arial"/>
                      <w:sz w:val="21"/>
                    </w:rPr>
                  </w:pPr>
                </w:p>
                <w:p w14:paraId="355EE95C">
                  <w:pPr>
                    <w:spacing w:line="282" w:lineRule="auto"/>
                    <w:rPr>
                      <w:rFonts w:ascii="Arial"/>
                      <w:sz w:val="21"/>
                    </w:rPr>
                  </w:pPr>
                </w:p>
                <w:p w14:paraId="12AD64B6">
                  <w:pPr>
                    <w:pStyle w:val="6"/>
                    <w:spacing w:before="65" w:line="219" w:lineRule="auto"/>
                    <w:ind w:left="63"/>
                    <w:rPr>
                      <w:sz w:val="20"/>
                      <w:szCs w:val="20"/>
                    </w:rPr>
                  </w:pPr>
                  <w:r>
                    <w:rPr>
                      <w:spacing w:val="14"/>
                      <w:sz w:val="20"/>
                      <w:szCs w:val="20"/>
                    </w:rPr>
                    <w:t>本项目位于通</w:t>
                  </w:r>
                </w:p>
                <w:p w14:paraId="3C85BBCD">
                  <w:pPr>
                    <w:pStyle w:val="6"/>
                    <w:spacing w:before="21" w:line="220" w:lineRule="auto"/>
                    <w:ind w:left="68"/>
                    <w:rPr>
                      <w:sz w:val="20"/>
                      <w:szCs w:val="20"/>
                    </w:rPr>
                  </w:pPr>
                  <w:r>
                    <w:rPr>
                      <w:spacing w:val="13"/>
                      <w:sz w:val="20"/>
                      <w:szCs w:val="20"/>
                    </w:rPr>
                    <w:t>川区东岳新型</w:t>
                  </w:r>
                </w:p>
                <w:p w14:paraId="265043D0">
                  <w:pPr>
                    <w:pStyle w:val="6"/>
                    <w:spacing w:before="20" w:line="220" w:lineRule="auto"/>
                    <w:ind w:left="65"/>
                    <w:rPr>
                      <w:sz w:val="20"/>
                      <w:szCs w:val="20"/>
                    </w:rPr>
                  </w:pPr>
                  <w:r>
                    <w:rPr>
                      <w:spacing w:val="10"/>
                      <w:sz w:val="20"/>
                      <w:szCs w:val="20"/>
                    </w:rPr>
                    <w:t>工业集聚区，</w:t>
                  </w:r>
                </w:p>
                <w:p w14:paraId="0E9ADF6F">
                  <w:pPr>
                    <w:pStyle w:val="6"/>
                    <w:spacing w:before="21" w:line="221" w:lineRule="auto"/>
                    <w:ind w:left="64"/>
                    <w:rPr>
                      <w:sz w:val="20"/>
                      <w:szCs w:val="20"/>
                    </w:rPr>
                  </w:pPr>
                  <w:r>
                    <w:rPr>
                      <w:spacing w:val="14"/>
                      <w:sz w:val="20"/>
                      <w:szCs w:val="20"/>
                    </w:rPr>
                    <w:t>用地属于工业</w:t>
                  </w:r>
                </w:p>
                <w:p w14:paraId="49ADEFAF">
                  <w:pPr>
                    <w:pStyle w:val="6"/>
                    <w:spacing w:before="20" w:line="220" w:lineRule="auto"/>
                    <w:ind w:left="64"/>
                    <w:rPr>
                      <w:sz w:val="20"/>
                      <w:szCs w:val="20"/>
                    </w:rPr>
                  </w:pPr>
                  <w:r>
                    <w:rPr>
                      <w:spacing w:val="6"/>
                      <w:sz w:val="20"/>
                      <w:szCs w:val="20"/>
                    </w:rPr>
                    <w:t>用地，</w:t>
                  </w:r>
                  <w:r>
                    <w:rPr>
                      <w:spacing w:val="-53"/>
                      <w:sz w:val="20"/>
                      <w:szCs w:val="20"/>
                    </w:rPr>
                    <w:t xml:space="preserve"> </w:t>
                  </w:r>
                  <w:r>
                    <w:rPr>
                      <w:spacing w:val="6"/>
                      <w:sz w:val="20"/>
                      <w:szCs w:val="20"/>
                    </w:rPr>
                    <w:t>符合国</w:t>
                  </w:r>
                </w:p>
                <w:p w14:paraId="62D9B414">
                  <w:pPr>
                    <w:pStyle w:val="6"/>
                    <w:spacing w:before="21" w:line="242" w:lineRule="auto"/>
                    <w:ind w:left="63" w:right="52"/>
                    <w:rPr>
                      <w:sz w:val="20"/>
                      <w:szCs w:val="20"/>
                    </w:rPr>
                  </w:pPr>
                  <w:r>
                    <w:rPr>
                      <w:spacing w:val="14"/>
                      <w:sz w:val="20"/>
                      <w:szCs w:val="20"/>
                    </w:rPr>
                    <w:t>土空间规划要</w:t>
                  </w:r>
                  <w:r>
                    <w:rPr>
                      <w:sz w:val="20"/>
                      <w:szCs w:val="20"/>
                    </w:rPr>
                    <w:t xml:space="preserve"> </w:t>
                  </w:r>
                  <w:r>
                    <w:rPr>
                      <w:spacing w:val="-10"/>
                      <w:sz w:val="20"/>
                      <w:szCs w:val="20"/>
                    </w:rPr>
                    <w:t>求。</w:t>
                  </w:r>
                </w:p>
              </w:tc>
              <w:tc>
                <w:tcPr>
                  <w:tcW w:w="846" w:type="dxa"/>
                  <w:vAlign w:val="top"/>
                </w:tcPr>
                <w:p w14:paraId="40435449">
                  <w:pPr>
                    <w:spacing w:line="271" w:lineRule="auto"/>
                    <w:rPr>
                      <w:rFonts w:ascii="Arial"/>
                      <w:sz w:val="21"/>
                    </w:rPr>
                  </w:pPr>
                </w:p>
                <w:p w14:paraId="5E4E9938">
                  <w:pPr>
                    <w:spacing w:line="271" w:lineRule="auto"/>
                    <w:rPr>
                      <w:rFonts w:ascii="Arial"/>
                      <w:sz w:val="21"/>
                    </w:rPr>
                  </w:pPr>
                </w:p>
                <w:p w14:paraId="3FCDD0DE">
                  <w:pPr>
                    <w:spacing w:line="271" w:lineRule="auto"/>
                    <w:rPr>
                      <w:rFonts w:ascii="Arial"/>
                      <w:sz w:val="21"/>
                    </w:rPr>
                  </w:pPr>
                </w:p>
                <w:p w14:paraId="45CECBBE">
                  <w:pPr>
                    <w:spacing w:line="271" w:lineRule="auto"/>
                    <w:rPr>
                      <w:rFonts w:ascii="Arial"/>
                      <w:sz w:val="21"/>
                    </w:rPr>
                  </w:pPr>
                </w:p>
                <w:p w14:paraId="4730D77D">
                  <w:pPr>
                    <w:spacing w:line="271" w:lineRule="auto"/>
                    <w:rPr>
                      <w:rFonts w:ascii="Arial"/>
                      <w:sz w:val="21"/>
                    </w:rPr>
                  </w:pPr>
                </w:p>
                <w:p w14:paraId="5389C618">
                  <w:pPr>
                    <w:spacing w:line="271" w:lineRule="auto"/>
                    <w:rPr>
                      <w:rFonts w:ascii="Arial"/>
                      <w:sz w:val="21"/>
                    </w:rPr>
                  </w:pPr>
                </w:p>
                <w:p w14:paraId="3E8AF654">
                  <w:pPr>
                    <w:spacing w:line="271" w:lineRule="auto"/>
                    <w:rPr>
                      <w:rFonts w:ascii="Arial"/>
                      <w:sz w:val="21"/>
                    </w:rPr>
                  </w:pPr>
                </w:p>
                <w:p w14:paraId="10583AAE">
                  <w:pPr>
                    <w:pStyle w:val="6"/>
                    <w:spacing w:before="65" w:line="220" w:lineRule="auto"/>
                    <w:ind w:left="229"/>
                    <w:rPr>
                      <w:sz w:val="20"/>
                      <w:szCs w:val="20"/>
                    </w:rPr>
                  </w:pPr>
                  <w:r>
                    <w:rPr>
                      <w:spacing w:val="-3"/>
                      <w:sz w:val="20"/>
                      <w:szCs w:val="20"/>
                    </w:rPr>
                    <w:t>符合</w:t>
                  </w:r>
                </w:p>
              </w:tc>
            </w:tr>
            <w:tr w14:paraId="672E5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9" w:hRule="atLeast"/>
              </w:trPr>
              <w:tc>
                <w:tcPr>
                  <w:tcW w:w="1183" w:type="dxa"/>
                  <w:vMerge w:val="restart"/>
                  <w:tcBorders>
                    <w:bottom w:val="nil"/>
                  </w:tcBorders>
                  <w:vAlign w:val="top"/>
                </w:tcPr>
                <w:p w14:paraId="51E7B139">
                  <w:pPr>
                    <w:spacing w:line="242" w:lineRule="auto"/>
                    <w:rPr>
                      <w:rFonts w:ascii="Arial"/>
                      <w:sz w:val="21"/>
                    </w:rPr>
                  </w:pPr>
                </w:p>
                <w:p w14:paraId="617DAE8E">
                  <w:pPr>
                    <w:spacing w:line="242" w:lineRule="auto"/>
                    <w:rPr>
                      <w:rFonts w:ascii="Arial"/>
                      <w:sz w:val="21"/>
                    </w:rPr>
                  </w:pPr>
                </w:p>
                <w:p w14:paraId="15593513">
                  <w:pPr>
                    <w:spacing w:line="242" w:lineRule="auto"/>
                    <w:rPr>
                      <w:rFonts w:ascii="Arial"/>
                      <w:sz w:val="21"/>
                    </w:rPr>
                  </w:pPr>
                </w:p>
                <w:p w14:paraId="49D45E44">
                  <w:pPr>
                    <w:spacing w:line="242" w:lineRule="auto"/>
                    <w:rPr>
                      <w:rFonts w:ascii="Arial"/>
                      <w:sz w:val="21"/>
                    </w:rPr>
                  </w:pPr>
                </w:p>
                <w:p w14:paraId="48B060B7">
                  <w:pPr>
                    <w:spacing w:line="243" w:lineRule="auto"/>
                    <w:rPr>
                      <w:rFonts w:ascii="Arial"/>
                      <w:sz w:val="21"/>
                    </w:rPr>
                  </w:pPr>
                </w:p>
                <w:p w14:paraId="4D265FF7">
                  <w:pPr>
                    <w:spacing w:line="243" w:lineRule="auto"/>
                    <w:rPr>
                      <w:rFonts w:ascii="Arial"/>
                      <w:sz w:val="21"/>
                    </w:rPr>
                  </w:pPr>
                </w:p>
                <w:p w14:paraId="63DF2708">
                  <w:pPr>
                    <w:spacing w:line="243" w:lineRule="auto"/>
                    <w:rPr>
                      <w:rFonts w:ascii="Arial"/>
                      <w:sz w:val="21"/>
                    </w:rPr>
                  </w:pPr>
                </w:p>
                <w:p w14:paraId="41D58933">
                  <w:pPr>
                    <w:spacing w:line="243" w:lineRule="auto"/>
                    <w:rPr>
                      <w:rFonts w:ascii="Arial"/>
                      <w:sz w:val="21"/>
                    </w:rPr>
                  </w:pPr>
                </w:p>
                <w:p w14:paraId="48071A04">
                  <w:pPr>
                    <w:spacing w:line="243" w:lineRule="auto"/>
                    <w:rPr>
                      <w:rFonts w:ascii="Arial"/>
                      <w:sz w:val="21"/>
                    </w:rPr>
                  </w:pPr>
                </w:p>
                <w:p w14:paraId="3A5B5202">
                  <w:pPr>
                    <w:spacing w:line="243" w:lineRule="auto"/>
                    <w:rPr>
                      <w:rFonts w:ascii="Arial"/>
                      <w:sz w:val="21"/>
                    </w:rPr>
                  </w:pPr>
                </w:p>
                <w:p w14:paraId="3BD1BDFF">
                  <w:pPr>
                    <w:pStyle w:val="6"/>
                    <w:spacing w:before="65" w:line="219" w:lineRule="auto"/>
                    <w:ind w:left="65"/>
                    <w:rPr>
                      <w:sz w:val="20"/>
                      <w:szCs w:val="20"/>
                    </w:rPr>
                  </w:pPr>
                  <w:r>
                    <w:rPr>
                      <w:spacing w:val="8"/>
                      <w:sz w:val="20"/>
                      <w:szCs w:val="20"/>
                    </w:rPr>
                    <w:t>《达州市国</w:t>
                  </w:r>
                </w:p>
                <w:p w14:paraId="3D07CCBF">
                  <w:pPr>
                    <w:pStyle w:val="6"/>
                    <w:spacing w:before="19" w:line="241" w:lineRule="auto"/>
                    <w:ind w:left="63" w:right="55" w:firstLine="1"/>
                    <w:jc w:val="both"/>
                    <w:rPr>
                      <w:sz w:val="20"/>
                      <w:szCs w:val="20"/>
                    </w:rPr>
                  </w:pPr>
                  <w:r>
                    <w:rPr>
                      <w:spacing w:val="11"/>
                      <w:sz w:val="20"/>
                      <w:szCs w:val="20"/>
                    </w:rPr>
                    <w:t>土空间总体</w:t>
                  </w:r>
                  <w:r>
                    <w:rPr>
                      <w:spacing w:val="1"/>
                      <w:sz w:val="20"/>
                      <w:szCs w:val="20"/>
                    </w:rPr>
                    <w:t xml:space="preserve"> </w:t>
                  </w:r>
                  <w:r>
                    <w:rPr>
                      <w:spacing w:val="-7"/>
                      <w:sz w:val="20"/>
                      <w:szCs w:val="20"/>
                    </w:rPr>
                    <w:t>规</w:t>
                  </w:r>
                  <w:r>
                    <w:rPr>
                      <w:spacing w:val="12"/>
                      <w:sz w:val="20"/>
                      <w:szCs w:val="20"/>
                    </w:rPr>
                    <w:t xml:space="preserve">      </w:t>
                  </w:r>
                  <w:r>
                    <w:rPr>
                      <w:spacing w:val="-7"/>
                      <w:sz w:val="20"/>
                      <w:szCs w:val="20"/>
                    </w:rPr>
                    <w:t>划</w:t>
                  </w:r>
                  <w:r>
                    <w:rPr>
                      <w:sz w:val="20"/>
                      <w:szCs w:val="20"/>
                    </w:rPr>
                    <w:t xml:space="preserve"> </w:t>
                  </w:r>
                  <w:r>
                    <w:rPr>
                      <w:spacing w:val="-3"/>
                      <w:sz w:val="20"/>
                      <w:szCs w:val="20"/>
                    </w:rPr>
                    <w:t>（</w:t>
                  </w:r>
                  <w:r>
                    <w:rPr>
                      <w:spacing w:val="-18"/>
                      <w:sz w:val="20"/>
                      <w:szCs w:val="20"/>
                    </w:rPr>
                    <w:t xml:space="preserve"> </w:t>
                  </w:r>
                  <w:r>
                    <w:rPr>
                      <w:spacing w:val="-3"/>
                      <w:sz w:val="20"/>
                      <w:szCs w:val="20"/>
                    </w:rPr>
                    <w:t>2021—20</w:t>
                  </w:r>
                  <w:r>
                    <w:rPr>
                      <w:sz w:val="20"/>
                      <w:szCs w:val="20"/>
                    </w:rPr>
                    <w:t xml:space="preserve"> </w:t>
                  </w:r>
                  <w:r>
                    <w:rPr>
                      <w:spacing w:val="-21"/>
                      <w:sz w:val="20"/>
                      <w:szCs w:val="20"/>
                    </w:rPr>
                    <w:t>35年）》（川</w:t>
                  </w:r>
                  <w:r>
                    <w:rPr>
                      <w:spacing w:val="5"/>
                      <w:sz w:val="20"/>
                      <w:szCs w:val="20"/>
                    </w:rPr>
                    <w:t xml:space="preserve"> </w:t>
                  </w:r>
                  <w:r>
                    <w:rPr>
                      <w:spacing w:val="38"/>
                      <w:sz w:val="20"/>
                      <w:szCs w:val="20"/>
                    </w:rPr>
                    <w:t>府函〔20</w:t>
                  </w:r>
                  <w:r>
                    <w:rPr>
                      <w:spacing w:val="2"/>
                      <w:sz w:val="20"/>
                      <w:szCs w:val="20"/>
                    </w:rPr>
                    <w:t xml:space="preserve"> </w:t>
                  </w:r>
                  <w:r>
                    <w:rPr>
                      <w:spacing w:val="34"/>
                      <w:w w:val="126"/>
                      <w:sz w:val="20"/>
                      <w:szCs w:val="20"/>
                    </w:rPr>
                    <w:t>24</w:t>
                  </w:r>
                  <w:r>
                    <w:rPr>
                      <w:rFonts w:hint="eastAsia"/>
                      <w:spacing w:val="34"/>
                      <w:w w:val="126"/>
                      <w:sz w:val="20"/>
                      <w:szCs w:val="20"/>
                      <w:lang w:eastAsia="zh-CN"/>
                    </w:rPr>
                    <w:t>）</w:t>
                  </w:r>
                </w:p>
              </w:tc>
              <w:tc>
                <w:tcPr>
                  <w:tcW w:w="3968" w:type="dxa"/>
                  <w:vAlign w:val="top"/>
                </w:tcPr>
                <w:p w14:paraId="3F3E6F80">
                  <w:pPr>
                    <w:pStyle w:val="6"/>
                    <w:spacing w:before="32" w:line="235" w:lineRule="auto"/>
                    <w:ind w:left="61" w:firstLine="4"/>
                    <w:rPr>
                      <w:sz w:val="20"/>
                      <w:szCs w:val="20"/>
                    </w:rPr>
                  </w:pPr>
                  <w:r>
                    <w:rPr>
                      <w:spacing w:val="1"/>
                      <w:sz w:val="20"/>
                      <w:szCs w:val="20"/>
                    </w:rPr>
                    <w:t>二、筑牢安全发展的空间基础。到2035年，</w:t>
                  </w:r>
                  <w:r>
                    <w:rPr>
                      <w:spacing w:val="14"/>
                      <w:sz w:val="20"/>
                      <w:szCs w:val="20"/>
                    </w:rPr>
                    <w:t xml:space="preserve"> </w:t>
                  </w:r>
                  <w:r>
                    <w:rPr>
                      <w:spacing w:val="-5"/>
                      <w:sz w:val="20"/>
                      <w:szCs w:val="20"/>
                    </w:rPr>
                    <w:t>达州市耕地保有量不低于632.38万亩，其中，</w:t>
                  </w:r>
                  <w:r>
                    <w:rPr>
                      <w:spacing w:val="15"/>
                      <w:sz w:val="20"/>
                      <w:szCs w:val="20"/>
                    </w:rPr>
                    <w:t xml:space="preserve"> </w:t>
                  </w:r>
                  <w:r>
                    <w:rPr>
                      <w:spacing w:val="1"/>
                      <w:sz w:val="20"/>
                      <w:szCs w:val="20"/>
                    </w:rPr>
                    <w:t>永久基本农田保护面积不低于514.75万亩；</w:t>
                  </w:r>
                  <w:r>
                    <w:rPr>
                      <w:spacing w:val="13"/>
                      <w:sz w:val="20"/>
                      <w:szCs w:val="20"/>
                    </w:rPr>
                    <w:t xml:space="preserve"> </w:t>
                  </w:r>
                  <w:r>
                    <w:rPr>
                      <w:spacing w:val="-1"/>
                      <w:sz w:val="20"/>
                      <w:szCs w:val="20"/>
                    </w:rPr>
                    <w:t>生态保护红线面积不低于1202.98平方千米；</w:t>
                  </w:r>
                  <w:r>
                    <w:rPr>
                      <w:spacing w:val="15"/>
                      <w:sz w:val="20"/>
                      <w:szCs w:val="20"/>
                    </w:rPr>
                    <w:t xml:space="preserve"> </w:t>
                  </w:r>
                  <w:r>
                    <w:rPr>
                      <w:spacing w:val="2"/>
                      <w:sz w:val="20"/>
                      <w:szCs w:val="20"/>
                    </w:rPr>
                    <w:t>城镇开发边界面积控制在312.03平方千米以</w:t>
                  </w:r>
                  <w:r>
                    <w:rPr>
                      <w:sz w:val="20"/>
                      <w:szCs w:val="20"/>
                    </w:rPr>
                    <w:t xml:space="preserve"> </w:t>
                  </w:r>
                  <w:r>
                    <w:rPr>
                      <w:spacing w:val="2"/>
                      <w:sz w:val="20"/>
                      <w:szCs w:val="20"/>
                    </w:rPr>
                    <w:t>内。落实蓝线、绿线、黄线、紫线、历史文</w:t>
                  </w:r>
                  <w:r>
                    <w:rPr>
                      <w:spacing w:val="3"/>
                      <w:sz w:val="20"/>
                      <w:szCs w:val="20"/>
                    </w:rPr>
                    <w:t xml:space="preserve"> </w:t>
                  </w:r>
                  <w:r>
                    <w:rPr>
                      <w:spacing w:val="2"/>
                      <w:sz w:val="20"/>
                      <w:szCs w:val="20"/>
                    </w:rPr>
                    <w:t>化保护线以及防灾减灾等各类控制线，全面</w:t>
                  </w:r>
                  <w:r>
                    <w:rPr>
                      <w:spacing w:val="3"/>
                      <w:sz w:val="20"/>
                      <w:szCs w:val="20"/>
                    </w:rPr>
                    <w:t xml:space="preserve"> </w:t>
                  </w:r>
                  <w:r>
                    <w:rPr>
                      <w:spacing w:val="-1"/>
                      <w:sz w:val="20"/>
                      <w:szCs w:val="20"/>
                    </w:rPr>
                    <w:t>锚固高质量发展的空间底线。</w:t>
                  </w:r>
                </w:p>
              </w:tc>
              <w:tc>
                <w:tcPr>
                  <w:tcW w:w="1407" w:type="dxa"/>
                  <w:vAlign w:val="top"/>
                </w:tcPr>
                <w:p w14:paraId="3017E777">
                  <w:pPr>
                    <w:pStyle w:val="6"/>
                    <w:spacing w:before="161" w:line="219" w:lineRule="auto"/>
                    <w:ind w:left="63"/>
                    <w:rPr>
                      <w:sz w:val="20"/>
                      <w:szCs w:val="20"/>
                    </w:rPr>
                  </w:pPr>
                  <w:r>
                    <w:rPr>
                      <w:spacing w:val="14"/>
                      <w:sz w:val="20"/>
                      <w:szCs w:val="20"/>
                    </w:rPr>
                    <w:t>本项目位于通</w:t>
                  </w:r>
                </w:p>
                <w:p w14:paraId="160BF12E">
                  <w:pPr>
                    <w:pStyle w:val="6"/>
                    <w:spacing w:before="21" w:line="220" w:lineRule="auto"/>
                    <w:ind w:left="68"/>
                    <w:rPr>
                      <w:sz w:val="20"/>
                      <w:szCs w:val="20"/>
                    </w:rPr>
                  </w:pPr>
                  <w:r>
                    <w:rPr>
                      <w:spacing w:val="13"/>
                      <w:sz w:val="20"/>
                      <w:szCs w:val="20"/>
                    </w:rPr>
                    <w:t>川区东岳新型</w:t>
                  </w:r>
                </w:p>
                <w:p w14:paraId="46E8092D">
                  <w:pPr>
                    <w:pStyle w:val="6"/>
                    <w:spacing w:before="20" w:line="220" w:lineRule="auto"/>
                    <w:ind w:left="65"/>
                    <w:rPr>
                      <w:sz w:val="20"/>
                      <w:szCs w:val="20"/>
                    </w:rPr>
                  </w:pPr>
                  <w:r>
                    <w:rPr>
                      <w:spacing w:val="10"/>
                      <w:sz w:val="20"/>
                      <w:szCs w:val="20"/>
                    </w:rPr>
                    <w:t>工业集聚区，</w:t>
                  </w:r>
                </w:p>
                <w:p w14:paraId="6806439F">
                  <w:pPr>
                    <w:pStyle w:val="6"/>
                    <w:spacing w:before="21" w:line="221" w:lineRule="auto"/>
                    <w:ind w:left="64"/>
                    <w:rPr>
                      <w:sz w:val="20"/>
                      <w:szCs w:val="20"/>
                    </w:rPr>
                  </w:pPr>
                  <w:r>
                    <w:rPr>
                      <w:spacing w:val="14"/>
                      <w:sz w:val="20"/>
                      <w:szCs w:val="20"/>
                    </w:rPr>
                    <w:t>用地属于工业</w:t>
                  </w:r>
                </w:p>
                <w:p w14:paraId="05FFD86D">
                  <w:pPr>
                    <w:pStyle w:val="6"/>
                    <w:spacing w:before="21" w:line="220" w:lineRule="auto"/>
                    <w:ind w:left="64"/>
                    <w:rPr>
                      <w:sz w:val="20"/>
                      <w:szCs w:val="20"/>
                    </w:rPr>
                  </w:pPr>
                  <w:r>
                    <w:rPr>
                      <w:spacing w:val="6"/>
                      <w:sz w:val="20"/>
                      <w:szCs w:val="20"/>
                    </w:rPr>
                    <w:t>用地，</w:t>
                  </w:r>
                  <w:r>
                    <w:rPr>
                      <w:spacing w:val="-53"/>
                      <w:sz w:val="20"/>
                      <w:szCs w:val="20"/>
                    </w:rPr>
                    <w:t xml:space="preserve"> </w:t>
                  </w:r>
                  <w:r>
                    <w:rPr>
                      <w:spacing w:val="6"/>
                      <w:sz w:val="20"/>
                      <w:szCs w:val="20"/>
                    </w:rPr>
                    <w:t>符合国</w:t>
                  </w:r>
                </w:p>
                <w:p w14:paraId="4C403944">
                  <w:pPr>
                    <w:pStyle w:val="6"/>
                    <w:spacing w:before="21" w:line="242" w:lineRule="auto"/>
                    <w:ind w:left="63" w:right="52"/>
                    <w:rPr>
                      <w:sz w:val="20"/>
                      <w:szCs w:val="20"/>
                    </w:rPr>
                  </w:pPr>
                  <w:r>
                    <w:rPr>
                      <w:spacing w:val="14"/>
                      <w:sz w:val="20"/>
                      <w:szCs w:val="20"/>
                    </w:rPr>
                    <w:t>土空间规划要</w:t>
                  </w:r>
                  <w:r>
                    <w:rPr>
                      <w:sz w:val="20"/>
                      <w:szCs w:val="20"/>
                    </w:rPr>
                    <w:t xml:space="preserve"> </w:t>
                  </w:r>
                  <w:r>
                    <w:rPr>
                      <w:spacing w:val="-10"/>
                      <w:sz w:val="20"/>
                      <w:szCs w:val="20"/>
                    </w:rPr>
                    <w:t>求。</w:t>
                  </w:r>
                </w:p>
              </w:tc>
              <w:tc>
                <w:tcPr>
                  <w:tcW w:w="846" w:type="dxa"/>
                  <w:vAlign w:val="top"/>
                </w:tcPr>
                <w:p w14:paraId="2C649AD6">
                  <w:pPr>
                    <w:spacing w:line="289" w:lineRule="auto"/>
                    <w:rPr>
                      <w:rFonts w:ascii="Arial"/>
                      <w:sz w:val="21"/>
                    </w:rPr>
                  </w:pPr>
                </w:p>
                <w:p w14:paraId="18CCF8E1">
                  <w:pPr>
                    <w:spacing w:line="289" w:lineRule="auto"/>
                    <w:rPr>
                      <w:rFonts w:ascii="Arial"/>
                      <w:sz w:val="21"/>
                    </w:rPr>
                  </w:pPr>
                </w:p>
                <w:p w14:paraId="6CCCC154">
                  <w:pPr>
                    <w:spacing w:line="290" w:lineRule="auto"/>
                    <w:rPr>
                      <w:rFonts w:ascii="Arial"/>
                      <w:sz w:val="21"/>
                    </w:rPr>
                  </w:pPr>
                </w:p>
                <w:p w14:paraId="531A5549">
                  <w:pPr>
                    <w:pStyle w:val="6"/>
                    <w:spacing w:before="65" w:line="220" w:lineRule="auto"/>
                    <w:ind w:left="229"/>
                    <w:rPr>
                      <w:sz w:val="20"/>
                      <w:szCs w:val="20"/>
                    </w:rPr>
                  </w:pPr>
                  <w:r>
                    <w:rPr>
                      <w:spacing w:val="-3"/>
                      <w:sz w:val="20"/>
                      <w:szCs w:val="20"/>
                    </w:rPr>
                    <w:t>符合</w:t>
                  </w:r>
                </w:p>
              </w:tc>
            </w:tr>
            <w:tr w14:paraId="0D500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8" w:hRule="atLeast"/>
              </w:trPr>
              <w:tc>
                <w:tcPr>
                  <w:tcW w:w="1183" w:type="dxa"/>
                  <w:vMerge w:val="continue"/>
                  <w:tcBorders>
                    <w:top w:val="nil"/>
                    <w:bottom w:val="nil"/>
                  </w:tcBorders>
                  <w:vAlign w:val="top"/>
                </w:tcPr>
                <w:p w14:paraId="385B74AA">
                  <w:pPr>
                    <w:rPr>
                      <w:rFonts w:ascii="Arial"/>
                      <w:sz w:val="21"/>
                    </w:rPr>
                  </w:pPr>
                </w:p>
              </w:tc>
              <w:tc>
                <w:tcPr>
                  <w:tcW w:w="3968" w:type="dxa"/>
                  <w:vAlign w:val="top"/>
                </w:tcPr>
                <w:p w14:paraId="6C224289">
                  <w:pPr>
                    <w:pStyle w:val="6"/>
                    <w:spacing w:before="31" w:line="236" w:lineRule="auto"/>
                    <w:ind w:left="61" w:right="55"/>
                    <w:jc w:val="both"/>
                    <w:rPr>
                      <w:sz w:val="20"/>
                      <w:szCs w:val="20"/>
                    </w:rPr>
                  </w:pPr>
                  <w:r>
                    <w:rPr>
                      <w:spacing w:val="2"/>
                      <w:sz w:val="20"/>
                      <w:szCs w:val="20"/>
                    </w:rPr>
                    <w:t>三、优化国土空间开发保护格局。落实主体</w:t>
                  </w:r>
                  <w:r>
                    <w:rPr>
                      <w:spacing w:val="4"/>
                      <w:sz w:val="20"/>
                      <w:szCs w:val="20"/>
                    </w:rPr>
                    <w:t xml:space="preserve"> </w:t>
                  </w:r>
                  <w:r>
                    <w:rPr>
                      <w:spacing w:val="2"/>
                      <w:sz w:val="20"/>
                      <w:szCs w:val="20"/>
                    </w:rPr>
                    <w:t>功能区战略，构建“一屏两廊三区、一核两</w:t>
                  </w:r>
                  <w:r>
                    <w:rPr>
                      <w:spacing w:val="6"/>
                      <w:sz w:val="20"/>
                      <w:szCs w:val="20"/>
                    </w:rPr>
                    <w:t xml:space="preserve"> </w:t>
                  </w:r>
                  <w:r>
                    <w:rPr>
                      <w:sz w:val="20"/>
                      <w:szCs w:val="20"/>
                    </w:rPr>
                    <w:t>翼三轴</w:t>
                  </w:r>
                  <w:r>
                    <w:rPr>
                      <w:spacing w:val="-57"/>
                      <w:sz w:val="20"/>
                      <w:szCs w:val="20"/>
                    </w:rPr>
                    <w:t xml:space="preserve"> </w:t>
                  </w:r>
                  <w:r>
                    <w:rPr>
                      <w:sz w:val="20"/>
                      <w:szCs w:val="20"/>
                    </w:rPr>
                    <w:t xml:space="preserve">”的国土空间开发保护总体格局。筑 </w:t>
                  </w:r>
                  <w:r>
                    <w:rPr>
                      <w:spacing w:val="2"/>
                      <w:sz w:val="20"/>
                      <w:szCs w:val="20"/>
                    </w:rPr>
                    <w:t>牢大巴山生态安全屏障，加强渠江、州河生</w:t>
                  </w:r>
                  <w:r>
                    <w:rPr>
                      <w:spacing w:val="4"/>
                      <w:sz w:val="20"/>
                      <w:szCs w:val="20"/>
                    </w:rPr>
                    <w:t xml:space="preserve"> </w:t>
                  </w:r>
                  <w:r>
                    <w:rPr>
                      <w:spacing w:val="2"/>
                      <w:sz w:val="20"/>
                      <w:szCs w:val="20"/>
                    </w:rPr>
                    <w:t>态保护，强化农业空间保护利用，夯实粮食</w:t>
                  </w:r>
                  <w:r>
                    <w:rPr>
                      <w:spacing w:val="4"/>
                      <w:sz w:val="20"/>
                      <w:szCs w:val="20"/>
                    </w:rPr>
                    <w:t xml:space="preserve"> </w:t>
                  </w:r>
                  <w:r>
                    <w:rPr>
                      <w:spacing w:val="2"/>
                      <w:sz w:val="20"/>
                      <w:szCs w:val="20"/>
                    </w:rPr>
                    <w:t>安全基础。推动中心城区和周边县城协同联</w:t>
                  </w:r>
                  <w:r>
                    <w:rPr>
                      <w:spacing w:val="4"/>
                      <w:sz w:val="20"/>
                      <w:szCs w:val="20"/>
                    </w:rPr>
                    <w:t xml:space="preserve"> </w:t>
                  </w:r>
                  <w:r>
                    <w:rPr>
                      <w:spacing w:val="2"/>
                      <w:sz w:val="20"/>
                      <w:szCs w:val="20"/>
                    </w:rPr>
                    <w:t>动，深度融入成渝地区双城经济圈建设，优</w:t>
                  </w:r>
                  <w:r>
                    <w:rPr>
                      <w:spacing w:val="4"/>
                      <w:sz w:val="20"/>
                      <w:szCs w:val="20"/>
                    </w:rPr>
                    <w:t xml:space="preserve"> </w:t>
                  </w:r>
                  <w:r>
                    <w:rPr>
                      <w:spacing w:val="2"/>
                      <w:sz w:val="20"/>
                      <w:szCs w:val="20"/>
                    </w:rPr>
                    <w:t>化城镇体系结构。促进土地节约集约利用，</w:t>
                  </w:r>
                  <w:r>
                    <w:rPr>
                      <w:spacing w:val="1"/>
                      <w:sz w:val="20"/>
                      <w:szCs w:val="20"/>
                    </w:rPr>
                    <w:t xml:space="preserve"> </w:t>
                  </w:r>
                  <w:r>
                    <w:rPr>
                      <w:spacing w:val="2"/>
                      <w:sz w:val="20"/>
                      <w:szCs w:val="20"/>
                    </w:rPr>
                    <w:t>加大城乡存量用地挖潜力度，全面提升国土</w:t>
                  </w:r>
                  <w:r>
                    <w:rPr>
                      <w:spacing w:val="4"/>
                      <w:sz w:val="20"/>
                      <w:szCs w:val="20"/>
                    </w:rPr>
                    <w:t xml:space="preserve"> </w:t>
                  </w:r>
                  <w:r>
                    <w:rPr>
                      <w:spacing w:val="-1"/>
                      <w:sz w:val="20"/>
                      <w:szCs w:val="20"/>
                    </w:rPr>
                    <w:t>空间开发保护利用水平。</w:t>
                  </w:r>
                </w:p>
              </w:tc>
              <w:tc>
                <w:tcPr>
                  <w:tcW w:w="1407" w:type="dxa"/>
                  <w:vAlign w:val="top"/>
                </w:tcPr>
                <w:p w14:paraId="31368BCD">
                  <w:pPr>
                    <w:spacing w:line="355" w:lineRule="auto"/>
                    <w:rPr>
                      <w:rFonts w:ascii="Arial"/>
                      <w:sz w:val="21"/>
                    </w:rPr>
                  </w:pPr>
                </w:p>
                <w:p w14:paraId="238F2036">
                  <w:pPr>
                    <w:pStyle w:val="6"/>
                    <w:spacing w:before="65" w:line="219" w:lineRule="auto"/>
                    <w:ind w:left="63"/>
                    <w:rPr>
                      <w:sz w:val="20"/>
                      <w:szCs w:val="20"/>
                    </w:rPr>
                  </w:pPr>
                  <w:r>
                    <w:rPr>
                      <w:spacing w:val="14"/>
                      <w:sz w:val="20"/>
                      <w:szCs w:val="20"/>
                    </w:rPr>
                    <w:t>本项目位于通</w:t>
                  </w:r>
                </w:p>
                <w:p w14:paraId="714B2155">
                  <w:pPr>
                    <w:pStyle w:val="6"/>
                    <w:spacing w:before="21" w:line="220" w:lineRule="auto"/>
                    <w:ind w:left="68"/>
                    <w:rPr>
                      <w:sz w:val="20"/>
                      <w:szCs w:val="20"/>
                    </w:rPr>
                  </w:pPr>
                  <w:r>
                    <w:rPr>
                      <w:spacing w:val="13"/>
                      <w:sz w:val="20"/>
                      <w:szCs w:val="20"/>
                    </w:rPr>
                    <w:t>川区东岳新型</w:t>
                  </w:r>
                </w:p>
                <w:p w14:paraId="0BDE8263">
                  <w:pPr>
                    <w:pStyle w:val="6"/>
                    <w:spacing w:before="20" w:line="220" w:lineRule="auto"/>
                    <w:ind w:left="65"/>
                    <w:rPr>
                      <w:sz w:val="20"/>
                      <w:szCs w:val="20"/>
                    </w:rPr>
                  </w:pPr>
                  <w:r>
                    <w:rPr>
                      <w:spacing w:val="10"/>
                      <w:sz w:val="20"/>
                      <w:szCs w:val="20"/>
                    </w:rPr>
                    <w:t>工业集聚区，</w:t>
                  </w:r>
                </w:p>
                <w:p w14:paraId="42F7E12D">
                  <w:pPr>
                    <w:pStyle w:val="6"/>
                    <w:spacing w:before="21" w:line="221" w:lineRule="auto"/>
                    <w:ind w:left="64"/>
                    <w:rPr>
                      <w:sz w:val="20"/>
                      <w:szCs w:val="20"/>
                    </w:rPr>
                  </w:pPr>
                  <w:r>
                    <w:rPr>
                      <w:spacing w:val="14"/>
                      <w:sz w:val="20"/>
                      <w:szCs w:val="20"/>
                    </w:rPr>
                    <w:t>用地属于工业</w:t>
                  </w:r>
                </w:p>
                <w:p w14:paraId="31D2E8E3">
                  <w:pPr>
                    <w:pStyle w:val="6"/>
                    <w:spacing w:before="19" w:line="220" w:lineRule="auto"/>
                    <w:ind w:left="64"/>
                    <w:rPr>
                      <w:sz w:val="20"/>
                      <w:szCs w:val="20"/>
                    </w:rPr>
                  </w:pPr>
                  <w:r>
                    <w:rPr>
                      <w:spacing w:val="6"/>
                      <w:sz w:val="20"/>
                      <w:szCs w:val="20"/>
                    </w:rPr>
                    <w:t>用地，</w:t>
                  </w:r>
                  <w:r>
                    <w:rPr>
                      <w:spacing w:val="-53"/>
                      <w:sz w:val="20"/>
                      <w:szCs w:val="20"/>
                    </w:rPr>
                    <w:t xml:space="preserve"> </w:t>
                  </w:r>
                  <w:r>
                    <w:rPr>
                      <w:spacing w:val="6"/>
                      <w:sz w:val="20"/>
                      <w:szCs w:val="20"/>
                    </w:rPr>
                    <w:t>符合国</w:t>
                  </w:r>
                </w:p>
                <w:p w14:paraId="79D173DE">
                  <w:pPr>
                    <w:pStyle w:val="6"/>
                    <w:spacing w:before="21" w:line="243" w:lineRule="auto"/>
                    <w:ind w:left="63" w:right="52"/>
                    <w:rPr>
                      <w:sz w:val="20"/>
                      <w:szCs w:val="20"/>
                    </w:rPr>
                  </w:pPr>
                  <w:r>
                    <w:rPr>
                      <w:spacing w:val="14"/>
                      <w:sz w:val="20"/>
                      <w:szCs w:val="20"/>
                    </w:rPr>
                    <w:t>土空间规划要</w:t>
                  </w:r>
                  <w:r>
                    <w:rPr>
                      <w:sz w:val="20"/>
                      <w:szCs w:val="20"/>
                    </w:rPr>
                    <w:t xml:space="preserve"> </w:t>
                  </w:r>
                  <w:r>
                    <w:rPr>
                      <w:spacing w:val="-10"/>
                      <w:sz w:val="20"/>
                      <w:szCs w:val="20"/>
                    </w:rPr>
                    <w:t>求。</w:t>
                  </w:r>
                </w:p>
              </w:tc>
              <w:tc>
                <w:tcPr>
                  <w:tcW w:w="846" w:type="dxa"/>
                  <w:vAlign w:val="top"/>
                </w:tcPr>
                <w:p w14:paraId="6AB3D6C0">
                  <w:pPr>
                    <w:spacing w:line="281" w:lineRule="auto"/>
                    <w:rPr>
                      <w:rFonts w:ascii="Arial"/>
                      <w:sz w:val="21"/>
                    </w:rPr>
                  </w:pPr>
                </w:p>
                <w:p w14:paraId="630ABB18">
                  <w:pPr>
                    <w:spacing w:line="282" w:lineRule="auto"/>
                    <w:rPr>
                      <w:rFonts w:ascii="Arial"/>
                      <w:sz w:val="21"/>
                    </w:rPr>
                  </w:pPr>
                </w:p>
                <w:p w14:paraId="5BF945DF">
                  <w:pPr>
                    <w:spacing w:line="282" w:lineRule="auto"/>
                    <w:rPr>
                      <w:rFonts w:ascii="Arial"/>
                      <w:sz w:val="21"/>
                    </w:rPr>
                  </w:pPr>
                </w:p>
                <w:p w14:paraId="51E99A72">
                  <w:pPr>
                    <w:spacing w:line="282" w:lineRule="auto"/>
                    <w:rPr>
                      <w:rFonts w:ascii="Arial"/>
                      <w:sz w:val="21"/>
                    </w:rPr>
                  </w:pPr>
                </w:p>
                <w:p w14:paraId="5963E727">
                  <w:pPr>
                    <w:pStyle w:val="6"/>
                    <w:spacing w:before="65" w:line="220" w:lineRule="auto"/>
                    <w:ind w:left="229"/>
                    <w:rPr>
                      <w:sz w:val="20"/>
                      <w:szCs w:val="20"/>
                    </w:rPr>
                  </w:pPr>
                  <w:r>
                    <w:rPr>
                      <w:spacing w:val="-3"/>
                      <w:sz w:val="20"/>
                      <w:szCs w:val="20"/>
                    </w:rPr>
                    <w:t>符合</w:t>
                  </w:r>
                </w:p>
              </w:tc>
            </w:tr>
            <w:tr w14:paraId="11A8D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trPr>
              <w:tc>
                <w:tcPr>
                  <w:tcW w:w="1183" w:type="dxa"/>
                  <w:vMerge w:val="continue"/>
                  <w:tcBorders>
                    <w:top w:val="nil"/>
                  </w:tcBorders>
                  <w:vAlign w:val="top"/>
                </w:tcPr>
                <w:p w14:paraId="6544B63D">
                  <w:pPr>
                    <w:rPr>
                      <w:rFonts w:ascii="Arial"/>
                      <w:sz w:val="21"/>
                    </w:rPr>
                  </w:pPr>
                </w:p>
              </w:tc>
              <w:tc>
                <w:tcPr>
                  <w:tcW w:w="3968" w:type="dxa"/>
                  <w:vAlign w:val="top"/>
                </w:tcPr>
                <w:p w14:paraId="177DECB9">
                  <w:pPr>
                    <w:pStyle w:val="6"/>
                    <w:spacing w:before="37" w:line="235" w:lineRule="auto"/>
                    <w:ind w:left="61" w:firstLine="4"/>
                    <w:jc w:val="both"/>
                    <w:rPr>
                      <w:sz w:val="20"/>
                      <w:szCs w:val="20"/>
                    </w:rPr>
                  </w:pPr>
                  <w:r>
                    <w:rPr>
                      <w:spacing w:val="2"/>
                      <w:sz w:val="20"/>
                      <w:szCs w:val="20"/>
                    </w:rPr>
                    <w:t>五、加强历史文化和风貌特色保护。统筹协</w:t>
                  </w:r>
                  <w:r>
                    <w:rPr>
                      <w:sz w:val="20"/>
                      <w:szCs w:val="20"/>
                    </w:rPr>
                    <w:t xml:space="preserve"> </w:t>
                  </w:r>
                  <w:r>
                    <w:rPr>
                      <w:spacing w:val="2"/>
                      <w:sz w:val="20"/>
                      <w:szCs w:val="20"/>
                    </w:rPr>
                    <w:t>调好历史文化保护与城市发展，构建合理的</w:t>
                  </w:r>
                  <w:r>
                    <w:rPr>
                      <w:spacing w:val="3"/>
                      <w:sz w:val="20"/>
                      <w:szCs w:val="20"/>
                    </w:rPr>
                    <w:t xml:space="preserve"> </w:t>
                  </w:r>
                  <w:r>
                    <w:rPr>
                      <w:spacing w:val="2"/>
                      <w:sz w:val="20"/>
                      <w:szCs w:val="20"/>
                    </w:rPr>
                    <w:t>历史文化保护体系，严格落实历史文化保护</w:t>
                  </w:r>
                  <w:r>
                    <w:rPr>
                      <w:spacing w:val="3"/>
                      <w:sz w:val="20"/>
                      <w:szCs w:val="20"/>
                    </w:rPr>
                    <w:t xml:space="preserve"> </w:t>
                  </w:r>
                  <w:r>
                    <w:rPr>
                      <w:spacing w:val="2"/>
                      <w:sz w:val="20"/>
                      <w:szCs w:val="20"/>
                    </w:rPr>
                    <w:t>线管控要求，重点保护好罗家坝、城坝等大</w:t>
                  </w:r>
                  <w:r>
                    <w:rPr>
                      <w:spacing w:val="3"/>
                      <w:sz w:val="20"/>
                      <w:szCs w:val="20"/>
                    </w:rPr>
                    <w:t xml:space="preserve"> </w:t>
                  </w:r>
                  <w:r>
                    <w:rPr>
                      <w:spacing w:val="2"/>
                      <w:sz w:val="20"/>
                      <w:szCs w:val="20"/>
                    </w:rPr>
                    <w:t>遗址，石桥、清河历史文化名镇，各级文物</w:t>
                  </w:r>
                  <w:r>
                    <w:rPr>
                      <w:spacing w:val="3"/>
                      <w:sz w:val="20"/>
                      <w:szCs w:val="20"/>
                    </w:rPr>
                    <w:t xml:space="preserve"> </w:t>
                  </w:r>
                  <w:r>
                    <w:rPr>
                      <w:spacing w:val="-5"/>
                      <w:sz w:val="20"/>
                      <w:szCs w:val="20"/>
                    </w:rPr>
                    <w:t>保护单位及其周围环境。顺应自然山水格局，</w:t>
                  </w:r>
                  <w:r>
                    <w:rPr>
                      <w:sz w:val="20"/>
                      <w:szCs w:val="20"/>
                    </w:rPr>
                    <w:t xml:space="preserve"> </w:t>
                  </w:r>
                  <w:r>
                    <w:rPr>
                      <w:spacing w:val="2"/>
                      <w:sz w:val="20"/>
                      <w:szCs w:val="20"/>
                    </w:rPr>
                    <w:t>塑造富有地域特色和人文魅力的城乡风貌，</w:t>
                  </w:r>
                  <w:r>
                    <w:rPr>
                      <w:spacing w:val="1"/>
                      <w:sz w:val="20"/>
                      <w:szCs w:val="20"/>
                    </w:rPr>
                    <w:t xml:space="preserve"> </w:t>
                  </w:r>
                  <w:r>
                    <w:rPr>
                      <w:spacing w:val="-1"/>
                      <w:sz w:val="20"/>
                      <w:szCs w:val="20"/>
                    </w:rPr>
                    <w:t>彰显巴山渠水城市特色。</w:t>
                  </w:r>
                </w:p>
              </w:tc>
              <w:tc>
                <w:tcPr>
                  <w:tcW w:w="1407" w:type="dxa"/>
                  <w:vAlign w:val="top"/>
                </w:tcPr>
                <w:p w14:paraId="112ADCD6">
                  <w:pPr>
                    <w:pStyle w:val="6"/>
                    <w:spacing w:before="163" w:line="219" w:lineRule="auto"/>
                    <w:ind w:left="63"/>
                    <w:rPr>
                      <w:sz w:val="20"/>
                      <w:szCs w:val="20"/>
                    </w:rPr>
                  </w:pPr>
                  <w:r>
                    <w:rPr>
                      <w:spacing w:val="14"/>
                      <w:sz w:val="20"/>
                      <w:szCs w:val="20"/>
                    </w:rPr>
                    <w:t>本项目位于通</w:t>
                  </w:r>
                </w:p>
                <w:p w14:paraId="790F96BF">
                  <w:pPr>
                    <w:pStyle w:val="6"/>
                    <w:spacing w:before="21" w:line="220" w:lineRule="auto"/>
                    <w:ind w:left="68"/>
                    <w:rPr>
                      <w:sz w:val="20"/>
                      <w:szCs w:val="20"/>
                    </w:rPr>
                  </w:pPr>
                  <w:r>
                    <w:rPr>
                      <w:spacing w:val="13"/>
                      <w:sz w:val="20"/>
                      <w:szCs w:val="20"/>
                    </w:rPr>
                    <w:t>川区东岳新型</w:t>
                  </w:r>
                </w:p>
                <w:p w14:paraId="20A8CB59">
                  <w:pPr>
                    <w:pStyle w:val="6"/>
                    <w:spacing w:before="22" w:line="220" w:lineRule="auto"/>
                    <w:ind w:left="65"/>
                    <w:rPr>
                      <w:sz w:val="20"/>
                      <w:szCs w:val="20"/>
                    </w:rPr>
                  </w:pPr>
                  <w:r>
                    <w:rPr>
                      <w:spacing w:val="10"/>
                      <w:sz w:val="20"/>
                      <w:szCs w:val="20"/>
                    </w:rPr>
                    <w:t>工业集聚区，</w:t>
                  </w:r>
                </w:p>
                <w:p w14:paraId="0501078E">
                  <w:pPr>
                    <w:pStyle w:val="6"/>
                    <w:spacing w:before="21" w:line="221" w:lineRule="auto"/>
                    <w:ind w:left="64"/>
                    <w:rPr>
                      <w:sz w:val="20"/>
                      <w:szCs w:val="20"/>
                    </w:rPr>
                  </w:pPr>
                  <w:r>
                    <w:rPr>
                      <w:spacing w:val="14"/>
                      <w:sz w:val="20"/>
                      <w:szCs w:val="20"/>
                    </w:rPr>
                    <w:t>用地属于工业</w:t>
                  </w:r>
                </w:p>
                <w:p w14:paraId="0F1C9CA8">
                  <w:pPr>
                    <w:pStyle w:val="6"/>
                    <w:spacing w:before="19" w:line="220" w:lineRule="auto"/>
                    <w:ind w:left="64"/>
                    <w:rPr>
                      <w:sz w:val="20"/>
                      <w:szCs w:val="20"/>
                    </w:rPr>
                  </w:pPr>
                  <w:r>
                    <w:rPr>
                      <w:spacing w:val="6"/>
                      <w:sz w:val="20"/>
                      <w:szCs w:val="20"/>
                    </w:rPr>
                    <w:t>用地，</w:t>
                  </w:r>
                  <w:r>
                    <w:rPr>
                      <w:spacing w:val="-53"/>
                      <w:sz w:val="20"/>
                      <w:szCs w:val="20"/>
                    </w:rPr>
                    <w:t xml:space="preserve"> </w:t>
                  </w:r>
                  <w:r>
                    <w:rPr>
                      <w:spacing w:val="6"/>
                      <w:sz w:val="20"/>
                      <w:szCs w:val="20"/>
                    </w:rPr>
                    <w:t>符合国</w:t>
                  </w:r>
                </w:p>
                <w:p w14:paraId="1005C02F">
                  <w:pPr>
                    <w:pStyle w:val="6"/>
                    <w:spacing w:before="21" w:line="242" w:lineRule="auto"/>
                    <w:ind w:left="63" w:right="52"/>
                    <w:rPr>
                      <w:sz w:val="20"/>
                      <w:szCs w:val="20"/>
                    </w:rPr>
                  </w:pPr>
                  <w:r>
                    <w:rPr>
                      <w:spacing w:val="14"/>
                      <w:sz w:val="20"/>
                      <w:szCs w:val="20"/>
                    </w:rPr>
                    <w:t>土空间规划要</w:t>
                  </w:r>
                  <w:r>
                    <w:rPr>
                      <w:sz w:val="20"/>
                      <w:szCs w:val="20"/>
                    </w:rPr>
                    <w:t xml:space="preserve"> </w:t>
                  </w:r>
                  <w:r>
                    <w:rPr>
                      <w:spacing w:val="-10"/>
                      <w:sz w:val="20"/>
                      <w:szCs w:val="20"/>
                    </w:rPr>
                    <w:t>求。</w:t>
                  </w:r>
                </w:p>
              </w:tc>
              <w:tc>
                <w:tcPr>
                  <w:tcW w:w="846" w:type="dxa"/>
                  <w:vAlign w:val="top"/>
                </w:tcPr>
                <w:p w14:paraId="34A68F42">
                  <w:pPr>
                    <w:spacing w:line="290" w:lineRule="auto"/>
                    <w:rPr>
                      <w:rFonts w:ascii="Arial"/>
                      <w:sz w:val="21"/>
                    </w:rPr>
                  </w:pPr>
                </w:p>
                <w:p w14:paraId="3A1116B8">
                  <w:pPr>
                    <w:spacing w:line="290" w:lineRule="auto"/>
                    <w:rPr>
                      <w:rFonts w:ascii="Arial"/>
                      <w:sz w:val="21"/>
                    </w:rPr>
                  </w:pPr>
                </w:p>
                <w:p w14:paraId="18884502">
                  <w:pPr>
                    <w:spacing w:line="291" w:lineRule="auto"/>
                    <w:rPr>
                      <w:rFonts w:ascii="Arial"/>
                      <w:sz w:val="21"/>
                    </w:rPr>
                  </w:pPr>
                </w:p>
                <w:p w14:paraId="20951AE7">
                  <w:pPr>
                    <w:pStyle w:val="6"/>
                    <w:spacing w:before="65" w:line="220" w:lineRule="auto"/>
                    <w:ind w:left="229"/>
                    <w:rPr>
                      <w:sz w:val="20"/>
                      <w:szCs w:val="20"/>
                    </w:rPr>
                  </w:pPr>
                  <w:r>
                    <w:rPr>
                      <w:spacing w:val="-3"/>
                      <w:sz w:val="20"/>
                      <w:szCs w:val="20"/>
                    </w:rPr>
                    <w:t>符合</w:t>
                  </w:r>
                </w:p>
              </w:tc>
            </w:tr>
          </w:tbl>
          <w:p w14:paraId="41F4D83B">
            <w:pPr>
              <w:pStyle w:val="6"/>
              <w:spacing w:before="132" w:line="228" w:lineRule="auto"/>
              <w:ind w:left="117"/>
            </w:pPr>
            <w:r>
              <w:rPr>
                <w:b/>
                <w:bCs/>
                <w:spacing w:val="7"/>
              </w:rPr>
              <w:t>7、与工业炉窑相关政策的符合性</w:t>
            </w:r>
          </w:p>
          <w:p w14:paraId="5194F105">
            <w:pPr>
              <w:pStyle w:val="6"/>
              <w:spacing w:before="140" w:line="228" w:lineRule="auto"/>
              <w:ind w:left="564"/>
            </w:pPr>
            <w:r>
              <w:rPr>
                <w:b/>
                <w:bCs/>
                <w:spacing w:val="7"/>
              </w:rPr>
              <w:t>（1）与《工业炉窑大气污染综合治理方案》的符合性分析</w:t>
            </w:r>
          </w:p>
          <w:p w14:paraId="21F30A88">
            <w:pPr>
              <w:pStyle w:val="6"/>
              <w:spacing w:before="140" w:line="228" w:lineRule="auto"/>
              <w:ind w:left="555"/>
            </w:pPr>
            <w:r>
              <w:rPr>
                <w:spacing w:val="12"/>
              </w:rPr>
              <w:t>2019年7月1日，为贯彻落实《国务院关</w:t>
            </w:r>
            <w:r>
              <w:rPr>
                <w:spacing w:val="11"/>
              </w:rPr>
              <w:t>于印发打赢蓝天保卫战三年行动</w:t>
            </w:r>
          </w:p>
        </w:tc>
      </w:tr>
    </w:tbl>
    <w:p w14:paraId="704FAD0A">
      <w:pPr>
        <w:rPr>
          <w:rFonts w:ascii="Arial"/>
          <w:sz w:val="21"/>
        </w:rPr>
      </w:pPr>
    </w:p>
    <w:p w14:paraId="4981B10B">
      <w:pPr>
        <w:rPr>
          <w:rFonts w:ascii="Arial" w:hAnsi="Arial" w:eastAsia="Arial" w:cs="Arial"/>
          <w:sz w:val="21"/>
          <w:szCs w:val="21"/>
        </w:rPr>
        <w:sectPr>
          <w:footerReference r:id="rId31" w:type="default"/>
          <w:pgSz w:w="11907" w:h="16839"/>
          <w:pgMar w:top="1431" w:right="1498" w:bottom="1055" w:left="1498" w:header="0" w:footer="801" w:gutter="0"/>
          <w:cols w:space="720" w:num="1"/>
        </w:sectPr>
      </w:pPr>
    </w:p>
    <w:p w14:paraId="770F24FB">
      <w:pPr>
        <w:spacing w:before="28"/>
      </w:pPr>
    </w:p>
    <w:tbl>
      <w:tblPr>
        <w:tblStyle w:val="5"/>
        <w:tblW w:w="89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5"/>
        <w:gridCol w:w="586"/>
        <w:gridCol w:w="3902"/>
        <w:gridCol w:w="2249"/>
        <w:gridCol w:w="831"/>
      </w:tblGrid>
      <w:tr w14:paraId="484EE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9" w:hRule="atLeast"/>
        </w:trPr>
        <w:tc>
          <w:tcPr>
            <w:tcW w:w="1335" w:type="dxa"/>
            <w:vMerge w:val="restart"/>
            <w:tcBorders>
              <w:bottom w:val="nil"/>
            </w:tcBorders>
            <w:vAlign w:val="top"/>
          </w:tcPr>
          <w:p w14:paraId="0E48567E">
            <w:pPr>
              <w:rPr>
                <w:rFonts w:ascii="Arial"/>
                <w:sz w:val="21"/>
              </w:rPr>
            </w:pPr>
          </w:p>
        </w:tc>
        <w:tc>
          <w:tcPr>
            <w:tcW w:w="7568" w:type="dxa"/>
            <w:gridSpan w:val="4"/>
            <w:vAlign w:val="top"/>
          </w:tcPr>
          <w:p w14:paraId="23978243">
            <w:pPr>
              <w:pStyle w:val="6"/>
              <w:spacing w:before="134" w:line="352" w:lineRule="auto"/>
              <w:ind w:left="100" w:right="108"/>
              <w:jc w:val="both"/>
            </w:pPr>
            <w:r>
              <w:rPr>
                <w:spacing w:val="13"/>
              </w:rPr>
              <w:t>计划的通知》有关要求，指导各地加强工业炉窑大气污染综</w:t>
            </w:r>
            <w:r>
              <w:rPr>
                <w:spacing w:val="12"/>
              </w:rPr>
              <w:t>合治理，协同控</w:t>
            </w:r>
            <w:r>
              <w:t xml:space="preserve"> </w:t>
            </w:r>
            <w:r>
              <w:rPr>
                <w:spacing w:val="13"/>
              </w:rPr>
              <w:t>制温室气体排放，促进产业高质量发展，中华人民共和国生</w:t>
            </w:r>
            <w:r>
              <w:rPr>
                <w:spacing w:val="12"/>
              </w:rPr>
              <w:t>态环境部联合发</w:t>
            </w:r>
            <w:r>
              <w:t xml:space="preserve"> </w:t>
            </w:r>
            <w:r>
              <w:rPr>
                <w:spacing w:val="7"/>
              </w:rPr>
              <w:t>展改革委、工业和信息化部和财政部，</w:t>
            </w:r>
            <w:r>
              <w:rPr>
                <w:spacing w:val="85"/>
              </w:rPr>
              <w:t xml:space="preserve"> </w:t>
            </w:r>
            <w:r>
              <w:rPr>
                <w:spacing w:val="7"/>
              </w:rPr>
              <w:t>发布了《工业炉窑大气污染综合治理</w:t>
            </w:r>
            <w:r>
              <w:t xml:space="preserve"> </w:t>
            </w:r>
            <w:r>
              <w:rPr>
                <w:spacing w:val="5"/>
              </w:rPr>
              <w:t>方案》（环大气〔2019〕56号）。</w:t>
            </w:r>
          </w:p>
          <w:p w14:paraId="3C3C5FD0">
            <w:pPr>
              <w:pStyle w:val="6"/>
              <w:spacing w:line="227" w:lineRule="auto"/>
              <w:ind w:left="541"/>
            </w:pPr>
            <w:r>
              <w:rPr>
                <w:spacing w:val="6"/>
              </w:rPr>
              <w:t>本项目与该治理方案的符合性分析如下：</w:t>
            </w:r>
          </w:p>
          <w:p w14:paraId="3305E754">
            <w:pPr>
              <w:pStyle w:val="6"/>
              <w:spacing w:before="150" w:line="219" w:lineRule="auto"/>
              <w:ind w:left="618"/>
            </w:pPr>
            <w:r>
              <w:rPr>
                <w:b/>
                <w:bCs/>
                <w:spacing w:val="-3"/>
              </w:rPr>
              <w:t>表1-13</w:t>
            </w:r>
            <w:r>
              <w:rPr>
                <w:spacing w:val="-3"/>
              </w:rPr>
              <w:t xml:space="preserve">  </w:t>
            </w:r>
            <w:r>
              <w:rPr>
                <w:b/>
                <w:bCs/>
                <w:spacing w:val="-3"/>
              </w:rPr>
              <w:t>本项目与“工业炉窑大气污染综合治理方案</w:t>
            </w:r>
            <w:r>
              <w:rPr>
                <w:spacing w:val="-59"/>
              </w:rPr>
              <w:t xml:space="preserve"> </w:t>
            </w:r>
            <w:r>
              <w:rPr>
                <w:b/>
                <w:bCs/>
                <w:spacing w:val="-3"/>
              </w:rPr>
              <w:t>”的符合性分析</w:t>
            </w:r>
          </w:p>
        </w:tc>
      </w:tr>
      <w:tr w14:paraId="7249A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335" w:type="dxa"/>
            <w:vMerge w:val="continue"/>
            <w:tcBorders>
              <w:top w:val="nil"/>
              <w:bottom w:val="nil"/>
            </w:tcBorders>
            <w:vAlign w:val="top"/>
          </w:tcPr>
          <w:p w14:paraId="04488C51">
            <w:pPr>
              <w:rPr>
                <w:rFonts w:ascii="Arial"/>
                <w:sz w:val="21"/>
              </w:rPr>
            </w:pPr>
          </w:p>
        </w:tc>
        <w:tc>
          <w:tcPr>
            <w:tcW w:w="586" w:type="dxa"/>
            <w:vAlign w:val="top"/>
          </w:tcPr>
          <w:p w14:paraId="4182AB7C">
            <w:pPr>
              <w:pStyle w:val="6"/>
              <w:spacing w:before="29" w:line="207" w:lineRule="auto"/>
              <w:ind w:right="23"/>
              <w:jc w:val="right"/>
              <w:rPr>
                <w:sz w:val="20"/>
                <w:szCs w:val="20"/>
              </w:rPr>
            </w:pPr>
            <w:r>
              <w:rPr>
                <w:b/>
                <w:bCs/>
                <w:spacing w:val="-4"/>
                <w:sz w:val="20"/>
                <w:szCs w:val="20"/>
              </w:rPr>
              <w:t>序号</w:t>
            </w:r>
          </w:p>
        </w:tc>
        <w:tc>
          <w:tcPr>
            <w:tcW w:w="3902" w:type="dxa"/>
            <w:vAlign w:val="top"/>
          </w:tcPr>
          <w:p w14:paraId="659142EC">
            <w:pPr>
              <w:pStyle w:val="6"/>
              <w:spacing w:before="29" w:line="207" w:lineRule="auto"/>
              <w:ind w:left="1601"/>
              <w:rPr>
                <w:sz w:val="20"/>
                <w:szCs w:val="20"/>
              </w:rPr>
            </w:pPr>
            <w:r>
              <w:rPr>
                <w:b/>
                <w:bCs/>
                <w:spacing w:val="-4"/>
                <w:sz w:val="20"/>
                <w:szCs w:val="20"/>
              </w:rPr>
              <w:t>文件要求</w:t>
            </w:r>
          </w:p>
        </w:tc>
        <w:tc>
          <w:tcPr>
            <w:tcW w:w="2249" w:type="dxa"/>
            <w:vAlign w:val="top"/>
          </w:tcPr>
          <w:p w14:paraId="33E07C19">
            <w:pPr>
              <w:pStyle w:val="6"/>
              <w:spacing w:before="29" w:line="207" w:lineRule="auto"/>
              <w:ind w:left="647"/>
              <w:rPr>
                <w:sz w:val="20"/>
                <w:szCs w:val="20"/>
              </w:rPr>
            </w:pPr>
            <w:r>
              <w:rPr>
                <w:b/>
                <w:bCs/>
                <w:spacing w:val="-4"/>
                <w:sz w:val="20"/>
                <w:szCs w:val="20"/>
              </w:rPr>
              <w:t>本项目情况</w:t>
            </w:r>
          </w:p>
        </w:tc>
        <w:tc>
          <w:tcPr>
            <w:tcW w:w="831" w:type="dxa"/>
            <w:vAlign w:val="top"/>
          </w:tcPr>
          <w:p w14:paraId="0620F74C">
            <w:pPr>
              <w:pStyle w:val="6"/>
              <w:spacing w:before="29" w:line="207" w:lineRule="auto"/>
              <w:ind w:left="85"/>
              <w:rPr>
                <w:sz w:val="20"/>
                <w:szCs w:val="20"/>
              </w:rPr>
            </w:pPr>
            <w:r>
              <w:rPr>
                <w:b/>
                <w:bCs/>
                <w:spacing w:val="-5"/>
                <w:sz w:val="20"/>
                <w:szCs w:val="20"/>
              </w:rPr>
              <w:t>符合性</w:t>
            </w:r>
          </w:p>
        </w:tc>
      </w:tr>
      <w:tr w14:paraId="22BC4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trPr>
        <w:tc>
          <w:tcPr>
            <w:tcW w:w="1335" w:type="dxa"/>
            <w:vMerge w:val="continue"/>
            <w:tcBorders>
              <w:top w:val="nil"/>
              <w:bottom w:val="nil"/>
            </w:tcBorders>
            <w:vAlign w:val="top"/>
          </w:tcPr>
          <w:p w14:paraId="0104AF68">
            <w:pPr>
              <w:rPr>
                <w:rFonts w:ascii="Arial"/>
                <w:sz w:val="21"/>
              </w:rPr>
            </w:pPr>
          </w:p>
        </w:tc>
        <w:tc>
          <w:tcPr>
            <w:tcW w:w="586" w:type="dxa"/>
            <w:vAlign w:val="top"/>
          </w:tcPr>
          <w:p w14:paraId="70623C68">
            <w:pPr>
              <w:spacing w:line="304" w:lineRule="auto"/>
              <w:rPr>
                <w:rFonts w:ascii="Arial"/>
                <w:sz w:val="21"/>
              </w:rPr>
            </w:pPr>
          </w:p>
          <w:p w14:paraId="36FE350A">
            <w:pPr>
              <w:spacing w:line="305" w:lineRule="auto"/>
              <w:rPr>
                <w:rFonts w:ascii="Arial"/>
                <w:sz w:val="21"/>
              </w:rPr>
            </w:pPr>
          </w:p>
          <w:p w14:paraId="3A6DFBDF">
            <w:pPr>
              <w:pStyle w:val="6"/>
              <w:spacing w:before="65" w:line="242" w:lineRule="auto"/>
              <w:ind w:left="327"/>
              <w:rPr>
                <w:sz w:val="20"/>
                <w:szCs w:val="20"/>
              </w:rPr>
            </w:pPr>
            <w:r>
              <w:rPr>
                <w:sz w:val="20"/>
                <w:szCs w:val="20"/>
              </w:rPr>
              <w:t>1</w:t>
            </w:r>
          </w:p>
        </w:tc>
        <w:tc>
          <w:tcPr>
            <w:tcW w:w="3902" w:type="dxa"/>
            <w:vAlign w:val="top"/>
          </w:tcPr>
          <w:p w14:paraId="1ACEFD43">
            <w:pPr>
              <w:pStyle w:val="6"/>
              <w:spacing w:before="31" w:line="219" w:lineRule="auto"/>
              <w:ind w:left="202"/>
              <w:rPr>
                <w:sz w:val="20"/>
                <w:szCs w:val="20"/>
              </w:rPr>
            </w:pPr>
            <w:r>
              <w:rPr>
                <w:spacing w:val="-1"/>
                <w:sz w:val="20"/>
                <w:szCs w:val="20"/>
              </w:rPr>
              <w:t>工业炉窑是指在工业生产中利用燃料燃烧</w:t>
            </w:r>
          </w:p>
          <w:p w14:paraId="699F38C7">
            <w:pPr>
              <w:pStyle w:val="6"/>
              <w:spacing w:before="21" w:line="220" w:lineRule="auto"/>
              <w:ind w:left="125"/>
              <w:rPr>
                <w:sz w:val="20"/>
                <w:szCs w:val="20"/>
              </w:rPr>
            </w:pPr>
            <w:r>
              <w:rPr>
                <w:spacing w:val="-3"/>
                <w:sz w:val="20"/>
                <w:szCs w:val="20"/>
              </w:rPr>
              <w:t>或电能等转换产生的热量，将物料或工件进</w:t>
            </w:r>
          </w:p>
          <w:p w14:paraId="414C0AC4">
            <w:pPr>
              <w:pStyle w:val="6"/>
              <w:spacing w:before="21" w:line="219" w:lineRule="auto"/>
              <w:ind w:left="126"/>
              <w:rPr>
                <w:sz w:val="20"/>
                <w:szCs w:val="20"/>
              </w:rPr>
            </w:pPr>
            <w:r>
              <w:rPr>
                <w:spacing w:val="-3"/>
                <w:sz w:val="20"/>
                <w:szCs w:val="20"/>
              </w:rPr>
              <w:t>行熔炼、熔化、焙(煅)烧、加热、干馏气化</w:t>
            </w:r>
          </w:p>
          <w:p w14:paraId="02CA1412">
            <w:pPr>
              <w:pStyle w:val="6"/>
              <w:spacing w:before="21" w:line="220" w:lineRule="auto"/>
              <w:ind w:left="125"/>
              <w:rPr>
                <w:sz w:val="20"/>
                <w:szCs w:val="20"/>
              </w:rPr>
            </w:pPr>
            <w:r>
              <w:rPr>
                <w:spacing w:val="-13"/>
                <w:sz w:val="20"/>
                <w:szCs w:val="20"/>
              </w:rPr>
              <w:t>等的热工设备，包括熔炼炉、熔化炉、焙(煅)</w:t>
            </w:r>
          </w:p>
          <w:p w14:paraId="7E7CEB88">
            <w:pPr>
              <w:pStyle w:val="6"/>
              <w:spacing w:before="21" w:line="219" w:lineRule="auto"/>
              <w:jc w:val="right"/>
              <w:rPr>
                <w:sz w:val="20"/>
                <w:szCs w:val="20"/>
              </w:rPr>
            </w:pPr>
            <w:r>
              <w:rPr>
                <w:spacing w:val="-2"/>
                <w:sz w:val="20"/>
                <w:szCs w:val="20"/>
              </w:rPr>
              <w:t>烧炉(窑)加热炉、热处理炉、干燥炉(窑)、</w:t>
            </w:r>
          </w:p>
          <w:p w14:paraId="613858F4">
            <w:pPr>
              <w:pStyle w:val="6"/>
              <w:spacing w:before="21" w:line="207" w:lineRule="auto"/>
              <w:ind w:left="800"/>
              <w:rPr>
                <w:sz w:val="20"/>
                <w:szCs w:val="20"/>
              </w:rPr>
            </w:pPr>
            <w:r>
              <w:rPr>
                <w:spacing w:val="-2"/>
                <w:sz w:val="20"/>
                <w:szCs w:val="20"/>
              </w:rPr>
              <w:t>焦炉、煤气发生炉等八类。</w:t>
            </w:r>
          </w:p>
        </w:tc>
        <w:tc>
          <w:tcPr>
            <w:tcW w:w="2249" w:type="dxa"/>
            <w:vAlign w:val="top"/>
          </w:tcPr>
          <w:p w14:paraId="082CE6CC">
            <w:pPr>
              <w:rPr>
                <w:rFonts w:ascii="Arial"/>
                <w:sz w:val="21"/>
              </w:rPr>
            </w:pPr>
          </w:p>
          <w:p w14:paraId="03FC9945">
            <w:pPr>
              <w:spacing w:line="241" w:lineRule="auto"/>
              <w:rPr>
                <w:rFonts w:ascii="Arial"/>
                <w:sz w:val="21"/>
              </w:rPr>
            </w:pPr>
          </w:p>
          <w:p w14:paraId="22CC19DF">
            <w:pPr>
              <w:pStyle w:val="6"/>
              <w:spacing w:before="65" w:line="241" w:lineRule="auto"/>
              <w:ind w:left="249" w:right="101" w:hanging="100"/>
              <w:rPr>
                <w:sz w:val="20"/>
                <w:szCs w:val="20"/>
              </w:rPr>
            </w:pPr>
            <w:r>
              <w:rPr>
                <w:spacing w:val="-1"/>
                <w:sz w:val="20"/>
                <w:szCs w:val="20"/>
              </w:rPr>
              <w:t>本项目拟新建的热风炉</w:t>
            </w:r>
            <w:r>
              <w:rPr>
                <w:spacing w:val="2"/>
                <w:sz w:val="20"/>
                <w:szCs w:val="20"/>
              </w:rPr>
              <w:t xml:space="preserve"> </w:t>
            </w:r>
            <w:r>
              <w:rPr>
                <w:spacing w:val="-1"/>
                <w:sz w:val="20"/>
                <w:szCs w:val="20"/>
              </w:rPr>
              <w:t>属于干燥炉（窑）。</w:t>
            </w:r>
          </w:p>
        </w:tc>
        <w:tc>
          <w:tcPr>
            <w:tcW w:w="831" w:type="dxa"/>
            <w:vAlign w:val="top"/>
          </w:tcPr>
          <w:p w14:paraId="3CDB6F0F">
            <w:pPr>
              <w:spacing w:line="305" w:lineRule="auto"/>
              <w:rPr>
                <w:rFonts w:ascii="Arial"/>
                <w:sz w:val="21"/>
              </w:rPr>
            </w:pPr>
          </w:p>
          <w:p w14:paraId="58DE358A">
            <w:pPr>
              <w:spacing w:line="305" w:lineRule="auto"/>
              <w:rPr>
                <w:rFonts w:ascii="Arial"/>
                <w:sz w:val="21"/>
              </w:rPr>
            </w:pPr>
          </w:p>
          <w:p w14:paraId="3ABBF6B0">
            <w:pPr>
              <w:pStyle w:val="6"/>
              <w:spacing w:before="65" w:line="220" w:lineRule="auto"/>
              <w:ind w:left="187"/>
              <w:rPr>
                <w:sz w:val="20"/>
                <w:szCs w:val="20"/>
              </w:rPr>
            </w:pPr>
            <w:r>
              <w:rPr>
                <w:spacing w:val="-3"/>
                <w:sz w:val="20"/>
                <w:szCs w:val="20"/>
              </w:rPr>
              <w:t>符合</w:t>
            </w:r>
          </w:p>
        </w:tc>
      </w:tr>
      <w:tr w14:paraId="1A507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8" w:hRule="atLeast"/>
        </w:trPr>
        <w:tc>
          <w:tcPr>
            <w:tcW w:w="1335" w:type="dxa"/>
            <w:vMerge w:val="continue"/>
            <w:tcBorders>
              <w:top w:val="nil"/>
              <w:bottom w:val="nil"/>
            </w:tcBorders>
            <w:vAlign w:val="top"/>
          </w:tcPr>
          <w:p w14:paraId="0EB1A953">
            <w:pPr>
              <w:rPr>
                <w:rFonts w:ascii="Arial"/>
                <w:sz w:val="21"/>
              </w:rPr>
            </w:pPr>
          </w:p>
        </w:tc>
        <w:tc>
          <w:tcPr>
            <w:tcW w:w="586" w:type="dxa"/>
            <w:vAlign w:val="top"/>
          </w:tcPr>
          <w:p w14:paraId="73C045D0">
            <w:pPr>
              <w:spacing w:line="249" w:lineRule="auto"/>
              <w:rPr>
                <w:rFonts w:ascii="Arial"/>
                <w:sz w:val="21"/>
              </w:rPr>
            </w:pPr>
          </w:p>
          <w:p w14:paraId="10CAF689">
            <w:pPr>
              <w:spacing w:line="249" w:lineRule="auto"/>
              <w:rPr>
                <w:rFonts w:ascii="Arial"/>
                <w:sz w:val="21"/>
              </w:rPr>
            </w:pPr>
          </w:p>
          <w:p w14:paraId="50DB30E0">
            <w:pPr>
              <w:spacing w:line="249" w:lineRule="auto"/>
              <w:rPr>
                <w:rFonts w:ascii="Arial"/>
                <w:sz w:val="21"/>
              </w:rPr>
            </w:pPr>
          </w:p>
          <w:p w14:paraId="06DB59AC">
            <w:pPr>
              <w:spacing w:line="249" w:lineRule="auto"/>
              <w:rPr>
                <w:rFonts w:ascii="Arial"/>
                <w:sz w:val="21"/>
              </w:rPr>
            </w:pPr>
          </w:p>
          <w:p w14:paraId="1864E16F">
            <w:pPr>
              <w:pStyle w:val="6"/>
              <w:spacing w:before="65" w:line="242" w:lineRule="auto"/>
              <w:ind w:left="314"/>
              <w:rPr>
                <w:sz w:val="20"/>
                <w:szCs w:val="20"/>
              </w:rPr>
            </w:pPr>
            <w:r>
              <w:rPr>
                <w:sz w:val="20"/>
                <w:szCs w:val="20"/>
              </w:rPr>
              <w:t>2</w:t>
            </w:r>
          </w:p>
        </w:tc>
        <w:tc>
          <w:tcPr>
            <w:tcW w:w="3902" w:type="dxa"/>
            <w:vAlign w:val="top"/>
          </w:tcPr>
          <w:p w14:paraId="7DE15713">
            <w:pPr>
              <w:pStyle w:val="6"/>
              <w:spacing w:before="30" w:line="220" w:lineRule="auto"/>
              <w:ind w:left="129"/>
              <w:rPr>
                <w:sz w:val="20"/>
                <w:szCs w:val="20"/>
              </w:rPr>
            </w:pPr>
            <w:r>
              <w:rPr>
                <w:spacing w:val="-4"/>
                <w:sz w:val="20"/>
                <w:szCs w:val="20"/>
              </w:rPr>
              <w:t>（一）加大产业结构调整力度。严格建设项</w:t>
            </w:r>
          </w:p>
          <w:p w14:paraId="55E188EF">
            <w:pPr>
              <w:pStyle w:val="6"/>
              <w:spacing w:before="20" w:line="221" w:lineRule="auto"/>
              <w:jc w:val="right"/>
              <w:rPr>
                <w:sz w:val="20"/>
                <w:szCs w:val="20"/>
              </w:rPr>
            </w:pPr>
            <w:r>
              <w:rPr>
                <w:spacing w:val="-5"/>
                <w:sz w:val="20"/>
                <w:szCs w:val="20"/>
              </w:rPr>
              <w:t>目环境准入。新建涉工业炉窑的建设项目，</w:t>
            </w:r>
          </w:p>
          <w:p w14:paraId="6B7D204F">
            <w:pPr>
              <w:pStyle w:val="6"/>
              <w:spacing w:before="20" w:line="220" w:lineRule="auto"/>
              <w:ind w:left="128"/>
              <w:rPr>
                <w:sz w:val="20"/>
                <w:szCs w:val="20"/>
              </w:rPr>
            </w:pPr>
            <w:r>
              <w:rPr>
                <w:spacing w:val="-4"/>
                <w:sz w:val="20"/>
                <w:szCs w:val="20"/>
              </w:rPr>
              <w:t>原则上要入园区，配套建设高效环保治理设</w:t>
            </w:r>
          </w:p>
          <w:p w14:paraId="31F558EA">
            <w:pPr>
              <w:pStyle w:val="6"/>
              <w:spacing w:before="20" w:line="220" w:lineRule="auto"/>
              <w:ind w:left="199"/>
              <w:rPr>
                <w:sz w:val="20"/>
                <w:szCs w:val="20"/>
              </w:rPr>
            </w:pPr>
            <w:r>
              <w:rPr>
                <w:spacing w:val="-1"/>
                <w:sz w:val="20"/>
                <w:szCs w:val="20"/>
              </w:rPr>
              <w:t>施。重点区域严格控制涉工业炉窑建设项</w:t>
            </w:r>
          </w:p>
          <w:p w14:paraId="5199431A">
            <w:pPr>
              <w:pStyle w:val="6"/>
              <w:spacing w:before="21" w:line="220" w:lineRule="auto"/>
              <w:jc w:val="right"/>
              <w:rPr>
                <w:sz w:val="20"/>
                <w:szCs w:val="20"/>
              </w:rPr>
            </w:pPr>
            <w:r>
              <w:rPr>
                <w:spacing w:val="-4"/>
                <w:sz w:val="20"/>
                <w:szCs w:val="20"/>
              </w:rPr>
              <w:t>目，严禁新增钢铁、焦化、电解铝、铸造、</w:t>
            </w:r>
          </w:p>
          <w:p w14:paraId="4F6F3A3C">
            <w:pPr>
              <w:pStyle w:val="6"/>
              <w:spacing w:before="22" w:line="219" w:lineRule="auto"/>
              <w:ind w:left="152"/>
              <w:rPr>
                <w:sz w:val="20"/>
                <w:szCs w:val="20"/>
              </w:rPr>
            </w:pPr>
            <w:r>
              <w:rPr>
                <w:spacing w:val="-1"/>
                <w:sz w:val="20"/>
                <w:szCs w:val="20"/>
              </w:rPr>
              <w:t>水泥和平板玻璃等产能</w:t>
            </w:r>
            <w:r>
              <w:rPr>
                <w:rFonts w:hint="eastAsia"/>
                <w:spacing w:val="-1"/>
                <w:sz w:val="20"/>
                <w:szCs w:val="20"/>
                <w:lang w:eastAsia="zh-CN"/>
              </w:rPr>
              <w:t>；</w:t>
            </w:r>
            <w:r>
              <w:rPr>
                <w:spacing w:val="-1"/>
                <w:sz w:val="20"/>
                <w:szCs w:val="20"/>
              </w:rPr>
              <w:t>严格执行钢铁、水</w:t>
            </w:r>
            <w:r>
              <w:rPr>
                <w:spacing w:val="-3"/>
                <w:sz w:val="20"/>
                <w:szCs w:val="20"/>
              </w:rPr>
              <w:t>泥、平板玻璃等行业产能置换实施办法</w:t>
            </w:r>
            <w:r>
              <w:rPr>
                <w:spacing w:val="-53"/>
                <w:sz w:val="20"/>
                <w:szCs w:val="20"/>
              </w:rPr>
              <w:t xml:space="preserve"> </w:t>
            </w:r>
            <w:r>
              <w:rPr>
                <w:rFonts w:hint="eastAsia"/>
                <w:spacing w:val="-53"/>
                <w:sz w:val="20"/>
                <w:szCs w:val="20"/>
                <w:lang w:eastAsia="zh-CN"/>
              </w:rPr>
              <w:t>；</w:t>
            </w:r>
            <w:r>
              <w:rPr>
                <w:spacing w:val="-3"/>
                <w:sz w:val="20"/>
                <w:szCs w:val="20"/>
              </w:rPr>
              <w:t>原</w:t>
            </w:r>
            <w:r>
              <w:rPr>
                <w:spacing w:val="-1"/>
                <w:sz w:val="20"/>
                <w:szCs w:val="20"/>
              </w:rPr>
              <w:t>则上禁止新建燃料类煤气发生炉</w:t>
            </w:r>
            <w:r>
              <w:rPr>
                <w:rFonts w:hint="eastAsia"/>
                <w:spacing w:val="-1"/>
                <w:sz w:val="20"/>
                <w:szCs w:val="20"/>
                <w:lang w:eastAsia="zh-CN"/>
              </w:rPr>
              <w:t>（</w:t>
            </w:r>
            <w:r>
              <w:rPr>
                <w:spacing w:val="-1"/>
                <w:sz w:val="20"/>
                <w:szCs w:val="20"/>
              </w:rPr>
              <w:t>园区现有企业统一建设的清洁煤制气中心除外</w:t>
            </w:r>
            <w:r>
              <w:rPr>
                <w:rFonts w:hint="eastAsia"/>
                <w:spacing w:val="-1"/>
                <w:sz w:val="20"/>
                <w:szCs w:val="20"/>
                <w:lang w:eastAsia="zh-CN"/>
              </w:rPr>
              <w:t>）</w:t>
            </w:r>
            <w:r>
              <w:rPr>
                <w:spacing w:val="-1"/>
                <w:sz w:val="20"/>
                <w:szCs w:val="20"/>
              </w:rPr>
              <w:t>。</w:t>
            </w:r>
          </w:p>
        </w:tc>
        <w:tc>
          <w:tcPr>
            <w:tcW w:w="2249" w:type="dxa"/>
            <w:vAlign w:val="top"/>
          </w:tcPr>
          <w:p w14:paraId="0C8EF2F8">
            <w:pPr>
              <w:pStyle w:val="6"/>
              <w:spacing w:before="31" w:line="219" w:lineRule="auto"/>
              <w:ind w:left="149"/>
              <w:rPr>
                <w:sz w:val="20"/>
                <w:szCs w:val="20"/>
              </w:rPr>
            </w:pPr>
            <w:r>
              <w:rPr>
                <w:spacing w:val="-1"/>
                <w:sz w:val="20"/>
                <w:szCs w:val="20"/>
              </w:rPr>
              <w:t>本项目涉及新建工业炉</w:t>
            </w:r>
          </w:p>
          <w:p w14:paraId="51F28BDC">
            <w:pPr>
              <w:pStyle w:val="6"/>
              <w:spacing w:before="21" w:line="220" w:lineRule="auto"/>
              <w:ind w:left="95"/>
              <w:rPr>
                <w:sz w:val="20"/>
                <w:szCs w:val="20"/>
              </w:rPr>
            </w:pPr>
            <w:r>
              <w:rPr>
                <w:spacing w:val="-9"/>
                <w:sz w:val="20"/>
                <w:szCs w:val="20"/>
              </w:rPr>
              <w:t>窑，选址于通川区东岳新</w:t>
            </w:r>
          </w:p>
          <w:p w14:paraId="56BF9A24">
            <w:pPr>
              <w:pStyle w:val="6"/>
              <w:spacing w:before="20" w:line="220" w:lineRule="auto"/>
              <w:ind w:left="96"/>
              <w:rPr>
                <w:sz w:val="20"/>
                <w:szCs w:val="20"/>
              </w:rPr>
            </w:pPr>
            <w:r>
              <w:rPr>
                <w:spacing w:val="-9"/>
                <w:sz w:val="20"/>
                <w:szCs w:val="20"/>
              </w:rPr>
              <w:t>型工业集聚区，属于规划</w:t>
            </w:r>
          </w:p>
          <w:p w14:paraId="7B5236BB">
            <w:pPr>
              <w:pStyle w:val="6"/>
              <w:spacing w:before="20" w:line="221" w:lineRule="auto"/>
              <w:ind w:left="107"/>
              <w:rPr>
                <w:sz w:val="20"/>
                <w:szCs w:val="20"/>
              </w:rPr>
            </w:pPr>
            <w:r>
              <w:rPr>
                <w:spacing w:val="-10"/>
                <w:sz w:val="20"/>
                <w:szCs w:val="20"/>
              </w:rPr>
              <w:t>的工业园区，热风炉烟气</w:t>
            </w:r>
          </w:p>
          <w:p w14:paraId="6141B79C">
            <w:pPr>
              <w:pStyle w:val="6"/>
              <w:spacing w:before="20" w:line="220" w:lineRule="auto"/>
              <w:ind w:left="152"/>
              <w:rPr>
                <w:sz w:val="20"/>
                <w:szCs w:val="20"/>
              </w:rPr>
            </w:pPr>
            <w:r>
              <w:rPr>
                <w:spacing w:val="-2"/>
                <w:sz w:val="20"/>
                <w:szCs w:val="20"/>
              </w:rPr>
              <w:t>系统也配有高效的废气</w:t>
            </w:r>
          </w:p>
          <w:p w14:paraId="450011D5">
            <w:pPr>
              <w:pStyle w:val="6"/>
              <w:spacing w:before="22" w:line="219" w:lineRule="auto"/>
              <w:ind w:left="95"/>
              <w:rPr>
                <w:sz w:val="20"/>
                <w:szCs w:val="20"/>
              </w:rPr>
            </w:pPr>
            <w:r>
              <w:rPr>
                <w:spacing w:val="-9"/>
                <w:sz w:val="20"/>
                <w:szCs w:val="20"/>
              </w:rPr>
              <w:t>治理设施。项目位于达州</w:t>
            </w:r>
          </w:p>
          <w:p w14:paraId="0F3214EA">
            <w:pPr>
              <w:pStyle w:val="6"/>
              <w:spacing w:before="22" w:line="220" w:lineRule="auto"/>
              <w:ind w:left="96"/>
              <w:rPr>
                <w:sz w:val="20"/>
                <w:szCs w:val="20"/>
              </w:rPr>
            </w:pPr>
            <w:r>
              <w:rPr>
                <w:spacing w:val="-9"/>
                <w:sz w:val="20"/>
                <w:szCs w:val="20"/>
              </w:rPr>
              <w:t>市通川区东岳镇，不属于</w:t>
            </w:r>
          </w:p>
          <w:p w14:paraId="522DCF75">
            <w:pPr>
              <w:pStyle w:val="6"/>
              <w:spacing w:before="21" w:line="220" w:lineRule="auto"/>
              <w:ind w:left="149"/>
              <w:rPr>
                <w:sz w:val="20"/>
                <w:szCs w:val="20"/>
              </w:rPr>
            </w:pPr>
            <w:r>
              <w:rPr>
                <w:spacing w:val="-1"/>
                <w:sz w:val="20"/>
                <w:szCs w:val="20"/>
              </w:rPr>
              <w:t>文件规定的重点区域范</w:t>
            </w:r>
          </w:p>
          <w:p w14:paraId="42CD221B">
            <w:pPr>
              <w:pStyle w:val="6"/>
              <w:spacing w:before="21" w:line="205" w:lineRule="auto"/>
              <w:ind w:left="1066"/>
              <w:rPr>
                <w:sz w:val="20"/>
                <w:szCs w:val="20"/>
              </w:rPr>
            </w:pPr>
            <w:r>
              <w:rPr>
                <w:sz w:val="20"/>
                <w:szCs w:val="20"/>
              </w:rPr>
              <w:t>围</w:t>
            </w:r>
          </w:p>
        </w:tc>
        <w:tc>
          <w:tcPr>
            <w:tcW w:w="831" w:type="dxa"/>
            <w:vAlign w:val="top"/>
          </w:tcPr>
          <w:p w14:paraId="74E3FCA1">
            <w:pPr>
              <w:spacing w:line="249" w:lineRule="auto"/>
              <w:rPr>
                <w:rFonts w:ascii="Arial"/>
                <w:sz w:val="21"/>
              </w:rPr>
            </w:pPr>
          </w:p>
          <w:p w14:paraId="05E9159F">
            <w:pPr>
              <w:spacing w:line="249" w:lineRule="auto"/>
              <w:rPr>
                <w:rFonts w:ascii="Arial"/>
                <w:sz w:val="21"/>
              </w:rPr>
            </w:pPr>
          </w:p>
          <w:p w14:paraId="1BEBD6AF">
            <w:pPr>
              <w:spacing w:line="249" w:lineRule="auto"/>
              <w:rPr>
                <w:rFonts w:ascii="Arial"/>
                <w:sz w:val="21"/>
              </w:rPr>
            </w:pPr>
          </w:p>
          <w:p w14:paraId="27064FDB">
            <w:pPr>
              <w:spacing w:line="249" w:lineRule="auto"/>
              <w:rPr>
                <w:rFonts w:ascii="Arial"/>
                <w:sz w:val="21"/>
              </w:rPr>
            </w:pPr>
          </w:p>
          <w:p w14:paraId="67FA8318">
            <w:pPr>
              <w:pStyle w:val="6"/>
              <w:spacing w:before="65" w:line="220" w:lineRule="auto"/>
              <w:ind w:left="187"/>
              <w:rPr>
                <w:sz w:val="20"/>
                <w:szCs w:val="20"/>
              </w:rPr>
            </w:pPr>
            <w:r>
              <w:rPr>
                <w:spacing w:val="-3"/>
                <w:sz w:val="20"/>
                <w:szCs w:val="20"/>
              </w:rPr>
              <w:t>符合</w:t>
            </w:r>
          </w:p>
        </w:tc>
      </w:tr>
      <w:tr w14:paraId="387AE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8" w:hRule="atLeast"/>
        </w:trPr>
        <w:tc>
          <w:tcPr>
            <w:tcW w:w="1335" w:type="dxa"/>
            <w:vMerge w:val="continue"/>
            <w:tcBorders>
              <w:top w:val="nil"/>
              <w:bottom w:val="nil"/>
            </w:tcBorders>
            <w:vAlign w:val="top"/>
          </w:tcPr>
          <w:p w14:paraId="74E3D419">
            <w:pPr>
              <w:rPr>
                <w:rFonts w:ascii="Arial"/>
                <w:sz w:val="21"/>
              </w:rPr>
            </w:pPr>
          </w:p>
        </w:tc>
        <w:tc>
          <w:tcPr>
            <w:tcW w:w="586" w:type="dxa"/>
            <w:vAlign w:val="top"/>
          </w:tcPr>
          <w:p w14:paraId="5CA223D0">
            <w:pPr>
              <w:spacing w:line="281" w:lineRule="auto"/>
              <w:rPr>
                <w:rFonts w:ascii="Arial"/>
                <w:sz w:val="21"/>
              </w:rPr>
            </w:pPr>
          </w:p>
          <w:p w14:paraId="5C1C76FF">
            <w:pPr>
              <w:spacing w:line="282" w:lineRule="auto"/>
              <w:rPr>
                <w:rFonts w:ascii="Arial"/>
                <w:sz w:val="21"/>
              </w:rPr>
            </w:pPr>
          </w:p>
          <w:p w14:paraId="61C1BF2A">
            <w:pPr>
              <w:spacing w:line="282" w:lineRule="auto"/>
              <w:rPr>
                <w:rFonts w:ascii="Arial"/>
                <w:sz w:val="21"/>
              </w:rPr>
            </w:pPr>
          </w:p>
          <w:p w14:paraId="406FB5B1">
            <w:pPr>
              <w:spacing w:line="282" w:lineRule="auto"/>
              <w:rPr>
                <w:rFonts w:ascii="Arial"/>
                <w:sz w:val="21"/>
              </w:rPr>
            </w:pPr>
          </w:p>
          <w:p w14:paraId="33A32C55">
            <w:pPr>
              <w:pStyle w:val="6"/>
              <w:spacing w:before="65"/>
              <w:ind w:left="316"/>
              <w:rPr>
                <w:sz w:val="20"/>
                <w:szCs w:val="20"/>
              </w:rPr>
            </w:pPr>
            <w:r>
              <w:rPr>
                <w:sz w:val="20"/>
                <w:szCs w:val="20"/>
              </w:rPr>
              <w:t>3</w:t>
            </w:r>
          </w:p>
        </w:tc>
        <w:tc>
          <w:tcPr>
            <w:tcW w:w="3902" w:type="dxa"/>
            <w:vAlign w:val="top"/>
          </w:tcPr>
          <w:p w14:paraId="3E725FFA">
            <w:pPr>
              <w:pStyle w:val="6"/>
              <w:spacing w:before="292" w:line="220" w:lineRule="auto"/>
              <w:jc w:val="right"/>
              <w:rPr>
                <w:sz w:val="20"/>
                <w:szCs w:val="20"/>
              </w:rPr>
            </w:pPr>
            <w:r>
              <w:rPr>
                <w:spacing w:val="-2"/>
                <w:sz w:val="20"/>
                <w:szCs w:val="20"/>
              </w:rPr>
              <w:t>加大落后产能和不达标工业炉窑淘汰力度。</w:t>
            </w:r>
          </w:p>
          <w:p w14:paraId="2D58CB9F">
            <w:pPr>
              <w:pStyle w:val="6"/>
              <w:spacing w:before="20" w:line="220" w:lineRule="auto"/>
              <w:ind w:left="125"/>
              <w:rPr>
                <w:sz w:val="20"/>
                <w:szCs w:val="20"/>
              </w:rPr>
            </w:pPr>
            <w:r>
              <w:rPr>
                <w:spacing w:val="-3"/>
                <w:sz w:val="20"/>
                <w:szCs w:val="20"/>
              </w:rPr>
              <w:t>分行业清理《产业结构调整指导目录》淘汰</w:t>
            </w:r>
          </w:p>
          <w:p w14:paraId="74F6F290">
            <w:pPr>
              <w:pStyle w:val="6"/>
              <w:spacing w:before="20" w:line="220" w:lineRule="auto"/>
              <w:ind w:left="123"/>
              <w:rPr>
                <w:sz w:val="20"/>
                <w:szCs w:val="20"/>
              </w:rPr>
            </w:pPr>
            <w:r>
              <w:rPr>
                <w:spacing w:val="-3"/>
                <w:sz w:val="20"/>
                <w:szCs w:val="20"/>
              </w:rPr>
              <w:t>类工业炉窑。鼓励各地制定更加严格的环保</w:t>
            </w:r>
          </w:p>
          <w:p w14:paraId="5145E74A">
            <w:pPr>
              <w:pStyle w:val="6"/>
              <w:spacing w:before="21" w:line="219" w:lineRule="auto"/>
              <w:ind w:left="124"/>
              <w:rPr>
                <w:sz w:val="20"/>
                <w:szCs w:val="20"/>
              </w:rPr>
            </w:pPr>
            <w:r>
              <w:rPr>
                <w:spacing w:val="-3"/>
                <w:sz w:val="20"/>
                <w:szCs w:val="20"/>
              </w:rPr>
              <w:t>标准，进一步促进产业结构调整。对热效率</w:t>
            </w:r>
          </w:p>
          <w:p w14:paraId="1072722F">
            <w:pPr>
              <w:pStyle w:val="6"/>
              <w:spacing w:before="22" w:line="219" w:lineRule="auto"/>
              <w:ind w:left="122"/>
              <w:rPr>
                <w:sz w:val="20"/>
                <w:szCs w:val="20"/>
              </w:rPr>
            </w:pPr>
            <w:r>
              <w:rPr>
                <w:spacing w:val="-3"/>
                <w:sz w:val="20"/>
                <w:szCs w:val="20"/>
              </w:rPr>
              <w:t>低下、敞开未封闭，装备简易落后、自动化</w:t>
            </w:r>
          </w:p>
          <w:p w14:paraId="63518CB5">
            <w:pPr>
              <w:pStyle w:val="6"/>
              <w:spacing w:before="21" w:line="221" w:lineRule="auto"/>
              <w:ind w:left="122"/>
              <w:rPr>
                <w:sz w:val="20"/>
                <w:szCs w:val="20"/>
              </w:rPr>
            </w:pPr>
            <w:r>
              <w:rPr>
                <w:spacing w:val="-3"/>
                <w:sz w:val="20"/>
                <w:szCs w:val="20"/>
              </w:rPr>
              <w:t>程度低，无组织排放突出，以及无治理设施</w:t>
            </w:r>
          </w:p>
          <w:p w14:paraId="772DA031">
            <w:pPr>
              <w:pStyle w:val="6"/>
              <w:spacing w:before="21" w:line="220" w:lineRule="auto"/>
              <w:ind w:left="202"/>
              <w:rPr>
                <w:sz w:val="20"/>
                <w:szCs w:val="20"/>
              </w:rPr>
            </w:pPr>
            <w:r>
              <w:rPr>
                <w:spacing w:val="-1"/>
                <w:sz w:val="20"/>
                <w:szCs w:val="20"/>
              </w:rPr>
              <w:t>或治理设施工艺落后等严重污染环境的工</w:t>
            </w:r>
          </w:p>
          <w:p w14:paraId="0110544D">
            <w:pPr>
              <w:pStyle w:val="6"/>
              <w:spacing w:before="21" w:line="219" w:lineRule="auto"/>
              <w:ind w:left="699"/>
              <w:rPr>
                <w:sz w:val="20"/>
                <w:szCs w:val="20"/>
              </w:rPr>
            </w:pPr>
            <w:r>
              <w:rPr>
                <w:spacing w:val="-1"/>
                <w:sz w:val="20"/>
                <w:szCs w:val="20"/>
              </w:rPr>
              <w:t>业炉窑，依法责令停业关闭。</w:t>
            </w:r>
          </w:p>
        </w:tc>
        <w:tc>
          <w:tcPr>
            <w:tcW w:w="2249" w:type="dxa"/>
            <w:vAlign w:val="top"/>
          </w:tcPr>
          <w:p w14:paraId="7AF28EC8">
            <w:pPr>
              <w:pStyle w:val="6"/>
              <w:spacing w:before="33" w:line="219" w:lineRule="auto"/>
              <w:ind w:right="8"/>
              <w:jc w:val="right"/>
              <w:rPr>
                <w:sz w:val="20"/>
                <w:szCs w:val="20"/>
              </w:rPr>
            </w:pPr>
            <w:r>
              <w:rPr>
                <w:spacing w:val="-6"/>
                <w:sz w:val="20"/>
                <w:szCs w:val="20"/>
              </w:rPr>
              <w:t>本项目热风炉不属于《产</w:t>
            </w:r>
          </w:p>
          <w:p w14:paraId="06BB2F24">
            <w:pPr>
              <w:pStyle w:val="6"/>
              <w:spacing w:before="21" w:line="221" w:lineRule="auto"/>
              <w:ind w:left="247"/>
              <w:rPr>
                <w:sz w:val="20"/>
                <w:szCs w:val="20"/>
              </w:rPr>
            </w:pPr>
            <w:r>
              <w:rPr>
                <w:spacing w:val="-1"/>
                <w:sz w:val="20"/>
                <w:szCs w:val="20"/>
              </w:rPr>
              <w:t>业结构调整指导目录</w:t>
            </w:r>
          </w:p>
          <w:p w14:paraId="2DB43F39">
            <w:pPr>
              <w:pStyle w:val="6"/>
              <w:spacing w:before="20" w:line="219" w:lineRule="auto"/>
              <w:ind w:left="96"/>
              <w:rPr>
                <w:sz w:val="20"/>
                <w:szCs w:val="20"/>
              </w:rPr>
            </w:pPr>
            <w:r>
              <w:rPr>
                <w:spacing w:val="-8"/>
                <w:sz w:val="20"/>
                <w:szCs w:val="20"/>
              </w:rPr>
              <w:t>（2024年本）》中的限制</w:t>
            </w:r>
          </w:p>
          <w:p w14:paraId="069037CC">
            <w:pPr>
              <w:pStyle w:val="6"/>
              <w:spacing w:before="21" w:line="220" w:lineRule="auto"/>
              <w:ind w:left="91"/>
              <w:rPr>
                <w:sz w:val="20"/>
                <w:szCs w:val="20"/>
              </w:rPr>
            </w:pPr>
            <w:r>
              <w:rPr>
                <w:spacing w:val="-9"/>
                <w:sz w:val="20"/>
                <w:szCs w:val="20"/>
              </w:rPr>
              <w:t>和淘汰类设备，该热风炉</w:t>
            </w:r>
          </w:p>
          <w:p w14:paraId="6D6CE48A">
            <w:pPr>
              <w:pStyle w:val="6"/>
              <w:spacing w:before="20" w:line="220" w:lineRule="auto"/>
              <w:ind w:left="94"/>
              <w:rPr>
                <w:sz w:val="20"/>
                <w:szCs w:val="20"/>
              </w:rPr>
            </w:pPr>
            <w:r>
              <w:rPr>
                <w:spacing w:val="-9"/>
                <w:sz w:val="20"/>
                <w:szCs w:val="20"/>
              </w:rPr>
              <w:t>热效率较高、属于封闭式</w:t>
            </w:r>
          </w:p>
          <w:p w14:paraId="50CB6986">
            <w:pPr>
              <w:pStyle w:val="6"/>
              <w:spacing w:before="21" w:line="219" w:lineRule="auto"/>
              <w:ind w:left="94"/>
              <w:rPr>
                <w:sz w:val="20"/>
                <w:szCs w:val="20"/>
              </w:rPr>
            </w:pPr>
            <w:r>
              <w:rPr>
                <w:spacing w:val="-9"/>
                <w:sz w:val="20"/>
                <w:szCs w:val="20"/>
              </w:rPr>
              <w:t>热风炉，热烟气进入烘干</w:t>
            </w:r>
          </w:p>
          <w:p w14:paraId="137A8355">
            <w:pPr>
              <w:pStyle w:val="6"/>
              <w:spacing w:before="22" w:line="219" w:lineRule="auto"/>
              <w:ind w:left="89"/>
              <w:rPr>
                <w:sz w:val="20"/>
                <w:szCs w:val="20"/>
              </w:rPr>
            </w:pPr>
            <w:r>
              <w:rPr>
                <w:spacing w:val="-8"/>
                <w:sz w:val="20"/>
                <w:szCs w:val="20"/>
              </w:rPr>
              <w:t>机进行热能利用后，再讲</w:t>
            </w:r>
          </w:p>
          <w:p w14:paraId="328B14C0">
            <w:pPr>
              <w:pStyle w:val="6"/>
              <w:spacing w:before="24" w:line="218" w:lineRule="auto"/>
              <w:ind w:left="99"/>
              <w:rPr>
                <w:sz w:val="20"/>
                <w:szCs w:val="20"/>
              </w:rPr>
            </w:pPr>
            <w:r>
              <w:rPr>
                <w:spacing w:val="-1"/>
                <w:sz w:val="20"/>
                <w:szCs w:val="20"/>
              </w:rPr>
              <w:t>旋风除尘+喷淋塔除尘后</w:t>
            </w:r>
          </w:p>
          <w:p w14:paraId="5AB1A6CD">
            <w:pPr>
              <w:pStyle w:val="6"/>
              <w:spacing w:before="22" w:line="221" w:lineRule="auto"/>
              <w:ind w:left="89"/>
              <w:rPr>
                <w:sz w:val="20"/>
                <w:szCs w:val="20"/>
              </w:rPr>
            </w:pPr>
            <w:r>
              <w:rPr>
                <w:spacing w:val="-9"/>
                <w:sz w:val="20"/>
                <w:szCs w:val="20"/>
              </w:rPr>
              <w:t>达标排放，属有组织排放</w:t>
            </w:r>
          </w:p>
          <w:p w14:paraId="4D265213">
            <w:pPr>
              <w:pStyle w:val="6"/>
              <w:spacing w:before="20" w:line="204" w:lineRule="auto"/>
              <w:ind w:left="247"/>
              <w:rPr>
                <w:sz w:val="20"/>
                <w:szCs w:val="20"/>
              </w:rPr>
            </w:pPr>
            <w:r>
              <w:rPr>
                <w:spacing w:val="-1"/>
                <w:sz w:val="20"/>
                <w:szCs w:val="20"/>
              </w:rPr>
              <w:t>且不涉及无组织排放</w:t>
            </w:r>
          </w:p>
        </w:tc>
        <w:tc>
          <w:tcPr>
            <w:tcW w:w="831" w:type="dxa"/>
            <w:vAlign w:val="top"/>
          </w:tcPr>
          <w:p w14:paraId="1CD76AEB">
            <w:pPr>
              <w:spacing w:line="281" w:lineRule="auto"/>
              <w:rPr>
                <w:rFonts w:ascii="Arial"/>
                <w:sz w:val="21"/>
              </w:rPr>
            </w:pPr>
          </w:p>
          <w:p w14:paraId="13D62536">
            <w:pPr>
              <w:spacing w:line="282" w:lineRule="auto"/>
              <w:rPr>
                <w:rFonts w:ascii="Arial"/>
                <w:sz w:val="21"/>
              </w:rPr>
            </w:pPr>
          </w:p>
          <w:p w14:paraId="215E2158">
            <w:pPr>
              <w:spacing w:line="282" w:lineRule="auto"/>
              <w:rPr>
                <w:rFonts w:ascii="Arial"/>
                <w:sz w:val="21"/>
              </w:rPr>
            </w:pPr>
          </w:p>
          <w:p w14:paraId="42ECBE4A">
            <w:pPr>
              <w:spacing w:line="282" w:lineRule="auto"/>
              <w:rPr>
                <w:rFonts w:ascii="Arial"/>
                <w:sz w:val="21"/>
              </w:rPr>
            </w:pPr>
          </w:p>
          <w:p w14:paraId="2A4F8F1A">
            <w:pPr>
              <w:pStyle w:val="6"/>
              <w:spacing w:before="65" w:line="220" w:lineRule="auto"/>
              <w:ind w:left="187"/>
              <w:rPr>
                <w:sz w:val="20"/>
                <w:szCs w:val="20"/>
              </w:rPr>
            </w:pPr>
            <w:r>
              <w:rPr>
                <w:spacing w:val="-3"/>
                <w:sz w:val="20"/>
                <w:szCs w:val="20"/>
              </w:rPr>
              <w:t>符合</w:t>
            </w:r>
          </w:p>
        </w:tc>
      </w:tr>
      <w:tr w14:paraId="15E92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8" w:hRule="atLeast"/>
        </w:trPr>
        <w:tc>
          <w:tcPr>
            <w:tcW w:w="1335" w:type="dxa"/>
            <w:vMerge w:val="continue"/>
            <w:tcBorders>
              <w:top w:val="nil"/>
              <w:bottom w:val="nil"/>
            </w:tcBorders>
            <w:vAlign w:val="top"/>
          </w:tcPr>
          <w:p w14:paraId="44233FA6">
            <w:pPr>
              <w:rPr>
                <w:rFonts w:ascii="Arial"/>
                <w:sz w:val="21"/>
              </w:rPr>
            </w:pPr>
          </w:p>
        </w:tc>
        <w:tc>
          <w:tcPr>
            <w:tcW w:w="586" w:type="dxa"/>
            <w:vAlign w:val="top"/>
          </w:tcPr>
          <w:p w14:paraId="639B7E55">
            <w:pPr>
              <w:spacing w:line="282" w:lineRule="auto"/>
              <w:rPr>
                <w:rFonts w:ascii="Arial"/>
                <w:sz w:val="21"/>
              </w:rPr>
            </w:pPr>
          </w:p>
          <w:p w14:paraId="088CB726">
            <w:pPr>
              <w:spacing w:line="282" w:lineRule="auto"/>
              <w:rPr>
                <w:rFonts w:ascii="Arial"/>
                <w:sz w:val="21"/>
              </w:rPr>
            </w:pPr>
          </w:p>
          <w:p w14:paraId="1E79DD7E">
            <w:pPr>
              <w:spacing w:line="282" w:lineRule="auto"/>
              <w:rPr>
                <w:rFonts w:ascii="Arial"/>
                <w:sz w:val="21"/>
              </w:rPr>
            </w:pPr>
          </w:p>
          <w:p w14:paraId="0C9B76D0">
            <w:pPr>
              <w:spacing w:line="282" w:lineRule="auto"/>
              <w:rPr>
                <w:rFonts w:ascii="Arial"/>
                <w:sz w:val="21"/>
              </w:rPr>
            </w:pPr>
          </w:p>
          <w:p w14:paraId="2588846D">
            <w:pPr>
              <w:pStyle w:val="6"/>
              <w:spacing w:before="65" w:line="242" w:lineRule="auto"/>
              <w:ind w:left="311"/>
              <w:rPr>
                <w:sz w:val="20"/>
                <w:szCs w:val="20"/>
              </w:rPr>
            </w:pPr>
            <w:r>
              <w:rPr>
                <w:sz w:val="20"/>
                <w:szCs w:val="20"/>
              </w:rPr>
              <w:t>4</w:t>
            </w:r>
          </w:p>
        </w:tc>
        <w:tc>
          <w:tcPr>
            <w:tcW w:w="3902" w:type="dxa"/>
            <w:vAlign w:val="top"/>
          </w:tcPr>
          <w:p w14:paraId="16B52E71">
            <w:pPr>
              <w:pStyle w:val="6"/>
              <w:spacing w:before="28"/>
              <w:ind w:left="122" w:right="10" w:firstLine="6"/>
              <w:jc w:val="both"/>
              <w:rPr>
                <w:sz w:val="20"/>
                <w:szCs w:val="20"/>
              </w:rPr>
            </w:pPr>
            <w:r>
              <w:rPr>
                <w:spacing w:val="-3"/>
                <w:sz w:val="20"/>
                <w:szCs w:val="20"/>
              </w:rPr>
              <w:t>（二）加快燃料清洁低碳化替代。对以煤、</w:t>
            </w:r>
            <w:r>
              <w:rPr>
                <w:spacing w:val="13"/>
                <w:sz w:val="20"/>
                <w:szCs w:val="20"/>
              </w:rPr>
              <w:t xml:space="preserve"> </w:t>
            </w:r>
            <w:r>
              <w:rPr>
                <w:spacing w:val="-2"/>
                <w:sz w:val="20"/>
                <w:szCs w:val="20"/>
              </w:rPr>
              <w:t>石油焦、渣油、重油等为燃料的工业炉窑，</w:t>
            </w:r>
            <w:r>
              <w:rPr>
                <w:spacing w:val="1"/>
                <w:sz w:val="20"/>
                <w:szCs w:val="20"/>
              </w:rPr>
              <w:t xml:space="preserve"> </w:t>
            </w:r>
            <w:r>
              <w:rPr>
                <w:spacing w:val="-2"/>
                <w:sz w:val="20"/>
                <w:szCs w:val="20"/>
              </w:rPr>
              <w:t>加快使用清洁低碳能源以及利用工厂余热、</w:t>
            </w:r>
            <w:r>
              <w:rPr>
                <w:spacing w:val="1"/>
                <w:sz w:val="20"/>
                <w:szCs w:val="20"/>
              </w:rPr>
              <w:t xml:space="preserve"> </w:t>
            </w:r>
            <w:r>
              <w:rPr>
                <w:spacing w:val="-3"/>
                <w:sz w:val="20"/>
                <w:szCs w:val="20"/>
              </w:rPr>
              <w:t>电厂热力等进行替代。重点区域禁止掺烧高</w:t>
            </w:r>
            <w:r>
              <w:rPr>
                <w:spacing w:val="3"/>
                <w:sz w:val="20"/>
                <w:szCs w:val="20"/>
              </w:rPr>
              <w:t xml:space="preserve"> </w:t>
            </w:r>
            <w:r>
              <w:rPr>
                <w:spacing w:val="-3"/>
                <w:sz w:val="20"/>
                <w:szCs w:val="20"/>
              </w:rPr>
              <w:t>石油焦</w:t>
            </w:r>
            <w:r>
              <w:rPr>
                <w:rFonts w:hint="eastAsia"/>
                <w:spacing w:val="-3"/>
                <w:sz w:val="20"/>
                <w:szCs w:val="20"/>
                <w:lang w:eastAsia="zh-CN"/>
              </w:rPr>
              <w:t>（</w:t>
            </w:r>
            <w:r>
              <w:rPr>
                <w:spacing w:val="-3"/>
                <w:sz w:val="20"/>
                <w:szCs w:val="20"/>
              </w:rPr>
              <w:t>含量大于3%</w:t>
            </w:r>
            <w:r>
              <w:rPr>
                <w:rFonts w:hint="eastAsia"/>
                <w:spacing w:val="-3"/>
                <w:sz w:val="20"/>
                <w:szCs w:val="20"/>
                <w:lang w:eastAsia="zh-CN"/>
              </w:rPr>
              <w:t>）</w:t>
            </w:r>
            <w:r>
              <w:rPr>
                <w:spacing w:val="-3"/>
                <w:sz w:val="20"/>
                <w:szCs w:val="20"/>
              </w:rPr>
              <w:t>。玻璃行业全面禁止掺</w:t>
            </w:r>
            <w:r>
              <w:rPr>
                <w:spacing w:val="11"/>
                <w:sz w:val="20"/>
                <w:szCs w:val="20"/>
              </w:rPr>
              <w:t xml:space="preserve"> </w:t>
            </w:r>
            <w:r>
              <w:rPr>
                <w:spacing w:val="-3"/>
                <w:sz w:val="20"/>
                <w:szCs w:val="20"/>
              </w:rPr>
              <w:t>烧高硫石油焦。加快淘汰燃煤工业炉窑。重</w:t>
            </w:r>
            <w:r>
              <w:rPr>
                <w:spacing w:val="3"/>
                <w:sz w:val="20"/>
                <w:szCs w:val="20"/>
              </w:rPr>
              <w:t xml:space="preserve"> </w:t>
            </w:r>
            <w:r>
              <w:rPr>
                <w:spacing w:val="-3"/>
                <w:sz w:val="20"/>
                <w:szCs w:val="20"/>
              </w:rPr>
              <w:t>点区域取缔燃煤热风炉，基本淘汰热电联产</w:t>
            </w:r>
            <w:r>
              <w:rPr>
                <w:spacing w:val="3"/>
                <w:sz w:val="20"/>
                <w:szCs w:val="20"/>
              </w:rPr>
              <w:t xml:space="preserve"> 供热管网覆盖范围内的燃煤加热、烘干炉</w:t>
            </w:r>
            <w:r>
              <w:rPr>
                <w:rFonts w:hint="eastAsia"/>
                <w:spacing w:val="7"/>
                <w:sz w:val="20"/>
                <w:szCs w:val="20"/>
                <w:lang w:eastAsia="zh-CN"/>
              </w:rPr>
              <w:t>（</w:t>
            </w:r>
            <w:r>
              <w:rPr>
                <w:spacing w:val="1"/>
                <w:sz w:val="20"/>
                <w:szCs w:val="20"/>
              </w:rPr>
              <w:t>窑</w:t>
            </w:r>
            <w:r>
              <w:rPr>
                <w:rFonts w:hint="eastAsia"/>
                <w:spacing w:val="1"/>
                <w:sz w:val="20"/>
                <w:szCs w:val="20"/>
                <w:lang w:eastAsia="zh-CN"/>
              </w:rPr>
              <w:t>）</w:t>
            </w:r>
            <w:r>
              <w:rPr>
                <w:spacing w:val="1"/>
                <w:sz w:val="20"/>
                <w:szCs w:val="20"/>
              </w:rPr>
              <w:t>。加快推动铸造</w:t>
            </w:r>
            <w:r>
              <w:rPr>
                <w:rFonts w:hint="eastAsia"/>
                <w:spacing w:val="1"/>
                <w:sz w:val="20"/>
                <w:szCs w:val="20"/>
                <w:lang w:eastAsia="zh-CN"/>
              </w:rPr>
              <w:t>（</w:t>
            </w:r>
            <w:r>
              <w:rPr>
                <w:spacing w:val="1"/>
                <w:sz w:val="20"/>
                <w:szCs w:val="20"/>
              </w:rPr>
              <w:t>10吨/小时及以</w:t>
            </w:r>
            <w:r>
              <w:rPr>
                <w:sz w:val="20"/>
                <w:szCs w:val="20"/>
              </w:rPr>
              <w:t>下</w:t>
            </w:r>
            <w:r>
              <w:rPr>
                <w:rFonts w:hint="eastAsia"/>
                <w:sz w:val="20"/>
                <w:szCs w:val="20"/>
                <w:lang w:eastAsia="zh-CN"/>
              </w:rPr>
              <w:t>）</w:t>
            </w:r>
            <w:r>
              <w:rPr>
                <w:sz w:val="20"/>
                <w:szCs w:val="20"/>
              </w:rPr>
              <w:t>、</w:t>
            </w:r>
            <w:r>
              <w:rPr>
                <w:spacing w:val="-1"/>
                <w:sz w:val="20"/>
                <w:szCs w:val="20"/>
              </w:rPr>
              <w:t>岩棉等行业冲天炉改为电炉。</w:t>
            </w:r>
          </w:p>
        </w:tc>
        <w:tc>
          <w:tcPr>
            <w:tcW w:w="2249" w:type="dxa"/>
            <w:vAlign w:val="top"/>
          </w:tcPr>
          <w:p w14:paraId="58267CC9">
            <w:pPr>
              <w:spacing w:line="356" w:lineRule="auto"/>
              <w:rPr>
                <w:rFonts w:ascii="Arial"/>
                <w:sz w:val="21"/>
              </w:rPr>
            </w:pPr>
          </w:p>
          <w:p w14:paraId="0C419017">
            <w:pPr>
              <w:pStyle w:val="6"/>
              <w:spacing w:before="65" w:line="219" w:lineRule="auto"/>
              <w:ind w:left="149"/>
              <w:rPr>
                <w:sz w:val="20"/>
                <w:szCs w:val="20"/>
              </w:rPr>
            </w:pPr>
            <w:r>
              <w:rPr>
                <w:spacing w:val="-1"/>
                <w:sz w:val="20"/>
                <w:szCs w:val="20"/>
              </w:rPr>
              <w:t>本项目位于通川区东岳</w:t>
            </w:r>
          </w:p>
          <w:p w14:paraId="230472E2">
            <w:pPr>
              <w:pStyle w:val="6"/>
              <w:spacing w:before="21" w:line="220" w:lineRule="auto"/>
              <w:ind w:left="91"/>
              <w:rPr>
                <w:sz w:val="20"/>
                <w:szCs w:val="20"/>
              </w:rPr>
            </w:pPr>
            <w:r>
              <w:rPr>
                <w:spacing w:val="-9"/>
                <w:sz w:val="20"/>
                <w:szCs w:val="20"/>
              </w:rPr>
              <w:t>新型工业集聚区，不属于</w:t>
            </w:r>
          </w:p>
          <w:p w14:paraId="378A8DBF">
            <w:pPr>
              <w:pStyle w:val="6"/>
              <w:spacing w:before="20" w:line="220" w:lineRule="auto"/>
              <w:ind w:left="149"/>
              <w:rPr>
                <w:sz w:val="20"/>
                <w:szCs w:val="20"/>
              </w:rPr>
            </w:pPr>
            <w:r>
              <w:rPr>
                <w:spacing w:val="-1"/>
                <w:sz w:val="20"/>
                <w:szCs w:val="20"/>
              </w:rPr>
              <w:t>文件规定的重点区域范</w:t>
            </w:r>
          </w:p>
          <w:p w14:paraId="5E3624BE">
            <w:pPr>
              <w:pStyle w:val="6"/>
              <w:spacing w:before="21" w:line="219" w:lineRule="auto"/>
              <w:ind w:left="108"/>
              <w:rPr>
                <w:sz w:val="20"/>
                <w:szCs w:val="20"/>
              </w:rPr>
            </w:pPr>
            <w:r>
              <w:rPr>
                <w:spacing w:val="-10"/>
                <w:sz w:val="20"/>
                <w:szCs w:val="20"/>
              </w:rPr>
              <w:t>围。本项目热风炉以生物</w:t>
            </w:r>
          </w:p>
          <w:p w14:paraId="6DDEFCDA">
            <w:pPr>
              <w:pStyle w:val="6"/>
              <w:spacing w:before="21" w:line="221" w:lineRule="auto"/>
              <w:ind w:left="91"/>
              <w:rPr>
                <w:sz w:val="20"/>
                <w:szCs w:val="20"/>
              </w:rPr>
            </w:pPr>
            <w:r>
              <w:rPr>
                <w:spacing w:val="-8"/>
                <w:sz w:val="20"/>
                <w:szCs w:val="20"/>
              </w:rPr>
              <w:t>质成型燃料为燃料，不涉</w:t>
            </w:r>
          </w:p>
          <w:p w14:paraId="216B77D8">
            <w:pPr>
              <w:pStyle w:val="6"/>
              <w:spacing w:before="20" w:line="220" w:lineRule="auto"/>
              <w:ind w:left="147"/>
              <w:rPr>
                <w:sz w:val="20"/>
                <w:szCs w:val="20"/>
              </w:rPr>
            </w:pPr>
            <w:r>
              <w:rPr>
                <w:spacing w:val="-1"/>
                <w:sz w:val="20"/>
                <w:szCs w:val="20"/>
              </w:rPr>
              <w:t>及使用燃煤或者其他高</w:t>
            </w:r>
          </w:p>
          <w:p w14:paraId="1A4A1D0A">
            <w:pPr>
              <w:pStyle w:val="6"/>
              <w:spacing w:before="20" w:line="221" w:lineRule="auto"/>
              <w:ind w:left="750"/>
              <w:rPr>
                <w:sz w:val="20"/>
                <w:szCs w:val="20"/>
              </w:rPr>
            </w:pPr>
            <w:r>
              <w:rPr>
                <w:spacing w:val="-2"/>
                <w:sz w:val="20"/>
                <w:szCs w:val="20"/>
              </w:rPr>
              <w:t>污染燃料</w:t>
            </w:r>
          </w:p>
        </w:tc>
        <w:tc>
          <w:tcPr>
            <w:tcW w:w="831" w:type="dxa"/>
            <w:vAlign w:val="top"/>
          </w:tcPr>
          <w:p w14:paraId="304EFFB6">
            <w:pPr>
              <w:spacing w:line="282" w:lineRule="auto"/>
              <w:rPr>
                <w:rFonts w:ascii="Arial"/>
                <w:sz w:val="21"/>
              </w:rPr>
            </w:pPr>
          </w:p>
          <w:p w14:paraId="34C1B19C">
            <w:pPr>
              <w:spacing w:line="282" w:lineRule="auto"/>
              <w:rPr>
                <w:rFonts w:ascii="Arial"/>
                <w:sz w:val="21"/>
              </w:rPr>
            </w:pPr>
          </w:p>
          <w:p w14:paraId="6EB4605E">
            <w:pPr>
              <w:spacing w:line="282" w:lineRule="auto"/>
              <w:rPr>
                <w:rFonts w:ascii="Arial"/>
                <w:sz w:val="21"/>
              </w:rPr>
            </w:pPr>
          </w:p>
          <w:p w14:paraId="504F168B">
            <w:pPr>
              <w:spacing w:line="282" w:lineRule="auto"/>
              <w:rPr>
                <w:rFonts w:ascii="Arial"/>
                <w:sz w:val="21"/>
              </w:rPr>
            </w:pPr>
          </w:p>
          <w:p w14:paraId="4307EE50">
            <w:pPr>
              <w:pStyle w:val="6"/>
              <w:spacing w:before="65" w:line="220" w:lineRule="auto"/>
              <w:ind w:left="187"/>
              <w:rPr>
                <w:sz w:val="20"/>
                <w:szCs w:val="20"/>
              </w:rPr>
            </w:pPr>
            <w:r>
              <w:rPr>
                <w:spacing w:val="-3"/>
                <w:sz w:val="20"/>
                <w:szCs w:val="20"/>
              </w:rPr>
              <w:t>符合</w:t>
            </w:r>
          </w:p>
        </w:tc>
      </w:tr>
      <w:tr w14:paraId="3C2EB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1335" w:type="dxa"/>
            <w:vMerge w:val="continue"/>
            <w:tcBorders>
              <w:top w:val="nil"/>
            </w:tcBorders>
            <w:vAlign w:val="top"/>
          </w:tcPr>
          <w:p w14:paraId="56F7EC29">
            <w:pPr>
              <w:rPr>
                <w:rFonts w:ascii="Arial"/>
                <w:sz w:val="21"/>
              </w:rPr>
            </w:pPr>
          </w:p>
        </w:tc>
        <w:tc>
          <w:tcPr>
            <w:tcW w:w="586" w:type="dxa"/>
            <w:vAlign w:val="top"/>
          </w:tcPr>
          <w:p w14:paraId="78558791">
            <w:pPr>
              <w:spacing w:line="306" w:lineRule="auto"/>
              <w:rPr>
                <w:rFonts w:ascii="Arial"/>
                <w:sz w:val="21"/>
              </w:rPr>
            </w:pPr>
          </w:p>
          <w:p w14:paraId="19CF04D6">
            <w:pPr>
              <w:spacing w:line="307" w:lineRule="auto"/>
              <w:rPr>
                <w:rFonts w:ascii="Arial"/>
                <w:sz w:val="21"/>
              </w:rPr>
            </w:pPr>
          </w:p>
          <w:p w14:paraId="5B1631BA">
            <w:pPr>
              <w:pStyle w:val="6"/>
              <w:spacing w:before="65"/>
              <w:ind w:left="316"/>
              <w:rPr>
                <w:sz w:val="20"/>
                <w:szCs w:val="20"/>
              </w:rPr>
            </w:pPr>
            <w:r>
              <w:rPr>
                <w:sz w:val="20"/>
                <w:szCs w:val="20"/>
              </w:rPr>
              <w:t>5</w:t>
            </w:r>
          </w:p>
        </w:tc>
        <w:tc>
          <w:tcPr>
            <w:tcW w:w="3902" w:type="dxa"/>
            <w:vAlign w:val="top"/>
          </w:tcPr>
          <w:p w14:paraId="14FB582D">
            <w:pPr>
              <w:pStyle w:val="6"/>
              <w:spacing w:before="33" w:line="234" w:lineRule="auto"/>
              <w:ind w:left="121" w:firstLine="60"/>
              <w:jc w:val="both"/>
              <w:rPr>
                <w:sz w:val="20"/>
                <w:szCs w:val="20"/>
              </w:rPr>
            </w:pPr>
            <w:r>
              <w:rPr>
                <w:spacing w:val="-4"/>
                <w:sz w:val="20"/>
                <w:szCs w:val="20"/>
              </w:rPr>
              <w:t>(三) 暂未制订行业排放标准的工业炉窑，</w:t>
            </w:r>
            <w:r>
              <w:rPr>
                <w:sz w:val="20"/>
                <w:szCs w:val="20"/>
              </w:rPr>
              <w:t xml:space="preserve">  </w:t>
            </w:r>
            <w:r>
              <w:rPr>
                <w:spacing w:val="-12"/>
                <w:sz w:val="20"/>
                <w:szCs w:val="20"/>
              </w:rPr>
              <w:t>包括铸造，日用玻璃，玻璃纤维、耐火材料、</w:t>
            </w:r>
            <w:r>
              <w:rPr>
                <w:spacing w:val="14"/>
                <w:sz w:val="20"/>
                <w:szCs w:val="20"/>
              </w:rPr>
              <w:t xml:space="preserve"> </w:t>
            </w:r>
            <w:r>
              <w:rPr>
                <w:spacing w:val="-6"/>
                <w:sz w:val="20"/>
                <w:szCs w:val="20"/>
              </w:rPr>
              <w:t>石灰、矿物棉等建材行业，钨、工业硅、金</w:t>
            </w:r>
            <w:r>
              <w:rPr>
                <w:spacing w:val="17"/>
                <w:sz w:val="20"/>
                <w:szCs w:val="20"/>
              </w:rPr>
              <w:t xml:space="preserve"> </w:t>
            </w:r>
            <w:r>
              <w:rPr>
                <w:spacing w:val="-3"/>
                <w:sz w:val="20"/>
                <w:szCs w:val="20"/>
              </w:rPr>
              <w:t>属冶炼废渣</w:t>
            </w:r>
            <w:r>
              <w:rPr>
                <w:rFonts w:hint="eastAsia"/>
                <w:spacing w:val="-3"/>
                <w:sz w:val="20"/>
                <w:szCs w:val="20"/>
                <w:lang w:eastAsia="zh-CN"/>
              </w:rPr>
              <w:t>（</w:t>
            </w:r>
            <w:r>
              <w:rPr>
                <w:spacing w:val="-3"/>
                <w:sz w:val="20"/>
                <w:szCs w:val="20"/>
              </w:rPr>
              <w:t>灰</w:t>
            </w:r>
            <w:r>
              <w:rPr>
                <w:rFonts w:hint="eastAsia"/>
                <w:spacing w:val="-3"/>
                <w:sz w:val="20"/>
                <w:szCs w:val="20"/>
                <w:lang w:eastAsia="zh-CN"/>
              </w:rPr>
              <w:t>）</w:t>
            </w:r>
            <w:r>
              <w:rPr>
                <w:spacing w:val="-3"/>
                <w:sz w:val="20"/>
                <w:szCs w:val="20"/>
              </w:rPr>
              <w:t>二次提取等有色金属行业，</w:t>
            </w:r>
            <w:r>
              <w:rPr>
                <w:spacing w:val="14"/>
                <w:sz w:val="20"/>
                <w:szCs w:val="20"/>
              </w:rPr>
              <w:t xml:space="preserve"> </w:t>
            </w:r>
            <w:r>
              <w:rPr>
                <w:spacing w:val="-6"/>
                <w:sz w:val="20"/>
                <w:szCs w:val="20"/>
              </w:rPr>
              <w:t>氮肥、电石、无机磷活性炭等化工行业，应</w:t>
            </w:r>
            <w:r>
              <w:rPr>
                <w:spacing w:val="16"/>
                <w:sz w:val="20"/>
                <w:szCs w:val="20"/>
              </w:rPr>
              <w:t xml:space="preserve"> </w:t>
            </w:r>
            <w:r>
              <w:rPr>
                <w:spacing w:val="-5"/>
                <w:sz w:val="20"/>
                <w:szCs w:val="20"/>
              </w:rPr>
              <w:t>参照相关行业已出台的标准，全面加大污染</w:t>
            </w:r>
          </w:p>
        </w:tc>
        <w:tc>
          <w:tcPr>
            <w:tcW w:w="2249" w:type="dxa"/>
            <w:vAlign w:val="top"/>
          </w:tcPr>
          <w:p w14:paraId="4FD0BE5F">
            <w:pPr>
              <w:pStyle w:val="6"/>
              <w:spacing w:before="33" w:line="234" w:lineRule="auto"/>
              <w:ind w:left="91" w:right="44" w:firstLine="57"/>
              <w:jc w:val="both"/>
              <w:rPr>
                <w:sz w:val="20"/>
                <w:szCs w:val="20"/>
              </w:rPr>
            </w:pPr>
            <w:r>
              <w:rPr>
                <w:spacing w:val="-1"/>
                <w:sz w:val="20"/>
                <w:szCs w:val="20"/>
              </w:rPr>
              <w:t>本项目属于生物质成型</w:t>
            </w:r>
            <w:r>
              <w:rPr>
                <w:spacing w:val="2"/>
                <w:sz w:val="20"/>
                <w:szCs w:val="20"/>
              </w:rPr>
              <w:t xml:space="preserve"> </w:t>
            </w:r>
            <w:r>
              <w:rPr>
                <w:spacing w:val="-9"/>
                <w:sz w:val="20"/>
                <w:szCs w:val="20"/>
              </w:rPr>
              <w:t>燃料行业，该行业未发布</w:t>
            </w:r>
            <w:r>
              <w:rPr>
                <w:spacing w:val="6"/>
                <w:sz w:val="20"/>
                <w:szCs w:val="20"/>
              </w:rPr>
              <w:t xml:space="preserve"> </w:t>
            </w:r>
            <w:r>
              <w:rPr>
                <w:spacing w:val="5"/>
                <w:sz w:val="20"/>
                <w:szCs w:val="20"/>
              </w:rPr>
              <w:t>针对工业炉窑的排放标</w:t>
            </w:r>
            <w:r>
              <w:rPr>
                <w:sz w:val="20"/>
                <w:szCs w:val="20"/>
              </w:rPr>
              <w:t xml:space="preserve"> </w:t>
            </w:r>
            <w:r>
              <w:rPr>
                <w:spacing w:val="-9"/>
                <w:sz w:val="20"/>
                <w:szCs w:val="20"/>
              </w:rPr>
              <w:t>准。四川省工业炉</w:t>
            </w:r>
            <w:r>
              <w:rPr>
                <w:rFonts w:hint="eastAsia"/>
                <w:spacing w:val="-9"/>
                <w:sz w:val="20"/>
                <w:szCs w:val="20"/>
                <w:lang w:val="en-US" w:eastAsia="zh-CN"/>
              </w:rPr>
              <w:t>窑</w:t>
            </w:r>
            <w:r>
              <w:rPr>
                <w:spacing w:val="-9"/>
                <w:sz w:val="20"/>
                <w:szCs w:val="20"/>
              </w:rPr>
              <w:t>大气</w:t>
            </w:r>
            <w:r>
              <w:rPr>
                <w:spacing w:val="6"/>
                <w:sz w:val="20"/>
                <w:szCs w:val="20"/>
              </w:rPr>
              <w:t xml:space="preserve"> </w:t>
            </w:r>
            <w:r>
              <w:rPr>
                <w:spacing w:val="5"/>
                <w:sz w:val="20"/>
                <w:szCs w:val="20"/>
              </w:rPr>
              <w:t>污染物排放标准目前处</w:t>
            </w:r>
            <w:r>
              <w:rPr>
                <w:sz w:val="20"/>
                <w:szCs w:val="20"/>
              </w:rPr>
              <w:t xml:space="preserve"> </w:t>
            </w:r>
            <w:r>
              <w:rPr>
                <w:spacing w:val="-9"/>
                <w:sz w:val="20"/>
                <w:szCs w:val="20"/>
              </w:rPr>
              <w:t>于征求意见阶段，尚未正</w:t>
            </w:r>
          </w:p>
        </w:tc>
        <w:tc>
          <w:tcPr>
            <w:tcW w:w="831" w:type="dxa"/>
            <w:vAlign w:val="top"/>
          </w:tcPr>
          <w:p w14:paraId="5B394095">
            <w:pPr>
              <w:spacing w:line="306" w:lineRule="auto"/>
              <w:rPr>
                <w:rFonts w:ascii="Arial"/>
                <w:sz w:val="21"/>
              </w:rPr>
            </w:pPr>
          </w:p>
          <w:p w14:paraId="3BE97BE6">
            <w:pPr>
              <w:spacing w:line="307" w:lineRule="auto"/>
              <w:rPr>
                <w:rFonts w:ascii="Arial"/>
                <w:sz w:val="21"/>
              </w:rPr>
            </w:pPr>
          </w:p>
          <w:p w14:paraId="679074D2">
            <w:pPr>
              <w:pStyle w:val="6"/>
              <w:spacing w:before="65" w:line="220" w:lineRule="auto"/>
              <w:ind w:left="187"/>
              <w:rPr>
                <w:sz w:val="20"/>
                <w:szCs w:val="20"/>
              </w:rPr>
            </w:pPr>
            <w:r>
              <w:rPr>
                <w:spacing w:val="-3"/>
                <w:sz w:val="20"/>
                <w:szCs w:val="20"/>
              </w:rPr>
              <w:t>符合</w:t>
            </w:r>
          </w:p>
        </w:tc>
      </w:tr>
    </w:tbl>
    <w:p w14:paraId="09955E41">
      <w:pPr>
        <w:rPr>
          <w:rFonts w:ascii="Arial"/>
          <w:sz w:val="21"/>
        </w:rPr>
      </w:pPr>
    </w:p>
    <w:p w14:paraId="6A828617">
      <w:pPr>
        <w:rPr>
          <w:rFonts w:ascii="Arial" w:hAnsi="Arial" w:eastAsia="Arial" w:cs="Arial"/>
          <w:sz w:val="21"/>
          <w:szCs w:val="21"/>
        </w:rPr>
        <w:sectPr>
          <w:footerReference r:id="rId32" w:type="default"/>
          <w:pgSz w:w="11907" w:h="16839"/>
          <w:pgMar w:top="1431" w:right="1498" w:bottom="1055" w:left="1498" w:header="0" w:footer="802" w:gutter="0"/>
          <w:cols w:space="720" w:num="1"/>
        </w:sectPr>
      </w:pPr>
    </w:p>
    <w:p w14:paraId="44B8A58C">
      <w:pPr>
        <w:spacing w:before="28"/>
      </w:pPr>
    </w:p>
    <w:tbl>
      <w:tblPr>
        <w:tblStyle w:val="5"/>
        <w:tblW w:w="89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5"/>
        <w:gridCol w:w="586"/>
        <w:gridCol w:w="3902"/>
        <w:gridCol w:w="2249"/>
        <w:gridCol w:w="745"/>
        <w:gridCol w:w="86"/>
      </w:tblGrid>
      <w:tr w14:paraId="7AFE3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9" w:hRule="atLeast"/>
        </w:trPr>
        <w:tc>
          <w:tcPr>
            <w:tcW w:w="1335" w:type="dxa"/>
            <w:vMerge w:val="restart"/>
            <w:tcBorders>
              <w:bottom w:val="nil"/>
            </w:tcBorders>
            <w:vAlign w:val="top"/>
          </w:tcPr>
          <w:p w14:paraId="730BD39B">
            <w:pPr>
              <w:rPr>
                <w:rFonts w:ascii="Arial"/>
                <w:sz w:val="21"/>
              </w:rPr>
            </w:pPr>
          </w:p>
        </w:tc>
        <w:tc>
          <w:tcPr>
            <w:tcW w:w="586" w:type="dxa"/>
            <w:vAlign w:val="top"/>
          </w:tcPr>
          <w:p w14:paraId="585F6D48">
            <w:pPr>
              <w:rPr>
                <w:rFonts w:ascii="Arial"/>
                <w:sz w:val="21"/>
              </w:rPr>
            </w:pPr>
          </w:p>
        </w:tc>
        <w:tc>
          <w:tcPr>
            <w:tcW w:w="3902" w:type="dxa"/>
            <w:vAlign w:val="top"/>
          </w:tcPr>
          <w:p w14:paraId="0C0D0968">
            <w:pPr>
              <w:pStyle w:val="6"/>
              <w:spacing w:before="42"/>
              <w:ind w:left="124" w:right="9" w:firstLine="30"/>
              <w:jc w:val="both"/>
              <w:rPr>
                <w:rFonts w:hint="eastAsia" w:eastAsia="宋体"/>
                <w:sz w:val="20"/>
                <w:szCs w:val="20"/>
                <w:lang w:eastAsia="zh-CN"/>
              </w:rPr>
            </w:pPr>
            <w:r>
              <w:rPr>
                <w:spacing w:val="-1"/>
                <w:sz w:val="20"/>
                <w:szCs w:val="20"/>
              </w:rPr>
              <w:t>治理力度</w:t>
            </w:r>
            <w:r>
              <w:rPr>
                <w:rFonts w:hint="eastAsia"/>
                <w:spacing w:val="-1"/>
                <w:sz w:val="20"/>
                <w:szCs w:val="20"/>
                <w:lang w:eastAsia="zh-CN"/>
              </w:rPr>
              <w:t>（</w:t>
            </w:r>
            <w:r>
              <w:rPr>
                <w:spacing w:val="-1"/>
                <w:sz w:val="20"/>
                <w:szCs w:val="20"/>
              </w:rPr>
              <w:t>见附件4</w:t>
            </w:r>
            <w:r>
              <w:rPr>
                <w:rFonts w:hint="eastAsia"/>
                <w:spacing w:val="-1"/>
                <w:sz w:val="20"/>
                <w:szCs w:val="20"/>
                <w:lang w:eastAsia="zh-CN"/>
              </w:rPr>
              <w:t>）</w:t>
            </w:r>
            <w:r>
              <w:rPr>
                <w:spacing w:val="-1"/>
                <w:sz w:val="20"/>
                <w:szCs w:val="20"/>
              </w:rPr>
              <w:t>，铸造行业烧结、高炉</w:t>
            </w:r>
            <w:r>
              <w:rPr>
                <w:spacing w:val="7"/>
                <w:sz w:val="20"/>
                <w:szCs w:val="20"/>
              </w:rPr>
              <w:t xml:space="preserve"> </w:t>
            </w:r>
            <w:r>
              <w:rPr>
                <w:spacing w:val="3"/>
                <w:sz w:val="20"/>
                <w:szCs w:val="20"/>
              </w:rPr>
              <w:t>工序污染排放控制按照钢铁行业相关标准</w:t>
            </w:r>
            <w:r>
              <w:rPr>
                <w:spacing w:val="7"/>
                <w:sz w:val="20"/>
                <w:szCs w:val="20"/>
              </w:rPr>
              <w:t xml:space="preserve">  </w:t>
            </w:r>
            <w:r>
              <w:rPr>
                <w:sz w:val="20"/>
                <w:szCs w:val="20"/>
              </w:rPr>
              <w:t>要求执行</w:t>
            </w:r>
            <w:r>
              <w:rPr>
                <w:rFonts w:hint="eastAsia"/>
                <w:sz w:val="20"/>
                <w:szCs w:val="20"/>
                <w:lang w:eastAsia="zh-CN"/>
              </w:rPr>
              <w:t>；</w:t>
            </w:r>
            <w:r>
              <w:rPr>
                <w:sz w:val="20"/>
                <w:szCs w:val="20"/>
              </w:rPr>
              <w:t>重点区域原则上按照颗粒物、二</w:t>
            </w:r>
            <w:r>
              <w:rPr>
                <w:spacing w:val="17"/>
                <w:sz w:val="20"/>
                <w:szCs w:val="20"/>
              </w:rPr>
              <w:t xml:space="preserve"> </w:t>
            </w:r>
            <w:r>
              <w:rPr>
                <w:spacing w:val="-2"/>
                <w:sz w:val="20"/>
                <w:szCs w:val="20"/>
              </w:rPr>
              <w:t>氧化硫、氮氧化物排放限值分别不高于30、</w:t>
            </w:r>
            <w:r>
              <w:rPr>
                <w:spacing w:val="-1"/>
                <w:sz w:val="20"/>
                <w:szCs w:val="20"/>
              </w:rPr>
              <w:t>200、300毫克/立方米实施改造，其中，</w:t>
            </w:r>
            <w:r>
              <w:rPr>
                <w:spacing w:val="-47"/>
                <w:sz w:val="20"/>
                <w:szCs w:val="20"/>
              </w:rPr>
              <w:t xml:space="preserve"> </w:t>
            </w:r>
            <w:r>
              <w:rPr>
                <w:spacing w:val="-1"/>
                <w:sz w:val="20"/>
                <w:szCs w:val="20"/>
              </w:rPr>
              <w:t>日用玻璃、玻璃棉氮氧化物排放限值不高于</w:t>
            </w:r>
            <w:r>
              <w:rPr>
                <w:spacing w:val="-3"/>
                <w:sz w:val="20"/>
                <w:szCs w:val="20"/>
              </w:rPr>
              <w:t>400毫克/立方米</w:t>
            </w:r>
            <w:r>
              <w:rPr>
                <w:spacing w:val="-44"/>
                <w:sz w:val="20"/>
                <w:szCs w:val="20"/>
              </w:rPr>
              <w:t xml:space="preserve"> </w:t>
            </w:r>
            <w:r>
              <w:rPr>
                <w:rFonts w:hint="eastAsia"/>
                <w:spacing w:val="-44"/>
                <w:sz w:val="20"/>
                <w:szCs w:val="20"/>
                <w:lang w:eastAsia="zh-CN"/>
              </w:rPr>
              <w:t>；</w:t>
            </w:r>
            <w:r>
              <w:rPr>
                <w:spacing w:val="-3"/>
                <w:sz w:val="20"/>
                <w:szCs w:val="20"/>
              </w:rPr>
              <w:t>已制定更严格地方排放标</w:t>
            </w:r>
            <w:r>
              <w:rPr>
                <w:spacing w:val="-2"/>
                <w:sz w:val="20"/>
                <w:szCs w:val="20"/>
              </w:rPr>
              <w:t>准的地区，执行地方排放标准</w:t>
            </w:r>
            <w:r>
              <w:rPr>
                <w:rFonts w:hint="eastAsia"/>
                <w:spacing w:val="-2"/>
                <w:sz w:val="20"/>
                <w:szCs w:val="20"/>
                <w:lang w:eastAsia="zh-CN"/>
              </w:rPr>
              <w:t>。</w:t>
            </w:r>
          </w:p>
        </w:tc>
        <w:tc>
          <w:tcPr>
            <w:tcW w:w="2249" w:type="dxa"/>
            <w:vAlign w:val="top"/>
          </w:tcPr>
          <w:p w14:paraId="4E4F87BD">
            <w:pPr>
              <w:pStyle w:val="6"/>
              <w:spacing w:before="43" w:line="219" w:lineRule="auto"/>
              <w:ind w:left="94"/>
              <w:rPr>
                <w:sz w:val="20"/>
                <w:szCs w:val="20"/>
              </w:rPr>
            </w:pPr>
            <w:r>
              <w:rPr>
                <w:spacing w:val="-9"/>
                <w:sz w:val="20"/>
                <w:szCs w:val="20"/>
              </w:rPr>
              <w:t>式发布实施。本项目工业</w:t>
            </w:r>
          </w:p>
          <w:p w14:paraId="4A412F5D">
            <w:pPr>
              <w:pStyle w:val="6"/>
              <w:spacing w:before="21" w:line="219" w:lineRule="auto"/>
              <w:ind w:left="150"/>
              <w:rPr>
                <w:sz w:val="20"/>
                <w:szCs w:val="20"/>
              </w:rPr>
            </w:pPr>
            <w:r>
              <w:rPr>
                <w:spacing w:val="-1"/>
                <w:sz w:val="20"/>
                <w:szCs w:val="20"/>
              </w:rPr>
              <w:t>炉窑废气与烘干机废气</w:t>
            </w:r>
          </w:p>
          <w:p w14:paraId="08537693">
            <w:pPr>
              <w:pStyle w:val="6"/>
              <w:spacing w:before="21" w:line="219" w:lineRule="auto"/>
              <w:ind w:left="93"/>
              <w:rPr>
                <w:sz w:val="20"/>
                <w:szCs w:val="20"/>
              </w:rPr>
            </w:pPr>
            <w:r>
              <w:rPr>
                <w:spacing w:val="-9"/>
                <w:sz w:val="20"/>
                <w:szCs w:val="20"/>
              </w:rPr>
              <w:t>混合后，二氧化硫、氮氧</w:t>
            </w:r>
          </w:p>
          <w:p w14:paraId="3E4C3F1B">
            <w:pPr>
              <w:pStyle w:val="6"/>
              <w:spacing w:before="23" w:line="220" w:lineRule="auto"/>
              <w:ind w:left="149"/>
              <w:rPr>
                <w:sz w:val="20"/>
                <w:szCs w:val="20"/>
              </w:rPr>
            </w:pPr>
            <w:r>
              <w:rPr>
                <w:spacing w:val="-1"/>
                <w:sz w:val="20"/>
                <w:szCs w:val="20"/>
              </w:rPr>
              <w:t>化物排放限值分别执行</w:t>
            </w:r>
          </w:p>
          <w:p w14:paraId="144E33D1">
            <w:pPr>
              <w:pStyle w:val="6"/>
              <w:spacing w:before="23" w:line="214" w:lineRule="auto"/>
              <w:ind w:left="93"/>
            </w:pPr>
            <w:r>
              <w:rPr>
                <w:spacing w:val="-6"/>
                <w:sz w:val="20"/>
                <w:szCs w:val="20"/>
              </w:rPr>
              <w:t>于200、300</w:t>
            </w:r>
            <w:r>
              <w:rPr>
                <w:rFonts w:ascii="Times New Roman" w:hAnsi="Times New Roman" w:eastAsia="Times New Roman" w:cs="Times New Roman"/>
                <w:spacing w:val="-6"/>
                <w:sz w:val="20"/>
                <w:szCs w:val="20"/>
              </w:rPr>
              <w:t>mg/</w:t>
            </w:r>
            <w:r>
              <w:rPr>
                <w:rFonts w:ascii="Times New Roman" w:hAnsi="Times New Roman" w:eastAsia="Times New Roman" w:cs="Times New Roman"/>
                <w:spacing w:val="-6"/>
              </w:rPr>
              <w:t>m</w:t>
            </w:r>
            <w:r>
              <w:rPr>
                <w:rFonts w:ascii="Times New Roman" w:hAnsi="Times New Roman" w:eastAsia="Times New Roman" w:cs="Times New Roman"/>
                <w:spacing w:val="-6"/>
                <w:position w:val="7"/>
                <w:sz w:val="14"/>
                <w:szCs w:val="14"/>
              </w:rPr>
              <w:t>3</w:t>
            </w:r>
            <w:r>
              <w:rPr>
                <w:rFonts w:ascii="Times New Roman" w:hAnsi="Times New Roman" w:eastAsia="Times New Roman" w:cs="Times New Roman"/>
                <w:spacing w:val="-9"/>
                <w:position w:val="7"/>
                <w:sz w:val="14"/>
                <w:szCs w:val="14"/>
              </w:rPr>
              <w:t xml:space="preserve"> </w:t>
            </w:r>
            <w:r>
              <w:rPr>
                <w:spacing w:val="-6"/>
              </w:rPr>
              <w:t>的限值</w:t>
            </w:r>
          </w:p>
          <w:p w14:paraId="76E331F6">
            <w:pPr>
              <w:pStyle w:val="6"/>
              <w:spacing w:before="29" w:line="220" w:lineRule="auto"/>
              <w:ind w:left="119"/>
              <w:rPr>
                <w:sz w:val="20"/>
                <w:szCs w:val="20"/>
              </w:rPr>
            </w:pPr>
            <w:r>
              <w:rPr>
                <w:spacing w:val="-1"/>
              </w:rPr>
              <w:t>要求，颗粒物</w:t>
            </w:r>
            <w:r>
              <w:rPr>
                <w:spacing w:val="-1"/>
                <w:sz w:val="20"/>
                <w:szCs w:val="20"/>
              </w:rPr>
              <w:t>执行《大</w:t>
            </w:r>
          </w:p>
          <w:p w14:paraId="2D4F9172">
            <w:pPr>
              <w:pStyle w:val="6"/>
              <w:spacing w:before="20" w:line="221" w:lineRule="auto"/>
              <w:jc w:val="right"/>
              <w:rPr>
                <w:sz w:val="20"/>
                <w:szCs w:val="20"/>
              </w:rPr>
            </w:pPr>
            <w:r>
              <w:rPr>
                <w:spacing w:val="-5"/>
                <w:sz w:val="20"/>
                <w:szCs w:val="20"/>
              </w:rPr>
              <w:t>气污染物综合排放标准》</w:t>
            </w:r>
          </w:p>
          <w:p w14:paraId="0B99CA28">
            <w:pPr>
              <w:pStyle w:val="6"/>
              <w:spacing w:before="20" w:line="221" w:lineRule="auto"/>
              <w:ind w:left="103"/>
              <w:rPr>
                <w:sz w:val="20"/>
                <w:szCs w:val="20"/>
              </w:rPr>
            </w:pPr>
            <w:r>
              <w:rPr>
                <w:spacing w:val="-1"/>
                <w:sz w:val="20"/>
                <w:szCs w:val="20"/>
              </w:rPr>
              <w:t>（GB16297--1996）的限</w:t>
            </w:r>
          </w:p>
          <w:p w14:paraId="172F1CD8">
            <w:pPr>
              <w:pStyle w:val="6"/>
              <w:spacing w:before="20" w:line="207" w:lineRule="auto"/>
              <w:ind w:left="949"/>
              <w:rPr>
                <w:sz w:val="20"/>
                <w:szCs w:val="20"/>
              </w:rPr>
            </w:pPr>
            <w:r>
              <w:rPr>
                <w:spacing w:val="-4"/>
                <w:sz w:val="20"/>
                <w:szCs w:val="20"/>
              </w:rPr>
              <w:t>值。</w:t>
            </w:r>
          </w:p>
        </w:tc>
        <w:tc>
          <w:tcPr>
            <w:tcW w:w="745" w:type="dxa"/>
            <w:vAlign w:val="top"/>
          </w:tcPr>
          <w:p w14:paraId="5052C68C">
            <w:pPr>
              <w:rPr>
                <w:rFonts w:ascii="Arial"/>
                <w:sz w:val="21"/>
              </w:rPr>
            </w:pPr>
          </w:p>
        </w:tc>
        <w:tc>
          <w:tcPr>
            <w:tcW w:w="86" w:type="dxa"/>
            <w:tcBorders>
              <w:bottom w:val="nil"/>
            </w:tcBorders>
            <w:vAlign w:val="top"/>
          </w:tcPr>
          <w:p w14:paraId="2B07745A">
            <w:pPr>
              <w:rPr>
                <w:rFonts w:ascii="Arial"/>
                <w:sz w:val="21"/>
              </w:rPr>
            </w:pPr>
          </w:p>
        </w:tc>
      </w:tr>
      <w:tr w14:paraId="30FA9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4" w:hRule="atLeast"/>
        </w:trPr>
        <w:tc>
          <w:tcPr>
            <w:tcW w:w="1335" w:type="dxa"/>
            <w:vMerge w:val="continue"/>
            <w:tcBorders>
              <w:top w:val="nil"/>
              <w:bottom w:val="nil"/>
            </w:tcBorders>
            <w:vAlign w:val="top"/>
          </w:tcPr>
          <w:p w14:paraId="17E415F9">
            <w:pPr>
              <w:rPr>
                <w:rFonts w:ascii="Arial"/>
                <w:sz w:val="21"/>
              </w:rPr>
            </w:pPr>
          </w:p>
        </w:tc>
        <w:tc>
          <w:tcPr>
            <w:tcW w:w="586" w:type="dxa"/>
            <w:vAlign w:val="top"/>
          </w:tcPr>
          <w:p w14:paraId="550F2198">
            <w:pPr>
              <w:spacing w:line="273" w:lineRule="auto"/>
              <w:rPr>
                <w:rFonts w:ascii="Arial"/>
                <w:sz w:val="21"/>
              </w:rPr>
            </w:pPr>
          </w:p>
          <w:p w14:paraId="3E0FA426">
            <w:pPr>
              <w:spacing w:line="273" w:lineRule="auto"/>
              <w:rPr>
                <w:rFonts w:ascii="Arial"/>
                <w:sz w:val="21"/>
              </w:rPr>
            </w:pPr>
          </w:p>
          <w:p w14:paraId="4195931F">
            <w:pPr>
              <w:spacing w:line="273" w:lineRule="auto"/>
              <w:rPr>
                <w:rFonts w:ascii="Arial"/>
                <w:sz w:val="21"/>
              </w:rPr>
            </w:pPr>
          </w:p>
          <w:p w14:paraId="67C7C968">
            <w:pPr>
              <w:spacing w:line="274" w:lineRule="auto"/>
              <w:rPr>
                <w:rFonts w:ascii="Arial"/>
                <w:sz w:val="21"/>
              </w:rPr>
            </w:pPr>
          </w:p>
          <w:p w14:paraId="206255CA">
            <w:pPr>
              <w:spacing w:line="274" w:lineRule="auto"/>
              <w:rPr>
                <w:rFonts w:ascii="Arial"/>
                <w:sz w:val="21"/>
              </w:rPr>
            </w:pPr>
          </w:p>
          <w:p w14:paraId="36AAD2B2">
            <w:pPr>
              <w:spacing w:line="274" w:lineRule="auto"/>
              <w:rPr>
                <w:rFonts w:ascii="Arial"/>
                <w:sz w:val="21"/>
              </w:rPr>
            </w:pPr>
          </w:p>
          <w:p w14:paraId="2B2B2F06">
            <w:pPr>
              <w:pStyle w:val="6"/>
              <w:spacing w:before="65"/>
              <w:ind w:left="313"/>
              <w:rPr>
                <w:sz w:val="20"/>
                <w:szCs w:val="20"/>
              </w:rPr>
            </w:pPr>
            <w:r>
              <w:rPr>
                <w:sz w:val="20"/>
                <w:szCs w:val="20"/>
              </w:rPr>
              <w:t>6</w:t>
            </w:r>
          </w:p>
        </w:tc>
        <w:tc>
          <w:tcPr>
            <w:tcW w:w="3902" w:type="dxa"/>
            <w:vAlign w:val="top"/>
          </w:tcPr>
          <w:p w14:paraId="18353FBA">
            <w:pPr>
              <w:pStyle w:val="6"/>
              <w:spacing w:before="29" w:line="220" w:lineRule="auto"/>
              <w:ind w:left="123"/>
              <w:jc w:val="left"/>
              <w:rPr>
                <w:sz w:val="20"/>
                <w:szCs w:val="20"/>
              </w:rPr>
            </w:pPr>
            <w:r>
              <w:rPr>
                <w:spacing w:val="-3"/>
                <w:sz w:val="20"/>
                <w:szCs w:val="20"/>
              </w:rPr>
              <w:t>全面加强无组织排放管理。严格控制工业炉</w:t>
            </w:r>
          </w:p>
          <w:p w14:paraId="31FE1645">
            <w:pPr>
              <w:pStyle w:val="6"/>
              <w:spacing w:before="22" w:line="220" w:lineRule="auto"/>
              <w:ind w:left="128"/>
              <w:jc w:val="left"/>
              <w:rPr>
                <w:sz w:val="20"/>
                <w:szCs w:val="20"/>
              </w:rPr>
            </w:pPr>
            <w:r>
              <w:rPr>
                <w:spacing w:val="-4"/>
                <w:sz w:val="20"/>
                <w:szCs w:val="20"/>
              </w:rPr>
              <w:t>窑生产工艺过程及相关物料储存、输送等无</w:t>
            </w:r>
          </w:p>
          <w:p w14:paraId="1B112CF6">
            <w:pPr>
              <w:pStyle w:val="6"/>
              <w:spacing w:before="21" w:line="219" w:lineRule="auto"/>
              <w:ind w:left="125"/>
              <w:jc w:val="left"/>
              <w:rPr>
                <w:sz w:val="20"/>
                <w:szCs w:val="20"/>
              </w:rPr>
            </w:pPr>
            <w:r>
              <w:rPr>
                <w:spacing w:val="-3"/>
                <w:sz w:val="20"/>
                <w:szCs w:val="20"/>
              </w:rPr>
              <w:t>组织排放，在保障生产安全的前提下，采取</w:t>
            </w:r>
          </w:p>
          <w:p w14:paraId="47B13413">
            <w:pPr>
              <w:pStyle w:val="6"/>
              <w:spacing w:before="21" w:line="219" w:lineRule="auto"/>
              <w:ind w:left="150"/>
              <w:jc w:val="left"/>
              <w:rPr>
                <w:sz w:val="20"/>
                <w:szCs w:val="20"/>
              </w:rPr>
            </w:pPr>
            <w:r>
              <w:rPr>
                <w:spacing w:val="-1"/>
                <w:sz w:val="20"/>
                <w:szCs w:val="20"/>
              </w:rPr>
              <w:t>密闭、封闭等有效措施</w:t>
            </w:r>
            <w:r>
              <w:rPr>
                <w:rFonts w:hint="eastAsia"/>
                <w:spacing w:val="-1"/>
                <w:sz w:val="20"/>
                <w:szCs w:val="20"/>
                <w:lang w:eastAsia="zh-CN"/>
              </w:rPr>
              <w:t>（</w:t>
            </w:r>
            <w:r>
              <w:rPr>
                <w:spacing w:val="-1"/>
                <w:sz w:val="20"/>
                <w:szCs w:val="20"/>
              </w:rPr>
              <w:t>见附件5)，有效提</w:t>
            </w:r>
            <w:r>
              <w:rPr>
                <w:spacing w:val="-4"/>
                <w:sz w:val="20"/>
                <w:szCs w:val="20"/>
              </w:rPr>
              <w:t>高废气收集率，产尘点及车间不得有可见烟</w:t>
            </w:r>
            <w:r>
              <w:rPr>
                <w:spacing w:val="-3"/>
                <w:sz w:val="20"/>
                <w:szCs w:val="20"/>
              </w:rPr>
              <w:t>粉尘</w:t>
            </w:r>
            <w:r>
              <w:rPr>
                <w:rFonts w:hint="eastAsia"/>
                <w:spacing w:val="-3"/>
                <w:sz w:val="20"/>
                <w:szCs w:val="20"/>
                <w:lang w:eastAsia="zh-CN"/>
              </w:rPr>
              <w:t>外溢</w:t>
            </w:r>
            <w:r>
              <w:rPr>
                <w:spacing w:val="-3"/>
                <w:sz w:val="20"/>
                <w:szCs w:val="20"/>
              </w:rPr>
              <w:t>。生产工艺产尘点(装置)应采取密</w:t>
            </w:r>
            <w:r>
              <w:rPr>
                <w:spacing w:val="-4"/>
                <w:sz w:val="20"/>
                <w:szCs w:val="20"/>
              </w:rPr>
              <w:t>闭、封闭或设置集气罩等措施。煤粉、粉煤</w:t>
            </w:r>
            <w:r>
              <w:rPr>
                <w:spacing w:val="-3"/>
                <w:sz w:val="20"/>
                <w:szCs w:val="20"/>
              </w:rPr>
              <w:t>灰、石灰、除尘灰脱硫灰等粉状物料应密闭或封闭储存，采用密闭皮带、封闭通廊管状</w:t>
            </w:r>
            <w:r>
              <w:rPr>
                <w:spacing w:val="-4"/>
                <w:sz w:val="20"/>
                <w:szCs w:val="20"/>
              </w:rPr>
              <w:t>带式输送机或密闭车厢、真空罐车、气力输</w:t>
            </w:r>
            <w:r>
              <w:rPr>
                <w:spacing w:val="-3"/>
                <w:sz w:val="20"/>
                <w:szCs w:val="20"/>
              </w:rPr>
              <w:t>送等方式输送。粒状、块状物料应采用入棚入仓或建设防风抑尘网等方式进行储存，粒状物料采用密闭、封闭等方式输送。物料输</w:t>
            </w:r>
            <w:r>
              <w:rPr>
                <w:spacing w:val="-1"/>
                <w:sz w:val="20"/>
                <w:szCs w:val="20"/>
              </w:rPr>
              <w:t>送过程中产尘点应采取有效抑尘措施。</w:t>
            </w:r>
          </w:p>
        </w:tc>
        <w:tc>
          <w:tcPr>
            <w:tcW w:w="2249" w:type="dxa"/>
            <w:vAlign w:val="top"/>
          </w:tcPr>
          <w:p w14:paraId="4C5FAD08">
            <w:pPr>
              <w:pStyle w:val="6"/>
              <w:spacing w:before="161" w:line="219" w:lineRule="auto"/>
              <w:ind w:left="149"/>
              <w:rPr>
                <w:sz w:val="20"/>
                <w:szCs w:val="20"/>
              </w:rPr>
            </w:pPr>
            <w:r>
              <w:rPr>
                <w:spacing w:val="-1"/>
                <w:sz w:val="20"/>
                <w:szCs w:val="20"/>
              </w:rPr>
              <w:t>本项目工业炉窑的热烟</w:t>
            </w:r>
          </w:p>
          <w:p w14:paraId="0C7F5ACF">
            <w:pPr>
              <w:pStyle w:val="6"/>
              <w:spacing w:before="21" w:line="220" w:lineRule="auto"/>
              <w:ind w:left="149"/>
              <w:rPr>
                <w:sz w:val="20"/>
                <w:szCs w:val="20"/>
              </w:rPr>
            </w:pPr>
            <w:r>
              <w:rPr>
                <w:spacing w:val="-1"/>
                <w:sz w:val="20"/>
                <w:szCs w:val="20"/>
              </w:rPr>
              <w:t>气经密闭管道直接引至</w:t>
            </w:r>
          </w:p>
          <w:p w14:paraId="12EBB89F">
            <w:pPr>
              <w:pStyle w:val="6"/>
              <w:spacing w:before="21" w:line="219" w:lineRule="auto"/>
              <w:ind w:left="90"/>
              <w:rPr>
                <w:sz w:val="20"/>
                <w:szCs w:val="20"/>
              </w:rPr>
            </w:pPr>
            <w:r>
              <w:rPr>
                <w:spacing w:val="-9"/>
                <w:sz w:val="20"/>
                <w:szCs w:val="20"/>
              </w:rPr>
              <w:t>烘干机烘干物料，热烟气</w:t>
            </w:r>
          </w:p>
          <w:p w14:paraId="0F28CAD5">
            <w:pPr>
              <w:pStyle w:val="6"/>
              <w:spacing w:before="21" w:line="220" w:lineRule="auto"/>
              <w:ind w:left="99"/>
              <w:rPr>
                <w:sz w:val="20"/>
                <w:szCs w:val="20"/>
              </w:rPr>
            </w:pPr>
            <w:r>
              <w:rPr>
                <w:spacing w:val="-1"/>
                <w:sz w:val="20"/>
                <w:szCs w:val="20"/>
              </w:rPr>
              <w:t>再经管道引至旋风除尘+</w:t>
            </w:r>
          </w:p>
          <w:p w14:paraId="601AB9E5">
            <w:pPr>
              <w:pStyle w:val="6"/>
              <w:spacing w:before="21" w:line="218" w:lineRule="auto"/>
              <w:ind w:left="98"/>
              <w:rPr>
                <w:sz w:val="20"/>
                <w:szCs w:val="20"/>
              </w:rPr>
            </w:pPr>
            <w:r>
              <w:rPr>
                <w:spacing w:val="-9"/>
                <w:sz w:val="20"/>
                <w:szCs w:val="20"/>
              </w:rPr>
              <w:t>喷淋塔除尘，整个过程处</w:t>
            </w:r>
          </w:p>
          <w:p w14:paraId="51453C86">
            <w:pPr>
              <w:pStyle w:val="6"/>
              <w:spacing w:before="22" w:line="220" w:lineRule="auto"/>
              <w:ind w:left="93"/>
              <w:rPr>
                <w:sz w:val="20"/>
                <w:szCs w:val="20"/>
              </w:rPr>
            </w:pPr>
            <w:r>
              <w:rPr>
                <w:spacing w:val="-9"/>
                <w:sz w:val="20"/>
                <w:szCs w:val="20"/>
              </w:rPr>
              <w:t>于封闭系统内，能够有效</w:t>
            </w:r>
          </w:p>
          <w:p w14:paraId="6DC1C107">
            <w:pPr>
              <w:pStyle w:val="6"/>
              <w:spacing w:before="21" w:line="220" w:lineRule="auto"/>
              <w:ind w:left="146"/>
              <w:rPr>
                <w:sz w:val="20"/>
                <w:szCs w:val="20"/>
              </w:rPr>
            </w:pPr>
            <w:r>
              <w:rPr>
                <w:spacing w:val="-3"/>
                <w:sz w:val="20"/>
                <w:szCs w:val="20"/>
              </w:rPr>
              <w:t>避免无组织粉尘外排。</w:t>
            </w:r>
          </w:p>
          <w:p w14:paraId="35129065">
            <w:pPr>
              <w:pStyle w:val="6"/>
              <w:spacing w:before="22" w:line="219" w:lineRule="auto"/>
              <w:ind w:left="151"/>
              <w:rPr>
                <w:sz w:val="20"/>
                <w:szCs w:val="20"/>
              </w:rPr>
            </w:pPr>
            <w:r>
              <w:rPr>
                <w:spacing w:val="-1"/>
                <w:sz w:val="20"/>
                <w:szCs w:val="20"/>
              </w:rPr>
              <w:t>项目生产所用原料采用</w:t>
            </w:r>
          </w:p>
          <w:p w14:paraId="615D73BB">
            <w:pPr>
              <w:pStyle w:val="6"/>
              <w:spacing w:before="22" w:line="219" w:lineRule="auto"/>
              <w:ind w:left="148"/>
              <w:rPr>
                <w:sz w:val="20"/>
                <w:szCs w:val="20"/>
              </w:rPr>
            </w:pPr>
            <w:r>
              <w:rPr>
                <w:spacing w:val="-1"/>
                <w:sz w:val="20"/>
                <w:szCs w:val="20"/>
              </w:rPr>
              <w:t>加盖篷布的车辆运输至</w:t>
            </w:r>
          </w:p>
          <w:p w14:paraId="095D2D7A">
            <w:pPr>
              <w:pStyle w:val="6"/>
              <w:spacing w:before="22" w:line="220" w:lineRule="auto"/>
              <w:ind w:left="93"/>
              <w:rPr>
                <w:sz w:val="20"/>
                <w:szCs w:val="20"/>
              </w:rPr>
            </w:pPr>
            <w:r>
              <w:rPr>
                <w:spacing w:val="-9"/>
                <w:sz w:val="20"/>
                <w:szCs w:val="20"/>
              </w:rPr>
              <w:t>厂区内，在封闭式堆棚内</w:t>
            </w:r>
          </w:p>
          <w:p w14:paraId="50A957D9">
            <w:pPr>
              <w:pStyle w:val="6"/>
              <w:spacing w:before="21" w:line="219" w:lineRule="auto"/>
              <w:ind w:left="91"/>
              <w:rPr>
                <w:sz w:val="20"/>
                <w:szCs w:val="20"/>
              </w:rPr>
            </w:pPr>
            <w:r>
              <w:rPr>
                <w:spacing w:val="-9"/>
                <w:sz w:val="20"/>
                <w:szCs w:val="20"/>
              </w:rPr>
              <w:t>堆放。产品采取袋装方式</w:t>
            </w:r>
          </w:p>
          <w:p w14:paraId="7D57021A">
            <w:pPr>
              <w:pStyle w:val="6"/>
              <w:spacing w:before="21" w:line="221" w:lineRule="auto"/>
              <w:ind w:left="94"/>
              <w:rPr>
                <w:sz w:val="20"/>
                <w:szCs w:val="20"/>
              </w:rPr>
            </w:pPr>
            <w:r>
              <w:rPr>
                <w:spacing w:val="-9"/>
                <w:sz w:val="20"/>
                <w:szCs w:val="20"/>
              </w:rPr>
              <w:t>外运出售，能够有效防治</w:t>
            </w:r>
          </w:p>
          <w:p w14:paraId="49173B5F">
            <w:pPr>
              <w:pStyle w:val="6"/>
              <w:spacing w:before="20" w:line="221" w:lineRule="auto"/>
              <w:ind w:left="647"/>
              <w:rPr>
                <w:sz w:val="20"/>
                <w:szCs w:val="20"/>
              </w:rPr>
            </w:pPr>
            <w:r>
              <w:rPr>
                <w:spacing w:val="-2"/>
                <w:sz w:val="20"/>
                <w:szCs w:val="20"/>
              </w:rPr>
              <w:t>扬尘污染。</w:t>
            </w:r>
          </w:p>
        </w:tc>
        <w:tc>
          <w:tcPr>
            <w:tcW w:w="745" w:type="dxa"/>
            <w:vAlign w:val="top"/>
          </w:tcPr>
          <w:p w14:paraId="630230BA">
            <w:pPr>
              <w:spacing w:line="273" w:lineRule="auto"/>
              <w:rPr>
                <w:rFonts w:ascii="Arial"/>
                <w:sz w:val="21"/>
              </w:rPr>
            </w:pPr>
          </w:p>
          <w:p w14:paraId="7F39243E">
            <w:pPr>
              <w:spacing w:line="273" w:lineRule="auto"/>
              <w:rPr>
                <w:rFonts w:ascii="Arial"/>
                <w:sz w:val="21"/>
              </w:rPr>
            </w:pPr>
          </w:p>
          <w:p w14:paraId="6D6D9BAA">
            <w:pPr>
              <w:spacing w:line="273" w:lineRule="auto"/>
              <w:rPr>
                <w:rFonts w:ascii="Arial"/>
                <w:sz w:val="21"/>
              </w:rPr>
            </w:pPr>
          </w:p>
          <w:p w14:paraId="4D90BC57">
            <w:pPr>
              <w:spacing w:line="273" w:lineRule="auto"/>
              <w:rPr>
                <w:rFonts w:ascii="Arial"/>
                <w:sz w:val="21"/>
              </w:rPr>
            </w:pPr>
          </w:p>
          <w:p w14:paraId="72B02CC4">
            <w:pPr>
              <w:spacing w:line="274" w:lineRule="auto"/>
              <w:rPr>
                <w:rFonts w:ascii="Arial"/>
                <w:sz w:val="21"/>
              </w:rPr>
            </w:pPr>
          </w:p>
          <w:p w14:paraId="13CF5566">
            <w:pPr>
              <w:spacing w:line="274" w:lineRule="auto"/>
              <w:rPr>
                <w:rFonts w:ascii="Arial"/>
                <w:sz w:val="21"/>
              </w:rPr>
            </w:pPr>
          </w:p>
          <w:p w14:paraId="4EE8C89F">
            <w:pPr>
              <w:pStyle w:val="6"/>
              <w:spacing w:before="65" w:line="220" w:lineRule="auto"/>
              <w:ind w:left="187"/>
              <w:rPr>
                <w:sz w:val="20"/>
                <w:szCs w:val="20"/>
              </w:rPr>
            </w:pPr>
            <w:r>
              <w:rPr>
                <w:spacing w:val="-3"/>
                <w:sz w:val="20"/>
                <w:szCs w:val="20"/>
              </w:rPr>
              <w:t>符合</w:t>
            </w:r>
          </w:p>
        </w:tc>
        <w:tc>
          <w:tcPr>
            <w:tcW w:w="86" w:type="dxa"/>
            <w:tcBorders>
              <w:top w:val="nil"/>
              <w:bottom w:val="nil"/>
            </w:tcBorders>
            <w:vAlign w:val="top"/>
          </w:tcPr>
          <w:p w14:paraId="77B5099C">
            <w:pPr>
              <w:rPr>
                <w:rFonts w:ascii="Arial"/>
                <w:sz w:val="21"/>
              </w:rPr>
            </w:pPr>
          </w:p>
        </w:tc>
      </w:tr>
      <w:tr w14:paraId="7596B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2" w:hRule="atLeast"/>
        </w:trPr>
        <w:tc>
          <w:tcPr>
            <w:tcW w:w="1335" w:type="dxa"/>
            <w:vMerge w:val="continue"/>
            <w:tcBorders>
              <w:top w:val="nil"/>
              <w:bottom w:val="nil"/>
            </w:tcBorders>
            <w:vAlign w:val="top"/>
          </w:tcPr>
          <w:p w14:paraId="375503B1">
            <w:pPr>
              <w:rPr>
                <w:rFonts w:ascii="Arial"/>
                <w:sz w:val="21"/>
              </w:rPr>
            </w:pPr>
          </w:p>
        </w:tc>
        <w:tc>
          <w:tcPr>
            <w:tcW w:w="586" w:type="dxa"/>
            <w:vAlign w:val="top"/>
          </w:tcPr>
          <w:p w14:paraId="51AB03F1">
            <w:pPr>
              <w:spacing w:line="241" w:lineRule="auto"/>
              <w:rPr>
                <w:rFonts w:ascii="Arial"/>
                <w:sz w:val="21"/>
              </w:rPr>
            </w:pPr>
          </w:p>
          <w:p w14:paraId="4B8B3336">
            <w:pPr>
              <w:spacing w:line="241" w:lineRule="auto"/>
              <w:rPr>
                <w:rFonts w:ascii="Arial"/>
                <w:sz w:val="21"/>
              </w:rPr>
            </w:pPr>
          </w:p>
          <w:p w14:paraId="483C0D97">
            <w:pPr>
              <w:spacing w:line="241" w:lineRule="auto"/>
              <w:rPr>
                <w:rFonts w:ascii="Arial"/>
                <w:sz w:val="21"/>
              </w:rPr>
            </w:pPr>
          </w:p>
          <w:p w14:paraId="2ABE93AA">
            <w:pPr>
              <w:spacing w:line="242" w:lineRule="auto"/>
              <w:rPr>
                <w:rFonts w:ascii="Arial"/>
                <w:sz w:val="21"/>
              </w:rPr>
            </w:pPr>
          </w:p>
          <w:p w14:paraId="4CA83462">
            <w:pPr>
              <w:spacing w:line="242" w:lineRule="auto"/>
              <w:rPr>
                <w:rFonts w:ascii="Arial"/>
                <w:sz w:val="21"/>
              </w:rPr>
            </w:pPr>
          </w:p>
          <w:p w14:paraId="2BC9EC7C">
            <w:pPr>
              <w:spacing w:line="242" w:lineRule="auto"/>
              <w:rPr>
                <w:rFonts w:ascii="Arial"/>
                <w:sz w:val="21"/>
              </w:rPr>
            </w:pPr>
          </w:p>
          <w:p w14:paraId="4AB007E4">
            <w:pPr>
              <w:spacing w:line="242" w:lineRule="auto"/>
              <w:rPr>
                <w:rFonts w:ascii="Arial"/>
                <w:sz w:val="21"/>
              </w:rPr>
            </w:pPr>
          </w:p>
          <w:p w14:paraId="25FF3648">
            <w:pPr>
              <w:spacing w:line="242" w:lineRule="auto"/>
              <w:rPr>
                <w:rFonts w:ascii="Arial"/>
                <w:sz w:val="21"/>
              </w:rPr>
            </w:pPr>
          </w:p>
          <w:p w14:paraId="3184E21A">
            <w:pPr>
              <w:spacing w:line="242" w:lineRule="auto"/>
              <w:rPr>
                <w:rFonts w:ascii="Arial"/>
                <w:sz w:val="21"/>
              </w:rPr>
            </w:pPr>
          </w:p>
          <w:p w14:paraId="1A688C30">
            <w:pPr>
              <w:spacing w:line="242" w:lineRule="auto"/>
              <w:rPr>
                <w:rFonts w:ascii="Arial"/>
                <w:sz w:val="21"/>
              </w:rPr>
            </w:pPr>
          </w:p>
          <w:p w14:paraId="3268BFF1">
            <w:pPr>
              <w:pStyle w:val="6"/>
              <w:spacing w:before="65"/>
              <w:ind w:left="317"/>
              <w:rPr>
                <w:sz w:val="20"/>
                <w:szCs w:val="20"/>
              </w:rPr>
            </w:pPr>
            <w:r>
              <w:rPr>
                <w:sz w:val="20"/>
                <w:szCs w:val="20"/>
              </w:rPr>
              <w:t>7</w:t>
            </w:r>
          </w:p>
        </w:tc>
        <w:tc>
          <w:tcPr>
            <w:tcW w:w="3902" w:type="dxa"/>
            <w:vAlign w:val="top"/>
          </w:tcPr>
          <w:p w14:paraId="7A6DD51B">
            <w:pPr>
              <w:pStyle w:val="6"/>
              <w:spacing w:before="32" w:line="221" w:lineRule="auto"/>
              <w:ind w:right="25"/>
              <w:jc w:val="right"/>
              <w:rPr>
                <w:sz w:val="20"/>
                <w:szCs w:val="20"/>
              </w:rPr>
            </w:pPr>
            <w:r>
              <w:rPr>
                <w:spacing w:val="-5"/>
                <w:sz w:val="20"/>
                <w:szCs w:val="20"/>
              </w:rPr>
              <w:t>(二)建立健全监测监控体系。加强重点污染</w:t>
            </w:r>
          </w:p>
          <w:p w14:paraId="10B2CDCB">
            <w:pPr>
              <w:pStyle w:val="6"/>
              <w:spacing w:before="20" w:line="220" w:lineRule="auto"/>
              <w:ind w:left="122"/>
              <w:rPr>
                <w:sz w:val="20"/>
                <w:szCs w:val="20"/>
              </w:rPr>
            </w:pPr>
            <w:r>
              <w:rPr>
                <w:spacing w:val="-3"/>
                <w:sz w:val="20"/>
                <w:szCs w:val="20"/>
              </w:rPr>
              <w:t>源自动监控体系建设。排气口高度超过45米</w:t>
            </w:r>
          </w:p>
          <w:p w14:paraId="5BC84F95">
            <w:pPr>
              <w:pStyle w:val="6"/>
              <w:spacing w:before="21" w:line="219" w:lineRule="auto"/>
              <w:ind w:left="139"/>
              <w:rPr>
                <w:sz w:val="20"/>
                <w:szCs w:val="20"/>
              </w:rPr>
            </w:pPr>
            <w:r>
              <w:rPr>
                <w:spacing w:val="-4"/>
                <w:sz w:val="20"/>
                <w:szCs w:val="20"/>
              </w:rPr>
              <w:t>的高架源，纳入重点排污单位名录，督促企</w:t>
            </w:r>
          </w:p>
          <w:p w14:paraId="33C960E0">
            <w:pPr>
              <w:pStyle w:val="6"/>
              <w:spacing w:before="21" w:line="221" w:lineRule="auto"/>
              <w:jc w:val="right"/>
              <w:rPr>
                <w:sz w:val="20"/>
                <w:szCs w:val="20"/>
              </w:rPr>
            </w:pPr>
            <w:r>
              <w:rPr>
                <w:spacing w:val="-12"/>
                <w:sz w:val="20"/>
                <w:szCs w:val="20"/>
              </w:rPr>
              <w:t>业安装烟气排放自动监控设施。钢铁、焦化、</w:t>
            </w:r>
          </w:p>
          <w:p w14:paraId="605F49C4">
            <w:pPr>
              <w:pStyle w:val="6"/>
              <w:spacing w:before="20" w:line="219" w:lineRule="auto"/>
              <w:ind w:left="125"/>
              <w:rPr>
                <w:sz w:val="20"/>
                <w:szCs w:val="20"/>
              </w:rPr>
            </w:pPr>
            <w:r>
              <w:rPr>
                <w:spacing w:val="-3"/>
                <w:sz w:val="20"/>
                <w:szCs w:val="20"/>
              </w:rPr>
              <w:t>水泥、平板玻璃、陶瓷、氮肥、有色金属冶</w:t>
            </w:r>
          </w:p>
          <w:p w14:paraId="10D40BD6">
            <w:pPr>
              <w:pStyle w:val="6"/>
              <w:spacing w:before="22" w:line="220" w:lineRule="auto"/>
              <w:ind w:left="125"/>
              <w:rPr>
                <w:sz w:val="20"/>
                <w:szCs w:val="20"/>
              </w:rPr>
            </w:pPr>
            <w:r>
              <w:rPr>
                <w:spacing w:val="-3"/>
                <w:sz w:val="20"/>
                <w:szCs w:val="20"/>
              </w:rPr>
              <w:t>炼、再生有色金属等行业，严格按照排污许</w:t>
            </w:r>
          </w:p>
          <w:p w14:paraId="7BCE73ED">
            <w:pPr>
              <w:pStyle w:val="6"/>
              <w:spacing w:before="21" w:line="220" w:lineRule="auto"/>
              <w:ind w:left="125"/>
              <w:rPr>
                <w:sz w:val="20"/>
                <w:szCs w:val="20"/>
              </w:rPr>
            </w:pPr>
            <w:r>
              <w:rPr>
                <w:spacing w:val="-3"/>
                <w:sz w:val="20"/>
                <w:szCs w:val="20"/>
              </w:rPr>
              <w:t>可管理规定安装和运行自动监控设施。加快</w:t>
            </w:r>
          </w:p>
          <w:p w14:paraId="198D912F">
            <w:pPr>
              <w:pStyle w:val="6"/>
              <w:spacing w:before="21" w:line="221" w:lineRule="auto"/>
              <w:ind w:left="201"/>
              <w:rPr>
                <w:sz w:val="20"/>
                <w:szCs w:val="20"/>
              </w:rPr>
            </w:pPr>
            <w:r>
              <w:rPr>
                <w:spacing w:val="-1"/>
                <w:sz w:val="20"/>
                <w:szCs w:val="20"/>
              </w:rPr>
              <w:t>其他行业工业炉窑大气污染物排放自动监</w:t>
            </w:r>
          </w:p>
          <w:p w14:paraId="6265D598">
            <w:pPr>
              <w:pStyle w:val="6"/>
              <w:spacing w:before="20" w:line="220" w:lineRule="auto"/>
              <w:jc w:val="right"/>
              <w:rPr>
                <w:sz w:val="20"/>
                <w:szCs w:val="20"/>
              </w:rPr>
            </w:pPr>
            <w:r>
              <w:rPr>
                <w:spacing w:val="-12"/>
                <w:sz w:val="20"/>
                <w:szCs w:val="20"/>
              </w:rPr>
              <w:t>控设施建设，重点区域内冲天炉、玻璃熔窑、</w:t>
            </w:r>
          </w:p>
          <w:p w14:paraId="5EBE8E77">
            <w:pPr>
              <w:pStyle w:val="6"/>
              <w:spacing w:before="21" w:line="219" w:lineRule="auto"/>
              <w:ind w:left="146"/>
              <w:rPr>
                <w:sz w:val="20"/>
                <w:szCs w:val="20"/>
              </w:rPr>
            </w:pPr>
            <w:r>
              <w:rPr>
                <w:spacing w:val="-4"/>
                <w:sz w:val="20"/>
                <w:szCs w:val="20"/>
              </w:rPr>
              <w:t>以煤和煤矸石为燃料的砖瓦烧结窑、耐火材</w:t>
            </w:r>
          </w:p>
          <w:p w14:paraId="6D68AF1C">
            <w:pPr>
              <w:pStyle w:val="6"/>
              <w:spacing w:before="22" w:line="219" w:lineRule="auto"/>
              <w:ind w:left="299"/>
              <w:rPr>
                <w:sz w:val="20"/>
                <w:szCs w:val="20"/>
              </w:rPr>
            </w:pPr>
            <w:r>
              <w:rPr>
                <w:spacing w:val="-1"/>
                <w:sz w:val="20"/>
                <w:szCs w:val="20"/>
              </w:rPr>
              <w:t>料焙烧窑(电窑除外)、炭素焙(煅)烧炉</w:t>
            </w:r>
          </w:p>
          <w:p w14:paraId="20F453C0">
            <w:pPr>
              <w:pStyle w:val="6"/>
              <w:spacing w:before="22" w:line="219" w:lineRule="auto"/>
              <w:jc w:val="right"/>
              <w:rPr>
                <w:sz w:val="20"/>
                <w:szCs w:val="20"/>
              </w:rPr>
            </w:pPr>
            <w:r>
              <w:rPr>
                <w:spacing w:val="-4"/>
                <w:sz w:val="20"/>
                <w:szCs w:val="20"/>
              </w:rPr>
              <w:t>(窑)、石灰、铬盐焙烧窑、磷化工焙烧窑、</w:t>
            </w:r>
          </w:p>
          <w:p w14:paraId="4EB5C697">
            <w:pPr>
              <w:pStyle w:val="6"/>
              <w:spacing w:before="23" w:line="219" w:lineRule="auto"/>
              <w:ind w:left="122"/>
              <w:rPr>
                <w:sz w:val="20"/>
                <w:szCs w:val="20"/>
              </w:rPr>
            </w:pPr>
            <w:r>
              <w:rPr>
                <w:spacing w:val="-3"/>
                <w:sz w:val="20"/>
                <w:szCs w:val="20"/>
              </w:rPr>
              <w:t>铁合金矿热炉和精炼炉等，原则上应纳入重</w:t>
            </w:r>
          </w:p>
          <w:p w14:paraId="1E66D458">
            <w:pPr>
              <w:pStyle w:val="6"/>
              <w:spacing w:before="21" w:line="221" w:lineRule="auto"/>
              <w:ind w:left="133"/>
              <w:rPr>
                <w:sz w:val="20"/>
                <w:szCs w:val="20"/>
              </w:rPr>
            </w:pPr>
            <w:r>
              <w:rPr>
                <w:spacing w:val="-4"/>
                <w:sz w:val="20"/>
                <w:szCs w:val="20"/>
              </w:rPr>
              <w:t>点排污单位名录，安装自动监控设施。具备</w:t>
            </w:r>
          </w:p>
          <w:p w14:paraId="1BC3F43C">
            <w:pPr>
              <w:pStyle w:val="6"/>
              <w:spacing w:before="21" w:line="219" w:lineRule="auto"/>
              <w:ind w:left="152"/>
              <w:rPr>
                <w:sz w:val="20"/>
                <w:szCs w:val="20"/>
              </w:rPr>
            </w:pPr>
            <w:r>
              <w:rPr>
                <w:spacing w:val="-1"/>
                <w:sz w:val="20"/>
                <w:szCs w:val="20"/>
              </w:rPr>
              <w:t>条件的企业，应通过分布式控制系统(DCS)</w:t>
            </w:r>
          </w:p>
          <w:p w14:paraId="66FE7F9F">
            <w:pPr>
              <w:pStyle w:val="6"/>
              <w:spacing w:before="21" w:line="220" w:lineRule="auto"/>
              <w:ind w:left="125"/>
              <w:rPr>
                <w:sz w:val="20"/>
                <w:szCs w:val="20"/>
              </w:rPr>
            </w:pPr>
            <w:r>
              <w:rPr>
                <w:spacing w:val="-3"/>
                <w:sz w:val="20"/>
                <w:szCs w:val="20"/>
              </w:rPr>
              <w:t>等，自动连续记录工业炉窑环保设施运行及</w:t>
            </w:r>
          </w:p>
          <w:p w14:paraId="57BFEBD0">
            <w:pPr>
              <w:pStyle w:val="6"/>
              <w:spacing w:before="21" w:line="220" w:lineRule="auto"/>
              <w:ind w:left="123"/>
              <w:rPr>
                <w:sz w:val="20"/>
                <w:szCs w:val="20"/>
              </w:rPr>
            </w:pPr>
            <w:r>
              <w:rPr>
                <w:spacing w:val="-3"/>
                <w:sz w:val="20"/>
                <w:szCs w:val="20"/>
              </w:rPr>
              <w:t>相关生产过程主要参数。推进焦炉炉体等关</w:t>
            </w:r>
          </w:p>
          <w:p w14:paraId="1D729B71">
            <w:pPr>
              <w:pStyle w:val="6"/>
              <w:spacing w:before="21" w:line="221" w:lineRule="auto"/>
              <w:ind w:left="150"/>
              <w:rPr>
                <w:sz w:val="20"/>
                <w:szCs w:val="20"/>
              </w:rPr>
            </w:pPr>
            <w:r>
              <w:rPr>
                <w:spacing w:val="-1"/>
                <w:sz w:val="20"/>
                <w:szCs w:val="20"/>
              </w:rPr>
              <w:t>键环节安装视频监控系统。自动监控、DCS</w:t>
            </w:r>
          </w:p>
          <w:p w14:paraId="7729DE1D">
            <w:pPr>
              <w:pStyle w:val="6"/>
              <w:spacing w:before="20" w:line="220" w:lineRule="auto"/>
              <w:ind w:left="124"/>
              <w:rPr>
                <w:sz w:val="20"/>
                <w:szCs w:val="20"/>
              </w:rPr>
            </w:pPr>
            <w:r>
              <w:rPr>
                <w:spacing w:val="-3"/>
                <w:sz w:val="20"/>
                <w:szCs w:val="20"/>
              </w:rPr>
              <w:t>监控等数据至少要保存一年，视频监控数据</w:t>
            </w:r>
          </w:p>
          <w:p w14:paraId="0D520910">
            <w:pPr>
              <w:pStyle w:val="6"/>
              <w:spacing w:before="22" w:line="203" w:lineRule="auto"/>
              <w:ind w:left="1202"/>
              <w:rPr>
                <w:sz w:val="20"/>
                <w:szCs w:val="20"/>
              </w:rPr>
            </w:pPr>
            <w:r>
              <w:rPr>
                <w:spacing w:val="-2"/>
                <w:sz w:val="20"/>
                <w:szCs w:val="20"/>
              </w:rPr>
              <w:t>至少要保存三个月</w:t>
            </w:r>
          </w:p>
        </w:tc>
        <w:tc>
          <w:tcPr>
            <w:tcW w:w="2249" w:type="dxa"/>
            <w:vAlign w:val="top"/>
          </w:tcPr>
          <w:p w14:paraId="31069406">
            <w:pPr>
              <w:spacing w:line="253" w:lineRule="auto"/>
              <w:rPr>
                <w:rFonts w:ascii="Arial"/>
                <w:sz w:val="21"/>
              </w:rPr>
            </w:pPr>
          </w:p>
          <w:p w14:paraId="775C7074">
            <w:pPr>
              <w:spacing w:line="253" w:lineRule="auto"/>
              <w:rPr>
                <w:rFonts w:ascii="Arial"/>
                <w:sz w:val="21"/>
              </w:rPr>
            </w:pPr>
          </w:p>
          <w:p w14:paraId="487E5363">
            <w:pPr>
              <w:spacing w:line="253" w:lineRule="auto"/>
              <w:rPr>
                <w:rFonts w:ascii="Arial"/>
                <w:sz w:val="21"/>
              </w:rPr>
            </w:pPr>
          </w:p>
          <w:p w14:paraId="77ECBAEC">
            <w:pPr>
              <w:spacing w:line="253" w:lineRule="auto"/>
              <w:rPr>
                <w:rFonts w:ascii="Arial"/>
                <w:sz w:val="21"/>
              </w:rPr>
            </w:pPr>
          </w:p>
          <w:p w14:paraId="081175E0">
            <w:pPr>
              <w:spacing w:line="253" w:lineRule="auto"/>
              <w:rPr>
                <w:rFonts w:ascii="Arial"/>
                <w:sz w:val="21"/>
              </w:rPr>
            </w:pPr>
          </w:p>
          <w:p w14:paraId="1E27FB14">
            <w:pPr>
              <w:spacing w:line="254" w:lineRule="auto"/>
              <w:rPr>
                <w:rFonts w:ascii="Arial"/>
                <w:sz w:val="21"/>
              </w:rPr>
            </w:pPr>
          </w:p>
          <w:p w14:paraId="5EE401A8">
            <w:pPr>
              <w:spacing w:line="254" w:lineRule="auto"/>
              <w:rPr>
                <w:rFonts w:ascii="Arial"/>
                <w:sz w:val="21"/>
              </w:rPr>
            </w:pPr>
          </w:p>
          <w:p w14:paraId="52D0AB60">
            <w:pPr>
              <w:pStyle w:val="6"/>
              <w:spacing w:before="65" w:line="219" w:lineRule="auto"/>
              <w:ind w:left="149"/>
              <w:rPr>
                <w:sz w:val="20"/>
                <w:szCs w:val="20"/>
              </w:rPr>
            </w:pPr>
            <w:r>
              <w:rPr>
                <w:spacing w:val="-1"/>
                <w:sz w:val="20"/>
                <w:szCs w:val="20"/>
              </w:rPr>
              <w:t>本项目将严格按照排污</w:t>
            </w:r>
          </w:p>
          <w:p w14:paraId="11A5C9BB">
            <w:pPr>
              <w:pStyle w:val="6"/>
              <w:spacing w:before="21" w:line="221" w:lineRule="auto"/>
              <w:ind w:left="91"/>
              <w:rPr>
                <w:sz w:val="20"/>
                <w:szCs w:val="20"/>
              </w:rPr>
            </w:pPr>
            <w:r>
              <w:rPr>
                <w:spacing w:val="-9"/>
                <w:sz w:val="20"/>
                <w:szCs w:val="20"/>
              </w:rPr>
              <w:t>许可证的相应要求，委托</w:t>
            </w:r>
          </w:p>
          <w:p w14:paraId="71208510">
            <w:pPr>
              <w:pStyle w:val="6"/>
              <w:spacing w:before="20" w:line="219" w:lineRule="auto"/>
              <w:jc w:val="right"/>
              <w:rPr>
                <w:sz w:val="20"/>
                <w:szCs w:val="20"/>
              </w:rPr>
            </w:pPr>
            <w:r>
              <w:rPr>
                <w:spacing w:val="-5"/>
                <w:sz w:val="20"/>
                <w:szCs w:val="20"/>
              </w:rPr>
              <w:t>有资质的三方检测机构，</w:t>
            </w:r>
          </w:p>
          <w:p w14:paraId="67FF643D">
            <w:pPr>
              <w:pStyle w:val="6"/>
              <w:spacing w:before="21" w:line="221" w:lineRule="auto"/>
              <w:ind w:left="95"/>
              <w:rPr>
                <w:sz w:val="20"/>
                <w:szCs w:val="20"/>
              </w:rPr>
            </w:pPr>
            <w:r>
              <w:rPr>
                <w:spacing w:val="-8"/>
                <w:sz w:val="20"/>
                <w:szCs w:val="20"/>
              </w:rPr>
              <w:t>定期开展污染源监测，公</w:t>
            </w:r>
          </w:p>
          <w:p w14:paraId="0EFE0027">
            <w:pPr>
              <w:pStyle w:val="6"/>
              <w:spacing w:before="20" w:line="220" w:lineRule="auto"/>
              <w:ind w:left="149"/>
              <w:rPr>
                <w:sz w:val="20"/>
                <w:szCs w:val="20"/>
              </w:rPr>
            </w:pPr>
            <w:r>
              <w:rPr>
                <w:spacing w:val="-1"/>
                <w:sz w:val="20"/>
                <w:szCs w:val="20"/>
              </w:rPr>
              <w:t>开检测数据并填报年度</w:t>
            </w:r>
          </w:p>
          <w:p w14:paraId="2838B2BD">
            <w:pPr>
              <w:pStyle w:val="6"/>
              <w:spacing w:before="22" w:line="218" w:lineRule="auto"/>
              <w:ind w:left="547"/>
              <w:rPr>
                <w:sz w:val="20"/>
                <w:szCs w:val="20"/>
              </w:rPr>
            </w:pPr>
            <w:r>
              <w:rPr>
                <w:spacing w:val="-4"/>
                <w:sz w:val="20"/>
                <w:szCs w:val="20"/>
              </w:rPr>
              <w:t>执行报告等。</w:t>
            </w:r>
          </w:p>
        </w:tc>
        <w:tc>
          <w:tcPr>
            <w:tcW w:w="745" w:type="dxa"/>
            <w:vAlign w:val="top"/>
          </w:tcPr>
          <w:p w14:paraId="5C5BB272">
            <w:pPr>
              <w:spacing w:line="241" w:lineRule="auto"/>
              <w:rPr>
                <w:rFonts w:ascii="Arial"/>
                <w:sz w:val="21"/>
              </w:rPr>
            </w:pPr>
          </w:p>
          <w:p w14:paraId="489E7E00">
            <w:pPr>
              <w:spacing w:line="241" w:lineRule="auto"/>
              <w:rPr>
                <w:rFonts w:ascii="Arial"/>
                <w:sz w:val="21"/>
              </w:rPr>
            </w:pPr>
          </w:p>
          <w:p w14:paraId="62F0DB55">
            <w:pPr>
              <w:spacing w:line="241" w:lineRule="auto"/>
              <w:rPr>
                <w:rFonts w:ascii="Arial"/>
                <w:sz w:val="21"/>
              </w:rPr>
            </w:pPr>
          </w:p>
          <w:p w14:paraId="57350FEF">
            <w:pPr>
              <w:spacing w:line="242" w:lineRule="auto"/>
              <w:rPr>
                <w:rFonts w:ascii="Arial"/>
                <w:sz w:val="21"/>
              </w:rPr>
            </w:pPr>
          </w:p>
          <w:p w14:paraId="168FD1ED">
            <w:pPr>
              <w:spacing w:line="242" w:lineRule="auto"/>
              <w:rPr>
                <w:rFonts w:ascii="Arial"/>
                <w:sz w:val="21"/>
              </w:rPr>
            </w:pPr>
          </w:p>
          <w:p w14:paraId="21B2133F">
            <w:pPr>
              <w:spacing w:line="242" w:lineRule="auto"/>
              <w:rPr>
                <w:rFonts w:ascii="Arial"/>
                <w:sz w:val="21"/>
              </w:rPr>
            </w:pPr>
          </w:p>
          <w:p w14:paraId="4D24B168">
            <w:pPr>
              <w:spacing w:line="242" w:lineRule="auto"/>
              <w:rPr>
                <w:rFonts w:ascii="Arial"/>
                <w:sz w:val="21"/>
              </w:rPr>
            </w:pPr>
          </w:p>
          <w:p w14:paraId="2642A9A5">
            <w:pPr>
              <w:spacing w:line="242" w:lineRule="auto"/>
              <w:rPr>
                <w:rFonts w:ascii="Arial"/>
                <w:sz w:val="21"/>
              </w:rPr>
            </w:pPr>
          </w:p>
          <w:p w14:paraId="49078913">
            <w:pPr>
              <w:spacing w:line="242" w:lineRule="auto"/>
              <w:rPr>
                <w:rFonts w:ascii="Arial"/>
                <w:sz w:val="21"/>
              </w:rPr>
            </w:pPr>
          </w:p>
          <w:p w14:paraId="4CA85901">
            <w:pPr>
              <w:spacing w:line="242" w:lineRule="auto"/>
              <w:rPr>
                <w:rFonts w:ascii="Arial"/>
                <w:sz w:val="21"/>
              </w:rPr>
            </w:pPr>
          </w:p>
          <w:p w14:paraId="0FC5E7E8">
            <w:pPr>
              <w:pStyle w:val="6"/>
              <w:spacing w:before="65" w:line="220" w:lineRule="auto"/>
              <w:ind w:left="187"/>
              <w:rPr>
                <w:sz w:val="20"/>
                <w:szCs w:val="20"/>
              </w:rPr>
            </w:pPr>
            <w:r>
              <w:rPr>
                <w:spacing w:val="-3"/>
                <w:sz w:val="20"/>
                <w:szCs w:val="20"/>
              </w:rPr>
              <w:t>符合</w:t>
            </w:r>
          </w:p>
        </w:tc>
        <w:tc>
          <w:tcPr>
            <w:tcW w:w="86" w:type="dxa"/>
            <w:tcBorders>
              <w:top w:val="nil"/>
              <w:bottom w:val="nil"/>
            </w:tcBorders>
            <w:vAlign w:val="top"/>
          </w:tcPr>
          <w:p w14:paraId="08D89416">
            <w:pPr>
              <w:rPr>
                <w:rFonts w:ascii="Arial"/>
                <w:sz w:val="21"/>
              </w:rPr>
            </w:pPr>
          </w:p>
        </w:tc>
      </w:tr>
      <w:tr w14:paraId="5D112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09" w:hRule="atLeast"/>
        </w:trPr>
        <w:tc>
          <w:tcPr>
            <w:tcW w:w="1335" w:type="dxa"/>
            <w:vMerge w:val="continue"/>
            <w:tcBorders>
              <w:top w:val="nil"/>
            </w:tcBorders>
            <w:vAlign w:val="top"/>
          </w:tcPr>
          <w:p w14:paraId="4F15A6BA">
            <w:pPr>
              <w:rPr>
                <w:rFonts w:ascii="Arial"/>
                <w:sz w:val="21"/>
              </w:rPr>
            </w:pPr>
          </w:p>
        </w:tc>
        <w:tc>
          <w:tcPr>
            <w:tcW w:w="7568" w:type="dxa"/>
            <w:gridSpan w:val="5"/>
            <w:vAlign w:val="top"/>
          </w:tcPr>
          <w:p w14:paraId="26107F57">
            <w:pPr>
              <w:pStyle w:val="6"/>
              <w:spacing w:before="135" w:line="228" w:lineRule="auto"/>
              <w:ind w:left="552"/>
            </w:pPr>
            <w:r>
              <w:rPr>
                <w:b/>
                <w:bCs/>
                <w:spacing w:val="7"/>
              </w:rPr>
              <w:t>（2）与《四川省工业炉窑大气污染综合治理实施清单》符合性分析</w:t>
            </w:r>
          </w:p>
          <w:p w14:paraId="6B8F66D1">
            <w:pPr>
              <w:pStyle w:val="6"/>
              <w:spacing w:before="138" w:line="322" w:lineRule="auto"/>
              <w:ind w:left="102" w:right="109" w:firstLine="441"/>
              <w:jc w:val="both"/>
            </w:pPr>
            <w:r>
              <w:rPr>
                <w:spacing w:val="13"/>
              </w:rPr>
              <w:t>为贯彻落实《四川省打赢蓝天保卫战实施方案</w:t>
            </w:r>
            <w:r>
              <w:rPr>
                <w:spacing w:val="12"/>
              </w:rPr>
              <w:t>》有关要求，指导各地加</w:t>
            </w:r>
            <w:r>
              <w:t xml:space="preserve"> </w:t>
            </w:r>
            <w:r>
              <w:rPr>
                <w:spacing w:val="13"/>
              </w:rPr>
              <w:t>强工业炉窑大气污染综合治理，协同控制温室气体排放</w:t>
            </w:r>
            <w:r>
              <w:rPr>
                <w:spacing w:val="12"/>
              </w:rPr>
              <w:t>，推动产业高质量发</w:t>
            </w:r>
            <w:r>
              <w:t xml:space="preserve"> </w:t>
            </w:r>
            <w:r>
              <w:rPr>
                <w:spacing w:val="3"/>
              </w:rPr>
              <w:t>展，根据生态环境部、国家发展改革委、工业和信息化部、</w:t>
            </w:r>
            <w:r>
              <w:rPr>
                <w:spacing w:val="2"/>
              </w:rPr>
              <w:t>财政部等4部委《关</w:t>
            </w:r>
            <w:r>
              <w:t xml:space="preserve"> </w:t>
            </w:r>
            <w:r>
              <w:rPr>
                <w:spacing w:val="9"/>
              </w:rPr>
              <w:t>于印发&lt;工业炉窑大气污染综合治理方案&gt;的通知》</w:t>
            </w:r>
            <w:r>
              <w:rPr>
                <w:spacing w:val="-37"/>
              </w:rPr>
              <w:t xml:space="preserve"> </w:t>
            </w:r>
            <w:r>
              <w:rPr>
                <w:spacing w:val="9"/>
              </w:rPr>
              <w:t>(环大气〔2019〕56号)，</w:t>
            </w:r>
          </w:p>
        </w:tc>
      </w:tr>
    </w:tbl>
    <w:p w14:paraId="0BAAA646">
      <w:pPr>
        <w:rPr>
          <w:rFonts w:ascii="Arial"/>
          <w:sz w:val="21"/>
        </w:rPr>
      </w:pPr>
    </w:p>
    <w:p w14:paraId="1FFF0D0A">
      <w:pPr>
        <w:rPr>
          <w:rFonts w:ascii="Arial" w:hAnsi="Arial" w:eastAsia="Arial" w:cs="Arial"/>
          <w:sz w:val="21"/>
          <w:szCs w:val="21"/>
        </w:rPr>
        <w:sectPr>
          <w:footerReference r:id="rId33" w:type="default"/>
          <w:pgSz w:w="11907" w:h="16839"/>
          <w:pgMar w:top="1431" w:right="1498" w:bottom="1055" w:left="1498" w:header="0" w:footer="802" w:gutter="0"/>
          <w:cols w:space="720" w:num="1"/>
        </w:sectPr>
      </w:pPr>
    </w:p>
    <w:p w14:paraId="430B03DE">
      <w:pPr>
        <w:spacing w:before="28"/>
      </w:pPr>
    </w:p>
    <w:tbl>
      <w:tblPr>
        <w:tblStyle w:val="5"/>
        <w:tblW w:w="89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4"/>
        <w:gridCol w:w="539"/>
        <w:gridCol w:w="3804"/>
        <w:gridCol w:w="2288"/>
        <w:gridCol w:w="938"/>
      </w:tblGrid>
      <w:tr w14:paraId="2C835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334" w:type="dxa"/>
            <w:vMerge w:val="restart"/>
            <w:tcBorders>
              <w:bottom w:val="nil"/>
            </w:tcBorders>
            <w:vAlign w:val="top"/>
          </w:tcPr>
          <w:p w14:paraId="5DDDF775">
            <w:pPr>
              <w:rPr>
                <w:rFonts w:ascii="Arial"/>
                <w:sz w:val="21"/>
              </w:rPr>
            </w:pPr>
          </w:p>
        </w:tc>
        <w:tc>
          <w:tcPr>
            <w:tcW w:w="7569" w:type="dxa"/>
            <w:gridSpan w:val="4"/>
            <w:vAlign w:val="top"/>
          </w:tcPr>
          <w:p w14:paraId="223EEFFE">
            <w:pPr>
              <w:pStyle w:val="6"/>
              <w:spacing w:before="136" w:line="227" w:lineRule="auto"/>
              <w:ind w:left="102"/>
            </w:pPr>
            <w:r>
              <w:rPr>
                <w:spacing w:val="9"/>
              </w:rPr>
              <w:t>制订本实施清单。本项目与其相关要求的符合性分析如下：</w:t>
            </w:r>
          </w:p>
          <w:p w14:paraId="0523E040">
            <w:pPr>
              <w:pStyle w:val="6"/>
              <w:spacing w:before="148" w:line="220" w:lineRule="auto"/>
              <w:ind w:left="408"/>
            </w:pPr>
            <w:r>
              <w:rPr>
                <w:b/>
                <w:bCs/>
                <w:spacing w:val="-3"/>
              </w:rPr>
              <w:t>表1-14</w:t>
            </w:r>
            <w:r>
              <w:rPr>
                <w:spacing w:val="-3"/>
              </w:rPr>
              <w:t xml:space="preserve">  </w:t>
            </w:r>
            <w:r>
              <w:rPr>
                <w:b/>
                <w:bCs/>
                <w:spacing w:val="-3"/>
              </w:rPr>
              <w:t>与“</w:t>
            </w:r>
            <w:r>
              <w:rPr>
                <w:spacing w:val="-75"/>
              </w:rPr>
              <w:t xml:space="preserve"> </w:t>
            </w:r>
            <w:r>
              <w:rPr>
                <w:b/>
                <w:bCs/>
                <w:spacing w:val="-3"/>
              </w:rPr>
              <w:t>四川省工业炉窑大气污染综合治理</w:t>
            </w:r>
            <w:r>
              <w:rPr>
                <w:b/>
                <w:bCs/>
                <w:spacing w:val="-4"/>
              </w:rPr>
              <w:t>实施清单</w:t>
            </w:r>
            <w:r>
              <w:rPr>
                <w:spacing w:val="-75"/>
              </w:rPr>
              <w:t xml:space="preserve"> </w:t>
            </w:r>
            <w:r>
              <w:rPr>
                <w:b/>
                <w:bCs/>
                <w:spacing w:val="-4"/>
              </w:rPr>
              <w:t>”的符合性分析</w:t>
            </w:r>
          </w:p>
        </w:tc>
      </w:tr>
      <w:tr w14:paraId="00A00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334" w:type="dxa"/>
            <w:vMerge w:val="continue"/>
            <w:tcBorders>
              <w:top w:val="nil"/>
              <w:bottom w:val="nil"/>
            </w:tcBorders>
            <w:vAlign w:val="top"/>
          </w:tcPr>
          <w:p w14:paraId="0B0FB942">
            <w:pPr>
              <w:rPr>
                <w:rFonts w:ascii="Arial"/>
                <w:sz w:val="21"/>
              </w:rPr>
            </w:pPr>
          </w:p>
        </w:tc>
        <w:tc>
          <w:tcPr>
            <w:tcW w:w="539" w:type="dxa"/>
            <w:vAlign w:val="top"/>
          </w:tcPr>
          <w:p w14:paraId="1E0452CC">
            <w:pPr>
              <w:pStyle w:val="6"/>
              <w:spacing w:before="30" w:line="206" w:lineRule="auto"/>
              <w:ind w:right="7"/>
              <w:jc w:val="right"/>
              <w:rPr>
                <w:sz w:val="20"/>
                <w:szCs w:val="20"/>
              </w:rPr>
            </w:pPr>
            <w:r>
              <w:rPr>
                <w:b/>
                <w:bCs/>
                <w:spacing w:val="-4"/>
                <w:sz w:val="20"/>
                <w:szCs w:val="20"/>
              </w:rPr>
              <w:t>序号</w:t>
            </w:r>
          </w:p>
        </w:tc>
        <w:tc>
          <w:tcPr>
            <w:tcW w:w="3804" w:type="dxa"/>
            <w:vAlign w:val="top"/>
          </w:tcPr>
          <w:p w14:paraId="43BEA220">
            <w:pPr>
              <w:pStyle w:val="6"/>
              <w:spacing w:before="30" w:line="206" w:lineRule="auto"/>
              <w:ind w:left="1545"/>
              <w:rPr>
                <w:sz w:val="20"/>
                <w:szCs w:val="20"/>
              </w:rPr>
            </w:pPr>
            <w:r>
              <w:rPr>
                <w:b/>
                <w:bCs/>
                <w:spacing w:val="-4"/>
                <w:sz w:val="20"/>
                <w:szCs w:val="20"/>
              </w:rPr>
              <w:t>方案要求</w:t>
            </w:r>
          </w:p>
        </w:tc>
        <w:tc>
          <w:tcPr>
            <w:tcW w:w="2288" w:type="dxa"/>
            <w:vAlign w:val="top"/>
          </w:tcPr>
          <w:p w14:paraId="21DF914F">
            <w:pPr>
              <w:pStyle w:val="6"/>
              <w:spacing w:before="30" w:line="206" w:lineRule="auto"/>
              <w:ind w:left="866"/>
              <w:rPr>
                <w:sz w:val="20"/>
                <w:szCs w:val="20"/>
              </w:rPr>
            </w:pPr>
            <w:r>
              <w:rPr>
                <w:b/>
                <w:bCs/>
                <w:spacing w:val="-5"/>
                <w:sz w:val="20"/>
                <w:szCs w:val="20"/>
              </w:rPr>
              <w:t>本项目</w:t>
            </w:r>
          </w:p>
        </w:tc>
        <w:tc>
          <w:tcPr>
            <w:tcW w:w="938" w:type="dxa"/>
            <w:vAlign w:val="top"/>
          </w:tcPr>
          <w:p w14:paraId="49B104DC">
            <w:pPr>
              <w:pStyle w:val="6"/>
              <w:spacing w:before="30" w:line="206" w:lineRule="auto"/>
              <w:ind w:left="143"/>
              <w:rPr>
                <w:sz w:val="20"/>
                <w:szCs w:val="20"/>
              </w:rPr>
            </w:pPr>
            <w:r>
              <w:rPr>
                <w:b/>
                <w:bCs/>
                <w:spacing w:val="-5"/>
                <w:sz w:val="20"/>
                <w:szCs w:val="20"/>
              </w:rPr>
              <w:t>符合性</w:t>
            </w:r>
          </w:p>
        </w:tc>
      </w:tr>
      <w:tr w14:paraId="34D77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9" w:hRule="atLeast"/>
        </w:trPr>
        <w:tc>
          <w:tcPr>
            <w:tcW w:w="1334" w:type="dxa"/>
            <w:vMerge w:val="continue"/>
            <w:tcBorders>
              <w:top w:val="nil"/>
              <w:bottom w:val="nil"/>
            </w:tcBorders>
            <w:vAlign w:val="top"/>
          </w:tcPr>
          <w:p w14:paraId="50005F08">
            <w:pPr>
              <w:rPr>
                <w:rFonts w:ascii="Arial"/>
                <w:sz w:val="21"/>
              </w:rPr>
            </w:pPr>
          </w:p>
        </w:tc>
        <w:tc>
          <w:tcPr>
            <w:tcW w:w="539" w:type="dxa"/>
            <w:vAlign w:val="top"/>
          </w:tcPr>
          <w:p w14:paraId="51C628F1">
            <w:pPr>
              <w:spacing w:line="249" w:lineRule="auto"/>
              <w:rPr>
                <w:rFonts w:ascii="Arial"/>
                <w:sz w:val="21"/>
              </w:rPr>
            </w:pPr>
          </w:p>
          <w:p w14:paraId="1F56F2AD">
            <w:pPr>
              <w:spacing w:line="249" w:lineRule="auto"/>
              <w:rPr>
                <w:rFonts w:ascii="Arial"/>
                <w:sz w:val="21"/>
              </w:rPr>
            </w:pPr>
          </w:p>
          <w:p w14:paraId="3412C17E">
            <w:pPr>
              <w:spacing w:line="249" w:lineRule="auto"/>
              <w:rPr>
                <w:rFonts w:ascii="Arial"/>
                <w:sz w:val="21"/>
              </w:rPr>
            </w:pPr>
          </w:p>
          <w:p w14:paraId="5081C936">
            <w:pPr>
              <w:spacing w:line="249" w:lineRule="auto"/>
              <w:rPr>
                <w:rFonts w:ascii="Arial"/>
                <w:sz w:val="21"/>
              </w:rPr>
            </w:pPr>
          </w:p>
          <w:p w14:paraId="64903057">
            <w:pPr>
              <w:pStyle w:val="6"/>
              <w:spacing w:before="65" w:line="242" w:lineRule="auto"/>
              <w:ind w:left="295"/>
              <w:rPr>
                <w:sz w:val="20"/>
                <w:szCs w:val="20"/>
              </w:rPr>
            </w:pPr>
            <w:r>
              <w:rPr>
                <w:sz w:val="20"/>
                <w:szCs w:val="20"/>
              </w:rPr>
              <w:t>1</w:t>
            </w:r>
          </w:p>
        </w:tc>
        <w:tc>
          <w:tcPr>
            <w:tcW w:w="3804" w:type="dxa"/>
            <w:vAlign w:val="top"/>
          </w:tcPr>
          <w:p w14:paraId="4D4F91C3">
            <w:pPr>
              <w:pStyle w:val="6"/>
              <w:spacing w:before="33" w:line="239" w:lineRule="auto"/>
              <w:ind w:left="115" w:firstLine="64"/>
              <w:rPr>
                <w:sz w:val="20"/>
                <w:szCs w:val="20"/>
              </w:rPr>
            </w:pPr>
            <w:r>
              <w:rPr>
                <w:spacing w:val="-5"/>
                <w:sz w:val="20"/>
                <w:szCs w:val="20"/>
              </w:rPr>
              <w:t>(一)加大产业结构调整力度。严格建设项</w:t>
            </w:r>
            <w:r>
              <w:rPr>
                <w:spacing w:val="6"/>
                <w:sz w:val="20"/>
                <w:szCs w:val="20"/>
              </w:rPr>
              <w:t xml:space="preserve">  </w:t>
            </w:r>
            <w:r>
              <w:rPr>
                <w:spacing w:val="-7"/>
                <w:sz w:val="20"/>
                <w:szCs w:val="20"/>
              </w:rPr>
              <w:t>目环境准入。新建涉工业炉窑的建设项目，</w:t>
            </w:r>
            <w:r>
              <w:rPr>
                <w:spacing w:val="15"/>
                <w:sz w:val="20"/>
                <w:szCs w:val="20"/>
              </w:rPr>
              <w:t xml:space="preserve"> </w:t>
            </w:r>
            <w:r>
              <w:rPr>
                <w:spacing w:val="-1"/>
                <w:sz w:val="20"/>
                <w:szCs w:val="20"/>
              </w:rPr>
              <w:t>原则上要入工业园区，配套建设高效环保</w:t>
            </w:r>
            <w:r>
              <w:rPr>
                <w:sz w:val="20"/>
                <w:szCs w:val="20"/>
              </w:rPr>
              <w:t xml:space="preserve">  </w:t>
            </w:r>
            <w:r>
              <w:rPr>
                <w:spacing w:val="-1"/>
                <w:sz w:val="20"/>
                <w:szCs w:val="20"/>
              </w:rPr>
              <w:t>治理设施。严禁新增钢铁、水泥、焦化、</w:t>
            </w:r>
            <w:r>
              <w:rPr>
                <w:spacing w:val="2"/>
                <w:sz w:val="20"/>
                <w:szCs w:val="20"/>
              </w:rPr>
              <w:t xml:space="preserve">  </w:t>
            </w:r>
            <w:r>
              <w:rPr>
                <w:spacing w:val="-7"/>
                <w:sz w:val="20"/>
                <w:szCs w:val="20"/>
              </w:rPr>
              <w:t>电解铝、平板玻璃等产能。严格执行钢铁、</w:t>
            </w:r>
            <w:r>
              <w:rPr>
                <w:spacing w:val="15"/>
                <w:sz w:val="20"/>
                <w:szCs w:val="20"/>
              </w:rPr>
              <w:t xml:space="preserve"> </w:t>
            </w:r>
            <w:r>
              <w:rPr>
                <w:spacing w:val="-1"/>
                <w:sz w:val="20"/>
                <w:szCs w:val="20"/>
              </w:rPr>
              <w:t>水泥、平板玻璃、电解铝等产能置换有关</w:t>
            </w:r>
            <w:r>
              <w:rPr>
                <w:sz w:val="20"/>
                <w:szCs w:val="20"/>
              </w:rPr>
              <w:t xml:space="preserve">  </w:t>
            </w:r>
            <w:r>
              <w:rPr>
                <w:spacing w:val="-5"/>
                <w:sz w:val="20"/>
                <w:szCs w:val="20"/>
              </w:rPr>
              <w:t>规定。</w:t>
            </w:r>
            <w:r>
              <w:rPr>
                <w:spacing w:val="-52"/>
                <w:sz w:val="20"/>
                <w:szCs w:val="20"/>
              </w:rPr>
              <w:t xml:space="preserve"> </w:t>
            </w:r>
            <w:r>
              <w:rPr>
                <w:spacing w:val="-5"/>
                <w:sz w:val="20"/>
                <w:szCs w:val="20"/>
              </w:rPr>
              <w:t>(经济和信息化厅、省发展改革委、</w:t>
            </w:r>
          </w:p>
          <w:p w14:paraId="4D2FBA8A">
            <w:pPr>
              <w:pStyle w:val="6"/>
              <w:spacing w:line="219" w:lineRule="auto"/>
              <w:ind w:left="147"/>
              <w:rPr>
                <w:sz w:val="20"/>
                <w:szCs w:val="20"/>
              </w:rPr>
            </w:pPr>
            <w:r>
              <w:rPr>
                <w:spacing w:val="-1"/>
                <w:sz w:val="20"/>
                <w:szCs w:val="20"/>
              </w:rPr>
              <w:t>生态环境厅按职责分工负责。各项工作均</w:t>
            </w:r>
          </w:p>
          <w:p w14:paraId="5C833959">
            <w:pPr>
              <w:pStyle w:val="6"/>
              <w:spacing w:before="20" w:line="207" w:lineRule="auto"/>
              <w:ind w:left="506"/>
              <w:rPr>
                <w:sz w:val="20"/>
                <w:szCs w:val="20"/>
              </w:rPr>
            </w:pPr>
            <w:r>
              <w:rPr>
                <w:spacing w:val="-2"/>
                <w:sz w:val="20"/>
                <w:szCs w:val="20"/>
              </w:rPr>
              <w:t>需地方负责落实，以下不再列出)</w:t>
            </w:r>
          </w:p>
        </w:tc>
        <w:tc>
          <w:tcPr>
            <w:tcW w:w="2288" w:type="dxa"/>
            <w:vAlign w:val="top"/>
          </w:tcPr>
          <w:p w14:paraId="22C43D40">
            <w:pPr>
              <w:pStyle w:val="6"/>
              <w:spacing w:before="289" w:line="219" w:lineRule="auto"/>
              <w:ind w:left="166"/>
              <w:rPr>
                <w:sz w:val="20"/>
                <w:szCs w:val="20"/>
              </w:rPr>
            </w:pPr>
            <w:r>
              <w:rPr>
                <w:spacing w:val="-1"/>
                <w:sz w:val="20"/>
                <w:szCs w:val="20"/>
              </w:rPr>
              <w:t>本项目涉及新建工业炉</w:t>
            </w:r>
          </w:p>
          <w:p w14:paraId="24505310">
            <w:pPr>
              <w:pStyle w:val="6"/>
              <w:spacing w:before="22" w:line="220" w:lineRule="auto"/>
              <w:ind w:left="92"/>
              <w:rPr>
                <w:sz w:val="20"/>
                <w:szCs w:val="20"/>
              </w:rPr>
            </w:pPr>
            <w:r>
              <w:rPr>
                <w:spacing w:val="-5"/>
                <w:sz w:val="20"/>
                <w:szCs w:val="20"/>
              </w:rPr>
              <w:t>窑，选址于通川区东岳新</w:t>
            </w:r>
          </w:p>
          <w:p w14:paraId="1121551F">
            <w:pPr>
              <w:pStyle w:val="6"/>
              <w:spacing w:before="20" w:line="220" w:lineRule="auto"/>
              <w:ind w:left="94"/>
              <w:rPr>
                <w:sz w:val="20"/>
                <w:szCs w:val="20"/>
              </w:rPr>
            </w:pPr>
            <w:r>
              <w:rPr>
                <w:spacing w:val="-5"/>
                <w:sz w:val="20"/>
                <w:szCs w:val="20"/>
              </w:rPr>
              <w:t>型工业集聚区，属于规划</w:t>
            </w:r>
          </w:p>
          <w:p w14:paraId="2A06A108">
            <w:pPr>
              <w:pStyle w:val="6"/>
              <w:spacing w:before="20" w:line="221" w:lineRule="auto"/>
              <w:ind w:left="104"/>
              <w:rPr>
                <w:sz w:val="20"/>
                <w:szCs w:val="20"/>
              </w:rPr>
            </w:pPr>
            <w:r>
              <w:rPr>
                <w:spacing w:val="-6"/>
                <w:sz w:val="20"/>
                <w:szCs w:val="20"/>
              </w:rPr>
              <w:t>的工业园区。项目位于达</w:t>
            </w:r>
          </w:p>
          <w:p w14:paraId="43386BA2">
            <w:pPr>
              <w:pStyle w:val="6"/>
              <w:spacing w:before="21" w:line="219" w:lineRule="auto"/>
              <w:ind w:left="88"/>
              <w:rPr>
                <w:sz w:val="20"/>
                <w:szCs w:val="20"/>
              </w:rPr>
            </w:pPr>
            <w:r>
              <w:rPr>
                <w:spacing w:val="-5"/>
                <w:sz w:val="20"/>
                <w:szCs w:val="20"/>
              </w:rPr>
              <w:t>州市通川区东岳镇，不属</w:t>
            </w:r>
          </w:p>
          <w:p w14:paraId="61C2A26A">
            <w:pPr>
              <w:pStyle w:val="6"/>
              <w:spacing w:before="21" w:line="220" w:lineRule="auto"/>
              <w:ind w:left="169"/>
              <w:rPr>
                <w:sz w:val="20"/>
                <w:szCs w:val="20"/>
              </w:rPr>
            </w:pPr>
            <w:r>
              <w:rPr>
                <w:spacing w:val="-1"/>
                <w:sz w:val="20"/>
                <w:szCs w:val="20"/>
              </w:rPr>
              <w:t>于文件规定的重点区域</w:t>
            </w:r>
          </w:p>
          <w:p w14:paraId="2935BDCC">
            <w:pPr>
              <w:pStyle w:val="6"/>
              <w:spacing w:before="21" w:line="221" w:lineRule="auto"/>
              <w:ind w:left="971"/>
              <w:rPr>
                <w:sz w:val="20"/>
                <w:szCs w:val="20"/>
              </w:rPr>
            </w:pPr>
            <w:r>
              <w:rPr>
                <w:spacing w:val="-3"/>
                <w:sz w:val="20"/>
                <w:szCs w:val="20"/>
              </w:rPr>
              <w:t>范围</w:t>
            </w:r>
          </w:p>
        </w:tc>
        <w:tc>
          <w:tcPr>
            <w:tcW w:w="938" w:type="dxa"/>
            <w:vAlign w:val="top"/>
          </w:tcPr>
          <w:p w14:paraId="10280394">
            <w:pPr>
              <w:spacing w:line="249" w:lineRule="auto"/>
              <w:rPr>
                <w:rFonts w:ascii="Arial"/>
                <w:sz w:val="21"/>
              </w:rPr>
            </w:pPr>
          </w:p>
          <w:p w14:paraId="74241FD7">
            <w:pPr>
              <w:spacing w:line="249" w:lineRule="auto"/>
              <w:rPr>
                <w:rFonts w:ascii="Arial"/>
                <w:sz w:val="21"/>
              </w:rPr>
            </w:pPr>
          </w:p>
          <w:p w14:paraId="0AF03F22">
            <w:pPr>
              <w:spacing w:line="249" w:lineRule="auto"/>
              <w:rPr>
                <w:rFonts w:ascii="Arial"/>
                <w:sz w:val="21"/>
              </w:rPr>
            </w:pPr>
          </w:p>
          <w:p w14:paraId="682B6A89">
            <w:pPr>
              <w:spacing w:line="249" w:lineRule="auto"/>
              <w:rPr>
                <w:rFonts w:ascii="Arial"/>
                <w:sz w:val="21"/>
              </w:rPr>
            </w:pPr>
          </w:p>
          <w:p w14:paraId="3E233AF9">
            <w:pPr>
              <w:pStyle w:val="6"/>
              <w:spacing w:before="65" w:line="220" w:lineRule="auto"/>
              <w:ind w:left="243"/>
              <w:rPr>
                <w:sz w:val="20"/>
                <w:szCs w:val="20"/>
              </w:rPr>
            </w:pPr>
            <w:r>
              <w:rPr>
                <w:spacing w:val="-3"/>
                <w:sz w:val="20"/>
                <w:szCs w:val="20"/>
              </w:rPr>
              <w:t>符合</w:t>
            </w:r>
          </w:p>
        </w:tc>
      </w:tr>
      <w:tr w14:paraId="44467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7" w:hRule="atLeast"/>
        </w:trPr>
        <w:tc>
          <w:tcPr>
            <w:tcW w:w="1334" w:type="dxa"/>
            <w:vMerge w:val="continue"/>
            <w:tcBorders>
              <w:top w:val="nil"/>
              <w:bottom w:val="nil"/>
            </w:tcBorders>
            <w:vAlign w:val="top"/>
          </w:tcPr>
          <w:p w14:paraId="3173C791">
            <w:pPr>
              <w:rPr>
                <w:rFonts w:ascii="Arial"/>
                <w:sz w:val="21"/>
              </w:rPr>
            </w:pPr>
          </w:p>
        </w:tc>
        <w:tc>
          <w:tcPr>
            <w:tcW w:w="539" w:type="dxa"/>
            <w:vAlign w:val="top"/>
          </w:tcPr>
          <w:p w14:paraId="19A2F9DD">
            <w:pPr>
              <w:spacing w:line="251" w:lineRule="auto"/>
              <w:rPr>
                <w:rFonts w:ascii="Arial"/>
                <w:sz w:val="21"/>
              </w:rPr>
            </w:pPr>
          </w:p>
          <w:p w14:paraId="21292C6D">
            <w:pPr>
              <w:spacing w:line="251" w:lineRule="auto"/>
              <w:rPr>
                <w:rFonts w:ascii="Arial"/>
                <w:sz w:val="21"/>
              </w:rPr>
            </w:pPr>
          </w:p>
          <w:p w14:paraId="57340BAA">
            <w:pPr>
              <w:spacing w:line="251" w:lineRule="auto"/>
              <w:rPr>
                <w:rFonts w:ascii="Arial"/>
                <w:sz w:val="21"/>
              </w:rPr>
            </w:pPr>
          </w:p>
          <w:p w14:paraId="57EA60B1">
            <w:pPr>
              <w:spacing w:line="251" w:lineRule="auto"/>
              <w:rPr>
                <w:rFonts w:ascii="Arial"/>
                <w:sz w:val="21"/>
              </w:rPr>
            </w:pPr>
          </w:p>
          <w:p w14:paraId="48A6E7B6">
            <w:pPr>
              <w:spacing w:line="251" w:lineRule="auto"/>
              <w:rPr>
                <w:rFonts w:ascii="Arial"/>
                <w:sz w:val="21"/>
              </w:rPr>
            </w:pPr>
          </w:p>
          <w:p w14:paraId="0393B409">
            <w:pPr>
              <w:pStyle w:val="6"/>
              <w:spacing w:before="65" w:line="242" w:lineRule="auto"/>
              <w:ind w:left="283"/>
              <w:rPr>
                <w:sz w:val="20"/>
                <w:szCs w:val="20"/>
              </w:rPr>
            </w:pPr>
            <w:r>
              <w:rPr>
                <w:sz w:val="20"/>
                <w:szCs w:val="20"/>
              </w:rPr>
              <w:t>2</w:t>
            </w:r>
          </w:p>
        </w:tc>
        <w:tc>
          <w:tcPr>
            <w:tcW w:w="3804" w:type="dxa"/>
            <w:vAlign w:val="top"/>
          </w:tcPr>
          <w:p w14:paraId="0BB1572E">
            <w:pPr>
              <w:pStyle w:val="6"/>
              <w:spacing w:before="34" w:line="236" w:lineRule="auto"/>
              <w:ind w:left="114" w:firstLine="129"/>
              <w:rPr>
                <w:sz w:val="20"/>
                <w:szCs w:val="20"/>
              </w:rPr>
            </w:pPr>
            <w:r>
              <w:rPr>
                <w:spacing w:val="-4"/>
                <w:sz w:val="20"/>
                <w:szCs w:val="20"/>
              </w:rPr>
              <w:t>加大落后产能和不达标工业炉窑淘汰力</w:t>
            </w:r>
            <w:r>
              <w:rPr>
                <w:spacing w:val="1"/>
                <w:sz w:val="20"/>
                <w:szCs w:val="20"/>
              </w:rPr>
              <w:t xml:space="preserve">   </w:t>
            </w:r>
            <w:r>
              <w:rPr>
                <w:spacing w:val="-7"/>
                <w:sz w:val="20"/>
                <w:szCs w:val="20"/>
              </w:rPr>
              <w:t>度。分行业清理淘汰《产业结构调整目录》</w:t>
            </w:r>
            <w:r>
              <w:rPr>
                <w:spacing w:val="16"/>
                <w:sz w:val="20"/>
                <w:szCs w:val="20"/>
              </w:rPr>
              <w:t xml:space="preserve"> </w:t>
            </w:r>
            <w:r>
              <w:rPr>
                <w:spacing w:val="-6"/>
                <w:sz w:val="20"/>
                <w:szCs w:val="20"/>
              </w:rPr>
              <w:t>淘汰类工业炉窑。加快淘汰炉膛直径3米以</w:t>
            </w:r>
            <w:r>
              <w:rPr>
                <w:spacing w:val="4"/>
                <w:sz w:val="20"/>
                <w:szCs w:val="20"/>
              </w:rPr>
              <w:t xml:space="preserve">  </w:t>
            </w:r>
            <w:r>
              <w:rPr>
                <w:spacing w:val="-2"/>
                <w:sz w:val="20"/>
                <w:szCs w:val="20"/>
              </w:rPr>
              <w:t>下的中小型煤气发生炉。对热效率低下、</w:t>
            </w:r>
            <w:r>
              <w:rPr>
                <w:spacing w:val="3"/>
                <w:sz w:val="20"/>
                <w:szCs w:val="20"/>
              </w:rPr>
              <w:t xml:space="preserve">  </w:t>
            </w:r>
            <w:r>
              <w:rPr>
                <w:spacing w:val="-2"/>
                <w:sz w:val="20"/>
                <w:szCs w:val="20"/>
              </w:rPr>
              <w:t>敞开未封闭，装备简易落后、自动化程度</w:t>
            </w:r>
            <w:r>
              <w:rPr>
                <w:sz w:val="20"/>
                <w:szCs w:val="20"/>
              </w:rPr>
              <w:t xml:space="preserve">  </w:t>
            </w:r>
            <w:r>
              <w:rPr>
                <w:spacing w:val="-2"/>
                <w:sz w:val="20"/>
                <w:szCs w:val="20"/>
              </w:rPr>
              <w:t>低，无组织排放突出等严重污染环境的工</w:t>
            </w:r>
            <w:r>
              <w:rPr>
                <w:sz w:val="20"/>
                <w:szCs w:val="20"/>
              </w:rPr>
              <w:t xml:space="preserve">  </w:t>
            </w:r>
            <w:r>
              <w:rPr>
                <w:spacing w:val="-5"/>
                <w:sz w:val="20"/>
                <w:szCs w:val="20"/>
              </w:rPr>
              <w:t>业炉窑，</w:t>
            </w:r>
            <w:r>
              <w:rPr>
                <w:spacing w:val="-46"/>
                <w:sz w:val="20"/>
                <w:szCs w:val="20"/>
              </w:rPr>
              <w:t xml:space="preserve"> </w:t>
            </w:r>
            <w:r>
              <w:rPr>
                <w:spacing w:val="-5"/>
                <w:sz w:val="20"/>
                <w:szCs w:val="20"/>
              </w:rPr>
              <w:t>以及污染治理设施工艺落后或污</w:t>
            </w:r>
            <w:r>
              <w:rPr>
                <w:sz w:val="20"/>
                <w:szCs w:val="20"/>
              </w:rPr>
              <w:t xml:space="preserve">  </w:t>
            </w:r>
            <w:r>
              <w:rPr>
                <w:spacing w:val="-7"/>
                <w:sz w:val="20"/>
                <w:szCs w:val="20"/>
              </w:rPr>
              <w:t>染物不能稳定达标的工业炉窑，限期整改，</w:t>
            </w:r>
            <w:r>
              <w:rPr>
                <w:spacing w:val="16"/>
                <w:sz w:val="20"/>
                <w:szCs w:val="20"/>
              </w:rPr>
              <w:t xml:space="preserve"> </w:t>
            </w:r>
            <w:r>
              <w:rPr>
                <w:spacing w:val="-2"/>
                <w:sz w:val="20"/>
                <w:szCs w:val="20"/>
              </w:rPr>
              <w:t>经整改仍无法达标的，依法报经有批准权</w:t>
            </w:r>
            <w:r>
              <w:rPr>
                <w:sz w:val="20"/>
                <w:szCs w:val="20"/>
              </w:rPr>
              <w:t xml:space="preserve">  </w:t>
            </w:r>
            <w:r>
              <w:rPr>
                <w:spacing w:val="-14"/>
                <w:sz w:val="20"/>
                <w:szCs w:val="20"/>
              </w:rPr>
              <w:t>的人民政府批准，责令停业、关闭。</w:t>
            </w:r>
            <w:r>
              <w:rPr>
                <w:spacing w:val="60"/>
                <w:sz w:val="20"/>
                <w:szCs w:val="20"/>
              </w:rPr>
              <w:t xml:space="preserve"> </w:t>
            </w:r>
            <w:r>
              <w:rPr>
                <w:spacing w:val="-14"/>
                <w:sz w:val="20"/>
                <w:szCs w:val="20"/>
              </w:rPr>
              <w:t>(经济</w:t>
            </w:r>
            <w:r>
              <w:rPr>
                <w:sz w:val="20"/>
                <w:szCs w:val="20"/>
              </w:rPr>
              <w:t xml:space="preserve">  </w:t>
            </w:r>
            <w:r>
              <w:rPr>
                <w:spacing w:val="-6"/>
                <w:sz w:val="20"/>
                <w:szCs w:val="20"/>
              </w:rPr>
              <w:t>和信息化厅、生态环境厅按职责分工负责)</w:t>
            </w:r>
          </w:p>
        </w:tc>
        <w:tc>
          <w:tcPr>
            <w:tcW w:w="2288" w:type="dxa"/>
            <w:vAlign w:val="top"/>
          </w:tcPr>
          <w:p w14:paraId="5AB7CD51">
            <w:pPr>
              <w:pStyle w:val="6"/>
              <w:spacing w:before="160" w:line="219" w:lineRule="auto"/>
              <w:ind w:left="88"/>
              <w:rPr>
                <w:sz w:val="20"/>
                <w:szCs w:val="20"/>
              </w:rPr>
            </w:pPr>
            <w:r>
              <w:rPr>
                <w:spacing w:val="-4"/>
                <w:sz w:val="20"/>
                <w:szCs w:val="20"/>
              </w:rPr>
              <w:t>本项目热风炉不属于《产</w:t>
            </w:r>
          </w:p>
          <w:p w14:paraId="08366B7B">
            <w:pPr>
              <w:pStyle w:val="6"/>
              <w:spacing w:before="21" w:line="221" w:lineRule="auto"/>
              <w:ind w:left="265"/>
              <w:rPr>
                <w:sz w:val="20"/>
                <w:szCs w:val="20"/>
              </w:rPr>
            </w:pPr>
            <w:r>
              <w:rPr>
                <w:spacing w:val="-1"/>
                <w:sz w:val="20"/>
                <w:szCs w:val="20"/>
              </w:rPr>
              <w:t>业结构调整指导目录</w:t>
            </w:r>
          </w:p>
          <w:p w14:paraId="7D6E6A77">
            <w:pPr>
              <w:pStyle w:val="6"/>
              <w:spacing w:before="20" w:line="219" w:lineRule="auto"/>
              <w:ind w:left="93"/>
              <w:rPr>
                <w:sz w:val="20"/>
                <w:szCs w:val="20"/>
              </w:rPr>
            </w:pPr>
            <w:r>
              <w:rPr>
                <w:spacing w:val="-4"/>
                <w:sz w:val="20"/>
                <w:szCs w:val="20"/>
              </w:rPr>
              <w:t>（2024年本）》中的限制</w:t>
            </w:r>
          </w:p>
          <w:p w14:paraId="6A409A3C">
            <w:pPr>
              <w:pStyle w:val="6"/>
              <w:spacing w:before="21" w:line="220" w:lineRule="auto"/>
              <w:ind w:left="88"/>
              <w:rPr>
                <w:sz w:val="20"/>
                <w:szCs w:val="20"/>
              </w:rPr>
            </w:pPr>
            <w:r>
              <w:rPr>
                <w:spacing w:val="-5"/>
                <w:sz w:val="20"/>
                <w:szCs w:val="20"/>
              </w:rPr>
              <w:t>和淘汰类设备，该热风炉</w:t>
            </w:r>
          </w:p>
          <w:p w14:paraId="3C5AF814">
            <w:pPr>
              <w:pStyle w:val="6"/>
              <w:spacing w:before="22" w:line="220" w:lineRule="auto"/>
              <w:ind w:left="91"/>
              <w:rPr>
                <w:sz w:val="20"/>
                <w:szCs w:val="20"/>
              </w:rPr>
            </w:pPr>
            <w:r>
              <w:rPr>
                <w:spacing w:val="-5"/>
                <w:sz w:val="20"/>
                <w:szCs w:val="20"/>
              </w:rPr>
              <w:t>热效率较高、属于封闭式</w:t>
            </w:r>
          </w:p>
          <w:p w14:paraId="0E75E2C7">
            <w:pPr>
              <w:pStyle w:val="6"/>
              <w:spacing w:before="21" w:line="219" w:lineRule="auto"/>
              <w:ind w:left="91"/>
              <w:rPr>
                <w:sz w:val="20"/>
                <w:szCs w:val="20"/>
              </w:rPr>
            </w:pPr>
            <w:r>
              <w:rPr>
                <w:spacing w:val="-5"/>
                <w:sz w:val="20"/>
                <w:szCs w:val="20"/>
              </w:rPr>
              <w:t>热风炉，热烟气进入烘干</w:t>
            </w:r>
          </w:p>
          <w:p w14:paraId="45595B16">
            <w:pPr>
              <w:pStyle w:val="6"/>
              <w:spacing w:before="22" w:line="219" w:lineRule="auto"/>
              <w:ind w:left="87"/>
              <w:rPr>
                <w:sz w:val="20"/>
                <w:szCs w:val="20"/>
              </w:rPr>
            </w:pPr>
            <w:r>
              <w:rPr>
                <w:spacing w:val="-5"/>
                <w:sz w:val="20"/>
                <w:szCs w:val="20"/>
              </w:rPr>
              <w:t>机进行热能利用后，再讲</w:t>
            </w:r>
          </w:p>
          <w:p w14:paraId="2F4C4E83">
            <w:pPr>
              <w:pStyle w:val="6"/>
              <w:spacing w:before="22" w:line="218" w:lineRule="auto"/>
              <w:ind w:left="118"/>
              <w:rPr>
                <w:sz w:val="20"/>
                <w:szCs w:val="20"/>
              </w:rPr>
            </w:pPr>
            <w:r>
              <w:rPr>
                <w:spacing w:val="-1"/>
                <w:sz w:val="20"/>
                <w:szCs w:val="20"/>
              </w:rPr>
              <w:t>旋风除尘+喷淋塔除尘后</w:t>
            </w:r>
          </w:p>
          <w:p w14:paraId="55ED5154">
            <w:pPr>
              <w:pStyle w:val="6"/>
              <w:spacing w:before="22" w:line="221" w:lineRule="auto"/>
              <w:ind w:left="87"/>
              <w:rPr>
                <w:sz w:val="20"/>
                <w:szCs w:val="20"/>
              </w:rPr>
            </w:pPr>
            <w:r>
              <w:rPr>
                <w:spacing w:val="-5"/>
                <w:sz w:val="20"/>
                <w:szCs w:val="20"/>
              </w:rPr>
              <w:t>达标排放，属有组织排放</w:t>
            </w:r>
          </w:p>
          <w:p w14:paraId="3A0DF0D6">
            <w:pPr>
              <w:pStyle w:val="6"/>
              <w:spacing w:before="20" w:line="221" w:lineRule="auto"/>
              <w:ind w:left="266"/>
              <w:rPr>
                <w:sz w:val="20"/>
                <w:szCs w:val="20"/>
              </w:rPr>
            </w:pPr>
            <w:r>
              <w:rPr>
                <w:spacing w:val="-1"/>
                <w:sz w:val="20"/>
                <w:szCs w:val="20"/>
              </w:rPr>
              <w:t>且不涉及无组织排放</w:t>
            </w:r>
          </w:p>
        </w:tc>
        <w:tc>
          <w:tcPr>
            <w:tcW w:w="938" w:type="dxa"/>
            <w:vAlign w:val="top"/>
          </w:tcPr>
          <w:p w14:paraId="2A409763">
            <w:pPr>
              <w:spacing w:line="251" w:lineRule="auto"/>
              <w:rPr>
                <w:rFonts w:ascii="Arial"/>
                <w:sz w:val="21"/>
              </w:rPr>
            </w:pPr>
          </w:p>
          <w:p w14:paraId="6D27605D">
            <w:pPr>
              <w:spacing w:line="251" w:lineRule="auto"/>
              <w:rPr>
                <w:rFonts w:ascii="Arial"/>
                <w:sz w:val="21"/>
              </w:rPr>
            </w:pPr>
          </w:p>
          <w:p w14:paraId="3551C66B">
            <w:pPr>
              <w:spacing w:line="251" w:lineRule="auto"/>
              <w:rPr>
                <w:rFonts w:ascii="Arial"/>
                <w:sz w:val="21"/>
              </w:rPr>
            </w:pPr>
          </w:p>
          <w:p w14:paraId="48A0DA75">
            <w:pPr>
              <w:spacing w:line="251" w:lineRule="auto"/>
              <w:rPr>
                <w:rFonts w:ascii="Arial"/>
                <w:sz w:val="21"/>
              </w:rPr>
            </w:pPr>
          </w:p>
          <w:p w14:paraId="5F5BD6B8">
            <w:pPr>
              <w:spacing w:line="251" w:lineRule="auto"/>
              <w:rPr>
                <w:rFonts w:ascii="Arial"/>
                <w:sz w:val="21"/>
              </w:rPr>
            </w:pPr>
          </w:p>
          <w:p w14:paraId="7266C4CC">
            <w:pPr>
              <w:pStyle w:val="6"/>
              <w:spacing w:before="65" w:line="220" w:lineRule="auto"/>
              <w:ind w:left="243"/>
              <w:rPr>
                <w:sz w:val="20"/>
                <w:szCs w:val="20"/>
              </w:rPr>
            </w:pPr>
            <w:r>
              <w:rPr>
                <w:spacing w:val="-3"/>
                <w:sz w:val="20"/>
                <w:szCs w:val="20"/>
              </w:rPr>
              <w:t>符合</w:t>
            </w:r>
          </w:p>
        </w:tc>
      </w:tr>
      <w:tr w14:paraId="66FF0C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9" w:hRule="atLeast"/>
        </w:trPr>
        <w:tc>
          <w:tcPr>
            <w:tcW w:w="1334" w:type="dxa"/>
            <w:vMerge w:val="continue"/>
            <w:tcBorders>
              <w:top w:val="nil"/>
              <w:bottom w:val="nil"/>
            </w:tcBorders>
            <w:vAlign w:val="top"/>
          </w:tcPr>
          <w:p w14:paraId="0BC242CB">
            <w:pPr>
              <w:rPr>
                <w:rFonts w:ascii="Arial"/>
                <w:sz w:val="21"/>
              </w:rPr>
            </w:pPr>
          </w:p>
        </w:tc>
        <w:tc>
          <w:tcPr>
            <w:tcW w:w="539" w:type="dxa"/>
            <w:vAlign w:val="top"/>
          </w:tcPr>
          <w:p w14:paraId="1AA85CC3">
            <w:pPr>
              <w:spacing w:line="289" w:lineRule="auto"/>
              <w:rPr>
                <w:rFonts w:ascii="Arial"/>
                <w:sz w:val="21"/>
              </w:rPr>
            </w:pPr>
          </w:p>
          <w:p w14:paraId="01CF7388">
            <w:pPr>
              <w:spacing w:line="290" w:lineRule="auto"/>
              <w:rPr>
                <w:rFonts w:ascii="Arial"/>
                <w:sz w:val="21"/>
              </w:rPr>
            </w:pPr>
          </w:p>
          <w:p w14:paraId="3E3D2F0E">
            <w:pPr>
              <w:spacing w:line="290" w:lineRule="auto"/>
              <w:rPr>
                <w:rFonts w:ascii="Arial"/>
                <w:sz w:val="21"/>
              </w:rPr>
            </w:pPr>
          </w:p>
          <w:p w14:paraId="547A8975">
            <w:pPr>
              <w:pStyle w:val="6"/>
              <w:spacing w:before="65"/>
              <w:ind w:left="284"/>
              <w:rPr>
                <w:sz w:val="20"/>
                <w:szCs w:val="20"/>
              </w:rPr>
            </w:pPr>
            <w:r>
              <w:rPr>
                <w:sz w:val="20"/>
                <w:szCs w:val="20"/>
              </w:rPr>
              <w:t>3</w:t>
            </w:r>
          </w:p>
        </w:tc>
        <w:tc>
          <w:tcPr>
            <w:tcW w:w="3804" w:type="dxa"/>
            <w:vAlign w:val="top"/>
          </w:tcPr>
          <w:p w14:paraId="316FB381">
            <w:pPr>
              <w:pStyle w:val="6"/>
              <w:spacing w:before="29"/>
              <w:ind w:left="138" w:firstLine="7"/>
              <w:jc w:val="both"/>
              <w:rPr>
                <w:sz w:val="20"/>
                <w:szCs w:val="20"/>
              </w:rPr>
            </w:pPr>
            <w:r>
              <w:rPr>
                <w:spacing w:val="-4"/>
                <w:sz w:val="20"/>
                <w:szCs w:val="20"/>
              </w:rPr>
              <w:t>推进清洁能源替代。对以煤、石油焦、渣</w:t>
            </w:r>
            <w:r>
              <w:rPr>
                <w:spacing w:val="7"/>
                <w:sz w:val="20"/>
                <w:szCs w:val="20"/>
              </w:rPr>
              <w:t xml:space="preserve">  </w:t>
            </w:r>
            <w:r>
              <w:rPr>
                <w:spacing w:val="-3"/>
                <w:sz w:val="20"/>
                <w:szCs w:val="20"/>
              </w:rPr>
              <w:t>油、重油等为燃料的工业炉窑，加快使用</w:t>
            </w:r>
            <w:r>
              <w:rPr>
                <w:spacing w:val="7"/>
                <w:sz w:val="20"/>
                <w:szCs w:val="20"/>
              </w:rPr>
              <w:t xml:space="preserve">  </w:t>
            </w:r>
            <w:r>
              <w:rPr>
                <w:spacing w:val="-8"/>
                <w:sz w:val="20"/>
                <w:szCs w:val="20"/>
              </w:rPr>
              <w:t>电、天然气等清洁能源以及利用工厂余热、</w:t>
            </w:r>
            <w:r>
              <w:rPr>
                <w:spacing w:val="11"/>
                <w:sz w:val="20"/>
                <w:szCs w:val="20"/>
              </w:rPr>
              <w:t xml:space="preserve"> </w:t>
            </w:r>
            <w:r>
              <w:rPr>
                <w:spacing w:val="-3"/>
                <w:sz w:val="20"/>
                <w:szCs w:val="20"/>
              </w:rPr>
              <w:t>电厂热力等进行替代。玻璃行业全面禁止</w:t>
            </w:r>
            <w:r>
              <w:rPr>
                <w:spacing w:val="7"/>
                <w:sz w:val="20"/>
                <w:szCs w:val="20"/>
              </w:rPr>
              <w:t xml:space="preserve">  </w:t>
            </w:r>
            <w:r>
              <w:rPr>
                <w:spacing w:val="-2"/>
                <w:sz w:val="20"/>
                <w:szCs w:val="20"/>
              </w:rPr>
              <w:t>掺烧高硫石油焦(硫含量大于3%)。加快推</w:t>
            </w:r>
            <w:r>
              <w:rPr>
                <w:sz w:val="20"/>
                <w:szCs w:val="20"/>
              </w:rPr>
              <w:t xml:space="preserve">  动铸造(10吨/小时及以下)岩棉等行业冲</w:t>
            </w:r>
          </w:p>
          <w:p w14:paraId="416623FB">
            <w:pPr>
              <w:pStyle w:val="6"/>
              <w:spacing w:line="219" w:lineRule="auto"/>
              <w:jc w:val="right"/>
              <w:rPr>
                <w:sz w:val="20"/>
                <w:szCs w:val="20"/>
              </w:rPr>
            </w:pPr>
            <w:r>
              <w:rPr>
                <w:spacing w:val="-12"/>
                <w:sz w:val="20"/>
                <w:szCs w:val="20"/>
              </w:rPr>
              <w:t>天炉改为电炉。(省发展改革委、省能源局、</w:t>
            </w:r>
          </w:p>
          <w:p w14:paraId="6FE21FB6">
            <w:pPr>
              <w:pStyle w:val="6"/>
              <w:spacing w:before="20" w:line="204" w:lineRule="auto"/>
              <w:ind w:left="497"/>
              <w:rPr>
                <w:sz w:val="20"/>
                <w:szCs w:val="20"/>
              </w:rPr>
            </w:pPr>
            <w:r>
              <w:rPr>
                <w:spacing w:val="-1"/>
                <w:sz w:val="20"/>
                <w:szCs w:val="20"/>
              </w:rPr>
              <w:t>经济和信息化厅按职责分工负责)</w:t>
            </w:r>
          </w:p>
        </w:tc>
        <w:tc>
          <w:tcPr>
            <w:tcW w:w="2288" w:type="dxa"/>
            <w:vAlign w:val="top"/>
          </w:tcPr>
          <w:p w14:paraId="7C9AE7C6">
            <w:pPr>
              <w:pStyle w:val="6"/>
              <w:spacing w:before="32" w:line="219" w:lineRule="auto"/>
              <w:ind w:left="166"/>
              <w:rPr>
                <w:sz w:val="20"/>
                <w:szCs w:val="20"/>
              </w:rPr>
            </w:pPr>
            <w:r>
              <w:rPr>
                <w:spacing w:val="-1"/>
                <w:sz w:val="20"/>
                <w:szCs w:val="20"/>
              </w:rPr>
              <w:t>本项目位于通川区东岳</w:t>
            </w:r>
          </w:p>
          <w:p w14:paraId="4DB7537B">
            <w:pPr>
              <w:pStyle w:val="6"/>
              <w:spacing w:before="22" w:line="220" w:lineRule="auto"/>
              <w:ind w:left="88"/>
              <w:rPr>
                <w:sz w:val="20"/>
                <w:szCs w:val="20"/>
              </w:rPr>
            </w:pPr>
            <w:r>
              <w:rPr>
                <w:spacing w:val="-5"/>
                <w:sz w:val="20"/>
                <w:szCs w:val="20"/>
              </w:rPr>
              <w:t>新型工业集聚区，不属于</w:t>
            </w:r>
          </w:p>
          <w:p w14:paraId="52F5218D">
            <w:pPr>
              <w:pStyle w:val="6"/>
              <w:spacing w:before="20" w:line="220" w:lineRule="auto"/>
              <w:ind w:left="167"/>
              <w:rPr>
                <w:sz w:val="20"/>
                <w:szCs w:val="20"/>
              </w:rPr>
            </w:pPr>
            <w:r>
              <w:rPr>
                <w:spacing w:val="-1"/>
                <w:sz w:val="20"/>
                <w:szCs w:val="20"/>
              </w:rPr>
              <w:t>文件规定的重点区域范</w:t>
            </w:r>
          </w:p>
          <w:p w14:paraId="69D9D276">
            <w:pPr>
              <w:pStyle w:val="6"/>
              <w:spacing w:before="21" w:line="219" w:lineRule="auto"/>
              <w:ind w:left="105"/>
              <w:rPr>
                <w:sz w:val="20"/>
                <w:szCs w:val="20"/>
              </w:rPr>
            </w:pPr>
            <w:r>
              <w:rPr>
                <w:spacing w:val="-7"/>
                <w:sz w:val="20"/>
                <w:szCs w:val="20"/>
              </w:rPr>
              <w:t>围。本项目热风炉以生物</w:t>
            </w:r>
          </w:p>
          <w:p w14:paraId="29CF0982">
            <w:pPr>
              <w:pStyle w:val="6"/>
              <w:spacing w:before="21" w:line="221" w:lineRule="auto"/>
              <w:ind w:left="88"/>
              <w:rPr>
                <w:sz w:val="20"/>
                <w:szCs w:val="20"/>
              </w:rPr>
            </w:pPr>
            <w:r>
              <w:rPr>
                <w:spacing w:val="-5"/>
                <w:sz w:val="20"/>
                <w:szCs w:val="20"/>
              </w:rPr>
              <w:t>质成型燃料为燃料，也属</w:t>
            </w:r>
          </w:p>
          <w:p w14:paraId="09EA143B">
            <w:pPr>
              <w:pStyle w:val="6"/>
              <w:spacing w:before="21" w:line="220" w:lineRule="auto"/>
              <w:ind w:left="91"/>
              <w:rPr>
                <w:sz w:val="20"/>
                <w:szCs w:val="20"/>
              </w:rPr>
            </w:pPr>
            <w:r>
              <w:rPr>
                <w:spacing w:val="-5"/>
                <w:sz w:val="20"/>
                <w:szCs w:val="20"/>
              </w:rPr>
              <w:t>于清洁能源，不涉及使用</w:t>
            </w:r>
          </w:p>
          <w:p w14:paraId="653BCDF2">
            <w:pPr>
              <w:pStyle w:val="6"/>
              <w:spacing w:before="21" w:line="220" w:lineRule="auto"/>
              <w:ind w:left="166"/>
              <w:rPr>
                <w:sz w:val="20"/>
                <w:szCs w:val="20"/>
              </w:rPr>
            </w:pPr>
            <w:r>
              <w:rPr>
                <w:spacing w:val="-1"/>
                <w:sz w:val="20"/>
                <w:szCs w:val="20"/>
              </w:rPr>
              <w:t>燃煤或者其他高污染燃</w:t>
            </w:r>
          </w:p>
          <w:p w14:paraId="438F45C0">
            <w:pPr>
              <w:pStyle w:val="6"/>
              <w:spacing w:before="20" w:line="204" w:lineRule="auto"/>
              <w:ind w:left="1066"/>
              <w:rPr>
                <w:sz w:val="20"/>
                <w:szCs w:val="20"/>
              </w:rPr>
            </w:pPr>
            <w:r>
              <w:rPr>
                <w:sz w:val="20"/>
                <w:szCs w:val="20"/>
              </w:rPr>
              <w:t>料</w:t>
            </w:r>
          </w:p>
        </w:tc>
        <w:tc>
          <w:tcPr>
            <w:tcW w:w="938" w:type="dxa"/>
            <w:vAlign w:val="top"/>
          </w:tcPr>
          <w:p w14:paraId="7D9FA879">
            <w:pPr>
              <w:spacing w:line="289" w:lineRule="auto"/>
              <w:rPr>
                <w:rFonts w:ascii="Arial"/>
                <w:sz w:val="21"/>
              </w:rPr>
            </w:pPr>
          </w:p>
          <w:p w14:paraId="7BF0E9D9">
            <w:pPr>
              <w:spacing w:line="290" w:lineRule="auto"/>
              <w:rPr>
                <w:rFonts w:ascii="Arial"/>
                <w:sz w:val="21"/>
              </w:rPr>
            </w:pPr>
          </w:p>
          <w:p w14:paraId="776F2FC4">
            <w:pPr>
              <w:spacing w:line="290" w:lineRule="auto"/>
              <w:rPr>
                <w:rFonts w:ascii="Arial"/>
                <w:sz w:val="21"/>
              </w:rPr>
            </w:pPr>
          </w:p>
          <w:p w14:paraId="7F340AD8">
            <w:pPr>
              <w:pStyle w:val="6"/>
              <w:spacing w:before="65" w:line="220" w:lineRule="auto"/>
              <w:ind w:left="243"/>
              <w:rPr>
                <w:sz w:val="20"/>
                <w:szCs w:val="20"/>
              </w:rPr>
            </w:pPr>
            <w:r>
              <w:rPr>
                <w:spacing w:val="-3"/>
                <w:sz w:val="20"/>
                <w:szCs w:val="20"/>
              </w:rPr>
              <w:t>符合</w:t>
            </w:r>
          </w:p>
        </w:tc>
      </w:tr>
      <w:tr w14:paraId="43C01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7" w:hRule="atLeast"/>
        </w:trPr>
        <w:tc>
          <w:tcPr>
            <w:tcW w:w="1334" w:type="dxa"/>
            <w:vMerge w:val="continue"/>
            <w:tcBorders>
              <w:top w:val="nil"/>
              <w:bottom w:val="nil"/>
            </w:tcBorders>
            <w:vAlign w:val="top"/>
          </w:tcPr>
          <w:p w14:paraId="316976C6">
            <w:pPr>
              <w:rPr>
                <w:rFonts w:ascii="Arial"/>
                <w:sz w:val="21"/>
              </w:rPr>
            </w:pPr>
          </w:p>
        </w:tc>
        <w:tc>
          <w:tcPr>
            <w:tcW w:w="539" w:type="dxa"/>
            <w:vAlign w:val="top"/>
          </w:tcPr>
          <w:p w14:paraId="2FE20C49">
            <w:pPr>
              <w:spacing w:line="251" w:lineRule="auto"/>
              <w:rPr>
                <w:rFonts w:ascii="Arial"/>
                <w:sz w:val="21"/>
              </w:rPr>
            </w:pPr>
          </w:p>
          <w:p w14:paraId="2517551D">
            <w:pPr>
              <w:spacing w:line="251" w:lineRule="auto"/>
              <w:rPr>
                <w:rFonts w:ascii="Arial"/>
                <w:sz w:val="21"/>
              </w:rPr>
            </w:pPr>
          </w:p>
          <w:p w14:paraId="6AEA23B9">
            <w:pPr>
              <w:spacing w:line="251" w:lineRule="auto"/>
              <w:rPr>
                <w:rFonts w:ascii="Arial"/>
                <w:sz w:val="21"/>
              </w:rPr>
            </w:pPr>
          </w:p>
          <w:p w14:paraId="2B64509F">
            <w:pPr>
              <w:spacing w:line="251" w:lineRule="auto"/>
              <w:rPr>
                <w:rFonts w:ascii="Arial"/>
                <w:sz w:val="21"/>
              </w:rPr>
            </w:pPr>
          </w:p>
          <w:p w14:paraId="26550A24">
            <w:pPr>
              <w:spacing w:line="252" w:lineRule="auto"/>
              <w:rPr>
                <w:rFonts w:ascii="Arial"/>
                <w:sz w:val="21"/>
              </w:rPr>
            </w:pPr>
          </w:p>
          <w:p w14:paraId="65011D7C">
            <w:pPr>
              <w:pStyle w:val="6"/>
              <w:spacing w:before="65" w:line="242" w:lineRule="auto"/>
              <w:ind w:left="280"/>
              <w:rPr>
                <w:sz w:val="20"/>
                <w:szCs w:val="20"/>
              </w:rPr>
            </w:pPr>
            <w:r>
              <w:rPr>
                <w:sz w:val="20"/>
                <w:szCs w:val="20"/>
              </w:rPr>
              <w:t>4</w:t>
            </w:r>
          </w:p>
        </w:tc>
        <w:tc>
          <w:tcPr>
            <w:tcW w:w="3804" w:type="dxa"/>
            <w:vAlign w:val="top"/>
          </w:tcPr>
          <w:p w14:paraId="6282B6CC">
            <w:pPr>
              <w:spacing w:line="306" w:lineRule="auto"/>
              <w:rPr>
                <w:rFonts w:ascii="Arial"/>
                <w:sz w:val="21"/>
              </w:rPr>
            </w:pPr>
          </w:p>
          <w:p w14:paraId="5CCEA4BF">
            <w:pPr>
              <w:spacing w:line="307" w:lineRule="auto"/>
              <w:rPr>
                <w:rFonts w:ascii="Arial"/>
                <w:sz w:val="21"/>
              </w:rPr>
            </w:pPr>
          </w:p>
          <w:p w14:paraId="6395EF7A">
            <w:pPr>
              <w:pStyle w:val="6"/>
              <w:spacing w:before="65" w:line="221" w:lineRule="auto"/>
              <w:ind w:left="146"/>
              <w:rPr>
                <w:sz w:val="20"/>
                <w:szCs w:val="20"/>
              </w:rPr>
            </w:pPr>
            <w:r>
              <w:rPr>
                <w:spacing w:val="-1"/>
                <w:sz w:val="20"/>
                <w:szCs w:val="20"/>
              </w:rPr>
              <w:t>推进工业炉窑全面达标排放。已有行业排</w:t>
            </w:r>
          </w:p>
          <w:p w14:paraId="78B8A56D">
            <w:pPr>
              <w:pStyle w:val="6"/>
              <w:spacing w:before="20" w:line="220" w:lineRule="auto"/>
              <w:ind w:left="146"/>
              <w:rPr>
                <w:sz w:val="20"/>
                <w:szCs w:val="20"/>
              </w:rPr>
            </w:pPr>
            <w:r>
              <w:rPr>
                <w:spacing w:val="-1"/>
                <w:sz w:val="20"/>
                <w:szCs w:val="20"/>
              </w:rPr>
              <w:t>放标准的工业炉窑，要严格执行相关行业</w:t>
            </w:r>
          </w:p>
          <w:p w14:paraId="1A75519D">
            <w:pPr>
              <w:pStyle w:val="6"/>
              <w:spacing w:before="21" w:line="219" w:lineRule="auto"/>
              <w:ind w:left="115"/>
              <w:rPr>
                <w:sz w:val="20"/>
                <w:szCs w:val="20"/>
              </w:rPr>
            </w:pPr>
            <w:r>
              <w:rPr>
                <w:spacing w:val="-3"/>
                <w:sz w:val="20"/>
                <w:szCs w:val="20"/>
              </w:rPr>
              <w:t>排放标准(见附件2)，配套建设高效除尘脱</w:t>
            </w:r>
          </w:p>
          <w:p w14:paraId="38A16609">
            <w:pPr>
              <w:pStyle w:val="6"/>
              <w:spacing w:before="21" w:line="219" w:lineRule="auto"/>
              <w:ind w:left="194"/>
              <w:rPr>
                <w:sz w:val="20"/>
                <w:szCs w:val="20"/>
              </w:rPr>
            </w:pPr>
            <w:r>
              <w:rPr>
                <w:spacing w:val="-1"/>
                <w:sz w:val="20"/>
                <w:szCs w:val="20"/>
              </w:rPr>
              <w:t>硫脱硝设施(见附件3)，确保稳定达标排</w:t>
            </w:r>
          </w:p>
          <w:p w14:paraId="17ACE7D6">
            <w:pPr>
              <w:pStyle w:val="6"/>
              <w:spacing w:before="21" w:line="220" w:lineRule="auto"/>
              <w:ind w:left="146"/>
              <w:rPr>
                <w:sz w:val="20"/>
                <w:szCs w:val="20"/>
              </w:rPr>
            </w:pPr>
            <w:r>
              <w:rPr>
                <w:spacing w:val="-1"/>
                <w:sz w:val="20"/>
                <w:szCs w:val="20"/>
              </w:rPr>
              <w:t>放。有排污许可证的，应严格执行许可要</w:t>
            </w:r>
          </w:p>
          <w:p w14:paraId="6E8390C8">
            <w:pPr>
              <w:pStyle w:val="6"/>
              <w:spacing w:before="21" w:line="221" w:lineRule="auto"/>
              <w:ind w:left="1747"/>
              <w:rPr>
                <w:sz w:val="20"/>
                <w:szCs w:val="20"/>
              </w:rPr>
            </w:pPr>
            <w:r>
              <w:rPr>
                <w:spacing w:val="-10"/>
                <w:sz w:val="20"/>
                <w:szCs w:val="20"/>
              </w:rPr>
              <w:t>求。</w:t>
            </w:r>
          </w:p>
        </w:tc>
        <w:tc>
          <w:tcPr>
            <w:tcW w:w="2288" w:type="dxa"/>
            <w:vAlign w:val="top"/>
          </w:tcPr>
          <w:p w14:paraId="0A25124E">
            <w:pPr>
              <w:pStyle w:val="6"/>
              <w:spacing w:before="33" w:line="219" w:lineRule="auto"/>
              <w:ind w:left="166"/>
              <w:rPr>
                <w:sz w:val="20"/>
                <w:szCs w:val="20"/>
              </w:rPr>
            </w:pPr>
            <w:r>
              <w:rPr>
                <w:spacing w:val="-1"/>
                <w:sz w:val="20"/>
                <w:szCs w:val="20"/>
              </w:rPr>
              <w:t>本项目属于生物质成型</w:t>
            </w:r>
          </w:p>
          <w:p w14:paraId="338CE484">
            <w:pPr>
              <w:pStyle w:val="6"/>
              <w:spacing w:before="23" w:line="219" w:lineRule="auto"/>
              <w:ind w:left="88"/>
              <w:rPr>
                <w:sz w:val="20"/>
                <w:szCs w:val="20"/>
              </w:rPr>
            </w:pPr>
            <w:r>
              <w:rPr>
                <w:spacing w:val="-5"/>
                <w:sz w:val="20"/>
                <w:szCs w:val="20"/>
              </w:rPr>
              <w:t>燃料行业，该行业未发布</w:t>
            </w:r>
          </w:p>
          <w:p w14:paraId="2250A20A">
            <w:pPr>
              <w:pStyle w:val="6"/>
              <w:spacing w:before="21" w:line="221" w:lineRule="auto"/>
              <w:ind w:left="165"/>
              <w:rPr>
                <w:sz w:val="20"/>
                <w:szCs w:val="20"/>
              </w:rPr>
            </w:pPr>
            <w:r>
              <w:rPr>
                <w:spacing w:val="-1"/>
                <w:sz w:val="20"/>
                <w:szCs w:val="20"/>
              </w:rPr>
              <w:t>针对工业炉窑的排放标</w:t>
            </w:r>
          </w:p>
          <w:p w14:paraId="511E985D">
            <w:pPr>
              <w:pStyle w:val="6"/>
              <w:spacing w:before="20" w:line="220" w:lineRule="auto"/>
              <w:ind w:left="89"/>
              <w:rPr>
                <w:sz w:val="20"/>
                <w:szCs w:val="20"/>
              </w:rPr>
            </w:pPr>
            <w:r>
              <w:rPr>
                <w:spacing w:val="-5"/>
                <w:sz w:val="20"/>
                <w:szCs w:val="20"/>
              </w:rPr>
              <w:t>准。四川省工业炉密大气</w:t>
            </w:r>
          </w:p>
          <w:p w14:paraId="4F0964A9">
            <w:pPr>
              <w:pStyle w:val="6"/>
              <w:spacing w:before="20" w:line="221" w:lineRule="auto"/>
              <w:ind w:left="167"/>
              <w:rPr>
                <w:sz w:val="20"/>
                <w:szCs w:val="20"/>
              </w:rPr>
            </w:pPr>
            <w:r>
              <w:rPr>
                <w:spacing w:val="-1"/>
                <w:sz w:val="20"/>
                <w:szCs w:val="20"/>
              </w:rPr>
              <w:t>污染物排放标准目前处</w:t>
            </w:r>
          </w:p>
          <w:p w14:paraId="24BC91B7">
            <w:pPr>
              <w:pStyle w:val="6"/>
              <w:spacing w:before="20" w:line="220" w:lineRule="auto"/>
              <w:ind w:left="91"/>
              <w:rPr>
                <w:sz w:val="20"/>
                <w:szCs w:val="20"/>
              </w:rPr>
            </w:pPr>
            <w:r>
              <w:rPr>
                <w:spacing w:val="-5"/>
                <w:sz w:val="20"/>
                <w:szCs w:val="20"/>
              </w:rPr>
              <w:t>于征求意见阶段，尚未正</w:t>
            </w:r>
          </w:p>
          <w:p w14:paraId="48105191">
            <w:pPr>
              <w:pStyle w:val="6"/>
              <w:spacing w:before="21" w:line="219" w:lineRule="auto"/>
              <w:ind w:left="91"/>
              <w:rPr>
                <w:sz w:val="20"/>
                <w:szCs w:val="20"/>
              </w:rPr>
            </w:pPr>
            <w:r>
              <w:rPr>
                <w:spacing w:val="-13"/>
                <w:sz w:val="20"/>
                <w:szCs w:val="20"/>
              </w:rPr>
              <w:t>式发布实施。因此， 本项</w:t>
            </w:r>
          </w:p>
          <w:p w14:paraId="05E8F8CA">
            <w:pPr>
              <w:pStyle w:val="6"/>
              <w:spacing w:before="21" w:line="220" w:lineRule="auto"/>
              <w:ind w:left="204"/>
              <w:rPr>
                <w:sz w:val="20"/>
                <w:szCs w:val="20"/>
              </w:rPr>
            </w:pPr>
            <w:r>
              <w:rPr>
                <w:spacing w:val="-5"/>
                <w:sz w:val="20"/>
                <w:szCs w:val="20"/>
              </w:rPr>
              <w:t>目工业炉窑废气参照执</w:t>
            </w:r>
          </w:p>
          <w:p w14:paraId="69E9FA0B">
            <w:pPr>
              <w:pStyle w:val="6"/>
              <w:spacing w:before="22" w:line="221" w:lineRule="auto"/>
              <w:ind w:left="91"/>
              <w:rPr>
                <w:sz w:val="20"/>
                <w:szCs w:val="20"/>
              </w:rPr>
            </w:pPr>
            <w:r>
              <w:rPr>
                <w:spacing w:val="-5"/>
                <w:sz w:val="20"/>
                <w:szCs w:val="20"/>
              </w:rPr>
              <w:t>行《大气污染物综合排放</w:t>
            </w:r>
          </w:p>
          <w:p w14:paraId="41730E04">
            <w:pPr>
              <w:pStyle w:val="6"/>
              <w:spacing w:before="19" w:line="221" w:lineRule="auto"/>
              <w:jc w:val="right"/>
              <w:rPr>
                <w:sz w:val="20"/>
                <w:szCs w:val="20"/>
              </w:rPr>
            </w:pPr>
            <w:r>
              <w:rPr>
                <w:spacing w:val="-6"/>
                <w:sz w:val="20"/>
                <w:szCs w:val="20"/>
              </w:rPr>
              <w:t>标准》（GB16297--1996）</w:t>
            </w:r>
          </w:p>
          <w:p w14:paraId="65895DDD">
            <w:pPr>
              <w:pStyle w:val="6"/>
              <w:spacing w:before="20" w:line="203" w:lineRule="auto"/>
              <w:ind w:left="883"/>
              <w:rPr>
                <w:sz w:val="20"/>
                <w:szCs w:val="20"/>
              </w:rPr>
            </w:pPr>
            <w:r>
              <w:rPr>
                <w:spacing w:val="-6"/>
                <w:sz w:val="20"/>
                <w:szCs w:val="20"/>
              </w:rPr>
              <w:t>的限值</w:t>
            </w:r>
          </w:p>
        </w:tc>
        <w:tc>
          <w:tcPr>
            <w:tcW w:w="938" w:type="dxa"/>
            <w:vAlign w:val="top"/>
          </w:tcPr>
          <w:p w14:paraId="793DCD89">
            <w:pPr>
              <w:spacing w:line="251" w:lineRule="auto"/>
              <w:rPr>
                <w:rFonts w:ascii="Arial"/>
                <w:sz w:val="21"/>
              </w:rPr>
            </w:pPr>
          </w:p>
          <w:p w14:paraId="4455F9E6">
            <w:pPr>
              <w:spacing w:line="251" w:lineRule="auto"/>
              <w:rPr>
                <w:rFonts w:ascii="Arial"/>
                <w:sz w:val="21"/>
              </w:rPr>
            </w:pPr>
          </w:p>
          <w:p w14:paraId="16FB7D10">
            <w:pPr>
              <w:spacing w:line="251" w:lineRule="auto"/>
              <w:rPr>
                <w:rFonts w:ascii="Arial"/>
                <w:sz w:val="21"/>
              </w:rPr>
            </w:pPr>
          </w:p>
          <w:p w14:paraId="27E32814">
            <w:pPr>
              <w:spacing w:line="252" w:lineRule="auto"/>
              <w:rPr>
                <w:rFonts w:ascii="Arial"/>
                <w:sz w:val="21"/>
              </w:rPr>
            </w:pPr>
          </w:p>
          <w:p w14:paraId="7C46145F">
            <w:pPr>
              <w:spacing w:line="252" w:lineRule="auto"/>
              <w:rPr>
                <w:rFonts w:ascii="Arial"/>
                <w:sz w:val="21"/>
              </w:rPr>
            </w:pPr>
          </w:p>
          <w:p w14:paraId="7E21DEAA">
            <w:pPr>
              <w:pStyle w:val="6"/>
              <w:spacing w:before="65" w:line="220" w:lineRule="auto"/>
              <w:ind w:left="243"/>
              <w:rPr>
                <w:sz w:val="20"/>
                <w:szCs w:val="20"/>
              </w:rPr>
            </w:pPr>
            <w:r>
              <w:rPr>
                <w:spacing w:val="-3"/>
                <w:sz w:val="20"/>
                <w:szCs w:val="20"/>
              </w:rPr>
              <w:t>符合</w:t>
            </w:r>
          </w:p>
        </w:tc>
      </w:tr>
      <w:tr w14:paraId="28B0E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5" w:hRule="atLeast"/>
        </w:trPr>
        <w:tc>
          <w:tcPr>
            <w:tcW w:w="1334" w:type="dxa"/>
            <w:vMerge w:val="continue"/>
            <w:tcBorders>
              <w:top w:val="nil"/>
            </w:tcBorders>
            <w:vAlign w:val="top"/>
          </w:tcPr>
          <w:p w14:paraId="73519CB3">
            <w:pPr>
              <w:rPr>
                <w:rFonts w:ascii="Arial"/>
                <w:sz w:val="21"/>
              </w:rPr>
            </w:pPr>
          </w:p>
        </w:tc>
        <w:tc>
          <w:tcPr>
            <w:tcW w:w="539" w:type="dxa"/>
            <w:vAlign w:val="top"/>
          </w:tcPr>
          <w:p w14:paraId="76453B1D">
            <w:pPr>
              <w:spacing w:line="290" w:lineRule="auto"/>
              <w:rPr>
                <w:rFonts w:ascii="Arial"/>
                <w:sz w:val="21"/>
              </w:rPr>
            </w:pPr>
          </w:p>
          <w:p w14:paraId="3460ECCD">
            <w:pPr>
              <w:spacing w:line="291" w:lineRule="auto"/>
              <w:rPr>
                <w:rFonts w:ascii="Arial"/>
                <w:sz w:val="21"/>
              </w:rPr>
            </w:pPr>
          </w:p>
          <w:p w14:paraId="5F88609E">
            <w:pPr>
              <w:spacing w:line="291" w:lineRule="auto"/>
              <w:rPr>
                <w:rFonts w:ascii="Arial"/>
                <w:sz w:val="21"/>
              </w:rPr>
            </w:pPr>
          </w:p>
          <w:p w14:paraId="478826B4">
            <w:pPr>
              <w:pStyle w:val="6"/>
              <w:spacing w:before="65"/>
              <w:ind w:left="284"/>
              <w:rPr>
                <w:sz w:val="20"/>
                <w:szCs w:val="20"/>
              </w:rPr>
            </w:pPr>
            <w:r>
              <w:rPr>
                <w:sz w:val="20"/>
                <w:szCs w:val="20"/>
              </w:rPr>
              <w:t>5</w:t>
            </w:r>
          </w:p>
        </w:tc>
        <w:tc>
          <w:tcPr>
            <w:tcW w:w="3804" w:type="dxa"/>
            <w:vAlign w:val="top"/>
          </w:tcPr>
          <w:p w14:paraId="1EF92CE0">
            <w:pPr>
              <w:pStyle w:val="6"/>
              <w:spacing w:before="38" w:line="235" w:lineRule="auto"/>
              <w:ind w:left="115" w:right="36" w:firstLine="36"/>
              <w:rPr>
                <w:sz w:val="20"/>
                <w:szCs w:val="20"/>
              </w:rPr>
            </w:pPr>
            <w:r>
              <w:rPr>
                <w:spacing w:val="-1"/>
                <w:sz w:val="20"/>
                <w:szCs w:val="20"/>
              </w:rPr>
              <w:t>暂未制订行业排放标准的工业炉窑，包括</w:t>
            </w:r>
            <w:r>
              <w:rPr>
                <w:spacing w:val="4"/>
                <w:sz w:val="20"/>
                <w:szCs w:val="20"/>
              </w:rPr>
              <w:t xml:space="preserve"> </w:t>
            </w:r>
            <w:r>
              <w:rPr>
                <w:spacing w:val="-1"/>
                <w:sz w:val="20"/>
                <w:szCs w:val="20"/>
              </w:rPr>
              <w:t>铸造，日用玻璃，玻璃纤维、耐火材料、</w:t>
            </w:r>
            <w:r>
              <w:rPr>
                <w:spacing w:val="11"/>
                <w:sz w:val="20"/>
                <w:szCs w:val="20"/>
              </w:rPr>
              <w:t xml:space="preserve"> </w:t>
            </w:r>
            <w:r>
              <w:rPr>
                <w:spacing w:val="-1"/>
                <w:sz w:val="20"/>
                <w:szCs w:val="20"/>
              </w:rPr>
              <w:t>石灰、矿物棉等建材行业，钨、工业硅、</w:t>
            </w:r>
            <w:r>
              <w:rPr>
                <w:spacing w:val="11"/>
                <w:sz w:val="20"/>
                <w:szCs w:val="20"/>
              </w:rPr>
              <w:t xml:space="preserve"> </w:t>
            </w:r>
            <w:r>
              <w:rPr>
                <w:spacing w:val="1"/>
                <w:sz w:val="20"/>
                <w:szCs w:val="20"/>
              </w:rPr>
              <w:t>金属冶炼废渣(灰)二次提取等有色金属行</w:t>
            </w:r>
            <w:r>
              <w:rPr>
                <w:spacing w:val="4"/>
                <w:sz w:val="20"/>
                <w:szCs w:val="20"/>
              </w:rPr>
              <w:t xml:space="preserve"> </w:t>
            </w:r>
            <w:r>
              <w:rPr>
                <w:spacing w:val="1"/>
                <w:sz w:val="20"/>
                <w:szCs w:val="20"/>
              </w:rPr>
              <w:t>业，氮肥、电石、无机磷、活性炭等化工</w:t>
            </w:r>
            <w:r>
              <w:rPr>
                <w:spacing w:val="4"/>
                <w:sz w:val="20"/>
                <w:szCs w:val="20"/>
              </w:rPr>
              <w:t xml:space="preserve"> </w:t>
            </w:r>
            <w:r>
              <w:rPr>
                <w:sz w:val="20"/>
                <w:szCs w:val="20"/>
              </w:rPr>
              <w:t>行业，应参照相关行业已出台的标准，全</w:t>
            </w:r>
            <w:r>
              <w:rPr>
                <w:spacing w:val="13"/>
                <w:sz w:val="20"/>
                <w:szCs w:val="20"/>
              </w:rPr>
              <w:t xml:space="preserve"> </w:t>
            </w:r>
            <w:r>
              <w:rPr>
                <w:spacing w:val="-3"/>
                <w:sz w:val="20"/>
                <w:szCs w:val="20"/>
              </w:rPr>
              <w:t>面加大污染治理力度(见附件3)，铸造行业</w:t>
            </w:r>
            <w:r>
              <w:rPr>
                <w:spacing w:val="6"/>
                <w:sz w:val="20"/>
                <w:szCs w:val="20"/>
              </w:rPr>
              <w:t xml:space="preserve"> </w:t>
            </w:r>
            <w:r>
              <w:rPr>
                <w:spacing w:val="1"/>
                <w:sz w:val="20"/>
                <w:szCs w:val="20"/>
              </w:rPr>
              <w:t>烧结、高炉工序污染排放控制按照钢铁行</w:t>
            </w:r>
          </w:p>
        </w:tc>
        <w:tc>
          <w:tcPr>
            <w:tcW w:w="2288" w:type="dxa"/>
            <w:vAlign w:val="top"/>
          </w:tcPr>
          <w:p w14:paraId="0DFA4D66">
            <w:pPr>
              <w:pStyle w:val="6"/>
              <w:spacing w:before="38" w:line="235" w:lineRule="auto"/>
              <w:ind w:left="88" w:right="43" w:firstLine="77"/>
              <w:jc w:val="both"/>
              <w:rPr>
                <w:sz w:val="20"/>
                <w:szCs w:val="20"/>
              </w:rPr>
            </w:pPr>
            <w:r>
              <w:rPr>
                <w:spacing w:val="-1"/>
                <w:sz w:val="20"/>
                <w:szCs w:val="20"/>
              </w:rPr>
              <w:t>本项目属于生物质成型</w:t>
            </w:r>
            <w:r>
              <w:rPr>
                <w:spacing w:val="2"/>
                <w:sz w:val="20"/>
                <w:szCs w:val="20"/>
              </w:rPr>
              <w:t xml:space="preserve"> </w:t>
            </w:r>
            <w:r>
              <w:rPr>
                <w:spacing w:val="-5"/>
                <w:sz w:val="20"/>
                <w:szCs w:val="20"/>
              </w:rPr>
              <w:t>燃料行业，该行业未发布</w:t>
            </w:r>
            <w:r>
              <w:rPr>
                <w:spacing w:val="4"/>
                <w:sz w:val="20"/>
                <w:szCs w:val="20"/>
              </w:rPr>
              <w:t xml:space="preserve"> </w:t>
            </w:r>
            <w:r>
              <w:rPr>
                <w:spacing w:val="7"/>
                <w:sz w:val="20"/>
                <w:szCs w:val="20"/>
              </w:rPr>
              <w:t>针对工业炉窑的排放标</w:t>
            </w:r>
            <w:r>
              <w:rPr>
                <w:sz w:val="20"/>
                <w:szCs w:val="20"/>
              </w:rPr>
              <w:t xml:space="preserve"> </w:t>
            </w:r>
            <w:r>
              <w:rPr>
                <w:spacing w:val="-5"/>
                <w:sz w:val="20"/>
                <w:szCs w:val="20"/>
              </w:rPr>
              <w:t>准。四川省工业炉</w:t>
            </w:r>
            <w:r>
              <w:rPr>
                <w:rFonts w:hint="eastAsia"/>
                <w:spacing w:val="-5"/>
                <w:sz w:val="20"/>
                <w:szCs w:val="20"/>
                <w:lang w:val="en-US" w:eastAsia="zh-CN"/>
              </w:rPr>
              <w:t>窑</w:t>
            </w:r>
            <w:r>
              <w:rPr>
                <w:spacing w:val="-5"/>
                <w:sz w:val="20"/>
                <w:szCs w:val="20"/>
              </w:rPr>
              <w:t>大气</w:t>
            </w:r>
            <w:r>
              <w:rPr>
                <w:spacing w:val="4"/>
                <w:sz w:val="20"/>
                <w:szCs w:val="20"/>
              </w:rPr>
              <w:t xml:space="preserve"> </w:t>
            </w:r>
            <w:r>
              <w:rPr>
                <w:spacing w:val="7"/>
                <w:sz w:val="20"/>
                <w:szCs w:val="20"/>
              </w:rPr>
              <w:t>污染物排放标准目前处</w:t>
            </w:r>
            <w:r>
              <w:rPr>
                <w:sz w:val="20"/>
                <w:szCs w:val="20"/>
              </w:rPr>
              <w:t xml:space="preserve"> </w:t>
            </w:r>
            <w:r>
              <w:rPr>
                <w:spacing w:val="-5"/>
                <w:sz w:val="20"/>
                <w:szCs w:val="20"/>
              </w:rPr>
              <w:t>于征求意见阶段，尚未正</w:t>
            </w:r>
            <w:r>
              <w:rPr>
                <w:spacing w:val="4"/>
                <w:sz w:val="20"/>
                <w:szCs w:val="20"/>
              </w:rPr>
              <w:t xml:space="preserve"> </w:t>
            </w:r>
            <w:r>
              <w:rPr>
                <w:spacing w:val="-5"/>
                <w:sz w:val="20"/>
                <w:szCs w:val="20"/>
              </w:rPr>
              <w:t>式发布实施。本项目工业</w:t>
            </w:r>
            <w:r>
              <w:rPr>
                <w:spacing w:val="4"/>
                <w:sz w:val="20"/>
                <w:szCs w:val="20"/>
              </w:rPr>
              <w:t xml:space="preserve"> </w:t>
            </w:r>
            <w:r>
              <w:rPr>
                <w:spacing w:val="7"/>
                <w:sz w:val="20"/>
                <w:szCs w:val="20"/>
              </w:rPr>
              <w:t>炉窑废气与烘干机废气</w:t>
            </w:r>
          </w:p>
        </w:tc>
        <w:tc>
          <w:tcPr>
            <w:tcW w:w="938" w:type="dxa"/>
            <w:vAlign w:val="top"/>
          </w:tcPr>
          <w:p w14:paraId="4F3B7E41">
            <w:pPr>
              <w:spacing w:line="290" w:lineRule="auto"/>
              <w:rPr>
                <w:rFonts w:ascii="Arial"/>
                <w:sz w:val="21"/>
              </w:rPr>
            </w:pPr>
          </w:p>
          <w:p w14:paraId="5893BA43">
            <w:pPr>
              <w:spacing w:line="291" w:lineRule="auto"/>
              <w:rPr>
                <w:rFonts w:ascii="Arial"/>
                <w:sz w:val="21"/>
              </w:rPr>
            </w:pPr>
          </w:p>
          <w:p w14:paraId="30DD741D">
            <w:pPr>
              <w:spacing w:line="291" w:lineRule="auto"/>
              <w:rPr>
                <w:rFonts w:ascii="Arial"/>
                <w:sz w:val="21"/>
              </w:rPr>
            </w:pPr>
          </w:p>
          <w:p w14:paraId="494E072A">
            <w:pPr>
              <w:pStyle w:val="6"/>
              <w:spacing w:before="65" w:line="220" w:lineRule="auto"/>
              <w:ind w:left="243"/>
              <w:rPr>
                <w:sz w:val="20"/>
                <w:szCs w:val="20"/>
              </w:rPr>
            </w:pPr>
            <w:r>
              <w:rPr>
                <w:spacing w:val="-3"/>
                <w:sz w:val="20"/>
                <w:szCs w:val="20"/>
              </w:rPr>
              <w:t>符合</w:t>
            </w:r>
          </w:p>
        </w:tc>
      </w:tr>
    </w:tbl>
    <w:p w14:paraId="20CD865B">
      <w:pPr>
        <w:rPr>
          <w:rFonts w:ascii="Arial"/>
          <w:sz w:val="21"/>
        </w:rPr>
      </w:pPr>
    </w:p>
    <w:p w14:paraId="7AE7697C">
      <w:pPr>
        <w:rPr>
          <w:rFonts w:ascii="Arial" w:hAnsi="Arial" w:eastAsia="Arial" w:cs="Arial"/>
          <w:sz w:val="21"/>
          <w:szCs w:val="21"/>
        </w:rPr>
        <w:sectPr>
          <w:footerReference r:id="rId34" w:type="default"/>
          <w:pgSz w:w="11907" w:h="16839"/>
          <w:pgMar w:top="1431" w:right="1498" w:bottom="1055" w:left="1498" w:header="0" w:footer="802" w:gutter="0"/>
          <w:cols w:space="720" w:num="1"/>
        </w:sectPr>
      </w:pPr>
    </w:p>
    <w:p w14:paraId="52EEFD0E">
      <w:pPr>
        <w:spacing w:before="28"/>
      </w:pPr>
    </w:p>
    <w:tbl>
      <w:tblPr>
        <w:tblStyle w:val="5"/>
        <w:tblW w:w="89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3"/>
        <w:gridCol w:w="69"/>
        <w:gridCol w:w="535"/>
        <w:gridCol w:w="3775"/>
        <w:gridCol w:w="2271"/>
        <w:gridCol w:w="856"/>
        <w:gridCol w:w="74"/>
      </w:tblGrid>
      <w:tr w14:paraId="397CD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2" w:hRule="atLeast"/>
        </w:trPr>
        <w:tc>
          <w:tcPr>
            <w:tcW w:w="1323" w:type="dxa"/>
            <w:vMerge w:val="restart"/>
            <w:tcBorders>
              <w:bottom w:val="nil"/>
            </w:tcBorders>
            <w:vAlign w:val="top"/>
          </w:tcPr>
          <w:p w14:paraId="200A3E3D">
            <w:pPr>
              <w:rPr>
                <w:rFonts w:ascii="Arial"/>
                <w:sz w:val="21"/>
              </w:rPr>
            </w:pPr>
          </w:p>
        </w:tc>
        <w:tc>
          <w:tcPr>
            <w:tcW w:w="69" w:type="dxa"/>
            <w:tcBorders>
              <w:bottom w:val="nil"/>
            </w:tcBorders>
            <w:vAlign w:val="top"/>
          </w:tcPr>
          <w:p w14:paraId="1B51610A">
            <w:pPr>
              <w:rPr>
                <w:rFonts w:ascii="Arial"/>
                <w:sz w:val="21"/>
              </w:rPr>
            </w:pPr>
          </w:p>
        </w:tc>
        <w:tc>
          <w:tcPr>
            <w:tcW w:w="535" w:type="dxa"/>
            <w:vAlign w:val="top"/>
          </w:tcPr>
          <w:p w14:paraId="7777B3F7">
            <w:pPr>
              <w:rPr>
                <w:rFonts w:ascii="Arial"/>
                <w:sz w:val="21"/>
              </w:rPr>
            </w:pPr>
          </w:p>
        </w:tc>
        <w:tc>
          <w:tcPr>
            <w:tcW w:w="3775" w:type="dxa"/>
            <w:vAlign w:val="top"/>
          </w:tcPr>
          <w:p w14:paraId="170D2DCB">
            <w:pPr>
              <w:pStyle w:val="6"/>
              <w:spacing w:before="43" w:line="220" w:lineRule="auto"/>
              <w:ind w:left="60"/>
              <w:rPr>
                <w:sz w:val="20"/>
                <w:szCs w:val="20"/>
              </w:rPr>
            </w:pPr>
            <w:r>
              <w:rPr>
                <w:spacing w:val="-1"/>
                <w:sz w:val="20"/>
                <w:szCs w:val="20"/>
              </w:rPr>
              <w:t>业相关标准要求执行;成都、德阳、绵阳、</w:t>
            </w:r>
          </w:p>
          <w:p w14:paraId="4DABD886">
            <w:pPr>
              <w:pStyle w:val="6"/>
              <w:spacing w:before="20" w:line="220" w:lineRule="auto"/>
              <w:ind w:left="98"/>
              <w:rPr>
                <w:sz w:val="20"/>
                <w:szCs w:val="20"/>
              </w:rPr>
            </w:pPr>
            <w:r>
              <w:rPr>
                <w:spacing w:val="-1"/>
                <w:sz w:val="20"/>
                <w:szCs w:val="20"/>
              </w:rPr>
              <w:t>乐山、眉山、资阳、遂宁、雅安等成都平</w:t>
            </w:r>
          </w:p>
          <w:p w14:paraId="7368A9C8">
            <w:pPr>
              <w:pStyle w:val="6"/>
              <w:spacing w:before="21" w:line="219" w:lineRule="auto"/>
              <w:ind w:left="65"/>
              <w:rPr>
                <w:sz w:val="20"/>
                <w:szCs w:val="20"/>
              </w:rPr>
            </w:pPr>
            <w:r>
              <w:rPr>
                <w:spacing w:val="-3"/>
                <w:sz w:val="20"/>
                <w:szCs w:val="20"/>
              </w:rPr>
              <w:t>原经济区8个市和自贡、泸州、内江、宜宾</w:t>
            </w:r>
          </w:p>
          <w:p w14:paraId="3A0A282A">
            <w:pPr>
              <w:pStyle w:val="6"/>
              <w:spacing w:before="23" w:line="220" w:lineRule="auto"/>
              <w:ind w:left="143"/>
              <w:rPr>
                <w:sz w:val="20"/>
                <w:szCs w:val="20"/>
              </w:rPr>
            </w:pPr>
            <w:r>
              <w:rPr>
                <w:spacing w:val="-1"/>
                <w:sz w:val="20"/>
                <w:szCs w:val="20"/>
              </w:rPr>
              <w:t>等川南片区4个市的大气污染防治重点区</w:t>
            </w:r>
          </w:p>
          <w:p w14:paraId="60B51FDA">
            <w:pPr>
              <w:pStyle w:val="6"/>
              <w:spacing w:before="21" w:line="219" w:lineRule="auto"/>
              <w:ind w:left="93"/>
              <w:rPr>
                <w:sz w:val="20"/>
                <w:szCs w:val="20"/>
              </w:rPr>
            </w:pPr>
            <w:r>
              <w:rPr>
                <w:spacing w:val="-1"/>
                <w:sz w:val="20"/>
                <w:szCs w:val="20"/>
              </w:rPr>
              <w:t>域可以按照颗粒物、二氧化硫、氮氧化物</w:t>
            </w:r>
          </w:p>
          <w:p w14:paraId="39293F76">
            <w:pPr>
              <w:pStyle w:val="6"/>
              <w:spacing w:before="21" w:line="220" w:lineRule="auto"/>
              <w:ind w:left="61"/>
              <w:rPr>
                <w:sz w:val="20"/>
                <w:szCs w:val="20"/>
              </w:rPr>
            </w:pPr>
            <w:r>
              <w:rPr>
                <w:spacing w:val="-2"/>
                <w:sz w:val="20"/>
                <w:szCs w:val="20"/>
              </w:rPr>
              <w:t>排放限值分别不高于30、200、300毫克/立</w:t>
            </w:r>
          </w:p>
          <w:p w14:paraId="71CF2C5A">
            <w:pPr>
              <w:pStyle w:val="6"/>
              <w:spacing w:before="21" w:line="220" w:lineRule="auto"/>
              <w:ind w:left="93"/>
              <w:rPr>
                <w:sz w:val="20"/>
                <w:szCs w:val="20"/>
              </w:rPr>
            </w:pPr>
            <w:r>
              <w:rPr>
                <w:spacing w:val="-3"/>
                <w:sz w:val="20"/>
                <w:szCs w:val="20"/>
              </w:rPr>
              <w:t>方米实施改造，其中，</w:t>
            </w:r>
            <w:r>
              <w:rPr>
                <w:spacing w:val="-55"/>
                <w:sz w:val="20"/>
                <w:szCs w:val="20"/>
              </w:rPr>
              <w:t xml:space="preserve"> </w:t>
            </w:r>
            <w:r>
              <w:rPr>
                <w:spacing w:val="-3"/>
                <w:sz w:val="20"/>
                <w:szCs w:val="20"/>
              </w:rPr>
              <w:t>日用玻璃、玻璃棉</w:t>
            </w:r>
          </w:p>
          <w:p w14:paraId="2DE3ED8F">
            <w:pPr>
              <w:pStyle w:val="6"/>
              <w:spacing w:before="21" w:line="219" w:lineRule="auto"/>
              <w:ind w:left="190"/>
              <w:rPr>
                <w:sz w:val="20"/>
                <w:szCs w:val="20"/>
              </w:rPr>
            </w:pPr>
            <w:r>
              <w:rPr>
                <w:spacing w:val="-1"/>
                <w:sz w:val="20"/>
                <w:szCs w:val="20"/>
              </w:rPr>
              <w:t>氮氧化物排放限值不高于400毫克/立方</w:t>
            </w:r>
          </w:p>
          <w:p w14:paraId="5D12ABEE">
            <w:pPr>
              <w:pStyle w:val="6"/>
              <w:spacing w:before="22" w:line="206" w:lineRule="auto"/>
              <w:ind w:left="891"/>
              <w:rPr>
                <w:sz w:val="20"/>
                <w:szCs w:val="20"/>
              </w:rPr>
            </w:pPr>
            <w:r>
              <w:rPr>
                <w:spacing w:val="-5"/>
                <w:sz w:val="20"/>
                <w:szCs w:val="20"/>
              </w:rPr>
              <w:t>米。</w:t>
            </w:r>
            <w:r>
              <w:rPr>
                <w:spacing w:val="-52"/>
                <w:sz w:val="20"/>
                <w:szCs w:val="20"/>
              </w:rPr>
              <w:t xml:space="preserve"> </w:t>
            </w:r>
            <w:r>
              <w:rPr>
                <w:spacing w:val="-5"/>
                <w:sz w:val="20"/>
                <w:szCs w:val="20"/>
              </w:rPr>
              <w:t>(生态环境厅负责)</w:t>
            </w:r>
          </w:p>
        </w:tc>
        <w:tc>
          <w:tcPr>
            <w:tcW w:w="2271" w:type="dxa"/>
            <w:vAlign w:val="top"/>
          </w:tcPr>
          <w:p w14:paraId="372C9838">
            <w:pPr>
              <w:pStyle w:val="6"/>
              <w:spacing w:before="43" w:line="219" w:lineRule="auto"/>
              <w:ind w:left="65"/>
              <w:rPr>
                <w:sz w:val="20"/>
                <w:szCs w:val="20"/>
              </w:rPr>
            </w:pPr>
            <w:r>
              <w:rPr>
                <w:spacing w:val="-5"/>
                <w:sz w:val="20"/>
                <w:szCs w:val="20"/>
              </w:rPr>
              <w:t>混合后，二氧化硫、氮氧</w:t>
            </w:r>
          </w:p>
          <w:p w14:paraId="1CF13025">
            <w:pPr>
              <w:pStyle w:val="6"/>
              <w:spacing w:before="21" w:line="220" w:lineRule="auto"/>
              <w:ind w:left="141"/>
              <w:rPr>
                <w:sz w:val="20"/>
                <w:szCs w:val="20"/>
              </w:rPr>
            </w:pPr>
            <w:r>
              <w:rPr>
                <w:spacing w:val="-1"/>
                <w:sz w:val="20"/>
                <w:szCs w:val="20"/>
              </w:rPr>
              <w:t>化物排放限值分别执行</w:t>
            </w:r>
          </w:p>
          <w:p w14:paraId="63F32004">
            <w:pPr>
              <w:pStyle w:val="6"/>
              <w:spacing w:before="22" w:line="214" w:lineRule="auto"/>
              <w:ind w:left="66"/>
            </w:pPr>
            <w:r>
              <w:rPr>
                <w:spacing w:val="-4"/>
                <w:sz w:val="20"/>
                <w:szCs w:val="20"/>
              </w:rPr>
              <w:t>于200、300</w:t>
            </w:r>
            <w:r>
              <w:rPr>
                <w:rFonts w:ascii="Times New Roman" w:hAnsi="Times New Roman" w:eastAsia="Times New Roman" w:cs="Times New Roman"/>
                <w:spacing w:val="-4"/>
                <w:sz w:val="20"/>
                <w:szCs w:val="20"/>
              </w:rPr>
              <w:t>mg/</w:t>
            </w:r>
            <w:r>
              <w:rPr>
                <w:rFonts w:ascii="Times New Roman" w:hAnsi="Times New Roman" w:eastAsia="Times New Roman" w:cs="Times New Roman"/>
                <w:spacing w:val="-4"/>
              </w:rPr>
              <w:t>m</w:t>
            </w:r>
            <w:r>
              <w:rPr>
                <w:rFonts w:ascii="Times New Roman" w:hAnsi="Times New Roman" w:eastAsia="Times New Roman" w:cs="Times New Roman"/>
                <w:spacing w:val="-4"/>
                <w:position w:val="7"/>
                <w:sz w:val="14"/>
                <w:szCs w:val="14"/>
              </w:rPr>
              <w:t>3</w:t>
            </w:r>
            <w:r>
              <w:rPr>
                <w:rFonts w:ascii="Times New Roman" w:hAnsi="Times New Roman" w:eastAsia="Times New Roman" w:cs="Times New Roman"/>
                <w:spacing w:val="1"/>
                <w:position w:val="7"/>
                <w:sz w:val="14"/>
                <w:szCs w:val="14"/>
              </w:rPr>
              <w:t xml:space="preserve"> </w:t>
            </w:r>
            <w:r>
              <w:rPr>
                <w:spacing w:val="-4"/>
              </w:rPr>
              <w:t>的限值</w:t>
            </w:r>
          </w:p>
          <w:p w14:paraId="474091FA">
            <w:pPr>
              <w:pStyle w:val="6"/>
              <w:spacing w:before="29" w:line="220" w:lineRule="auto"/>
              <w:ind w:left="112"/>
              <w:rPr>
                <w:sz w:val="20"/>
                <w:szCs w:val="20"/>
              </w:rPr>
            </w:pPr>
            <w:r>
              <w:rPr>
                <w:spacing w:val="-1"/>
              </w:rPr>
              <w:t>要求，颗粒物</w:t>
            </w:r>
            <w:r>
              <w:rPr>
                <w:spacing w:val="-1"/>
                <w:sz w:val="20"/>
                <w:szCs w:val="20"/>
              </w:rPr>
              <w:t>执行《大</w:t>
            </w:r>
          </w:p>
          <w:p w14:paraId="59979B50">
            <w:pPr>
              <w:pStyle w:val="6"/>
              <w:spacing w:before="20" w:line="221" w:lineRule="auto"/>
              <w:ind w:right="9"/>
              <w:jc w:val="right"/>
              <w:rPr>
                <w:sz w:val="20"/>
                <w:szCs w:val="20"/>
              </w:rPr>
            </w:pPr>
            <w:r>
              <w:rPr>
                <w:spacing w:val="-1"/>
                <w:sz w:val="20"/>
                <w:szCs w:val="20"/>
              </w:rPr>
              <w:t>气污染物综合排放标准》</w:t>
            </w:r>
          </w:p>
          <w:p w14:paraId="5725AD55">
            <w:pPr>
              <w:pStyle w:val="6"/>
              <w:spacing w:before="21" w:line="221" w:lineRule="auto"/>
              <w:ind w:left="97"/>
              <w:rPr>
                <w:sz w:val="20"/>
                <w:szCs w:val="20"/>
              </w:rPr>
            </w:pPr>
            <w:r>
              <w:rPr>
                <w:spacing w:val="-1"/>
                <w:sz w:val="20"/>
                <w:szCs w:val="20"/>
              </w:rPr>
              <w:t>（GB16297--1996）的限</w:t>
            </w:r>
          </w:p>
          <w:p w14:paraId="6ED46AA9">
            <w:pPr>
              <w:pStyle w:val="6"/>
              <w:spacing w:before="20" w:line="220" w:lineRule="auto"/>
              <w:ind w:left="941"/>
              <w:rPr>
                <w:sz w:val="20"/>
                <w:szCs w:val="20"/>
              </w:rPr>
            </w:pPr>
            <w:r>
              <w:rPr>
                <w:spacing w:val="-4"/>
                <w:sz w:val="20"/>
                <w:szCs w:val="20"/>
              </w:rPr>
              <w:t>值。</w:t>
            </w:r>
          </w:p>
        </w:tc>
        <w:tc>
          <w:tcPr>
            <w:tcW w:w="856" w:type="dxa"/>
            <w:vAlign w:val="top"/>
          </w:tcPr>
          <w:p w14:paraId="41351297">
            <w:pPr>
              <w:rPr>
                <w:rFonts w:ascii="Arial"/>
                <w:sz w:val="21"/>
              </w:rPr>
            </w:pPr>
          </w:p>
        </w:tc>
        <w:tc>
          <w:tcPr>
            <w:tcW w:w="74" w:type="dxa"/>
            <w:tcBorders>
              <w:bottom w:val="nil"/>
            </w:tcBorders>
            <w:vAlign w:val="top"/>
          </w:tcPr>
          <w:p w14:paraId="6B8309F4">
            <w:pPr>
              <w:rPr>
                <w:rFonts w:ascii="Arial"/>
                <w:sz w:val="21"/>
              </w:rPr>
            </w:pPr>
          </w:p>
        </w:tc>
      </w:tr>
      <w:tr w14:paraId="24A88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7" w:hRule="atLeast"/>
        </w:trPr>
        <w:tc>
          <w:tcPr>
            <w:tcW w:w="1323" w:type="dxa"/>
            <w:vMerge w:val="continue"/>
            <w:tcBorders>
              <w:top w:val="nil"/>
              <w:bottom w:val="nil"/>
            </w:tcBorders>
            <w:vAlign w:val="top"/>
          </w:tcPr>
          <w:p w14:paraId="1C3B1372">
            <w:pPr>
              <w:rPr>
                <w:rFonts w:ascii="Arial"/>
                <w:sz w:val="21"/>
              </w:rPr>
            </w:pPr>
          </w:p>
        </w:tc>
        <w:tc>
          <w:tcPr>
            <w:tcW w:w="69" w:type="dxa"/>
            <w:tcBorders>
              <w:top w:val="nil"/>
              <w:bottom w:val="nil"/>
            </w:tcBorders>
            <w:vAlign w:val="top"/>
          </w:tcPr>
          <w:p w14:paraId="14C13B9A">
            <w:pPr>
              <w:rPr>
                <w:rFonts w:ascii="Arial"/>
                <w:sz w:val="21"/>
              </w:rPr>
            </w:pPr>
          </w:p>
        </w:tc>
        <w:tc>
          <w:tcPr>
            <w:tcW w:w="535" w:type="dxa"/>
            <w:vAlign w:val="top"/>
          </w:tcPr>
          <w:p w14:paraId="15E5EF76">
            <w:pPr>
              <w:spacing w:line="252" w:lineRule="auto"/>
              <w:rPr>
                <w:rFonts w:ascii="Arial"/>
                <w:sz w:val="21"/>
              </w:rPr>
            </w:pPr>
          </w:p>
          <w:p w14:paraId="7D91557A">
            <w:pPr>
              <w:spacing w:line="252" w:lineRule="auto"/>
              <w:rPr>
                <w:rFonts w:ascii="Arial"/>
                <w:sz w:val="21"/>
              </w:rPr>
            </w:pPr>
          </w:p>
          <w:p w14:paraId="4C043C0D">
            <w:pPr>
              <w:spacing w:line="252" w:lineRule="auto"/>
              <w:rPr>
                <w:rFonts w:ascii="Arial"/>
                <w:sz w:val="21"/>
              </w:rPr>
            </w:pPr>
          </w:p>
          <w:p w14:paraId="09D87E2A">
            <w:pPr>
              <w:spacing w:line="252" w:lineRule="auto"/>
              <w:rPr>
                <w:rFonts w:ascii="Arial"/>
                <w:sz w:val="21"/>
              </w:rPr>
            </w:pPr>
          </w:p>
          <w:p w14:paraId="470F5E6A">
            <w:pPr>
              <w:spacing w:line="253" w:lineRule="auto"/>
              <w:rPr>
                <w:rFonts w:ascii="Arial"/>
                <w:sz w:val="21"/>
              </w:rPr>
            </w:pPr>
          </w:p>
          <w:p w14:paraId="359A1D33">
            <w:pPr>
              <w:spacing w:line="253" w:lineRule="auto"/>
              <w:rPr>
                <w:rFonts w:ascii="Arial"/>
                <w:sz w:val="21"/>
              </w:rPr>
            </w:pPr>
          </w:p>
          <w:p w14:paraId="59FA5218">
            <w:pPr>
              <w:pStyle w:val="6"/>
              <w:spacing w:before="65"/>
              <w:ind w:left="224"/>
              <w:rPr>
                <w:sz w:val="20"/>
                <w:szCs w:val="20"/>
              </w:rPr>
            </w:pPr>
            <w:r>
              <w:rPr>
                <w:sz w:val="20"/>
                <w:szCs w:val="20"/>
              </w:rPr>
              <w:t>6</w:t>
            </w:r>
          </w:p>
        </w:tc>
        <w:tc>
          <w:tcPr>
            <w:tcW w:w="3775" w:type="dxa"/>
            <w:vAlign w:val="top"/>
          </w:tcPr>
          <w:p w14:paraId="0C61A9F3">
            <w:pPr>
              <w:spacing w:line="247" w:lineRule="auto"/>
              <w:rPr>
                <w:rFonts w:ascii="Arial"/>
                <w:sz w:val="21"/>
              </w:rPr>
            </w:pPr>
          </w:p>
          <w:p w14:paraId="17EF7DE1">
            <w:pPr>
              <w:spacing w:line="247" w:lineRule="auto"/>
              <w:rPr>
                <w:rFonts w:ascii="Arial"/>
                <w:sz w:val="21"/>
              </w:rPr>
            </w:pPr>
          </w:p>
          <w:p w14:paraId="2B6AD86D">
            <w:pPr>
              <w:spacing w:line="248" w:lineRule="auto"/>
              <w:rPr>
                <w:rFonts w:ascii="Arial"/>
                <w:sz w:val="21"/>
              </w:rPr>
            </w:pPr>
          </w:p>
          <w:p w14:paraId="753586B8">
            <w:pPr>
              <w:pStyle w:val="6"/>
              <w:spacing w:before="65" w:line="239" w:lineRule="auto"/>
              <w:ind w:left="60" w:firstLine="31"/>
              <w:jc w:val="both"/>
              <w:rPr>
                <w:sz w:val="20"/>
                <w:szCs w:val="20"/>
              </w:rPr>
            </w:pPr>
            <w:r>
              <w:rPr>
                <w:spacing w:val="-1"/>
                <w:sz w:val="20"/>
                <w:szCs w:val="20"/>
              </w:rPr>
              <w:t>全面加强无组织排放管理。严格控制工业</w:t>
            </w:r>
            <w:r>
              <w:rPr>
                <w:spacing w:val="5"/>
                <w:sz w:val="20"/>
                <w:szCs w:val="20"/>
              </w:rPr>
              <w:t xml:space="preserve">  </w:t>
            </w:r>
            <w:r>
              <w:rPr>
                <w:spacing w:val="1"/>
                <w:sz w:val="20"/>
                <w:szCs w:val="20"/>
              </w:rPr>
              <w:t>炉窑生产工艺过程及相关物料储存、输送</w:t>
            </w:r>
            <w:r>
              <w:rPr>
                <w:spacing w:val="3"/>
                <w:sz w:val="20"/>
                <w:szCs w:val="20"/>
              </w:rPr>
              <w:t xml:space="preserve">  </w:t>
            </w:r>
            <w:r>
              <w:rPr>
                <w:spacing w:val="-5"/>
                <w:sz w:val="20"/>
                <w:szCs w:val="20"/>
              </w:rPr>
              <w:t>等无组织排放，在保障生产安全的前提下，</w:t>
            </w:r>
            <w:r>
              <w:rPr>
                <w:spacing w:val="3"/>
                <w:sz w:val="20"/>
                <w:szCs w:val="20"/>
              </w:rPr>
              <w:t xml:space="preserve"> </w:t>
            </w:r>
            <w:r>
              <w:rPr>
                <w:spacing w:val="-3"/>
                <w:sz w:val="20"/>
                <w:szCs w:val="20"/>
              </w:rPr>
              <w:t>采取密闭、封闭等有效措施(见附件4)，有</w:t>
            </w:r>
            <w:r>
              <w:rPr>
                <w:spacing w:val="4"/>
                <w:sz w:val="20"/>
                <w:szCs w:val="20"/>
              </w:rPr>
              <w:t xml:space="preserve"> </w:t>
            </w:r>
            <w:r>
              <w:rPr>
                <w:spacing w:val="1"/>
                <w:sz w:val="20"/>
                <w:szCs w:val="20"/>
              </w:rPr>
              <w:t>效提高废气收集率，产尘点及车间不得有</w:t>
            </w:r>
          </w:p>
          <w:p w14:paraId="064DD14A">
            <w:pPr>
              <w:pStyle w:val="6"/>
              <w:spacing w:line="241" w:lineRule="auto"/>
              <w:ind w:left="250" w:right="54" w:hanging="188"/>
              <w:rPr>
                <w:sz w:val="20"/>
                <w:szCs w:val="20"/>
              </w:rPr>
            </w:pPr>
            <w:r>
              <w:rPr>
                <w:spacing w:val="-3"/>
                <w:sz w:val="20"/>
                <w:szCs w:val="20"/>
              </w:rPr>
              <w:t>可见烟粉尘外逸。</w:t>
            </w:r>
            <w:r>
              <w:rPr>
                <w:rFonts w:hint="eastAsia"/>
                <w:spacing w:val="-3"/>
                <w:sz w:val="20"/>
                <w:szCs w:val="20"/>
                <w:lang w:eastAsia="zh-CN"/>
              </w:rPr>
              <w:t>（</w:t>
            </w:r>
            <w:r>
              <w:rPr>
                <w:spacing w:val="-3"/>
                <w:sz w:val="20"/>
                <w:szCs w:val="20"/>
              </w:rPr>
              <w:t>生态环境厅、经济和信</w:t>
            </w:r>
            <w:r>
              <w:rPr>
                <w:spacing w:val="9"/>
                <w:sz w:val="20"/>
                <w:szCs w:val="20"/>
              </w:rPr>
              <w:t xml:space="preserve"> </w:t>
            </w:r>
            <w:r>
              <w:rPr>
                <w:spacing w:val="-1"/>
                <w:sz w:val="20"/>
                <w:szCs w:val="20"/>
              </w:rPr>
              <w:t>息化厅、应急管理厅按职责分工负责</w:t>
            </w:r>
            <w:r>
              <w:rPr>
                <w:rFonts w:hint="eastAsia"/>
                <w:spacing w:val="-1"/>
                <w:sz w:val="20"/>
                <w:szCs w:val="20"/>
                <w:lang w:eastAsia="zh-CN"/>
              </w:rPr>
              <w:t>）</w:t>
            </w:r>
          </w:p>
        </w:tc>
        <w:tc>
          <w:tcPr>
            <w:tcW w:w="2271" w:type="dxa"/>
            <w:vAlign w:val="top"/>
          </w:tcPr>
          <w:p w14:paraId="5C35F1EF">
            <w:pPr>
              <w:pStyle w:val="6"/>
              <w:spacing w:before="32" w:line="219" w:lineRule="auto"/>
              <w:ind w:left="141"/>
              <w:rPr>
                <w:sz w:val="20"/>
                <w:szCs w:val="20"/>
              </w:rPr>
            </w:pPr>
            <w:r>
              <w:rPr>
                <w:spacing w:val="-1"/>
                <w:sz w:val="20"/>
                <w:szCs w:val="20"/>
              </w:rPr>
              <w:t>本项目工业炉窑的热烟</w:t>
            </w:r>
          </w:p>
          <w:p w14:paraId="3EEB98D7">
            <w:pPr>
              <w:pStyle w:val="6"/>
              <w:spacing w:before="21" w:line="220" w:lineRule="auto"/>
              <w:ind w:left="141"/>
              <w:rPr>
                <w:sz w:val="20"/>
                <w:szCs w:val="20"/>
              </w:rPr>
            </w:pPr>
            <w:r>
              <w:rPr>
                <w:spacing w:val="-1"/>
                <w:sz w:val="20"/>
                <w:szCs w:val="20"/>
              </w:rPr>
              <w:t>气经密闭管道直接引至</w:t>
            </w:r>
          </w:p>
          <w:p w14:paraId="78A3A82E">
            <w:pPr>
              <w:pStyle w:val="6"/>
              <w:spacing w:before="21" w:line="219" w:lineRule="auto"/>
              <w:ind w:left="62"/>
              <w:rPr>
                <w:sz w:val="20"/>
                <w:szCs w:val="20"/>
              </w:rPr>
            </w:pPr>
            <w:r>
              <w:rPr>
                <w:spacing w:val="-5"/>
                <w:sz w:val="20"/>
                <w:szCs w:val="20"/>
              </w:rPr>
              <w:t>烘干机烘干物料，热烟气</w:t>
            </w:r>
          </w:p>
          <w:p w14:paraId="1FAB1C10">
            <w:pPr>
              <w:pStyle w:val="6"/>
              <w:spacing w:before="21" w:line="220" w:lineRule="auto"/>
              <w:ind w:left="93"/>
              <w:rPr>
                <w:sz w:val="20"/>
                <w:szCs w:val="20"/>
              </w:rPr>
            </w:pPr>
            <w:r>
              <w:rPr>
                <w:spacing w:val="-1"/>
                <w:sz w:val="20"/>
                <w:szCs w:val="20"/>
              </w:rPr>
              <w:t>再经管道引至旋风除尘+</w:t>
            </w:r>
          </w:p>
          <w:p w14:paraId="44767429">
            <w:pPr>
              <w:pStyle w:val="6"/>
              <w:spacing w:before="21" w:line="218" w:lineRule="auto"/>
              <w:ind w:left="70"/>
              <w:rPr>
                <w:sz w:val="20"/>
                <w:szCs w:val="20"/>
              </w:rPr>
            </w:pPr>
            <w:r>
              <w:rPr>
                <w:spacing w:val="-6"/>
                <w:sz w:val="20"/>
                <w:szCs w:val="20"/>
              </w:rPr>
              <w:t>喷淋塔除尘，整个过程处</w:t>
            </w:r>
          </w:p>
          <w:p w14:paraId="60E59D8F">
            <w:pPr>
              <w:pStyle w:val="6"/>
              <w:spacing w:before="23" w:line="220" w:lineRule="auto"/>
              <w:ind w:left="66"/>
              <w:rPr>
                <w:sz w:val="20"/>
                <w:szCs w:val="20"/>
              </w:rPr>
            </w:pPr>
            <w:r>
              <w:rPr>
                <w:spacing w:val="-5"/>
                <w:sz w:val="20"/>
                <w:szCs w:val="20"/>
              </w:rPr>
              <w:t>于封闭系统内，能够有效</w:t>
            </w:r>
          </w:p>
          <w:p w14:paraId="3C13D818">
            <w:pPr>
              <w:pStyle w:val="6"/>
              <w:spacing w:before="21" w:line="220" w:lineRule="auto"/>
              <w:ind w:left="139"/>
              <w:rPr>
                <w:sz w:val="20"/>
                <w:szCs w:val="20"/>
              </w:rPr>
            </w:pPr>
            <w:r>
              <w:rPr>
                <w:spacing w:val="-3"/>
                <w:sz w:val="20"/>
                <w:szCs w:val="20"/>
              </w:rPr>
              <w:t>避免无组织粉尘外排。</w:t>
            </w:r>
          </w:p>
          <w:p w14:paraId="2A290F0F">
            <w:pPr>
              <w:pStyle w:val="6"/>
              <w:spacing w:before="21" w:line="219" w:lineRule="auto"/>
              <w:ind w:left="144"/>
              <w:rPr>
                <w:sz w:val="20"/>
                <w:szCs w:val="20"/>
              </w:rPr>
            </w:pPr>
            <w:r>
              <w:rPr>
                <w:spacing w:val="-1"/>
                <w:sz w:val="20"/>
                <w:szCs w:val="20"/>
              </w:rPr>
              <w:t>项目生产所用原料采用</w:t>
            </w:r>
          </w:p>
          <w:p w14:paraId="52701982">
            <w:pPr>
              <w:pStyle w:val="6"/>
              <w:spacing w:before="22" w:line="219" w:lineRule="auto"/>
              <w:ind w:left="140"/>
              <w:rPr>
                <w:sz w:val="20"/>
                <w:szCs w:val="20"/>
              </w:rPr>
            </w:pPr>
            <w:r>
              <w:rPr>
                <w:spacing w:val="-1"/>
                <w:sz w:val="20"/>
                <w:szCs w:val="20"/>
              </w:rPr>
              <w:t>加盖篷布的车辆运输至</w:t>
            </w:r>
          </w:p>
          <w:p w14:paraId="3CA9717F">
            <w:pPr>
              <w:pStyle w:val="6"/>
              <w:spacing w:before="22" w:line="220" w:lineRule="auto"/>
              <w:ind w:left="65"/>
              <w:rPr>
                <w:sz w:val="20"/>
                <w:szCs w:val="20"/>
              </w:rPr>
            </w:pPr>
            <w:r>
              <w:rPr>
                <w:spacing w:val="-5"/>
                <w:sz w:val="20"/>
                <w:szCs w:val="20"/>
              </w:rPr>
              <w:t>厂区内，在封闭式堆棚内</w:t>
            </w:r>
          </w:p>
          <w:p w14:paraId="287BBE90">
            <w:pPr>
              <w:pStyle w:val="6"/>
              <w:spacing w:before="21" w:line="219" w:lineRule="auto"/>
              <w:ind w:left="63"/>
              <w:rPr>
                <w:sz w:val="20"/>
                <w:szCs w:val="20"/>
              </w:rPr>
            </w:pPr>
            <w:r>
              <w:rPr>
                <w:spacing w:val="-5"/>
                <w:sz w:val="20"/>
                <w:szCs w:val="20"/>
              </w:rPr>
              <w:t>堆放。产品采取袋装方式</w:t>
            </w:r>
          </w:p>
          <w:p w14:paraId="4C14FF7C">
            <w:pPr>
              <w:pStyle w:val="6"/>
              <w:spacing w:before="21" w:line="221" w:lineRule="auto"/>
              <w:ind w:left="66"/>
              <w:rPr>
                <w:sz w:val="20"/>
                <w:szCs w:val="20"/>
              </w:rPr>
            </w:pPr>
            <w:r>
              <w:rPr>
                <w:spacing w:val="-5"/>
                <w:sz w:val="20"/>
                <w:szCs w:val="20"/>
              </w:rPr>
              <w:t>外运出售，能够有效防治</w:t>
            </w:r>
          </w:p>
          <w:p w14:paraId="0023A5FB">
            <w:pPr>
              <w:pStyle w:val="6"/>
              <w:spacing w:before="22" w:line="205" w:lineRule="auto"/>
              <w:ind w:left="640"/>
              <w:rPr>
                <w:sz w:val="20"/>
                <w:szCs w:val="20"/>
              </w:rPr>
            </w:pPr>
            <w:r>
              <w:rPr>
                <w:spacing w:val="-2"/>
                <w:sz w:val="20"/>
                <w:szCs w:val="20"/>
              </w:rPr>
              <w:t>扬尘污染。</w:t>
            </w:r>
          </w:p>
        </w:tc>
        <w:tc>
          <w:tcPr>
            <w:tcW w:w="856" w:type="dxa"/>
            <w:vAlign w:val="top"/>
          </w:tcPr>
          <w:p w14:paraId="48816187">
            <w:pPr>
              <w:spacing w:line="252" w:lineRule="auto"/>
              <w:rPr>
                <w:rFonts w:ascii="Arial"/>
                <w:sz w:val="21"/>
              </w:rPr>
            </w:pPr>
          </w:p>
          <w:p w14:paraId="04EC778B">
            <w:pPr>
              <w:spacing w:line="252" w:lineRule="auto"/>
              <w:rPr>
                <w:rFonts w:ascii="Arial"/>
                <w:sz w:val="21"/>
              </w:rPr>
            </w:pPr>
          </w:p>
          <w:p w14:paraId="22F03C04">
            <w:pPr>
              <w:spacing w:line="252" w:lineRule="auto"/>
              <w:rPr>
                <w:rFonts w:ascii="Arial"/>
                <w:sz w:val="21"/>
              </w:rPr>
            </w:pPr>
          </w:p>
          <w:p w14:paraId="6981ECD9">
            <w:pPr>
              <w:spacing w:line="252" w:lineRule="auto"/>
              <w:rPr>
                <w:rFonts w:ascii="Arial"/>
                <w:sz w:val="21"/>
              </w:rPr>
            </w:pPr>
          </w:p>
          <w:p w14:paraId="1819DAA4">
            <w:pPr>
              <w:spacing w:line="252" w:lineRule="auto"/>
              <w:rPr>
                <w:rFonts w:ascii="Arial"/>
                <w:sz w:val="21"/>
              </w:rPr>
            </w:pPr>
          </w:p>
          <w:p w14:paraId="58DD59E2">
            <w:pPr>
              <w:spacing w:line="253" w:lineRule="auto"/>
              <w:rPr>
                <w:rFonts w:ascii="Arial"/>
                <w:sz w:val="21"/>
              </w:rPr>
            </w:pPr>
          </w:p>
          <w:p w14:paraId="60B244AB">
            <w:pPr>
              <w:pStyle w:val="6"/>
              <w:spacing w:before="65" w:line="220" w:lineRule="auto"/>
              <w:ind w:left="235"/>
              <w:rPr>
                <w:sz w:val="20"/>
                <w:szCs w:val="20"/>
              </w:rPr>
            </w:pPr>
            <w:r>
              <w:rPr>
                <w:spacing w:val="-3"/>
                <w:sz w:val="20"/>
                <w:szCs w:val="20"/>
              </w:rPr>
              <w:t>符合</w:t>
            </w:r>
          </w:p>
        </w:tc>
        <w:tc>
          <w:tcPr>
            <w:tcW w:w="74" w:type="dxa"/>
            <w:tcBorders>
              <w:top w:val="nil"/>
              <w:bottom w:val="nil"/>
            </w:tcBorders>
            <w:vAlign w:val="top"/>
          </w:tcPr>
          <w:p w14:paraId="3FBBDA64">
            <w:pPr>
              <w:rPr>
                <w:rFonts w:ascii="Arial"/>
                <w:sz w:val="21"/>
              </w:rPr>
            </w:pPr>
          </w:p>
        </w:tc>
      </w:tr>
      <w:tr w14:paraId="481BC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8" w:hRule="atLeast"/>
        </w:trPr>
        <w:tc>
          <w:tcPr>
            <w:tcW w:w="1323" w:type="dxa"/>
            <w:vMerge w:val="continue"/>
            <w:tcBorders>
              <w:top w:val="nil"/>
            </w:tcBorders>
            <w:vAlign w:val="top"/>
          </w:tcPr>
          <w:p w14:paraId="01A25F56">
            <w:pPr>
              <w:rPr>
                <w:rFonts w:ascii="Arial"/>
                <w:sz w:val="21"/>
              </w:rPr>
            </w:pPr>
          </w:p>
        </w:tc>
        <w:tc>
          <w:tcPr>
            <w:tcW w:w="7580" w:type="dxa"/>
            <w:gridSpan w:val="6"/>
            <w:vAlign w:val="top"/>
          </w:tcPr>
          <w:p w14:paraId="4BF47A08">
            <w:pPr>
              <w:pStyle w:val="6"/>
              <w:spacing w:before="133" w:line="228" w:lineRule="auto"/>
              <w:ind w:left="113"/>
            </w:pPr>
            <w:r>
              <w:rPr>
                <w:b/>
                <w:bCs/>
                <w:spacing w:val="7"/>
              </w:rPr>
              <w:t>8、项目使用生物质成型燃料的合理性分析</w:t>
            </w:r>
          </w:p>
          <w:p w14:paraId="1A848DD5">
            <w:pPr>
              <w:pStyle w:val="6"/>
              <w:spacing w:before="140" w:line="228" w:lineRule="auto"/>
              <w:ind w:left="564"/>
            </w:pPr>
            <w:r>
              <w:rPr>
                <w:b/>
                <w:bCs/>
                <w:spacing w:val="6"/>
              </w:rPr>
              <w:t>（1）与高污染燃料禁燃区的符合性</w:t>
            </w:r>
          </w:p>
          <w:p w14:paraId="786CD906">
            <w:pPr>
              <w:pStyle w:val="6"/>
              <w:spacing w:before="137" w:line="352" w:lineRule="auto"/>
              <w:ind w:left="111" w:right="14" w:firstLine="441"/>
            </w:pPr>
            <w:r>
              <w:rPr>
                <w:spacing w:val="13"/>
              </w:rPr>
              <w:t>根据达州市人民政府《关于调整高污染燃料禁燃区</w:t>
            </w:r>
            <w:r>
              <w:rPr>
                <w:spacing w:val="12"/>
              </w:rPr>
              <w:t>的通告》（达市府规</w:t>
            </w:r>
            <w:r>
              <w:t xml:space="preserve">  </w:t>
            </w:r>
            <w:r>
              <w:rPr>
                <w:spacing w:val="2"/>
              </w:rPr>
              <w:t>〔2025〕3号）可知，达州市高污染燃料禁燃区范围为：北至恩广高速（G5012）</w:t>
            </w:r>
            <w:r>
              <w:rPr>
                <w:spacing w:val="17"/>
              </w:rPr>
              <w:t xml:space="preserve"> </w:t>
            </w:r>
            <w:r>
              <w:rPr>
                <w:spacing w:val="8"/>
              </w:rPr>
              <w:t>（魏兴枢纽至东岳收费站段</w:t>
            </w:r>
            <w:r>
              <w:rPr>
                <w:spacing w:val="4"/>
              </w:rPr>
              <w:t>）</w:t>
            </w:r>
            <w:r>
              <w:rPr>
                <w:spacing w:val="-50"/>
              </w:rPr>
              <w:t xml:space="preserve"> </w:t>
            </w:r>
            <w:r>
              <w:rPr>
                <w:spacing w:val="4"/>
              </w:rPr>
              <w:t>，</w:t>
            </w:r>
            <w:r>
              <w:rPr>
                <w:spacing w:val="8"/>
              </w:rPr>
              <w:t>西至达州绕城公路接河市大道（东岳收费站</w:t>
            </w:r>
            <w:r>
              <w:rPr>
                <w:rFonts w:hint="eastAsia"/>
                <w:spacing w:val="8"/>
                <w:lang w:eastAsia="zh-CN"/>
              </w:rPr>
              <w:t>－</w:t>
            </w:r>
            <w:r>
              <w:t xml:space="preserve">  </w:t>
            </w:r>
            <w:r>
              <w:rPr>
                <w:spacing w:val="8"/>
              </w:rPr>
              <w:t>达州绕城公路-河市大道一段</w:t>
            </w:r>
            <w:r>
              <w:rPr>
                <w:rFonts w:hint="eastAsia"/>
                <w:spacing w:val="8"/>
                <w:lang w:eastAsia="zh-CN"/>
              </w:rPr>
              <w:t>－</w:t>
            </w:r>
            <w:r>
              <w:rPr>
                <w:spacing w:val="8"/>
              </w:rPr>
              <w:t>河市收费站</w:t>
            </w:r>
            <w:r>
              <w:rPr>
                <w:spacing w:val="1"/>
              </w:rPr>
              <w:t>）</w:t>
            </w:r>
            <w:r>
              <w:rPr>
                <w:spacing w:val="-51"/>
              </w:rPr>
              <w:t xml:space="preserve"> </w:t>
            </w:r>
            <w:r>
              <w:rPr>
                <w:spacing w:val="1"/>
              </w:rPr>
              <w:t>，</w:t>
            </w:r>
            <w:r>
              <w:rPr>
                <w:spacing w:val="8"/>
              </w:rPr>
              <w:t>南至达阆高速（河市收费站</w:t>
            </w:r>
            <w:r>
              <w:rPr>
                <w:rFonts w:hint="eastAsia"/>
                <w:spacing w:val="8"/>
                <w:lang w:eastAsia="zh-CN"/>
              </w:rPr>
              <w:t>－</w:t>
            </w:r>
            <w:r>
              <w:rPr>
                <w:spacing w:val="8"/>
              </w:rPr>
              <w:t>达</w:t>
            </w:r>
            <w:r>
              <w:rPr>
                <w:spacing w:val="12"/>
              </w:rPr>
              <w:t>阆高速</w:t>
            </w:r>
            <w:r>
              <w:rPr>
                <w:rFonts w:hint="eastAsia"/>
                <w:spacing w:val="12"/>
                <w:lang w:eastAsia="zh-CN"/>
              </w:rPr>
              <w:t>－</w:t>
            </w:r>
            <w:r>
              <w:rPr>
                <w:spacing w:val="12"/>
              </w:rPr>
              <w:t>包茂高速长溪河大桥段</w:t>
            </w:r>
            <w:r>
              <w:rPr>
                <w:spacing w:val="-4"/>
              </w:rPr>
              <w:t>）</w:t>
            </w:r>
            <w:r>
              <w:rPr>
                <w:spacing w:val="-61"/>
              </w:rPr>
              <w:t xml:space="preserve"> </w:t>
            </w:r>
            <w:r>
              <w:rPr>
                <w:spacing w:val="-4"/>
              </w:rPr>
              <w:t>，</w:t>
            </w:r>
            <w:r>
              <w:rPr>
                <w:spacing w:val="12"/>
              </w:rPr>
              <w:t>东至包茂高速（G65</w:t>
            </w:r>
            <w:r>
              <w:rPr>
                <w:spacing w:val="-4"/>
              </w:rPr>
              <w:t>）</w:t>
            </w:r>
            <w:r>
              <w:rPr>
                <w:spacing w:val="-84"/>
              </w:rPr>
              <w:t xml:space="preserve"> </w:t>
            </w:r>
            <w:r>
              <w:rPr>
                <w:spacing w:val="-4"/>
              </w:rPr>
              <w:t>（</w:t>
            </w:r>
            <w:r>
              <w:rPr>
                <w:spacing w:val="12"/>
              </w:rPr>
              <w:t>包茂高速长溪河</w:t>
            </w:r>
            <w:r>
              <w:t xml:space="preserve">  </w:t>
            </w:r>
            <w:r>
              <w:rPr>
                <w:spacing w:val="13"/>
              </w:rPr>
              <w:t>大桥段至魏兴枢纽段）所形成闭合区域内的所有区域。“二、</w:t>
            </w:r>
            <w:r>
              <w:rPr>
                <w:spacing w:val="12"/>
              </w:rPr>
              <w:t>高污染燃料禁</w:t>
            </w:r>
            <w:r>
              <w:t xml:space="preserve">  </w:t>
            </w:r>
            <w:r>
              <w:rPr>
                <w:spacing w:val="19"/>
              </w:rPr>
              <w:t>燃区内禁止燃用国环规大气</w:t>
            </w:r>
            <w:r>
              <w:rPr>
                <w:rFonts w:hint="eastAsia"/>
                <w:spacing w:val="19"/>
                <w:lang w:eastAsia="zh-CN"/>
              </w:rPr>
              <w:t>〔2017〕2号</w:t>
            </w:r>
            <w:r>
              <w:rPr>
                <w:spacing w:val="19"/>
              </w:rPr>
              <w:t>规定的第Ⅲ类禁</w:t>
            </w:r>
            <w:r>
              <w:rPr>
                <w:spacing w:val="18"/>
              </w:rPr>
              <w:t>燃燃料组合，</w:t>
            </w:r>
            <w:r>
              <w:rPr>
                <w:spacing w:val="-57"/>
              </w:rPr>
              <w:t xml:space="preserve"> </w:t>
            </w:r>
            <w:r>
              <w:rPr>
                <w:spacing w:val="18"/>
              </w:rPr>
              <w:t>包</w:t>
            </w:r>
            <w:r>
              <w:rPr>
                <w:spacing w:val="7"/>
              </w:rPr>
              <w:t>括</w:t>
            </w:r>
            <w:r>
              <w:rPr>
                <w:rFonts w:hint="eastAsia"/>
                <w:spacing w:val="7"/>
                <w:lang w:eastAsia="zh-CN"/>
              </w:rPr>
              <w:t>：（</w:t>
            </w:r>
            <w:r>
              <w:rPr>
                <w:spacing w:val="7"/>
              </w:rPr>
              <w:t>一</w:t>
            </w:r>
            <w:r>
              <w:rPr>
                <w:rFonts w:hint="eastAsia"/>
                <w:spacing w:val="7"/>
                <w:lang w:eastAsia="zh-CN"/>
              </w:rPr>
              <w:t>）</w:t>
            </w:r>
            <w:r>
              <w:rPr>
                <w:spacing w:val="7"/>
              </w:rPr>
              <w:t>煤炭及其制品；</w:t>
            </w:r>
            <w:r>
              <w:rPr>
                <w:spacing w:val="-43"/>
              </w:rPr>
              <w:t xml:space="preserve"> </w:t>
            </w:r>
            <w:r>
              <w:rPr>
                <w:rFonts w:hint="eastAsia"/>
                <w:spacing w:val="-43"/>
                <w:lang w:eastAsia="zh-CN"/>
              </w:rPr>
              <w:t>（</w:t>
            </w:r>
            <w:r>
              <w:rPr>
                <w:spacing w:val="7"/>
              </w:rPr>
              <w:t>二</w:t>
            </w:r>
            <w:r>
              <w:rPr>
                <w:rFonts w:hint="eastAsia"/>
                <w:spacing w:val="7"/>
                <w:lang w:eastAsia="zh-CN"/>
              </w:rPr>
              <w:t>）</w:t>
            </w:r>
            <w:r>
              <w:rPr>
                <w:spacing w:val="7"/>
              </w:rPr>
              <w:t>石油焦、油页岩、原油、重油、渣油、煤焦油；</w:t>
            </w:r>
          </w:p>
          <w:p w14:paraId="3A683EC1">
            <w:pPr>
              <w:pStyle w:val="6"/>
              <w:spacing w:before="1" w:line="227" w:lineRule="auto"/>
              <w:jc w:val="right"/>
            </w:pPr>
            <w:r>
              <w:rPr>
                <w:rFonts w:hint="eastAsia"/>
                <w:spacing w:val="8"/>
                <w:lang w:eastAsia="zh-CN"/>
              </w:rPr>
              <w:t>（</w:t>
            </w:r>
            <w:r>
              <w:rPr>
                <w:spacing w:val="8"/>
              </w:rPr>
              <w:t>三</w:t>
            </w:r>
            <w:r>
              <w:rPr>
                <w:rFonts w:hint="eastAsia"/>
                <w:spacing w:val="8"/>
                <w:lang w:eastAsia="zh-CN"/>
              </w:rPr>
              <w:t>）</w:t>
            </w:r>
            <w:r>
              <w:rPr>
                <w:spacing w:val="8"/>
              </w:rPr>
              <w:t>非专用锅炉或未配置高效除尘设施的专用锅炉燃用的生物质成型燃料。”</w:t>
            </w:r>
          </w:p>
          <w:p w14:paraId="05E39DF8">
            <w:pPr>
              <w:pStyle w:val="6"/>
              <w:spacing w:before="140" w:line="352" w:lineRule="auto"/>
              <w:ind w:left="114" w:right="50" w:firstLine="440"/>
            </w:pPr>
            <w:r>
              <w:rPr>
                <w:spacing w:val="13"/>
              </w:rPr>
              <w:t>经对比分析，本项目位于通川区东岳新型工业集聚区，</w:t>
            </w:r>
            <w:r>
              <w:rPr>
                <w:spacing w:val="12"/>
              </w:rPr>
              <w:t>不属于达州市的</w:t>
            </w:r>
            <w:r>
              <w:t xml:space="preserve"> </w:t>
            </w:r>
            <w:r>
              <w:rPr>
                <w:spacing w:val="8"/>
              </w:rPr>
              <w:t>高污染燃料禁燃区范围。同时本项目涉及使用的燃料主要有生物质成型</w:t>
            </w:r>
            <w:r>
              <w:rPr>
                <w:spacing w:val="7"/>
              </w:rPr>
              <w:t>燃料，</w:t>
            </w:r>
            <w:r>
              <w:t xml:space="preserve"> </w:t>
            </w:r>
            <w:r>
              <w:rPr>
                <w:spacing w:val="8"/>
              </w:rPr>
              <w:t>主要用于热风炉，均不属于上述文件明确禁止的高污染燃料类别。</w:t>
            </w:r>
          </w:p>
          <w:p w14:paraId="1D838E5F">
            <w:pPr>
              <w:pStyle w:val="6"/>
              <w:spacing w:line="227" w:lineRule="auto"/>
              <w:ind w:left="570"/>
            </w:pPr>
            <w:r>
              <w:rPr>
                <w:spacing w:val="8"/>
              </w:rPr>
              <w:t>因此，本项目符合达州市高污染燃料禁燃区的相关要求。</w:t>
            </w:r>
          </w:p>
          <w:p w14:paraId="21444C30">
            <w:pPr>
              <w:pStyle w:val="6"/>
              <w:spacing w:before="141" w:line="228" w:lineRule="auto"/>
              <w:ind w:left="564"/>
            </w:pPr>
            <w:r>
              <w:rPr>
                <w:b/>
                <w:bCs/>
                <w:spacing w:val="6"/>
              </w:rPr>
              <w:t>（2）与园区规划环评能源结构的符合性</w:t>
            </w:r>
          </w:p>
          <w:p w14:paraId="0AF8AB28">
            <w:pPr>
              <w:pStyle w:val="6"/>
              <w:spacing w:before="140" w:line="312" w:lineRule="auto"/>
              <w:ind w:left="112" w:right="109" w:firstLine="440"/>
              <w:jc w:val="both"/>
            </w:pPr>
            <w:r>
              <w:rPr>
                <w:spacing w:val="12"/>
              </w:rPr>
              <w:t>根据《达州市通川区东岳新型工业集聚区规划环境影响报告书</w:t>
            </w:r>
            <w:r>
              <w:rPr>
                <w:spacing w:val="11"/>
              </w:rPr>
              <w:t>》“</w:t>
            </w:r>
            <w:r>
              <w:rPr>
                <w:rFonts w:ascii="Times New Roman" w:hAnsi="Times New Roman" w:eastAsia="Times New Roman" w:cs="Times New Roman"/>
                <w:spacing w:val="11"/>
              </w:rPr>
              <w:t>6.1.7</w:t>
            </w:r>
            <w:r>
              <w:rPr>
                <w:rFonts w:ascii="Times New Roman" w:hAnsi="Times New Roman" w:eastAsia="Times New Roman" w:cs="Times New Roman"/>
              </w:rPr>
              <w:t xml:space="preserve"> </w:t>
            </w:r>
            <w:r>
              <w:rPr>
                <w:spacing w:val="11"/>
              </w:rPr>
              <w:t>能源结构的合理性  结合本园区主导产业，环评提出：</w:t>
            </w:r>
            <w:r>
              <w:rPr>
                <w:spacing w:val="-61"/>
              </w:rPr>
              <w:t xml:space="preserve"> </w:t>
            </w:r>
            <w:r>
              <w:rPr>
                <w:spacing w:val="11"/>
              </w:rPr>
              <w:t>园区居住、商业用地</w:t>
            </w:r>
            <w:r>
              <w:t xml:space="preserve"> </w:t>
            </w:r>
            <w:r>
              <w:rPr>
                <w:spacing w:val="13"/>
              </w:rPr>
              <w:t>全部以天然气、电为能源，禁止使用燃煤；工业用地应以天</w:t>
            </w:r>
            <w:r>
              <w:rPr>
                <w:spacing w:val="12"/>
              </w:rPr>
              <w:t>然气、电等清洁</w:t>
            </w:r>
          </w:p>
        </w:tc>
      </w:tr>
    </w:tbl>
    <w:p w14:paraId="630AB5E2">
      <w:pPr>
        <w:rPr>
          <w:rFonts w:ascii="Arial"/>
          <w:sz w:val="21"/>
        </w:rPr>
      </w:pPr>
    </w:p>
    <w:p w14:paraId="0944FC9A">
      <w:pPr>
        <w:rPr>
          <w:rFonts w:ascii="Arial" w:hAnsi="Arial" w:eastAsia="Arial" w:cs="Arial"/>
          <w:sz w:val="21"/>
          <w:szCs w:val="21"/>
        </w:rPr>
        <w:sectPr>
          <w:footerReference r:id="rId35" w:type="default"/>
          <w:pgSz w:w="11907" w:h="16839"/>
          <w:pgMar w:top="1431" w:right="1498" w:bottom="1055" w:left="1498" w:header="0" w:footer="802" w:gutter="0"/>
          <w:cols w:space="720" w:num="1"/>
        </w:sectPr>
      </w:pPr>
    </w:p>
    <w:p w14:paraId="11E5D89C">
      <w:pPr>
        <w:spacing w:before="28"/>
      </w:pPr>
    </w:p>
    <w:tbl>
      <w:tblPr>
        <w:tblStyle w:val="5"/>
        <w:tblW w:w="89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3"/>
        <w:gridCol w:w="7580"/>
      </w:tblGrid>
      <w:tr w14:paraId="1C079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42" w:hRule="atLeast"/>
        </w:trPr>
        <w:tc>
          <w:tcPr>
            <w:tcW w:w="1323" w:type="dxa"/>
            <w:vAlign w:val="top"/>
          </w:tcPr>
          <w:p w14:paraId="443DF74D">
            <w:pPr>
              <w:rPr>
                <w:rFonts w:ascii="Arial"/>
                <w:sz w:val="21"/>
              </w:rPr>
            </w:pPr>
          </w:p>
        </w:tc>
        <w:tc>
          <w:tcPr>
            <w:tcW w:w="7580" w:type="dxa"/>
            <w:vAlign w:val="top"/>
          </w:tcPr>
          <w:p w14:paraId="2D5CA97D">
            <w:pPr>
              <w:pStyle w:val="6"/>
              <w:spacing w:before="136" w:line="227" w:lineRule="auto"/>
              <w:ind w:left="121"/>
            </w:pPr>
            <w:r>
              <w:rPr>
                <w:spacing w:val="13"/>
              </w:rPr>
              <w:t>能源为主，经充分论证并采取相应的污染防治措施后可</w:t>
            </w:r>
            <w:r>
              <w:rPr>
                <w:spacing w:val="12"/>
              </w:rPr>
              <w:t>使用燃煤。”</w:t>
            </w:r>
          </w:p>
          <w:p w14:paraId="2C29F5BB">
            <w:pPr>
              <w:pStyle w:val="6"/>
              <w:spacing w:before="139" w:line="352" w:lineRule="auto"/>
              <w:ind w:left="112" w:right="4" w:firstLine="440"/>
              <w:jc w:val="both"/>
            </w:pPr>
            <w:r>
              <w:rPr>
                <w:spacing w:val="12"/>
              </w:rPr>
              <w:t>根据中华人民共和国环境保护部《对十二届全国人大三次会议第9207号</w:t>
            </w:r>
            <w:r>
              <w:rPr>
                <w:spacing w:val="3"/>
              </w:rPr>
              <w:t xml:space="preserve">  </w:t>
            </w:r>
            <w:r>
              <w:rPr>
                <w:spacing w:val="8"/>
              </w:rPr>
              <w:t>建议的答复》（环建函〔2015〕153号</w:t>
            </w:r>
            <w:r>
              <w:rPr>
                <w:spacing w:val="-2"/>
              </w:rPr>
              <w:t>）</w:t>
            </w:r>
            <w:r>
              <w:rPr>
                <w:spacing w:val="-60"/>
              </w:rPr>
              <w:t xml:space="preserve"> </w:t>
            </w:r>
            <w:r>
              <w:rPr>
                <w:spacing w:val="-2"/>
              </w:rPr>
              <w:t>，</w:t>
            </w:r>
            <w:r>
              <w:rPr>
                <w:spacing w:val="8"/>
              </w:rPr>
              <w:t>并参考江苏省生态环境厅</w:t>
            </w:r>
            <w:r>
              <w:rPr>
                <w:spacing w:val="7"/>
              </w:rPr>
              <w:t>有关“生</w:t>
            </w:r>
            <w:r>
              <w:t xml:space="preserve">  </w:t>
            </w:r>
            <w:r>
              <w:rPr>
                <w:spacing w:val="16"/>
              </w:rPr>
              <w:t>物质成型颗粒燃料是否属于清洁能源燃料？清洁能源燃料主要包括哪些？”</w:t>
            </w:r>
            <w:r>
              <w:t xml:space="preserve"> </w:t>
            </w:r>
            <w:r>
              <w:rPr>
                <w:spacing w:val="13"/>
              </w:rPr>
              <w:t>的咨询答复内容，均明确了“生物质具有低污染性、可再生</w:t>
            </w:r>
            <w:r>
              <w:rPr>
                <w:spacing w:val="12"/>
              </w:rPr>
              <w:t>性，是国家鼓励</w:t>
            </w:r>
            <w:r>
              <w:t xml:space="preserve">  </w:t>
            </w:r>
            <w:r>
              <w:rPr>
                <w:spacing w:val="13"/>
              </w:rPr>
              <w:t>发展的清洁能源。因此，生物质成型燃料颗粒燃料属于清洁</w:t>
            </w:r>
            <w:r>
              <w:rPr>
                <w:spacing w:val="12"/>
              </w:rPr>
              <w:t>能源燃料。根据</w:t>
            </w:r>
            <w:r>
              <w:t xml:space="preserve">  </w:t>
            </w:r>
            <w:r>
              <w:rPr>
                <w:spacing w:val="12"/>
              </w:rPr>
              <w:t>《中华人民共和国大气污染防治法》第三十八条要求，清洁能源燃料包括天</w:t>
            </w:r>
            <w:r>
              <w:rPr>
                <w:spacing w:val="8"/>
              </w:rPr>
              <w:t xml:space="preserve">  </w:t>
            </w:r>
            <w:r>
              <w:rPr>
                <w:spacing w:val="14"/>
              </w:rPr>
              <w:t>然气、页岩气、液化石油气、电或者其他清洁</w:t>
            </w:r>
            <w:r>
              <w:rPr>
                <w:spacing w:val="13"/>
              </w:rPr>
              <w:t>能源。”</w:t>
            </w:r>
          </w:p>
          <w:p w14:paraId="75A40A7D">
            <w:pPr>
              <w:pStyle w:val="6"/>
              <w:spacing w:line="351" w:lineRule="auto"/>
              <w:ind w:left="113" w:right="114" w:firstLine="456"/>
            </w:pPr>
            <w:r>
              <w:rPr>
                <w:spacing w:val="12"/>
              </w:rPr>
              <w:t>因此，本项目使用生物质成型燃料属于清洁能源，符合园区规划环评的</w:t>
            </w:r>
            <w:r>
              <w:rPr>
                <w:spacing w:val="7"/>
              </w:rPr>
              <w:t xml:space="preserve"> </w:t>
            </w:r>
            <w:r>
              <w:rPr>
                <w:spacing w:val="3"/>
              </w:rPr>
              <w:t>要求。</w:t>
            </w:r>
          </w:p>
          <w:p w14:paraId="587AB537">
            <w:pPr>
              <w:pStyle w:val="6"/>
              <w:spacing w:line="228" w:lineRule="auto"/>
              <w:ind w:left="113"/>
            </w:pPr>
            <w:r>
              <w:rPr>
                <w:b/>
                <w:bCs/>
                <w:spacing w:val="7"/>
              </w:rPr>
              <w:t>9、外环境关系及选址合理性分析</w:t>
            </w:r>
          </w:p>
          <w:p w14:paraId="7A1FD390">
            <w:pPr>
              <w:pStyle w:val="6"/>
              <w:spacing w:before="154" w:line="234" w:lineRule="auto"/>
              <w:ind w:left="509"/>
            </w:pPr>
            <w:r>
              <w:rPr>
                <w:b/>
                <w:bCs/>
                <w:spacing w:val="-4"/>
              </w:rPr>
              <w:t>（</w:t>
            </w:r>
            <w:r>
              <w:rPr>
                <w:rFonts w:ascii="Times New Roman" w:hAnsi="Times New Roman" w:eastAsia="Times New Roman" w:cs="Times New Roman"/>
                <w:b/>
                <w:bCs/>
                <w:spacing w:val="-4"/>
              </w:rPr>
              <w:t>1</w:t>
            </w:r>
            <w:r>
              <w:rPr>
                <w:b/>
                <w:bCs/>
                <w:spacing w:val="-4"/>
              </w:rPr>
              <w:t>）外环境关系</w:t>
            </w:r>
          </w:p>
          <w:p w14:paraId="50884893">
            <w:pPr>
              <w:pStyle w:val="6"/>
              <w:spacing w:before="138" w:line="357" w:lineRule="auto"/>
              <w:ind w:left="80" w:right="74" w:firstLine="421"/>
              <w:jc w:val="both"/>
            </w:pPr>
            <w:r>
              <w:t>本项目位于达州市通川区东岳新型工业集聚区，</w:t>
            </w:r>
            <w:r>
              <w:rPr>
                <w:spacing w:val="-38"/>
              </w:rPr>
              <w:t xml:space="preserve"> </w:t>
            </w:r>
            <w:r>
              <w:t xml:space="preserve">租用达州市通川区亚飞钢化 </w:t>
            </w:r>
            <w:r>
              <w:rPr>
                <w:spacing w:val="2"/>
              </w:rPr>
              <w:t>玻璃有限公司的闲置厂房建设。达州市通川区亚飞钢化玻璃有限公司“钢</w:t>
            </w:r>
            <w:r>
              <w:rPr>
                <w:spacing w:val="1"/>
              </w:rPr>
              <w:t>化玻璃</w:t>
            </w:r>
            <w:r>
              <w:t xml:space="preserve"> </w:t>
            </w:r>
            <w:r>
              <w:rPr>
                <w:spacing w:val="-2"/>
              </w:rPr>
              <w:t>门窗不锈钢管生产线</w:t>
            </w:r>
            <w:r>
              <w:rPr>
                <w:spacing w:val="-76"/>
              </w:rPr>
              <w:t xml:space="preserve"> </w:t>
            </w:r>
            <w:r>
              <w:rPr>
                <w:spacing w:val="-2"/>
              </w:rPr>
              <w:t>”已于</w:t>
            </w:r>
            <w:r>
              <w:rPr>
                <w:spacing w:val="-48"/>
              </w:rPr>
              <w:t xml:space="preserve"> </w:t>
            </w:r>
            <w:r>
              <w:rPr>
                <w:rFonts w:ascii="Times New Roman" w:hAnsi="Times New Roman" w:eastAsia="Times New Roman" w:cs="Times New Roman"/>
                <w:spacing w:val="-2"/>
              </w:rPr>
              <w:t xml:space="preserve">2020 </w:t>
            </w:r>
            <w:r>
              <w:rPr>
                <w:spacing w:val="-2"/>
              </w:rPr>
              <w:t>年</w:t>
            </w:r>
            <w:r>
              <w:rPr>
                <w:spacing w:val="-44"/>
              </w:rPr>
              <w:t xml:space="preserve"> </w:t>
            </w:r>
            <w:r>
              <w:rPr>
                <w:rFonts w:ascii="Times New Roman" w:hAnsi="Times New Roman" w:eastAsia="Times New Roman" w:cs="Times New Roman"/>
                <w:spacing w:val="-2"/>
              </w:rPr>
              <w:t>5</w:t>
            </w:r>
            <w:r>
              <w:rPr>
                <w:rFonts w:ascii="Times New Roman" w:hAnsi="Times New Roman" w:eastAsia="Times New Roman" w:cs="Times New Roman"/>
                <w:spacing w:val="15"/>
              </w:rPr>
              <w:t xml:space="preserve"> </w:t>
            </w:r>
            <w:r>
              <w:rPr>
                <w:spacing w:val="-2"/>
              </w:rPr>
              <w:t>月</w:t>
            </w:r>
            <w:r>
              <w:rPr>
                <w:spacing w:val="-3"/>
              </w:rPr>
              <w:t>建成，整个厂区</w:t>
            </w:r>
            <w:r>
              <w:rPr>
                <w:rFonts w:hint="eastAsia"/>
                <w:spacing w:val="-3"/>
                <w:lang w:eastAsia="zh-CN"/>
              </w:rPr>
              <w:t>共</w:t>
            </w:r>
            <w:r>
              <w:rPr>
                <w:spacing w:val="-3"/>
              </w:rPr>
              <w:t>建成八栋厂房，分别由</w:t>
            </w:r>
            <w:r>
              <w:t xml:space="preserve"> </w:t>
            </w:r>
            <w:r>
              <w:rPr>
                <w:spacing w:val="2"/>
              </w:rPr>
              <w:t>达州市顺腾不锈钢有限公司、达州市通川区亚飞钢化</w:t>
            </w:r>
            <w:r>
              <w:rPr>
                <w:spacing w:val="1"/>
              </w:rPr>
              <w:t>玻璃有限公司、达州市陈信</w:t>
            </w:r>
            <w:r>
              <w:t xml:space="preserve"> </w:t>
            </w:r>
            <w:r>
              <w:rPr>
                <w:spacing w:val="2"/>
              </w:rPr>
              <w:t>建材有限责任公司、达州市鸿富建材有限公司、达州</w:t>
            </w:r>
            <w:r>
              <w:rPr>
                <w:spacing w:val="1"/>
              </w:rPr>
              <w:t>市东顺源建材有限公司等五</w:t>
            </w:r>
            <w:r>
              <w:t xml:space="preserve"> </w:t>
            </w:r>
            <w:r>
              <w:rPr>
                <w:spacing w:val="2"/>
              </w:rPr>
              <w:t>家单位所有，其中达州市通川区亚飞钢化玻璃有限公</w:t>
            </w:r>
            <w:r>
              <w:rPr>
                <w:spacing w:val="1"/>
              </w:rPr>
              <w:t>司分得两栋生产厂房，亚飞</w:t>
            </w:r>
            <w:r>
              <w:t xml:space="preserve"> </w:t>
            </w:r>
            <w:r>
              <w:rPr>
                <w:spacing w:val="2"/>
              </w:rPr>
              <w:t>玻璃公司实际建设的玻璃生产线仅使用了南面的一栋厂房，北面</w:t>
            </w:r>
            <w:r>
              <w:rPr>
                <w:spacing w:val="1"/>
              </w:rPr>
              <w:t>的厂房全部外租</w:t>
            </w:r>
            <w:r>
              <w:t xml:space="preserve"> </w:t>
            </w:r>
            <w:r>
              <w:rPr>
                <w:spacing w:val="-1"/>
              </w:rPr>
              <w:t>其他企业生产经营。本项目租用的厂房即为亚飞</w:t>
            </w:r>
            <w:r>
              <w:rPr>
                <w:spacing w:val="-2"/>
              </w:rPr>
              <w:t>玻璃闲置的厂房。</w:t>
            </w:r>
          </w:p>
          <w:p w14:paraId="603F317E">
            <w:pPr>
              <w:pStyle w:val="6"/>
              <w:spacing w:before="1" w:line="357" w:lineRule="auto"/>
              <w:ind w:left="79" w:right="2" w:firstLine="421"/>
            </w:pPr>
            <w:r>
              <w:rPr>
                <w:spacing w:val="2"/>
              </w:rPr>
              <w:t>根据调查，本项目租用的厂房原企业为安泰美家木业，目前该企业已搬离生</w:t>
            </w:r>
            <w:r>
              <w:rPr>
                <w:spacing w:val="1"/>
              </w:rPr>
              <w:t xml:space="preserve"> </w:t>
            </w:r>
            <w:r>
              <w:rPr>
                <w:spacing w:val="-1"/>
              </w:rPr>
              <w:t>产设施设备。项目北面厂界外相距约</w:t>
            </w:r>
            <w:r>
              <w:rPr>
                <w:spacing w:val="-27"/>
              </w:rPr>
              <w:t xml:space="preserve"> </w:t>
            </w:r>
            <w:r>
              <w:rPr>
                <w:rFonts w:ascii="Times New Roman" w:hAnsi="Times New Roman" w:eastAsia="Times New Roman" w:cs="Times New Roman"/>
                <w:spacing w:val="-1"/>
              </w:rPr>
              <w:t>22m</w:t>
            </w:r>
            <w:r>
              <w:rPr>
                <w:rFonts w:ascii="Times New Roman" w:hAnsi="Times New Roman" w:eastAsia="Times New Roman" w:cs="Times New Roman"/>
                <w:spacing w:val="19"/>
                <w:w w:val="101"/>
              </w:rPr>
              <w:t xml:space="preserve"> </w:t>
            </w:r>
            <w:r>
              <w:rPr>
                <w:spacing w:val="-1"/>
              </w:rPr>
              <w:t>为东岳电厂。项目东面为原立信铁合金</w:t>
            </w:r>
            <w:r>
              <w:t xml:space="preserve"> </w:t>
            </w:r>
            <w:r>
              <w:rPr>
                <w:spacing w:val="2"/>
              </w:rPr>
              <w:t>公司的闲置厂房，两家企业以既有围墙为界；以东为磊福鑫石材厂</w:t>
            </w:r>
            <w:r>
              <w:rPr>
                <w:spacing w:val="1"/>
              </w:rPr>
              <w:t>，与本项目相</w:t>
            </w:r>
            <w:r>
              <w:t xml:space="preserve"> </w:t>
            </w:r>
            <w:r>
              <w:rPr>
                <w:spacing w:val="-4"/>
              </w:rPr>
              <w:t>距约</w:t>
            </w:r>
            <w:r>
              <w:rPr>
                <w:spacing w:val="-23"/>
              </w:rPr>
              <w:t xml:space="preserve"> </w:t>
            </w:r>
            <w:r>
              <w:rPr>
                <w:rFonts w:ascii="Times New Roman" w:hAnsi="Times New Roman" w:eastAsia="Times New Roman" w:cs="Times New Roman"/>
                <w:spacing w:val="-4"/>
              </w:rPr>
              <w:t>110m</w:t>
            </w:r>
            <w:r>
              <w:rPr>
                <w:spacing w:val="-4"/>
              </w:rPr>
              <w:t>；磊福鑫石材厂以东为达州绕城公路。项目南面相距约</w:t>
            </w:r>
            <w:r>
              <w:rPr>
                <w:spacing w:val="-27"/>
              </w:rPr>
              <w:t xml:space="preserve"> </w:t>
            </w:r>
            <w:r>
              <w:rPr>
                <w:rFonts w:ascii="Times New Roman" w:hAnsi="Times New Roman" w:eastAsia="Times New Roman" w:cs="Times New Roman"/>
                <w:spacing w:val="-4"/>
              </w:rPr>
              <w:t xml:space="preserve">15m </w:t>
            </w:r>
            <w:r>
              <w:rPr>
                <w:spacing w:val="-4"/>
              </w:rPr>
              <w:t>为亚飞玻璃</w:t>
            </w:r>
            <w:r>
              <w:t xml:space="preserve"> </w:t>
            </w:r>
            <w:r>
              <w:rPr>
                <w:spacing w:val="2"/>
              </w:rPr>
              <w:t>公司的生产车间，车间以南为亚飞玻璃公司的办公楼和亚飞汽修厂，再往南</w:t>
            </w:r>
            <w:r>
              <w:rPr>
                <w:spacing w:val="1"/>
              </w:rPr>
              <w:t>为园</w:t>
            </w:r>
            <w:r>
              <w:t xml:space="preserve"> </w:t>
            </w:r>
            <w:r>
              <w:rPr>
                <w:spacing w:val="-3"/>
              </w:rPr>
              <w:t xml:space="preserve">区道路；园区道路以南与本项目相距约 </w:t>
            </w:r>
            <w:r>
              <w:rPr>
                <w:rFonts w:ascii="Times New Roman" w:hAnsi="Times New Roman" w:eastAsia="Times New Roman" w:cs="Times New Roman"/>
                <w:spacing w:val="-3"/>
              </w:rPr>
              <w:t>200m</w:t>
            </w:r>
            <w:r>
              <w:rPr>
                <w:rFonts w:hint="eastAsia" w:ascii="Times New Roman" w:hAnsi="Times New Roman" w:eastAsia="宋体" w:cs="Times New Roman"/>
                <w:spacing w:val="-3"/>
                <w:lang w:eastAsia="zh-CN"/>
              </w:rPr>
              <w:t>～</w:t>
            </w:r>
            <w:r>
              <w:rPr>
                <w:rFonts w:ascii="Times New Roman" w:hAnsi="Times New Roman" w:eastAsia="Times New Roman" w:cs="Times New Roman"/>
                <w:spacing w:val="-3"/>
              </w:rPr>
              <w:t>370m</w:t>
            </w:r>
            <w:r>
              <w:rPr>
                <w:rFonts w:ascii="Times New Roman" w:hAnsi="Times New Roman" w:eastAsia="Times New Roman" w:cs="Times New Roman"/>
                <w:spacing w:val="27"/>
              </w:rPr>
              <w:t xml:space="preserve"> </w:t>
            </w:r>
            <w:r>
              <w:rPr>
                <w:spacing w:val="-3"/>
              </w:rPr>
              <w:t xml:space="preserve">处有 </w:t>
            </w:r>
            <w:r>
              <w:rPr>
                <w:rFonts w:ascii="Times New Roman" w:hAnsi="Times New Roman" w:eastAsia="Times New Roman" w:cs="Times New Roman"/>
                <w:spacing w:val="-3"/>
              </w:rPr>
              <w:t>13</w:t>
            </w:r>
            <w:r>
              <w:rPr>
                <w:rFonts w:ascii="Times New Roman" w:hAnsi="Times New Roman" w:eastAsia="Times New Roman" w:cs="Times New Roman"/>
                <w:spacing w:val="22"/>
              </w:rPr>
              <w:t xml:space="preserve"> </w:t>
            </w:r>
            <w:r>
              <w:rPr>
                <w:spacing w:val="-3"/>
              </w:rPr>
              <w:t>户住户。项目西面相</w:t>
            </w:r>
            <w:r>
              <w:t xml:space="preserve">  </w:t>
            </w:r>
            <w:r>
              <w:rPr>
                <w:spacing w:val="2"/>
              </w:rPr>
              <w:t>邻为中天石材和惠翔石材，本项目与中天石材</w:t>
            </w:r>
            <w:r>
              <w:rPr>
                <w:spacing w:val="1"/>
              </w:rPr>
              <w:t>和惠翔石材共用同一栋生产厂房；</w:t>
            </w:r>
            <w:r>
              <w:t xml:space="preserve">  </w:t>
            </w:r>
            <w:r>
              <w:rPr>
                <w:spacing w:val="2"/>
              </w:rPr>
              <w:t>中天石材在中间，惠翔石材靠西侧，本项目靠东侧，</w:t>
            </w:r>
            <w:r>
              <w:rPr>
                <w:spacing w:val="1"/>
              </w:rPr>
              <w:t>三家企业之间以彩钢板分隔</w:t>
            </w:r>
            <w:r>
              <w:t xml:space="preserve"> </w:t>
            </w:r>
            <w:r>
              <w:rPr>
                <w:spacing w:val="-1"/>
              </w:rPr>
              <w:t xml:space="preserve">独立。项目西南面有企业 </w:t>
            </w:r>
            <w:r>
              <w:rPr>
                <w:rFonts w:ascii="Times New Roman" w:hAnsi="Times New Roman" w:eastAsia="Times New Roman" w:cs="Times New Roman"/>
                <w:spacing w:val="-1"/>
              </w:rPr>
              <w:t>2</w:t>
            </w:r>
            <w:r>
              <w:rPr>
                <w:rFonts w:ascii="Times New Roman" w:hAnsi="Times New Roman" w:eastAsia="Times New Roman" w:cs="Times New Roman"/>
                <w:spacing w:val="50"/>
                <w:w w:val="101"/>
              </w:rPr>
              <w:t xml:space="preserve"> </w:t>
            </w:r>
            <w:r>
              <w:rPr>
                <w:spacing w:val="-1"/>
              </w:rPr>
              <w:t>家，分别是勇顺石材、鑫顺汽修汽配。本项目所在厂</w:t>
            </w:r>
            <w:r>
              <w:t xml:space="preserve"> </w:t>
            </w:r>
            <w:r>
              <w:rPr>
                <w:spacing w:val="-2"/>
              </w:rPr>
              <w:t>房西侧依次布局有</w:t>
            </w:r>
            <w:r>
              <w:rPr>
                <w:spacing w:val="-44"/>
              </w:rPr>
              <w:t xml:space="preserve"> </w:t>
            </w:r>
            <w:r>
              <w:rPr>
                <w:rFonts w:ascii="Times New Roman" w:hAnsi="Times New Roman" w:eastAsia="Times New Roman" w:cs="Times New Roman"/>
                <w:spacing w:val="-2"/>
              </w:rPr>
              <w:t xml:space="preserve">3 </w:t>
            </w:r>
            <w:r>
              <w:rPr>
                <w:spacing w:val="-2"/>
              </w:rPr>
              <w:t>栋厂房，厂房内经营的企业自东向西依次为顺腾不锈钢</w:t>
            </w:r>
            <w:r>
              <w:rPr>
                <w:spacing w:val="-3"/>
              </w:rPr>
              <w:t>建材、</w:t>
            </w:r>
            <w:r>
              <w:t xml:space="preserve"> </w:t>
            </w:r>
            <w:r>
              <w:rPr>
                <w:spacing w:val="2"/>
              </w:rPr>
              <w:t>鸿富建材、东顺源金属门窗、陈信建材、永正科技。</w:t>
            </w:r>
            <w:r>
              <w:rPr>
                <w:spacing w:val="1"/>
              </w:rPr>
              <w:t>厂房以西为魏复路，道路西</w:t>
            </w:r>
            <w:r>
              <w:t xml:space="preserve"> </w:t>
            </w:r>
            <w:r>
              <w:rPr>
                <w:spacing w:val="-2"/>
              </w:rPr>
              <w:t>侧有</w:t>
            </w:r>
            <w:r>
              <w:rPr>
                <w:spacing w:val="-25"/>
              </w:rPr>
              <w:t xml:space="preserve"> </w:t>
            </w:r>
            <w:r>
              <w:rPr>
                <w:rFonts w:ascii="Times New Roman" w:hAnsi="Times New Roman" w:eastAsia="Times New Roman" w:cs="Times New Roman"/>
                <w:spacing w:val="-2"/>
              </w:rPr>
              <w:t xml:space="preserve">6 </w:t>
            </w:r>
            <w:r>
              <w:rPr>
                <w:spacing w:val="-2"/>
              </w:rPr>
              <w:t>户住户，与本项目相距约</w:t>
            </w:r>
            <w:r>
              <w:rPr>
                <w:spacing w:val="-47"/>
              </w:rPr>
              <w:t xml:space="preserve"> </w:t>
            </w:r>
            <w:r>
              <w:rPr>
                <w:rFonts w:ascii="Times New Roman" w:hAnsi="Times New Roman" w:eastAsia="Times New Roman" w:cs="Times New Roman"/>
                <w:spacing w:val="-2"/>
              </w:rPr>
              <w:t>290m</w:t>
            </w:r>
            <w:r>
              <w:rPr>
                <w:spacing w:val="-2"/>
              </w:rPr>
              <w:t>。</w:t>
            </w:r>
          </w:p>
          <w:p w14:paraId="04BBEE14">
            <w:pPr>
              <w:pStyle w:val="6"/>
              <w:spacing w:line="224" w:lineRule="auto"/>
              <w:ind w:left="508"/>
            </w:pPr>
            <w:r>
              <w:rPr>
                <w:spacing w:val="-1"/>
              </w:rPr>
              <w:t>东岳场镇建成区位于项目西南面约</w:t>
            </w:r>
            <w:r>
              <w:rPr>
                <w:rFonts w:ascii="Times New Roman" w:hAnsi="Times New Roman" w:eastAsia="Times New Roman" w:cs="Times New Roman"/>
                <w:spacing w:val="-1"/>
              </w:rPr>
              <w:t>390m</w:t>
            </w:r>
            <w:r>
              <w:rPr>
                <w:rFonts w:ascii="Times New Roman" w:hAnsi="Times New Roman" w:eastAsia="Times New Roman" w:cs="Times New Roman"/>
                <w:spacing w:val="-2"/>
              </w:rPr>
              <w:t xml:space="preserve"> </w:t>
            </w:r>
            <w:r>
              <w:rPr>
                <w:spacing w:val="-2"/>
              </w:rPr>
              <w:t>处。项目附近地表水体为西面相距约</w:t>
            </w:r>
          </w:p>
        </w:tc>
      </w:tr>
    </w:tbl>
    <w:p w14:paraId="09CBA67F">
      <w:pPr>
        <w:rPr>
          <w:rFonts w:ascii="Arial"/>
          <w:sz w:val="21"/>
        </w:rPr>
      </w:pPr>
    </w:p>
    <w:p w14:paraId="7DC12211">
      <w:pPr>
        <w:rPr>
          <w:rFonts w:ascii="Arial" w:hAnsi="Arial" w:eastAsia="Arial" w:cs="Arial"/>
          <w:sz w:val="21"/>
          <w:szCs w:val="21"/>
        </w:rPr>
        <w:sectPr>
          <w:footerReference r:id="rId36" w:type="default"/>
          <w:pgSz w:w="11907" w:h="16839"/>
          <w:pgMar w:top="1431" w:right="1498" w:bottom="1055" w:left="1498" w:header="0" w:footer="802" w:gutter="0"/>
          <w:cols w:space="720" w:num="1"/>
        </w:sectPr>
      </w:pPr>
    </w:p>
    <w:p w14:paraId="04A9F2CF">
      <w:pPr>
        <w:spacing w:before="28"/>
      </w:pPr>
    </w:p>
    <w:tbl>
      <w:tblPr>
        <w:tblStyle w:val="5"/>
        <w:tblW w:w="89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3"/>
        <w:gridCol w:w="7580"/>
      </w:tblGrid>
      <w:tr w14:paraId="621ABB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3" w:hRule="atLeast"/>
        </w:trPr>
        <w:tc>
          <w:tcPr>
            <w:tcW w:w="1323" w:type="dxa"/>
            <w:vAlign w:val="top"/>
          </w:tcPr>
          <w:p w14:paraId="73F37128">
            <w:pPr>
              <w:rPr>
                <w:rFonts w:ascii="Arial"/>
                <w:sz w:val="21"/>
              </w:rPr>
            </w:pPr>
          </w:p>
        </w:tc>
        <w:tc>
          <w:tcPr>
            <w:tcW w:w="7580" w:type="dxa"/>
            <w:vAlign w:val="top"/>
          </w:tcPr>
          <w:p w14:paraId="018EC1C9">
            <w:pPr>
              <w:pStyle w:val="6"/>
              <w:spacing w:before="149" w:line="233" w:lineRule="auto"/>
              <w:jc w:val="right"/>
            </w:pPr>
            <w:r>
              <w:rPr>
                <w:rFonts w:ascii="Times New Roman" w:hAnsi="Times New Roman" w:eastAsia="Times New Roman" w:cs="Times New Roman"/>
                <w:spacing w:val="-8"/>
              </w:rPr>
              <w:t>370m</w:t>
            </w:r>
            <w:r>
              <w:rPr>
                <w:rFonts w:ascii="Times New Roman" w:hAnsi="Times New Roman" w:eastAsia="Times New Roman" w:cs="Times New Roman"/>
                <w:spacing w:val="26"/>
              </w:rPr>
              <w:t xml:space="preserve"> </w:t>
            </w:r>
            <w:r>
              <w:rPr>
                <w:spacing w:val="-8"/>
              </w:rPr>
              <w:t>的小河沟，小河沟向南汇入双龙河。双龙河位于本项目西南面，相距</w:t>
            </w:r>
            <w:r>
              <w:rPr>
                <w:spacing w:val="-9"/>
              </w:rPr>
              <w:t>约</w:t>
            </w:r>
            <w:r>
              <w:rPr>
                <w:spacing w:val="-44"/>
              </w:rPr>
              <w:t xml:space="preserve"> </w:t>
            </w:r>
            <w:r>
              <w:rPr>
                <w:rFonts w:ascii="Times New Roman" w:hAnsi="Times New Roman" w:eastAsia="Times New Roman" w:cs="Times New Roman"/>
                <w:spacing w:val="-9"/>
              </w:rPr>
              <w:t>725m</w:t>
            </w:r>
            <w:r>
              <w:rPr>
                <w:spacing w:val="-9"/>
              </w:rPr>
              <w:t>。</w:t>
            </w:r>
          </w:p>
          <w:p w14:paraId="748827ED">
            <w:pPr>
              <w:pStyle w:val="6"/>
              <w:spacing w:before="141" w:line="234" w:lineRule="auto"/>
              <w:ind w:left="509"/>
            </w:pPr>
            <w:r>
              <w:rPr>
                <w:b/>
                <w:bCs/>
                <w:spacing w:val="-3"/>
              </w:rPr>
              <w:t>（</w:t>
            </w:r>
            <w:r>
              <w:rPr>
                <w:rFonts w:ascii="Times New Roman" w:hAnsi="Times New Roman" w:eastAsia="Times New Roman" w:cs="Times New Roman"/>
                <w:b/>
                <w:bCs/>
                <w:spacing w:val="-3"/>
              </w:rPr>
              <w:t>2</w:t>
            </w:r>
            <w:r>
              <w:rPr>
                <w:b/>
                <w:bCs/>
                <w:spacing w:val="-3"/>
              </w:rPr>
              <w:t>）选址合理性分析</w:t>
            </w:r>
          </w:p>
          <w:p w14:paraId="50DB9352">
            <w:pPr>
              <w:pStyle w:val="6"/>
              <w:spacing w:before="139" w:line="357" w:lineRule="auto"/>
              <w:ind w:left="84" w:right="74" w:firstLine="417"/>
            </w:pPr>
            <w:r>
              <w:t>本项目位于达州市通川区东岳新型工业集聚区，</w:t>
            </w:r>
            <w:r>
              <w:rPr>
                <w:spacing w:val="-38"/>
              </w:rPr>
              <w:t xml:space="preserve"> </w:t>
            </w:r>
            <w:r>
              <w:t xml:space="preserve">租用达州市通川区亚飞钢化 </w:t>
            </w:r>
            <w:r>
              <w:rPr>
                <w:spacing w:val="-1"/>
              </w:rPr>
              <w:t>玻璃有限公司的闲置厂房建设，其选址合理性分析如下：</w:t>
            </w:r>
          </w:p>
          <w:p w14:paraId="1A1A20A4">
            <w:pPr>
              <w:pStyle w:val="6"/>
              <w:spacing w:before="1" w:line="311" w:lineRule="auto"/>
              <w:ind w:left="80" w:right="85" w:firstLine="425"/>
            </w:pPr>
            <w:r>
              <w:rPr>
                <w:spacing w:val="-2"/>
              </w:rPr>
              <w:t>（</w:t>
            </w:r>
            <w:r>
              <w:rPr>
                <w:rFonts w:ascii="Times New Roman" w:hAnsi="Times New Roman" w:eastAsia="Times New Roman" w:cs="Times New Roman"/>
                <w:spacing w:val="-2"/>
              </w:rPr>
              <w:t>1</w:t>
            </w:r>
            <w:r>
              <w:rPr>
                <w:spacing w:val="-2"/>
              </w:rPr>
              <w:t>）查阅相关资料，项目用地区域及评价范围内不涉及自然保护区、风景名</w:t>
            </w:r>
            <w:r>
              <w:rPr>
                <w:spacing w:val="14"/>
              </w:rPr>
              <w:t xml:space="preserve"> </w:t>
            </w:r>
            <w:r>
              <w:rPr>
                <w:spacing w:val="2"/>
              </w:rPr>
              <w:t>胜区等，也不属于生态保护红线范围，永久基本农</w:t>
            </w:r>
            <w:r>
              <w:rPr>
                <w:spacing w:val="1"/>
              </w:rPr>
              <w:t>田范围等依法设立的各级各类</w:t>
            </w:r>
            <w:r>
              <w:t xml:space="preserve"> </w:t>
            </w:r>
            <w:r>
              <w:rPr>
                <w:spacing w:val="-7"/>
              </w:rPr>
              <w:t>保护区域。</w:t>
            </w:r>
          </w:p>
          <w:p w14:paraId="6B84B3A0">
            <w:pPr>
              <w:pStyle w:val="6"/>
              <w:spacing w:before="155" w:line="311" w:lineRule="auto"/>
              <w:ind w:left="82" w:right="2" w:firstLine="423"/>
            </w:pPr>
            <w:r>
              <w:rPr>
                <w:spacing w:val="-1"/>
              </w:rPr>
              <w:t>（</w:t>
            </w:r>
            <w:r>
              <w:rPr>
                <w:rFonts w:ascii="Times New Roman" w:hAnsi="Times New Roman" w:eastAsia="Times New Roman" w:cs="Times New Roman"/>
                <w:spacing w:val="-1"/>
              </w:rPr>
              <w:t>2</w:t>
            </w:r>
            <w:r>
              <w:rPr>
                <w:spacing w:val="-1"/>
              </w:rPr>
              <w:t>）根据达州市人民政府《关于通川区乡镇集中</w:t>
            </w:r>
            <w:r>
              <w:rPr>
                <w:spacing w:val="-2"/>
              </w:rPr>
              <w:t>式饮用水水源地保护区划定</w:t>
            </w:r>
            <w:r>
              <w:t xml:space="preserve"> </w:t>
            </w:r>
            <w:r>
              <w:rPr>
                <w:spacing w:val="-2"/>
              </w:rPr>
              <w:t>调整的批复》（达市府函〔</w:t>
            </w:r>
            <w:r>
              <w:rPr>
                <w:rFonts w:ascii="Times New Roman" w:hAnsi="Times New Roman" w:eastAsia="Times New Roman" w:cs="Times New Roman"/>
                <w:spacing w:val="-2"/>
              </w:rPr>
              <w:t>2019</w:t>
            </w:r>
            <w:r>
              <w:rPr>
                <w:spacing w:val="-2"/>
              </w:rPr>
              <w:t>〕</w:t>
            </w:r>
            <w:r>
              <w:rPr>
                <w:rFonts w:ascii="Times New Roman" w:hAnsi="Times New Roman" w:eastAsia="Times New Roman" w:cs="Times New Roman"/>
                <w:spacing w:val="-2"/>
              </w:rPr>
              <w:t>165</w:t>
            </w:r>
            <w:r>
              <w:rPr>
                <w:rFonts w:ascii="Times New Roman" w:hAnsi="Times New Roman" w:eastAsia="Times New Roman" w:cs="Times New Roman"/>
                <w:spacing w:val="14"/>
              </w:rPr>
              <w:t xml:space="preserve"> </w:t>
            </w:r>
            <w:r>
              <w:rPr>
                <w:spacing w:val="-3"/>
              </w:rPr>
              <w:t>号</w:t>
            </w:r>
            <w:r>
              <w:rPr>
                <w:spacing w:val="-8"/>
              </w:rPr>
              <w:t>），</w:t>
            </w:r>
            <w:r>
              <w:rPr>
                <w:spacing w:val="-3"/>
              </w:rPr>
              <w:t>项目区域地表水体双龙河无饮用水源</w:t>
            </w:r>
            <w:r>
              <w:t xml:space="preserve"> </w:t>
            </w:r>
            <w:r>
              <w:rPr>
                <w:spacing w:val="-6"/>
              </w:rPr>
              <w:t>功能未设置集中式饮用水源取水点。因此，</w:t>
            </w:r>
            <w:r>
              <w:rPr>
                <w:spacing w:val="41"/>
              </w:rPr>
              <w:t xml:space="preserve"> </w:t>
            </w:r>
            <w:r>
              <w:rPr>
                <w:spacing w:val="-6"/>
              </w:rPr>
              <w:t>本项目不属于饮用水水源保护区范</w:t>
            </w:r>
            <w:r>
              <w:rPr>
                <w:spacing w:val="-7"/>
              </w:rPr>
              <w:t>围。</w:t>
            </w:r>
          </w:p>
          <w:p w14:paraId="571C0A04">
            <w:pPr>
              <w:pStyle w:val="6"/>
              <w:spacing w:before="156" w:line="311" w:lineRule="auto"/>
              <w:ind w:left="80" w:right="76" w:firstLine="426"/>
            </w:pPr>
            <w:r>
              <w:rPr>
                <w:spacing w:val="-4"/>
              </w:rPr>
              <w:t>（</w:t>
            </w:r>
            <w:r>
              <w:rPr>
                <w:rFonts w:ascii="Times New Roman" w:hAnsi="Times New Roman" w:eastAsia="Times New Roman" w:cs="Times New Roman"/>
                <w:spacing w:val="-4"/>
              </w:rPr>
              <w:t>3</w:t>
            </w:r>
            <w:r>
              <w:rPr>
                <w:spacing w:val="-4"/>
              </w:rPr>
              <w:t>）项目符合《达州市通川区东岳新型工业集聚区》功</w:t>
            </w:r>
            <w:r>
              <w:rPr>
                <w:spacing w:val="-5"/>
              </w:rPr>
              <w:t>能定位， 不属于禁止</w:t>
            </w:r>
            <w:r>
              <w:t xml:space="preserve"> </w:t>
            </w:r>
            <w:r>
              <w:rPr>
                <w:spacing w:val="2"/>
              </w:rPr>
              <w:t>及限制入驻企业类型，属于准许入驻类行业；与集聚区功能分区</w:t>
            </w:r>
            <w:r>
              <w:rPr>
                <w:spacing w:val="1"/>
              </w:rPr>
              <w:t>也是相容的。项</w:t>
            </w:r>
            <w:r>
              <w:t xml:space="preserve"> </w:t>
            </w:r>
            <w:r>
              <w:rPr>
                <w:spacing w:val="-2"/>
              </w:rPr>
              <w:t>目与达州市通川区东岳新型工业集聚区规划总体是相容的。</w:t>
            </w:r>
          </w:p>
          <w:p w14:paraId="1DC2AE61">
            <w:pPr>
              <w:pStyle w:val="6"/>
              <w:spacing w:before="157" w:line="311" w:lineRule="auto"/>
              <w:ind w:left="81" w:right="77" w:firstLine="424"/>
            </w:pPr>
            <w:r>
              <w:rPr>
                <w:spacing w:val="-1"/>
              </w:rPr>
              <w:t>（</w:t>
            </w:r>
            <w:r>
              <w:rPr>
                <w:rFonts w:ascii="Times New Roman" w:hAnsi="Times New Roman" w:eastAsia="Times New Roman" w:cs="Times New Roman"/>
                <w:spacing w:val="-1"/>
              </w:rPr>
              <w:t>4</w:t>
            </w:r>
            <w:r>
              <w:rPr>
                <w:spacing w:val="-1"/>
              </w:rPr>
              <w:t>）项目租用达州市通川区亚飞钢化玻璃有限公司</w:t>
            </w:r>
            <w:r>
              <w:rPr>
                <w:spacing w:val="-2"/>
              </w:rPr>
              <w:t>的闲置厂房，不涉及新增</w:t>
            </w:r>
            <w:r>
              <w:t xml:space="preserve"> </w:t>
            </w:r>
            <w:r>
              <w:rPr>
                <w:spacing w:val="2"/>
              </w:rPr>
              <w:t>土地占用。本项目所租用厂房占地属于规划的工</w:t>
            </w:r>
            <w:r>
              <w:rPr>
                <w:spacing w:val="1"/>
              </w:rPr>
              <w:t>业用地，不涉及占用永久基本农</w:t>
            </w:r>
            <w:r>
              <w:t xml:space="preserve"> </w:t>
            </w:r>
            <w:r>
              <w:rPr>
                <w:spacing w:val="-2"/>
              </w:rPr>
              <w:t>田、生态保护红线等。项目选址符合国土空间规划。</w:t>
            </w:r>
          </w:p>
          <w:p w14:paraId="705E5C25">
            <w:pPr>
              <w:pStyle w:val="6"/>
              <w:spacing w:before="155" w:line="323" w:lineRule="auto"/>
              <w:ind w:left="80" w:right="19" w:firstLine="425"/>
            </w:pPr>
            <w:r>
              <w:rPr>
                <w:spacing w:val="-6"/>
              </w:rPr>
              <w:t>（</w:t>
            </w:r>
            <w:r>
              <w:rPr>
                <w:rFonts w:ascii="Times New Roman" w:hAnsi="Times New Roman" w:eastAsia="Times New Roman" w:cs="Times New Roman"/>
                <w:spacing w:val="-6"/>
              </w:rPr>
              <w:t>5</w:t>
            </w:r>
            <w:r>
              <w:rPr>
                <w:spacing w:val="-6"/>
              </w:rPr>
              <w:t>）项目位于规划的工业园区范围，从外环境看，项目周边主要为工业企业，</w:t>
            </w:r>
            <w:r>
              <w:rPr>
                <w:spacing w:val="13"/>
              </w:rPr>
              <w:t xml:space="preserve"> </w:t>
            </w:r>
            <w:r>
              <w:rPr>
                <w:spacing w:val="-2"/>
              </w:rPr>
              <w:t>本项目也属于工业企业，与周边环境是相容的。</w:t>
            </w:r>
            <w:r>
              <w:rPr>
                <w:spacing w:val="-3"/>
              </w:rPr>
              <w:t>本项目租用的厂房空间相对独立，</w:t>
            </w:r>
            <w:r>
              <w:t xml:space="preserve"> </w:t>
            </w:r>
            <w:r>
              <w:rPr>
                <w:spacing w:val="2"/>
              </w:rPr>
              <w:t>不会与其他企业形成交叉影响，也不会影响厂房出</w:t>
            </w:r>
            <w:r>
              <w:rPr>
                <w:spacing w:val="1"/>
              </w:rPr>
              <w:t>租方亚飞玻璃公司钢化玻璃生</w:t>
            </w:r>
            <w:r>
              <w:t xml:space="preserve"> </w:t>
            </w:r>
            <w:r>
              <w:rPr>
                <w:spacing w:val="-5"/>
              </w:rPr>
              <w:t>产线的正常运行。</w:t>
            </w:r>
          </w:p>
          <w:p w14:paraId="53008A1E">
            <w:pPr>
              <w:pStyle w:val="6"/>
              <w:spacing w:before="158" w:line="311" w:lineRule="auto"/>
              <w:ind w:left="98" w:right="76" w:firstLine="408"/>
            </w:pPr>
            <w:r>
              <w:rPr>
                <w:spacing w:val="-1"/>
              </w:rPr>
              <w:t>（</w:t>
            </w:r>
            <w:r>
              <w:rPr>
                <w:rFonts w:ascii="Times New Roman" w:hAnsi="Times New Roman" w:eastAsia="Times New Roman" w:cs="Times New Roman"/>
                <w:spacing w:val="-1"/>
              </w:rPr>
              <w:t>6</w:t>
            </w:r>
            <w:r>
              <w:rPr>
                <w:spacing w:val="-1"/>
              </w:rPr>
              <w:t>）项目所处的园区已经过多年的发展，园区各项</w:t>
            </w:r>
            <w:r>
              <w:rPr>
                <w:spacing w:val="-2"/>
              </w:rPr>
              <w:t>配套设施完善，供水、供</w:t>
            </w:r>
            <w:r>
              <w:t xml:space="preserve"> </w:t>
            </w:r>
            <w:r>
              <w:rPr>
                <w:spacing w:val="1"/>
              </w:rPr>
              <w:t>电及外部交通网络通畅交通便利，能够满足本项目生产、生活需要，利于本项目</w:t>
            </w:r>
            <w:r>
              <w:rPr>
                <w:spacing w:val="4"/>
              </w:rPr>
              <w:t xml:space="preserve"> </w:t>
            </w:r>
            <w:r>
              <w:rPr>
                <w:spacing w:val="-11"/>
              </w:rPr>
              <w:t>的建设。</w:t>
            </w:r>
          </w:p>
          <w:p w14:paraId="4AD87FD5">
            <w:pPr>
              <w:pStyle w:val="6"/>
              <w:spacing w:before="155" w:line="219" w:lineRule="auto"/>
              <w:ind w:left="517"/>
            </w:pPr>
            <w:r>
              <w:rPr>
                <w:spacing w:val="-2"/>
              </w:rPr>
              <w:t>因此，本项目选址是合理的。</w:t>
            </w:r>
          </w:p>
        </w:tc>
      </w:tr>
    </w:tbl>
    <w:p w14:paraId="6E332C3B">
      <w:pPr>
        <w:rPr>
          <w:rFonts w:ascii="Arial"/>
          <w:sz w:val="21"/>
        </w:rPr>
      </w:pPr>
    </w:p>
    <w:p w14:paraId="5A2B96BF">
      <w:pPr>
        <w:rPr>
          <w:rFonts w:ascii="Arial" w:hAnsi="Arial" w:eastAsia="Arial" w:cs="Arial"/>
          <w:sz w:val="21"/>
          <w:szCs w:val="21"/>
        </w:rPr>
        <w:sectPr>
          <w:footerReference r:id="rId37" w:type="default"/>
          <w:pgSz w:w="11907" w:h="16839"/>
          <w:pgMar w:top="1431" w:right="1498" w:bottom="1055" w:left="1498" w:header="0" w:footer="802" w:gutter="0"/>
          <w:cols w:space="720" w:num="1"/>
        </w:sectPr>
      </w:pPr>
    </w:p>
    <w:p w14:paraId="6C8B730C">
      <w:pPr>
        <w:spacing w:before="315" w:line="219" w:lineRule="auto"/>
        <w:ind w:left="3018"/>
        <w:rPr>
          <w:rFonts w:ascii="黑体" w:hAnsi="黑体" w:eastAsia="黑体" w:cs="黑体"/>
          <w:sz w:val="30"/>
          <w:szCs w:val="30"/>
        </w:rPr>
      </w:pPr>
      <w:r>
        <w:rPr>
          <w:rFonts w:ascii="黑体" w:hAnsi="黑体" w:eastAsia="黑体" w:cs="黑体"/>
          <w:spacing w:val="-2"/>
          <w:sz w:val="30"/>
          <w:szCs w:val="30"/>
        </w:rPr>
        <w:t>二、建设项目工程分析</w:t>
      </w:r>
    </w:p>
    <w:p w14:paraId="4CBA30CA">
      <w:pPr>
        <w:spacing w:before="25"/>
      </w:pPr>
    </w:p>
    <w:tbl>
      <w:tblPr>
        <w:tblStyle w:val="5"/>
        <w:tblW w:w="89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2"/>
        <w:gridCol w:w="8156"/>
      </w:tblGrid>
      <w:tr w14:paraId="2CFED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30" w:hRule="atLeast"/>
        </w:trPr>
        <w:tc>
          <w:tcPr>
            <w:tcW w:w="832" w:type="dxa"/>
            <w:tcBorders>
              <w:bottom w:val="single" w:color="000000" w:sz="2" w:space="0"/>
              <w:right w:val="single" w:color="000000" w:sz="2" w:space="0"/>
            </w:tcBorders>
            <w:vAlign w:val="top"/>
          </w:tcPr>
          <w:p w14:paraId="378E1799">
            <w:pPr>
              <w:spacing w:line="249" w:lineRule="auto"/>
              <w:rPr>
                <w:rFonts w:ascii="Arial"/>
                <w:sz w:val="21"/>
              </w:rPr>
            </w:pPr>
          </w:p>
          <w:p w14:paraId="16A5EFB4">
            <w:pPr>
              <w:spacing w:line="249" w:lineRule="auto"/>
              <w:rPr>
                <w:rFonts w:ascii="Arial"/>
                <w:sz w:val="21"/>
              </w:rPr>
            </w:pPr>
          </w:p>
          <w:p w14:paraId="519E48C5">
            <w:pPr>
              <w:spacing w:line="249" w:lineRule="auto"/>
              <w:rPr>
                <w:rFonts w:ascii="Arial"/>
                <w:sz w:val="21"/>
              </w:rPr>
            </w:pPr>
          </w:p>
          <w:p w14:paraId="6618D84C">
            <w:pPr>
              <w:spacing w:line="249" w:lineRule="auto"/>
              <w:rPr>
                <w:rFonts w:ascii="Arial"/>
                <w:sz w:val="21"/>
              </w:rPr>
            </w:pPr>
          </w:p>
          <w:p w14:paraId="17E398FE">
            <w:pPr>
              <w:spacing w:line="249" w:lineRule="auto"/>
              <w:rPr>
                <w:rFonts w:ascii="Arial"/>
                <w:sz w:val="21"/>
              </w:rPr>
            </w:pPr>
          </w:p>
          <w:p w14:paraId="777FBEAD">
            <w:pPr>
              <w:spacing w:line="249" w:lineRule="auto"/>
              <w:rPr>
                <w:rFonts w:ascii="Arial"/>
                <w:sz w:val="21"/>
              </w:rPr>
            </w:pPr>
          </w:p>
          <w:p w14:paraId="49B98F02">
            <w:pPr>
              <w:spacing w:line="249" w:lineRule="auto"/>
              <w:rPr>
                <w:rFonts w:ascii="Arial"/>
                <w:sz w:val="21"/>
              </w:rPr>
            </w:pPr>
          </w:p>
          <w:p w14:paraId="13AA6010">
            <w:pPr>
              <w:spacing w:line="249" w:lineRule="auto"/>
              <w:rPr>
                <w:rFonts w:ascii="Arial"/>
                <w:sz w:val="21"/>
              </w:rPr>
            </w:pPr>
          </w:p>
          <w:p w14:paraId="2989DF9E">
            <w:pPr>
              <w:spacing w:line="249" w:lineRule="auto"/>
              <w:rPr>
                <w:rFonts w:ascii="Arial"/>
                <w:sz w:val="21"/>
              </w:rPr>
            </w:pPr>
          </w:p>
          <w:p w14:paraId="400C3B58">
            <w:pPr>
              <w:spacing w:line="249" w:lineRule="auto"/>
              <w:rPr>
                <w:rFonts w:ascii="Arial"/>
                <w:sz w:val="21"/>
              </w:rPr>
            </w:pPr>
          </w:p>
          <w:p w14:paraId="3674F8D9">
            <w:pPr>
              <w:spacing w:line="249" w:lineRule="auto"/>
              <w:rPr>
                <w:rFonts w:ascii="Arial"/>
                <w:sz w:val="21"/>
              </w:rPr>
            </w:pPr>
          </w:p>
          <w:p w14:paraId="6703BA99">
            <w:pPr>
              <w:spacing w:line="249" w:lineRule="auto"/>
              <w:rPr>
                <w:rFonts w:ascii="Arial"/>
                <w:sz w:val="21"/>
              </w:rPr>
            </w:pPr>
          </w:p>
          <w:p w14:paraId="02309BC5">
            <w:pPr>
              <w:spacing w:line="250" w:lineRule="auto"/>
              <w:rPr>
                <w:rFonts w:ascii="Arial"/>
                <w:sz w:val="21"/>
              </w:rPr>
            </w:pPr>
          </w:p>
          <w:p w14:paraId="6B1B286B">
            <w:pPr>
              <w:spacing w:line="250" w:lineRule="auto"/>
              <w:rPr>
                <w:rFonts w:ascii="Arial"/>
                <w:sz w:val="21"/>
              </w:rPr>
            </w:pPr>
          </w:p>
          <w:p w14:paraId="64097350">
            <w:pPr>
              <w:spacing w:line="250" w:lineRule="auto"/>
              <w:rPr>
                <w:rFonts w:ascii="Arial"/>
                <w:sz w:val="21"/>
              </w:rPr>
            </w:pPr>
          </w:p>
          <w:p w14:paraId="600BE551">
            <w:pPr>
              <w:spacing w:line="250" w:lineRule="auto"/>
              <w:rPr>
                <w:rFonts w:ascii="Arial"/>
                <w:sz w:val="21"/>
              </w:rPr>
            </w:pPr>
          </w:p>
          <w:p w14:paraId="0B20E14F">
            <w:pPr>
              <w:spacing w:line="250" w:lineRule="auto"/>
              <w:rPr>
                <w:rFonts w:ascii="Arial"/>
                <w:sz w:val="21"/>
              </w:rPr>
            </w:pPr>
          </w:p>
          <w:p w14:paraId="3F754548">
            <w:pPr>
              <w:spacing w:line="250" w:lineRule="auto"/>
              <w:rPr>
                <w:rFonts w:ascii="Arial"/>
                <w:sz w:val="21"/>
              </w:rPr>
            </w:pPr>
          </w:p>
          <w:p w14:paraId="6B72B3A2">
            <w:pPr>
              <w:spacing w:line="250" w:lineRule="auto"/>
              <w:rPr>
                <w:rFonts w:ascii="Arial"/>
                <w:sz w:val="21"/>
              </w:rPr>
            </w:pPr>
          </w:p>
          <w:p w14:paraId="00427669">
            <w:pPr>
              <w:spacing w:line="250" w:lineRule="auto"/>
              <w:rPr>
                <w:rFonts w:ascii="Arial"/>
                <w:sz w:val="21"/>
              </w:rPr>
            </w:pPr>
          </w:p>
          <w:p w14:paraId="40D4A285">
            <w:pPr>
              <w:spacing w:line="250" w:lineRule="auto"/>
              <w:rPr>
                <w:rFonts w:ascii="Arial"/>
                <w:sz w:val="21"/>
              </w:rPr>
            </w:pPr>
          </w:p>
          <w:p w14:paraId="527EB077">
            <w:pPr>
              <w:spacing w:line="250" w:lineRule="auto"/>
              <w:rPr>
                <w:rFonts w:ascii="Arial"/>
                <w:sz w:val="21"/>
              </w:rPr>
            </w:pPr>
          </w:p>
          <w:p w14:paraId="18DE5B90">
            <w:pPr>
              <w:pStyle w:val="6"/>
              <w:spacing w:before="68" w:line="221" w:lineRule="auto"/>
              <w:ind w:left="206"/>
            </w:pPr>
            <w:r>
              <w:rPr>
                <w:b/>
                <w:bCs/>
                <w:spacing w:val="-5"/>
              </w:rPr>
              <w:t>建设</w:t>
            </w:r>
          </w:p>
          <w:p w14:paraId="41EA0CBB">
            <w:pPr>
              <w:pStyle w:val="6"/>
              <w:spacing w:before="20" w:line="220" w:lineRule="auto"/>
              <w:ind w:left="228"/>
            </w:pPr>
            <w:r>
              <w:rPr>
                <w:b/>
                <w:bCs/>
                <w:spacing w:val="-11"/>
              </w:rPr>
              <w:t>内容</w:t>
            </w:r>
          </w:p>
        </w:tc>
        <w:tc>
          <w:tcPr>
            <w:tcW w:w="8156" w:type="dxa"/>
            <w:tcBorders>
              <w:left w:val="single" w:color="000000" w:sz="2" w:space="0"/>
              <w:bottom w:val="single" w:color="000000" w:sz="2" w:space="0"/>
            </w:tcBorders>
            <w:vAlign w:val="top"/>
          </w:tcPr>
          <w:p w14:paraId="070BAFF0">
            <w:pPr>
              <w:spacing w:before="137" w:line="242" w:lineRule="auto"/>
              <w:ind w:left="72"/>
              <w:rPr>
                <w:rFonts w:ascii="黑体" w:hAnsi="黑体" w:eastAsia="黑体" w:cs="黑体"/>
                <w:sz w:val="21"/>
                <w:szCs w:val="21"/>
              </w:rPr>
            </w:pPr>
            <w:r>
              <w:rPr>
                <w:rFonts w:ascii="Times New Roman" w:hAnsi="Times New Roman" w:eastAsia="Times New Roman" w:cs="Times New Roman"/>
                <w:spacing w:val="4"/>
                <w:sz w:val="21"/>
                <w:szCs w:val="21"/>
              </w:rPr>
              <w:t>1</w:t>
            </w:r>
            <w:r>
              <w:rPr>
                <w:rFonts w:ascii="黑体" w:hAnsi="黑体" w:eastAsia="黑体" w:cs="黑体"/>
                <w:spacing w:val="4"/>
                <w:sz w:val="21"/>
                <w:szCs w:val="21"/>
              </w:rPr>
              <w:t>、项目由来</w:t>
            </w:r>
          </w:p>
          <w:p w14:paraId="6CF3049D">
            <w:pPr>
              <w:pStyle w:val="6"/>
              <w:spacing w:before="129" w:line="352" w:lineRule="auto"/>
              <w:ind w:left="107" w:right="102" w:firstLine="421"/>
              <w:jc w:val="both"/>
            </w:pPr>
            <w:r>
              <w:rPr>
                <w:spacing w:val="-1"/>
              </w:rPr>
              <w:t>生物质能源是重要的可再生能源，不仅处理了大量农作物</w:t>
            </w:r>
            <w:r>
              <w:rPr>
                <w:spacing w:val="-2"/>
              </w:rPr>
              <w:t>秸秆、农林剩余物、城乡</w:t>
            </w:r>
            <w:r>
              <w:t xml:space="preserve"> </w:t>
            </w:r>
            <w:r>
              <w:rPr>
                <w:spacing w:val="-1"/>
              </w:rPr>
              <w:t>有机废物等，而且对促进生态文明建设、改善乡村环境、增加清洁</w:t>
            </w:r>
            <w:r>
              <w:rPr>
                <w:spacing w:val="-2"/>
              </w:rPr>
              <w:t>能源供应、应对大气</w:t>
            </w:r>
            <w:r>
              <w:t xml:space="preserve"> </w:t>
            </w:r>
            <w:r>
              <w:rPr>
                <w:spacing w:val="-6"/>
              </w:rPr>
              <w:t>污染、推动农业发展和农民增收具有重要意义，</w:t>
            </w:r>
            <w:r>
              <w:rPr>
                <w:spacing w:val="78"/>
              </w:rPr>
              <w:t xml:space="preserve"> </w:t>
            </w:r>
            <w:r>
              <w:rPr>
                <w:spacing w:val="-6"/>
              </w:rPr>
              <w:t>同时兼具“碳中和”特点，能够为实现</w:t>
            </w:r>
            <w:r>
              <w:t xml:space="preserve"> </w:t>
            </w:r>
            <w:r>
              <w:rPr>
                <w:spacing w:val="-1"/>
              </w:rPr>
              <w:t>碳达峰、碳中和目标任务做出积极贡献。国家能源局会同国家发展改</w:t>
            </w:r>
            <w:r>
              <w:rPr>
                <w:spacing w:val="-2"/>
              </w:rPr>
              <w:t>革委、财政部、自</w:t>
            </w:r>
            <w:r>
              <w:t xml:space="preserve"> 然资源部、生态环境部等</w:t>
            </w:r>
            <w:r>
              <w:rPr>
                <w:rFonts w:ascii="Times New Roman" w:hAnsi="Times New Roman" w:eastAsia="Times New Roman" w:cs="Times New Roman"/>
              </w:rPr>
              <w:t>9</w:t>
            </w:r>
            <w:r>
              <w:t>部门联合印发了《“十四五”可再生</w:t>
            </w:r>
            <w:r>
              <w:rPr>
                <w:spacing w:val="-1"/>
              </w:rPr>
              <w:t>能源发展规划》（发改</w:t>
            </w:r>
            <w:r>
              <w:t xml:space="preserve"> </w:t>
            </w:r>
            <w:r>
              <w:rPr>
                <w:spacing w:val="-1"/>
              </w:rPr>
              <w:t>能源〔</w:t>
            </w:r>
            <w:r>
              <w:rPr>
                <w:rFonts w:ascii="Times New Roman" w:hAnsi="Times New Roman" w:eastAsia="Times New Roman" w:cs="Times New Roman"/>
                <w:spacing w:val="-1"/>
              </w:rPr>
              <w:t>2021</w:t>
            </w:r>
            <w:r>
              <w:rPr>
                <w:spacing w:val="-1"/>
              </w:rPr>
              <w:t>〕</w:t>
            </w:r>
            <w:r>
              <w:rPr>
                <w:rFonts w:ascii="Times New Roman" w:hAnsi="Times New Roman" w:eastAsia="Times New Roman" w:cs="Times New Roman"/>
                <w:spacing w:val="-1"/>
              </w:rPr>
              <w:t>1445</w:t>
            </w:r>
            <w:r>
              <w:rPr>
                <w:spacing w:val="-1"/>
              </w:rPr>
              <w:t>号</w:t>
            </w:r>
            <w:r>
              <w:rPr>
                <w:spacing w:val="-3"/>
              </w:rPr>
              <w:t>），</w:t>
            </w:r>
            <w:r>
              <w:rPr>
                <w:spacing w:val="-1"/>
              </w:rPr>
              <w:t>提出稳步发展生物质发电、积极发展生物质能清洁供暖、加快</w:t>
            </w:r>
            <w:r>
              <w:t xml:space="preserve"> </w:t>
            </w:r>
            <w:r>
              <w:rPr>
                <w:spacing w:val="-1"/>
              </w:rPr>
              <w:t>发展生物天然气，推进生物质能多元化开发，加强生物质能的资源化利</w:t>
            </w:r>
            <w:r>
              <w:rPr>
                <w:spacing w:val="-2"/>
              </w:rPr>
              <w:t>用，推进生物质</w:t>
            </w:r>
            <w:r>
              <w:t xml:space="preserve"> </w:t>
            </w:r>
            <w:r>
              <w:rPr>
                <w:spacing w:val="-1"/>
              </w:rPr>
              <w:t>成型燃料及专用设备标准制定，助力农村人居环境整治提升，支撑生态</w:t>
            </w:r>
            <w:r>
              <w:rPr>
                <w:spacing w:val="-2"/>
              </w:rPr>
              <w:t>宜居美丽乡村建</w:t>
            </w:r>
            <w:r>
              <w:t xml:space="preserve"> </w:t>
            </w:r>
            <w:r>
              <w:rPr>
                <w:spacing w:val="-10"/>
              </w:rPr>
              <w:t>设。</w:t>
            </w:r>
          </w:p>
          <w:p w14:paraId="5742E859">
            <w:pPr>
              <w:pStyle w:val="6"/>
              <w:spacing w:before="7" w:line="351" w:lineRule="auto"/>
              <w:ind w:left="107" w:right="26" w:firstLine="421"/>
              <w:jc w:val="both"/>
            </w:pPr>
            <w:r>
              <w:rPr>
                <w:spacing w:val="-1"/>
              </w:rPr>
              <w:t>我国是农林大国，生物质资源非常丰富，具有开发利用生</w:t>
            </w:r>
            <w:r>
              <w:rPr>
                <w:spacing w:val="-2"/>
              </w:rPr>
              <w:t>物质能的良好条件。特别</w:t>
            </w:r>
            <w:r>
              <w:t xml:space="preserve"> </w:t>
            </w:r>
            <w:r>
              <w:rPr>
                <w:spacing w:val="-5"/>
              </w:rPr>
              <w:t>是在我国石油、天然气等化石能源十分短缺的情况下，</w:t>
            </w:r>
            <w:r>
              <w:rPr>
                <w:spacing w:val="43"/>
              </w:rPr>
              <w:t xml:space="preserve"> </w:t>
            </w:r>
            <w:r>
              <w:rPr>
                <w:spacing w:val="-5"/>
              </w:rPr>
              <w:t>开发利用生物质能源，</w:t>
            </w:r>
            <w:r>
              <w:rPr>
                <w:spacing w:val="-6"/>
              </w:rPr>
              <w:t>对维护我</w:t>
            </w:r>
            <w:r>
              <w:t xml:space="preserve"> </w:t>
            </w:r>
            <w:r>
              <w:rPr>
                <w:spacing w:val="-5"/>
              </w:rPr>
              <w:t>国能源安全、优化能源结构，</w:t>
            </w:r>
            <w:r>
              <w:rPr>
                <w:spacing w:val="49"/>
              </w:rPr>
              <w:t xml:space="preserve"> </w:t>
            </w:r>
            <w:r>
              <w:rPr>
                <w:spacing w:val="-5"/>
              </w:rPr>
              <w:t>缓解我国能源紧张的矛盾，促进</w:t>
            </w:r>
            <w:r>
              <w:rPr>
                <w:spacing w:val="-6"/>
              </w:rPr>
              <w:t>农村和农业发展，有效解</w:t>
            </w:r>
            <w:r>
              <w:t xml:space="preserve"> </w:t>
            </w:r>
            <w:r>
              <w:rPr>
                <w:spacing w:val="-5"/>
              </w:rPr>
              <w:t>决“三农”问题，建设社会主义新农村，实现农业经济可持续发展具有十分重要的意义，</w:t>
            </w:r>
            <w:r>
              <w:rPr>
                <w:spacing w:val="15"/>
              </w:rPr>
              <w:t xml:space="preserve"> </w:t>
            </w:r>
            <w:r>
              <w:rPr>
                <w:spacing w:val="-1"/>
              </w:rPr>
              <w:t>加大生物质能的开发利用，对于提高能源利用率，减少温室气体的排</w:t>
            </w:r>
            <w:r>
              <w:rPr>
                <w:spacing w:val="-2"/>
              </w:rPr>
              <w:t>放，保护生态环境</w:t>
            </w:r>
            <w:r>
              <w:t xml:space="preserve"> </w:t>
            </w:r>
            <w:r>
              <w:rPr>
                <w:spacing w:val="-1"/>
              </w:rPr>
              <w:t>同样具有重大意义。生物质成型颗粒燃料是一种可再生的新能源，是利用木材、木</w:t>
            </w:r>
            <w:r>
              <w:rPr>
                <w:spacing w:val="-2"/>
              </w:rPr>
              <w:t>屑、</w:t>
            </w:r>
            <w:r>
              <w:t xml:space="preserve"> </w:t>
            </w:r>
            <w:r>
              <w:rPr>
                <w:spacing w:val="-9"/>
              </w:rPr>
              <w:t>玉米秸秆、稻秆、稻壳等农、林废弃物，</w:t>
            </w:r>
            <w:r>
              <w:rPr>
                <w:spacing w:val="52"/>
              </w:rPr>
              <w:t xml:space="preserve"> </w:t>
            </w:r>
            <w:r>
              <w:rPr>
                <w:spacing w:val="-9"/>
              </w:rPr>
              <w:t>经粉碎</w:t>
            </w:r>
            <w:r>
              <w:rPr>
                <w:spacing w:val="-10"/>
              </w:rPr>
              <w:t>、烘干、挤压等工艺，</w:t>
            </w:r>
            <w:r>
              <w:rPr>
                <w:spacing w:val="52"/>
              </w:rPr>
              <w:t xml:space="preserve"> </w:t>
            </w:r>
            <w:r>
              <w:rPr>
                <w:spacing w:val="-10"/>
              </w:rPr>
              <w:t>最后生产出生物</w:t>
            </w:r>
            <w:r>
              <w:t xml:space="preserve"> </w:t>
            </w:r>
            <w:r>
              <w:rPr>
                <w:spacing w:val="-5"/>
              </w:rPr>
              <w:t>质致密成型燃料，其运输、储存极其方便，</w:t>
            </w:r>
            <w:r>
              <w:rPr>
                <w:spacing w:val="49"/>
              </w:rPr>
              <w:t xml:space="preserve"> </w:t>
            </w:r>
            <w:r>
              <w:rPr>
                <w:spacing w:val="-5"/>
              </w:rPr>
              <w:t>燃料性能大为改善，直</w:t>
            </w:r>
            <w:r>
              <w:rPr>
                <w:spacing w:val="-6"/>
              </w:rPr>
              <w:t>接进行燃烧，可代替</w:t>
            </w:r>
            <w:r>
              <w:t xml:space="preserve"> </w:t>
            </w:r>
            <w:r>
              <w:rPr>
                <w:spacing w:val="-5"/>
              </w:rPr>
              <w:t>木柴、原煤燃油和液化气等不可再生能源，是新型的可再生能源，具有燃点低、发热高、</w:t>
            </w:r>
            <w:r>
              <w:rPr>
                <w:spacing w:val="15"/>
              </w:rPr>
              <w:t xml:space="preserve"> </w:t>
            </w:r>
            <w:r>
              <w:rPr>
                <w:spacing w:val="-2"/>
              </w:rPr>
              <w:t>燃烧过程清洁卫生的优点，是高效能环保的新型燃料。</w:t>
            </w:r>
          </w:p>
          <w:p w14:paraId="372D28CD">
            <w:pPr>
              <w:pStyle w:val="6"/>
              <w:spacing w:before="5" w:line="351" w:lineRule="auto"/>
              <w:ind w:left="109" w:right="74" w:firstLine="417"/>
            </w:pPr>
            <w:r>
              <w:t>达州绿科新能源科技有限公司成立于</w:t>
            </w:r>
            <w:r>
              <w:rPr>
                <w:rFonts w:ascii="Times New Roman" w:hAnsi="Times New Roman" w:eastAsia="Times New Roman" w:cs="Times New Roman"/>
              </w:rPr>
              <w:t>2025</w:t>
            </w:r>
            <w:r>
              <w:t>年</w:t>
            </w:r>
            <w:r>
              <w:rPr>
                <w:spacing w:val="-1"/>
              </w:rPr>
              <w:t>，公司主营业务包括生物质燃料加工；</w:t>
            </w:r>
            <w:r>
              <w:t xml:space="preserve"> </w:t>
            </w:r>
            <w:r>
              <w:rPr>
                <w:spacing w:val="-1"/>
              </w:rPr>
              <w:t>生物质成型燃料销售；生物质燃料销售（不含危险化</w:t>
            </w:r>
            <w:r>
              <w:rPr>
                <w:spacing w:val="-2"/>
              </w:rPr>
              <w:t>学品</w:t>
            </w:r>
            <w:r>
              <w:t>）；</w:t>
            </w:r>
            <w:r>
              <w:rPr>
                <w:spacing w:val="-2"/>
              </w:rPr>
              <w:t>农林废物资源化无害化利</w:t>
            </w:r>
            <w:r>
              <w:t xml:space="preserve"> </w:t>
            </w:r>
            <w:r>
              <w:rPr>
                <w:spacing w:val="-1"/>
              </w:rPr>
              <w:t>用技术研发；企业投资人具有丰富的生物质燃料行业从业经验。达</w:t>
            </w:r>
            <w:r>
              <w:rPr>
                <w:spacing w:val="-2"/>
              </w:rPr>
              <w:t>州绿科新能源科技有</w:t>
            </w:r>
            <w:r>
              <w:t xml:space="preserve"> </w:t>
            </w:r>
            <w:r>
              <w:rPr>
                <w:spacing w:val="-1"/>
              </w:rPr>
              <w:t>限公司拟选址在达州市通川区东岳新型工业集聚区，租用达州市通</w:t>
            </w:r>
            <w:r>
              <w:rPr>
                <w:spacing w:val="-2"/>
              </w:rPr>
              <w:t>川区亚飞钢化玻璃有</w:t>
            </w:r>
            <w:r>
              <w:t xml:space="preserve"> </w:t>
            </w:r>
            <w:r>
              <w:rPr>
                <w:spacing w:val="-1"/>
              </w:rPr>
              <w:t>限公司的空置厂房</w:t>
            </w:r>
            <w:r>
              <w:rPr>
                <w:rFonts w:ascii="Times New Roman" w:hAnsi="Times New Roman" w:eastAsia="Times New Roman" w:cs="Times New Roman"/>
                <w:spacing w:val="-1"/>
              </w:rPr>
              <w:t>7400m</w:t>
            </w:r>
            <w:r>
              <w:rPr>
                <w:rFonts w:ascii="Times New Roman" w:hAnsi="Times New Roman" w:eastAsia="Times New Roman" w:cs="Times New Roman"/>
                <w:spacing w:val="-1"/>
                <w:position w:val="7"/>
                <w:sz w:val="14"/>
                <w:szCs w:val="14"/>
              </w:rPr>
              <w:t>2</w:t>
            </w:r>
            <w:r>
              <w:rPr>
                <w:spacing w:val="-1"/>
              </w:rPr>
              <w:t>，建设致密生物质成型燃料生产线一条，以林业废边角木材、</w:t>
            </w:r>
            <w:r>
              <w:t xml:space="preserve"> 园区家具生产企业的废弃木材边角料等作原</w:t>
            </w:r>
            <w:r>
              <w:rPr>
                <w:spacing w:val="-1"/>
              </w:rPr>
              <w:t>料，采用削片粉碎、烘干造粒的生产工艺，</w:t>
            </w:r>
            <w:r>
              <w:t xml:space="preserve"> </w:t>
            </w:r>
            <w:r>
              <w:rPr>
                <w:spacing w:val="-1"/>
              </w:rPr>
              <w:t>预计年产致密生物质成型燃料</w:t>
            </w:r>
            <w:r>
              <w:rPr>
                <w:rFonts w:ascii="Times New Roman" w:hAnsi="Times New Roman" w:eastAsia="Times New Roman" w:cs="Times New Roman"/>
                <w:spacing w:val="-1"/>
              </w:rPr>
              <w:t>15</w:t>
            </w:r>
            <w:r>
              <w:rPr>
                <w:spacing w:val="-1"/>
              </w:rPr>
              <w:t>万吨。</w:t>
            </w:r>
          </w:p>
          <w:p w14:paraId="39BAF875">
            <w:pPr>
              <w:pStyle w:val="6"/>
              <w:spacing w:before="2" w:line="348" w:lineRule="auto"/>
              <w:ind w:left="108" w:right="43" w:firstLine="421"/>
              <w:jc w:val="both"/>
            </w:pPr>
            <w:r>
              <w:rPr>
                <w:b/>
                <w:bCs/>
                <w:spacing w:val="-2"/>
              </w:rPr>
              <w:t>环评类别判定</w:t>
            </w:r>
            <w:r>
              <w:rPr>
                <w:spacing w:val="-2"/>
              </w:rPr>
              <w:t>：为做好本项目的环境保护工作，根据《中华人民共和国环境影响评</w:t>
            </w:r>
            <w:r>
              <w:rPr>
                <w:spacing w:val="2"/>
              </w:rPr>
              <w:t xml:space="preserve"> </w:t>
            </w:r>
            <w:r>
              <w:t>价法》和《建设项目环境保护管理条例》（国务院令第</w:t>
            </w:r>
            <w:r>
              <w:rPr>
                <w:rFonts w:ascii="Times New Roman" w:hAnsi="Times New Roman" w:eastAsia="Times New Roman" w:cs="Times New Roman"/>
              </w:rPr>
              <w:t>682</w:t>
            </w:r>
            <w:r>
              <w:t>号</w:t>
            </w:r>
            <w:r>
              <w:rPr>
                <w:spacing w:val="-1"/>
              </w:rPr>
              <w:t>）的有关规定，该项目应</w:t>
            </w:r>
            <w:r>
              <w:t xml:space="preserve">  </w:t>
            </w:r>
            <w:r>
              <w:rPr>
                <w:spacing w:val="-3"/>
              </w:rPr>
              <w:t>当开展环境影响评价工作。根据《国民经济行业分类》</w:t>
            </w:r>
            <w:r>
              <w:rPr>
                <w:rFonts w:hint="eastAsia"/>
                <w:spacing w:val="-3"/>
                <w:lang w:eastAsia="zh-CN"/>
              </w:rPr>
              <w:t>（</w:t>
            </w:r>
            <w:r>
              <w:rPr>
                <w:rFonts w:ascii="Times New Roman" w:hAnsi="Times New Roman" w:eastAsia="Times New Roman" w:cs="Times New Roman"/>
                <w:spacing w:val="-3"/>
              </w:rPr>
              <w:t>GB/T4754-2017</w:t>
            </w:r>
            <w:r>
              <w:rPr>
                <w:rFonts w:hint="eastAsia" w:ascii="Times New Roman" w:hAnsi="Times New Roman" w:eastAsia="宋体" w:cs="Times New Roman"/>
                <w:spacing w:val="-3"/>
                <w:lang w:eastAsia="zh-CN"/>
              </w:rPr>
              <w:t>）</w:t>
            </w:r>
            <w:r>
              <w:rPr>
                <w:spacing w:val="-4"/>
              </w:rPr>
              <w:t>及第</w:t>
            </w:r>
            <w:r>
              <w:rPr>
                <w:rFonts w:ascii="Times New Roman" w:hAnsi="Times New Roman" w:eastAsia="Times New Roman" w:cs="Times New Roman"/>
                <w:spacing w:val="-4"/>
              </w:rPr>
              <w:t>1</w:t>
            </w:r>
            <w:r>
              <w:rPr>
                <w:spacing w:val="-4"/>
              </w:rPr>
              <w:t>号修改单，</w:t>
            </w:r>
            <w:r>
              <w:t xml:space="preserve"> </w:t>
            </w:r>
            <w:r>
              <w:rPr>
                <w:spacing w:val="-2"/>
              </w:rPr>
              <w:t>本项目属于“</w:t>
            </w:r>
            <w:r>
              <w:rPr>
                <w:rFonts w:ascii="Times New Roman" w:hAnsi="Times New Roman" w:eastAsia="Times New Roman" w:cs="Times New Roman"/>
                <w:spacing w:val="-2"/>
              </w:rPr>
              <w:t xml:space="preserve">C2542  </w:t>
            </w:r>
            <w:r>
              <w:rPr>
                <w:spacing w:val="-2"/>
              </w:rPr>
              <w:t>生物质致密成型燃料加工”行业类别。对照《建设项目环</w:t>
            </w:r>
            <w:r>
              <w:rPr>
                <w:spacing w:val="-3"/>
              </w:rPr>
              <w:t>境影响评</w:t>
            </w:r>
          </w:p>
        </w:tc>
      </w:tr>
    </w:tbl>
    <w:p w14:paraId="198AB1E8">
      <w:pPr>
        <w:rPr>
          <w:rFonts w:ascii="Arial"/>
          <w:sz w:val="21"/>
        </w:rPr>
      </w:pPr>
    </w:p>
    <w:p w14:paraId="00D9ED2F">
      <w:pPr>
        <w:rPr>
          <w:rFonts w:ascii="Arial" w:hAnsi="Arial" w:eastAsia="Arial" w:cs="Arial"/>
          <w:sz w:val="21"/>
          <w:szCs w:val="21"/>
        </w:rPr>
        <w:sectPr>
          <w:footerReference r:id="rId38" w:type="default"/>
          <w:pgSz w:w="11907" w:h="16839"/>
          <w:pgMar w:top="1431" w:right="1450" w:bottom="1055" w:left="1451" w:header="0" w:footer="802" w:gutter="0"/>
          <w:cols w:space="720" w:num="1"/>
        </w:sectPr>
      </w:pPr>
    </w:p>
    <w:p w14:paraId="59CE3311">
      <w:pPr>
        <w:spacing w:before="28"/>
      </w:pPr>
    </w:p>
    <w:tbl>
      <w:tblPr>
        <w:tblStyle w:val="5"/>
        <w:tblW w:w="898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24"/>
        <w:gridCol w:w="59"/>
        <w:gridCol w:w="593"/>
        <w:gridCol w:w="105"/>
        <w:gridCol w:w="1626"/>
        <w:gridCol w:w="1838"/>
        <w:gridCol w:w="1167"/>
        <w:gridCol w:w="686"/>
        <w:gridCol w:w="164"/>
        <w:gridCol w:w="987"/>
        <w:gridCol w:w="616"/>
        <w:gridCol w:w="56"/>
        <w:gridCol w:w="135"/>
      </w:tblGrid>
      <w:tr w14:paraId="51FFF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9" w:hRule="atLeast"/>
        </w:trPr>
        <w:tc>
          <w:tcPr>
            <w:tcW w:w="832" w:type="dxa"/>
            <w:vMerge w:val="restart"/>
            <w:tcBorders>
              <w:top w:val="single" w:color="000000" w:sz="6" w:space="0"/>
              <w:left w:val="single" w:color="000000" w:sz="6" w:space="0"/>
              <w:bottom w:val="nil"/>
            </w:tcBorders>
            <w:vAlign w:val="top"/>
          </w:tcPr>
          <w:p w14:paraId="2A052C13">
            <w:pPr>
              <w:spacing w:line="248" w:lineRule="auto"/>
              <w:rPr>
                <w:rFonts w:ascii="Arial"/>
                <w:sz w:val="21"/>
              </w:rPr>
            </w:pPr>
          </w:p>
          <w:p w14:paraId="7FAA6F03">
            <w:pPr>
              <w:spacing w:line="248" w:lineRule="auto"/>
              <w:rPr>
                <w:rFonts w:ascii="Arial"/>
                <w:sz w:val="21"/>
              </w:rPr>
            </w:pPr>
          </w:p>
          <w:p w14:paraId="1B7D51D9">
            <w:pPr>
              <w:spacing w:line="248" w:lineRule="auto"/>
              <w:rPr>
                <w:rFonts w:ascii="Arial"/>
                <w:sz w:val="21"/>
              </w:rPr>
            </w:pPr>
          </w:p>
          <w:p w14:paraId="4586CDFC">
            <w:pPr>
              <w:spacing w:line="248" w:lineRule="auto"/>
              <w:rPr>
                <w:rFonts w:ascii="Arial"/>
                <w:sz w:val="21"/>
              </w:rPr>
            </w:pPr>
          </w:p>
          <w:p w14:paraId="64A98531">
            <w:pPr>
              <w:spacing w:line="248" w:lineRule="auto"/>
              <w:rPr>
                <w:rFonts w:ascii="Arial"/>
                <w:sz w:val="21"/>
              </w:rPr>
            </w:pPr>
          </w:p>
          <w:p w14:paraId="6B91331D">
            <w:pPr>
              <w:spacing w:line="248" w:lineRule="auto"/>
              <w:rPr>
                <w:rFonts w:ascii="Arial"/>
                <w:sz w:val="21"/>
              </w:rPr>
            </w:pPr>
          </w:p>
          <w:p w14:paraId="332E75CC">
            <w:pPr>
              <w:spacing w:line="248" w:lineRule="auto"/>
              <w:rPr>
                <w:rFonts w:ascii="Arial"/>
                <w:sz w:val="21"/>
              </w:rPr>
            </w:pPr>
          </w:p>
          <w:p w14:paraId="4D65C2B1">
            <w:pPr>
              <w:spacing w:line="248" w:lineRule="auto"/>
              <w:rPr>
                <w:rFonts w:ascii="Arial"/>
                <w:sz w:val="21"/>
              </w:rPr>
            </w:pPr>
          </w:p>
          <w:p w14:paraId="0E0AE53B">
            <w:pPr>
              <w:spacing w:line="248" w:lineRule="auto"/>
              <w:rPr>
                <w:rFonts w:ascii="Arial"/>
                <w:sz w:val="21"/>
              </w:rPr>
            </w:pPr>
          </w:p>
          <w:p w14:paraId="643DF41E">
            <w:pPr>
              <w:spacing w:line="249" w:lineRule="auto"/>
              <w:rPr>
                <w:rFonts w:ascii="Arial"/>
                <w:sz w:val="21"/>
              </w:rPr>
            </w:pPr>
          </w:p>
          <w:p w14:paraId="12D48D35">
            <w:pPr>
              <w:spacing w:line="249" w:lineRule="auto"/>
              <w:rPr>
                <w:rFonts w:ascii="Arial"/>
                <w:sz w:val="21"/>
              </w:rPr>
            </w:pPr>
          </w:p>
          <w:p w14:paraId="00A16289">
            <w:pPr>
              <w:spacing w:line="249" w:lineRule="auto"/>
              <w:rPr>
                <w:rFonts w:ascii="Arial"/>
                <w:sz w:val="21"/>
              </w:rPr>
            </w:pPr>
          </w:p>
          <w:p w14:paraId="682C2F57">
            <w:pPr>
              <w:spacing w:line="249" w:lineRule="auto"/>
              <w:rPr>
                <w:rFonts w:ascii="Arial"/>
                <w:sz w:val="21"/>
              </w:rPr>
            </w:pPr>
          </w:p>
          <w:p w14:paraId="74D58310">
            <w:pPr>
              <w:spacing w:line="249" w:lineRule="auto"/>
              <w:rPr>
                <w:rFonts w:ascii="Arial"/>
                <w:sz w:val="21"/>
              </w:rPr>
            </w:pPr>
          </w:p>
          <w:p w14:paraId="746BFABF">
            <w:pPr>
              <w:spacing w:line="249" w:lineRule="auto"/>
              <w:rPr>
                <w:rFonts w:ascii="Arial"/>
                <w:sz w:val="21"/>
              </w:rPr>
            </w:pPr>
          </w:p>
          <w:p w14:paraId="0FB7E91F">
            <w:pPr>
              <w:spacing w:line="249" w:lineRule="auto"/>
              <w:rPr>
                <w:rFonts w:ascii="Arial"/>
                <w:sz w:val="21"/>
              </w:rPr>
            </w:pPr>
          </w:p>
          <w:p w14:paraId="67808EF1">
            <w:pPr>
              <w:spacing w:line="249" w:lineRule="auto"/>
              <w:rPr>
                <w:rFonts w:ascii="Arial"/>
                <w:sz w:val="21"/>
              </w:rPr>
            </w:pPr>
          </w:p>
          <w:p w14:paraId="56AC7BAB">
            <w:pPr>
              <w:spacing w:line="249" w:lineRule="auto"/>
              <w:rPr>
                <w:rFonts w:ascii="Arial"/>
                <w:sz w:val="21"/>
              </w:rPr>
            </w:pPr>
          </w:p>
          <w:p w14:paraId="172F71EE">
            <w:pPr>
              <w:spacing w:line="249" w:lineRule="auto"/>
              <w:rPr>
                <w:rFonts w:ascii="Arial"/>
                <w:sz w:val="21"/>
              </w:rPr>
            </w:pPr>
          </w:p>
          <w:p w14:paraId="1DA426C4">
            <w:pPr>
              <w:spacing w:line="249" w:lineRule="auto"/>
              <w:rPr>
                <w:rFonts w:ascii="Arial"/>
                <w:sz w:val="21"/>
              </w:rPr>
            </w:pPr>
          </w:p>
          <w:p w14:paraId="259BA89E">
            <w:pPr>
              <w:spacing w:line="249" w:lineRule="auto"/>
              <w:rPr>
                <w:rFonts w:ascii="Arial"/>
                <w:sz w:val="21"/>
              </w:rPr>
            </w:pPr>
          </w:p>
          <w:p w14:paraId="569FF266">
            <w:pPr>
              <w:spacing w:line="249" w:lineRule="auto"/>
              <w:rPr>
                <w:rFonts w:ascii="Arial"/>
                <w:sz w:val="21"/>
              </w:rPr>
            </w:pPr>
          </w:p>
          <w:p w14:paraId="4998D0C4">
            <w:pPr>
              <w:spacing w:line="249" w:lineRule="auto"/>
              <w:rPr>
                <w:rFonts w:ascii="Arial"/>
                <w:sz w:val="21"/>
              </w:rPr>
            </w:pPr>
          </w:p>
          <w:p w14:paraId="0BD2863E">
            <w:pPr>
              <w:spacing w:line="249" w:lineRule="auto"/>
              <w:rPr>
                <w:rFonts w:ascii="Arial"/>
                <w:sz w:val="21"/>
              </w:rPr>
            </w:pPr>
          </w:p>
          <w:p w14:paraId="603A86F4">
            <w:pPr>
              <w:pStyle w:val="6"/>
              <w:spacing w:before="68" w:line="221" w:lineRule="auto"/>
              <w:ind w:left="206"/>
            </w:pPr>
            <w:r>
              <w:rPr>
                <w:b/>
                <w:bCs/>
                <w:spacing w:val="-5"/>
              </w:rPr>
              <w:t>建设</w:t>
            </w:r>
          </w:p>
          <w:p w14:paraId="2A7C5B33">
            <w:pPr>
              <w:pStyle w:val="6"/>
              <w:spacing w:before="20" w:line="220" w:lineRule="auto"/>
              <w:ind w:left="228"/>
            </w:pPr>
            <w:r>
              <w:rPr>
                <w:b/>
                <w:bCs/>
                <w:spacing w:val="-11"/>
              </w:rPr>
              <w:t>内容</w:t>
            </w:r>
          </w:p>
        </w:tc>
        <w:tc>
          <w:tcPr>
            <w:tcW w:w="8156" w:type="dxa"/>
            <w:gridSpan w:val="13"/>
            <w:tcBorders>
              <w:top w:val="single" w:color="000000" w:sz="6" w:space="0"/>
              <w:right w:val="single" w:color="000000" w:sz="6" w:space="0"/>
            </w:tcBorders>
            <w:vAlign w:val="top"/>
          </w:tcPr>
          <w:p w14:paraId="52AE4C06">
            <w:pPr>
              <w:pStyle w:val="6"/>
              <w:spacing w:before="143" w:line="346" w:lineRule="auto"/>
              <w:ind w:left="107" w:right="103"/>
            </w:pPr>
            <w:r>
              <w:t>价分类管理名录</w:t>
            </w:r>
            <w:r>
              <w:rPr>
                <w:rFonts w:hint="eastAsia"/>
                <w:lang w:eastAsia="zh-CN"/>
              </w:rPr>
              <w:t>（</w:t>
            </w:r>
            <w:r>
              <w:rPr>
                <w:rFonts w:ascii="Times New Roman" w:hAnsi="Times New Roman" w:eastAsia="Times New Roman" w:cs="Times New Roman"/>
              </w:rPr>
              <w:t>2021</w:t>
            </w:r>
            <w:r>
              <w:t>年版</w:t>
            </w:r>
            <w:r>
              <w:rPr>
                <w:rFonts w:hint="eastAsia"/>
                <w:lang w:eastAsia="zh-CN"/>
              </w:rPr>
              <w:t>）</w:t>
            </w:r>
            <w:r>
              <w:t>》，项目属于“二十二 石油、煤炭</w:t>
            </w:r>
            <w:r>
              <w:rPr>
                <w:spacing w:val="-1"/>
              </w:rPr>
              <w:t xml:space="preserve">及其他燃料加工业  </w:t>
            </w:r>
            <w:r>
              <w:rPr>
                <w:rFonts w:ascii="Times New Roman" w:hAnsi="Times New Roman" w:eastAsia="Times New Roman" w:cs="Times New Roman"/>
                <w:spacing w:val="-1"/>
              </w:rPr>
              <w:t>43</w:t>
            </w:r>
            <w:r>
              <w:rPr>
                <w:rFonts w:ascii="Times New Roman" w:hAnsi="Times New Roman" w:eastAsia="Times New Roman" w:cs="Times New Roman"/>
              </w:rPr>
              <w:t xml:space="preserve">    </w:t>
            </w:r>
            <w:r>
              <w:rPr>
                <w:spacing w:val="-6"/>
              </w:rPr>
              <w:t>条 生物质致密成型燃料加工</w:t>
            </w:r>
            <w:r>
              <w:rPr>
                <w:rFonts w:ascii="Times New Roman" w:hAnsi="Times New Roman" w:eastAsia="Times New Roman" w:cs="Times New Roman"/>
                <w:spacing w:val="-6"/>
              </w:rPr>
              <w:t>254</w:t>
            </w:r>
            <w:r>
              <w:rPr>
                <w:rFonts w:ascii="Times New Roman" w:hAnsi="Times New Roman" w:eastAsia="Times New Roman" w:cs="Times New Roman"/>
                <w:spacing w:val="-10"/>
              </w:rPr>
              <w:t xml:space="preserve"> </w:t>
            </w:r>
            <w:r>
              <w:rPr>
                <w:spacing w:val="-6"/>
              </w:rPr>
              <w:t>”中的生物质致密成型燃料类别。因此，</w:t>
            </w:r>
            <w:r>
              <w:rPr>
                <w:spacing w:val="46"/>
              </w:rPr>
              <w:t xml:space="preserve"> </w:t>
            </w:r>
            <w:r>
              <w:rPr>
                <w:spacing w:val="-6"/>
              </w:rPr>
              <w:t>该项目需编制</w:t>
            </w:r>
            <w:r>
              <w:t xml:space="preserve"> </w:t>
            </w:r>
            <w:r>
              <w:rPr>
                <w:rFonts w:hint="eastAsia"/>
                <w:lang w:eastAsia="zh-CN"/>
              </w:rPr>
              <w:t>环境</w:t>
            </w:r>
            <w:r>
              <w:rPr>
                <w:spacing w:val="-4"/>
              </w:rPr>
              <w:t>影响报告表。</w:t>
            </w:r>
          </w:p>
          <w:p w14:paraId="061250CE">
            <w:pPr>
              <w:pStyle w:val="6"/>
              <w:spacing w:before="19" w:line="345" w:lineRule="auto"/>
              <w:ind w:left="109" w:right="101" w:firstLine="419"/>
            </w:pPr>
            <w:r>
              <w:rPr>
                <w:b/>
                <w:bCs/>
                <w:spacing w:val="-1"/>
              </w:rPr>
              <w:t>排污许可类别</w:t>
            </w:r>
            <w:r>
              <w:rPr>
                <w:spacing w:val="-1"/>
              </w:rPr>
              <w:t>：对照《固定污染源排污许可分类管理名录》（</w:t>
            </w:r>
            <w:r>
              <w:rPr>
                <w:rFonts w:ascii="Times New Roman" w:hAnsi="Times New Roman" w:eastAsia="Times New Roman" w:cs="Times New Roman"/>
                <w:spacing w:val="-2"/>
              </w:rPr>
              <w:t>2019</w:t>
            </w:r>
            <w:r>
              <w:rPr>
                <w:spacing w:val="-2"/>
              </w:rPr>
              <w:t>年版</w:t>
            </w:r>
            <w:r>
              <w:rPr>
                <w:spacing w:val="-8"/>
              </w:rPr>
              <w:t>），</w:t>
            </w:r>
            <w:r>
              <w:rPr>
                <w:spacing w:val="-2"/>
              </w:rPr>
              <w:t>相关内</w:t>
            </w:r>
            <w:r>
              <w:rPr>
                <w:spacing w:val="1"/>
              </w:rPr>
              <w:t xml:space="preserve"> </w:t>
            </w:r>
            <w:r>
              <w:rPr>
                <w:spacing w:val="-12"/>
              </w:rPr>
              <w:t>容如下：</w:t>
            </w:r>
          </w:p>
          <w:p w14:paraId="1877D912">
            <w:pPr>
              <w:pStyle w:val="6"/>
              <w:spacing w:before="16" w:line="223" w:lineRule="auto"/>
              <w:ind w:left="988"/>
            </w:pPr>
            <w:r>
              <w:rPr>
                <w:b/>
                <w:bCs/>
                <w:spacing w:val="-1"/>
              </w:rPr>
              <w:t>表</w:t>
            </w:r>
            <w:r>
              <w:rPr>
                <w:rFonts w:ascii="Times New Roman" w:hAnsi="Times New Roman" w:eastAsia="Times New Roman" w:cs="Times New Roman"/>
                <w:b/>
                <w:bCs/>
                <w:spacing w:val="-1"/>
              </w:rPr>
              <w:t xml:space="preserve">2-1    </w:t>
            </w:r>
            <w:r>
              <w:rPr>
                <w:b/>
                <w:bCs/>
                <w:spacing w:val="-1"/>
              </w:rPr>
              <w:t>固定污染源排污许可证分类管</w:t>
            </w:r>
            <w:r>
              <w:rPr>
                <w:b/>
                <w:bCs/>
                <w:spacing w:val="-2"/>
              </w:rPr>
              <w:t>理名录（</w:t>
            </w:r>
            <w:r>
              <w:rPr>
                <w:rFonts w:ascii="Times New Roman" w:hAnsi="Times New Roman" w:eastAsia="Times New Roman" w:cs="Times New Roman"/>
                <w:b/>
                <w:bCs/>
                <w:spacing w:val="-2"/>
              </w:rPr>
              <w:t>2019</w:t>
            </w:r>
            <w:r>
              <w:rPr>
                <w:b/>
                <w:bCs/>
                <w:spacing w:val="-2"/>
              </w:rPr>
              <w:t>版）对照表（摘录）</w:t>
            </w:r>
          </w:p>
        </w:tc>
      </w:tr>
      <w:tr w14:paraId="30B98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32" w:type="dxa"/>
            <w:vMerge w:val="continue"/>
            <w:tcBorders>
              <w:top w:val="nil"/>
              <w:left w:val="single" w:color="000000" w:sz="6" w:space="0"/>
              <w:bottom w:val="nil"/>
            </w:tcBorders>
            <w:vAlign w:val="top"/>
          </w:tcPr>
          <w:p w14:paraId="78768DD6">
            <w:pPr>
              <w:rPr>
                <w:rFonts w:ascii="Arial"/>
                <w:sz w:val="21"/>
              </w:rPr>
            </w:pPr>
          </w:p>
        </w:tc>
        <w:tc>
          <w:tcPr>
            <w:tcW w:w="183" w:type="dxa"/>
            <w:gridSpan w:val="2"/>
            <w:tcBorders>
              <w:right w:val="single" w:color="000000" w:sz="8" w:space="0"/>
            </w:tcBorders>
            <w:vAlign w:val="top"/>
          </w:tcPr>
          <w:p w14:paraId="614CB2BE">
            <w:pPr>
              <w:rPr>
                <w:rFonts w:ascii="Arial"/>
                <w:sz w:val="21"/>
              </w:rPr>
            </w:pPr>
          </w:p>
        </w:tc>
        <w:tc>
          <w:tcPr>
            <w:tcW w:w="698" w:type="dxa"/>
            <w:gridSpan w:val="2"/>
            <w:tcBorders>
              <w:left w:val="single" w:color="000000" w:sz="8" w:space="0"/>
            </w:tcBorders>
            <w:vAlign w:val="top"/>
          </w:tcPr>
          <w:p w14:paraId="7209E341">
            <w:pPr>
              <w:pStyle w:val="6"/>
              <w:spacing w:before="30" w:line="207" w:lineRule="auto"/>
              <w:ind w:left="99"/>
              <w:rPr>
                <w:sz w:val="20"/>
                <w:szCs w:val="20"/>
              </w:rPr>
            </w:pPr>
            <w:r>
              <w:rPr>
                <w:b/>
                <w:bCs/>
                <w:spacing w:val="-4"/>
                <w:sz w:val="20"/>
                <w:szCs w:val="20"/>
              </w:rPr>
              <w:t>序号</w:t>
            </w:r>
          </w:p>
        </w:tc>
        <w:tc>
          <w:tcPr>
            <w:tcW w:w="1626" w:type="dxa"/>
            <w:vAlign w:val="top"/>
          </w:tcPr>
          <w:p w14:paraId="6458A6FA">
            <w:pPr>
              <w:pStyle w:val="6"/>
              <w:spacing w:before="30" w:line="207" w:lineRule="auto"/>
              <w:ind w:left="417"/>
              <w:rPr>
                <w:sz w:val="20"/>
                <w:szCs w:val="20"/>
              </w:rPr>
            </w:pPr>
            <w:r>
              <w:rPr>
                <w:b/>
                <w:bCs/>
                <w:spacing w:val="-5"/>
                <w:sz w:val="20"/>
                <w:szCs w:val="20"/>
              </w:rPr>
              <w:t>行业类别</w:t>
            </w:r>
          </w:p>
        </w:tc>
        <w:tc>
          <w:tcPr>
            <w:tcW w:w="1838" w:type="dxa"/>
            <w:vAlign w:val="top"/>
          </w:tcPr>
          <w:p w14:paraId="203BD0F5">
            <w:pPr>
              <w:pStyle w:val="6"/>
              <w:spacing w:before="30" w:line="207" w:lineRule="auto"/>
              <w:ind w:left="523"/>
              <w:rPr>
                <w:sz w:val="20"/>
                <w:szCs w:val="20"/>
              </w:rPr>
            </w:pPr>
            <w:r>
              <w:rPr>
                <w:b/>
                <w:bCs/>
                <w:spacing w:val="-4"/>
                <w:sz w:val="20"/>
                <w:szCs w:val="20"/>
              </w:rPr>
              <w:t>重点管理</w:t>
            </w:r>
          </w:p>
        </w:tc>
        <w:tc>
          <w:tcPr>
            <w:tcW w:w="1853" w:type="dxa"/>
            <w:gridSpan w:val="2"/>
            <w:vAlign w:val="top"/>
          </w:tcPr>
          <w:p w14:paraId="3338AF99">
            <w:pPr>
              <w:pStyle w:val="6"/>
              <w:spacing w:before="30" w:line="207" w:lineRule="auto"/>
              <w:ind w:left="537"/>
              <w:rPr>
                <w:sz w:val="20"/>
                <w:szCs w:val="20"/>
              </w:rPr>
            </w:pPr>
            <w:r>
              <w:rPr>
                <w:b/>
                <w:bCs/>
                <w:spacing w:val="-5"/>
                <w:sz w:val="20"/>
                <w:szCs w:val="20"/>
              </w:rPr>
              <w:t>简化管理</w:t>
            </w:r>
          </w:p>
        </w:tc>
        <w:tc>
          <w:tcPr>
            <w:tcW w:w="1767" w:type="dxa"/>
            <w:gridSpan w:val="3"/>
            <w:vAlign w:val="top"/>
          </w:tcPr>
          <w:p w14:paraId="38C071B1">
            <w:pPr>
              <w:pStyle w:val="6"/>
              <w:spacing w:before="30" w:line="207" w:lineRule="auto"/>
              <w:ind w:left="495"/>
              <w:rPr>
                <w:sz w:val="20"/>
                <w:szCs w:val="20"/>
              </w:rPr>
            </w:pPr>
            <w:r>
              <w:rPr>
                <w:b/>
                <w:bCs/>
                <w:spacing w:val="-5"/>
                <w:sz w:val="20"/>
                <w:szCs w:val="20"/>
              </w:rPr>
              <w:t>登记管理</w:t>
            </w:r>
          </w:p>
        </w:tc>
        <w:tc>
          <w:tcPr>
            <w:tcW w:w="191" w:type="dxa"/>
            <w:gridSpan w:val="2"/>
            <w:vMerge w:val="restart"/>
            <w:tcBorders>
              <w:top w:val="nil"/>
              <w:bottom w:val="nil"/>
              <w:right w:val="single" w:color="000000" w:sz="6" w:space="0"/>
            </w:tcBorders>
            <w:vAlign w:val="top"/>
          </w:tcPr>
          <w:p w14:paraId="3A509FE9">
            <w:pPr>
              <w:rPr>
                <w:rFonts w:ascii="Arial"/>
                <w:sz w:val="21"/>
              </w:rPr>
            </w:pPr>
          </w:p>
        </w:tc>
      </w:tr>
      <w:tr w14:paraId="0648D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832" w:type="dxa"/>
            <w:vMerge w:val="continue"/>
            <w:tcBorders>
              <w:top w:val="nil"/>
              <w:left w:val="single" w:color="000000" w:sz="6" w:space="0"/>
              <w:bottom w:val="nil"/>
            </w:tcBorders>
            <w:vAlign w:val="top"/>
          </w:tcPr>
          <w:p w14:paraId="4B792692">
            <w:pPr>
              <w:rPr>
                <w:rFonts w:ascii="Arial"/>
                <w:sz w:val="21"/>
              </w:rPr>
            </w:pPr>
          </w:p>
        </w:tc>
        <w:tc>
          <w:tcPr>
            <w:tcW w:w="183" w:type="dxa"/>
            <w:gridSpan w:val="2"/>
            <w:tcBorders>
              <w:right w:val="single" w:color="000000" w:sz="8" w:space="0"/>
            </w:tcBorders>
            <w:vAlign w:val="top"/>
          </w:tcPr>
          <w:p w14:paraId="76585B20">
            <w:pPr>
              <w:rPr>
                <w:rFonts w:ascii="Arial"/>
                <w:sz w:val="21"/>
              </w:rPr>
            </w:pPr>
          </w:p>
        </w:tc>
        <w:tc>
          <w:tcPr>
            <w:tcW w:w="7782" w:type="dxa"/>
            <w:gridSpan w:val="9"/>
            <w:tcBorders>
              <w:left w:val="single" w:color="000000" w:sz="8" w:space="0"/>
            </w:tcBorders>
            <w:vAlign w:val="top"/>
          </w:tcPr>
          <w:p w14:paraId="297BE1B6">
            <w:pPr>
              <w:pStyle w:val="6"/>
              <w:spacing w:before="37" w:line="214" w:lineRule="auto"/>
              <w:ind w:left="103"/>
              <w:rPr>
                <w:rFonts w:ascii="Times New Roman" w:hAnsi="Times New Roman" w:eastAsia="Times New Roman" w:cs="Times New Roman"/>
                <w:sz w:val="20"/>
                <w:szCs w:val="20"/>
              </w:rPr>
            </w:pPr>
            <w:r>
              <w:rPr>
                <w:spacing w:val="-1"/>
                <w:sz w:val="20"/>
                <w:szCs w:val="20"/>
              </w:rPr>
              <w:t>二十、石油、煤炭及其他燃料加工业</w:t>
            </w:r>
            <w:r>
              <w:rPr>
                <w:rFonts w:ascii="Times New Roman" w:hAnsi="Times New Roman" w:eastAsia="Times New Roman" w:cs="Times New Roman"/>
                <w:spacing w:val="-1"/>
                <w:sz w:val="20"/>
                <w:szCs w:val="20"/>
              </w:rPr>
              <w:t>25</w:t>
            </w:r>
          </w:p>
        </w:tc>
        <w:tc>
          <w:tcPr>
            <w:tcW w:w="191" w:type="dxa"/>
            <w:gridSpan w:val="2"/>
            <w:vMerge w:val="continue"/>
            <w:tcBorders>
              <w:top w:val="nil"/>
              <w:bottom w:val="nil"/>
              <w:right w:val="single" w:color="000000" w:sz="6" w:space="0"/>
            </w:tcBorders>
            <w:vAlign w:val="top"/>
          </w:tcPr>
          <w:p w14:paraId="523D5F8C">
            <w:pPr>
              <w:rPr>
                <w:rFonts w:ascii="Arial"/>
                <w:sz w:val="21"/>
              </w:rPr>
            </w:pPr>
          </w:p>
        </w:tc>
      </w:tr>
      <w:tr w14:paraId="14801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32" w:type="dxa"/>
            <w:vMerge w:val="continue"/>
            <w:tcBorders>
              <w:top w:val="nil"/>
              <w:left w:val="single" w:color="000000" w:sz="6" w:space="0"/>
              <w:bottom w:val="nil"/>
            </w:tcBorders>
            <w:vAlign w:val="top"/>
          </w:tcPr>
          <w:p w14:paraId="29198FF7">
            <w:pPr>
              <w:rPr>
                <w:rFonts w:ascii="Arial"/>
                <w:sz w:val="21"/>
              </w:rPr>
            </w:pPr>
          </w:p>
        </w:tc>
        <w:tc>
          <w:tcPr>
            <w:tcW w:w="183" w:type="dxa"/>
            <w:gridSpan w:val="2"/>
            <w:tcBorders>
              <w:right w:val="single" w:color="000000" w:sz="8" w:space="0"/>
            </w:tcBorders>
            <w:vAlign w:val="top"/>
          </w:tcPr>
          <w:p w14:paraId="35B5A280">
            <w:pPr>
              <w:rPr>
                <w:rFonts w:ascii="Arial"/>
                <w:sz w:val="21"/>
              </w:rPr>
            </w:pPr>
          </w:p>
        </w:tc>
        <w:tc>
          <w:tcPr>
            <w:tcW w:w="698" w:type="dxa"/>
            <w:gridSpan w:val="2"/>
            <w:tcBorders>
              <w:left w:val="single" w:color="000000" w:sz="8" w:space="0"/>
            </w:tcBorders>
            <w:vAlign w:val="top"/>
          </w:tcPr>
          <w:p w14:paraId="5A010B1F">
            <w:pPr>
              <w:spacing w:before="193" w:line="235" w:lineRule="auto"/>
              <w:ind w:left="23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44</w:t>
            </w:r>
          </w:p>
        </w:tc>
        <w:tc>
          <w:tcPr>
            <w:tcW w:w="1626" w:type="dxa"/>
            <w:vAlign w:val="top"/>
          </w:tcPr>
          <w:p w14:paraId="7364E957">
            <w:pPr>
              <w:pStyle w:val="6"/>
              <w:spacing w:before="46" w:line="229" w:lineRule="auto"/>
              <w:ind w:left="105" w:right="119" w:firstLine="5"/>
              <w:rPr>
                <w:rFonts w:ascii="Times New Roman" w:hAnsi="Times New Roman" w:eastAsia="Times New Roman" w:cs="Times New Roman"/>
                <w:sz w:val="20"/>
                <w:szCs w:val="20"/>
              </w:rPr>
            </w:pPr>
            <w:r>
              <w:rPr>
                <w:spacing w:val="-2"/>
                <w:sz w:val="20"/>
                <w:szCs w:val="20"/>
              </w:rPr>
              <w:t>生物质燃料加工</w:t>
            </w:r>
            <w:r>
              <w:rPr>
                <w:spacing w:val="3"/>
                <w:sz w:val="20"/>
                <w:szCs w:val="20"/>
              </w:rPr>
              <w:t xml:space="preserve"> </w:t>
            </w:r>
            <w:r>
              <w:rPr>
                <w:rFonts w:ascii="Times New Roman" w:hAnsi="Times New Roman" w:eastAsia="Times New Roman" w:cs="Times New Roman"/>
                <w:spacing w:val="-1"/>
                <w:sz w:val="20"/>
                <w:szCs w:val="20"/>
              </w:rPr>
              <w:t>254</w:t>
            </w:r>
          </w:p>
        </w:tc>
        <w:tc>
          <w:tcPr>
            <w:tcW w:w="1838" w:type="dxa"/>
            <w:vAlign w:val="top"/>
          </w:tcPr>
          <w:p w14:paraId="0397392C">
            <w:pPr>
              <w:pStyle w:val="6"/>
              <w:spacing w:before="30" w:line="223" w:lineRule="auto"/>
              <w:ind w:left="116" w:right="128" w:hanging="3"/>
              <w:rPr>
                <w:sz w:val="20"/>
                <w:szCs w:val="20"/>
              </w:rPr>
            </w:pPr>
            <w:r>
              <w:rPr>
                <w:spacing w:val="-2"/>
                <w:sz w:val="20"/>
                <w:szCs w:val="20"/>
              </w:rPr>
              <w:t>涉及通用工序重点</w:t>
            </w:r>
            <w:r>
              <w:rPr>
                <w:spacing w:val="6"/>
                <w:sz w:val="20"/>
                <w:szCs w:val="20"/>
              </w:rPr>
              <w:t xml:space="preserve"> </w:t>
            </w:r>
            <w:r>
              <w:rPr>
                <w:spacing w:val="-3"/>
                <w:sz w:val="20"/>
                <w:szCs w:val="20"/>
              </w:rPr>
              <w:t>管理的</w:t>
            </w:r>
          </w:p>
        </w:tc>
        <w:tc>
          <w:tcPr>
            <w:tcW w:w="1853" w:type="dxa"/>
            <w:gridSpan w:val="2"/>
            <w:vAlign w:val="top"/>
          </w:tcPr>
          <w:p w14:paraId="30AF3DF2">
            <w:pPr>
              <w:pStyle w:val="6"/>
              <w:spacing w:before="30" w:line="223" w:lineRule="auto"/>
              <w:ind w:left="119" w:right="140" w:hanging="3"/>
              <w:rPr>
                <w:sz w:val="20"/>
                <w:szCs w:val="20"/>
              </w:rPr>
            </w:pPr>
            <w:r>
              <w:rPr>
                <w:spacing w:val="-2"/>
                <w:sz w:val="20"/>
                <w:szCs w:val="20"/>
              </w:rPr>
              <w:t>涉及通用工序简化</w:t>
            </w:r>
            <w:r>
              <w:rPr>
                <w:spacing w:val="6"/>
                <w:sz w:val="20"/>
                <w:szCs w:val="20"/>
              </w:rPr>
              <w:t xml:space="preserve"> </w:t>
            </w:r>
            <w:r>
              <w:rPr>
                <w:spacing w:val="-3"/>
                <w:sz w:val="20"/>
                <w:szCs w:val="20"/>
              </w:rPr>
              <w:t>管理的</w:t>
            </w:r>
          </w:p>
        </w:tc>
        <w:tc>
          <w:tcPr>
            <w:tcW w:w="1767" w:type="dxa"/>
            <w:gridSpan w:val="3"/>
            <w:vAlign w:val="top"/>
          </w:tcPr>
          <w:p w14:paraId="106E8268">
            <w:pPr>
              <w:pStyle w:val="6"/>
              <w:spacing w:before="160" w:line="221" w:lineRule="auto"/>
              <w:ind w:left="694"/>
              <w:rPr>
                <w:sz w:val="20"/>
                <w:szCs w:val="20"/>
              </w:rPr>
            </w:pPr>
            <w:r>
              <w:rPr>
                <w:spacing w:val="-2"/>
                <w:sz w:val="20"/>
                <w:szCs w:val="20"/>
              </w:rPr>
              <w:t>其他</w:t>
            </w:r>
          </w:p>
        </w:tc>
        <w:tc>
          <w:tcPr>
            <w:tcW w:w="191" w:type="dxa"/>
            <w:gridSpan w:val="2"/>
            <w:vMerge w:val="continue"/>
            <w:tcBorders>
              <w:top w:val="nil"/>
              <w:bottom w:val="nil"/>
              <w:right w:val="single" w:color="000000" w:sz="6" w:space="0"/>
            </w:tcBorders>
            <w:vAlign w:val="top"/>
          </w:tcPr>
          <w:p w14:paraId="613D1312">
            <w:pPr>
              <w:rPr>
                <w:rFonts w:ascii="Arial"/>
                <w:sz w:val="21"/>
              </w:rPr>
            </w:pPr>
          </w:p>
        </w:tc>
      </w:tr>
      <w:tr w14:paraId="7475C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832" w:type="dxa"/>
            <w:vMerge w:val="continue"/>
            <w:tcBorders>
              <w:top w:val="nil"/>
              <w:left w:val="single" w:color="000000" w:sz="6" w:space="0"/>
              <w:bottom w:val="nil"/>
            </w:tcBorders>
            <w:vAlign w:val="top"/>
          </w:tcPr>
          <w:p w14:paraId="55051CD5">
            <w:pPr>
              <w:rPr>
                <w:rFonts w:ascii="Arial"/>
                <w:sz w:val="21"/>
              </w:rPr>
            </w:pPr>
          </w:p>
        </w:tc>
        <w:tc>
          <w:tcPr>
            <w:tcW w:w="183" w:type="dxa"/>
            <w:gridSpan w:val="2"/>
            <w:tcBorders>
              <w:right w:val="single" w:color="000000" w:sz="8" w:space="0"/>
            </w:tcBorders>
            <w:vAlign w:val="top"/>
          </w:tcPr>
          <w:p w14:paraId="2DBF800F">
            <w:pPr>
              <w:rPr>
                <w:rFonts w:ascii="Arial"/>
                <w:sz w:val="21"/>
              </w:rPr>
            </w:pPr>
          </w:p>
        </w:tc>
        <w:tc>
          <w:tcPr>
            <w:tcW w:w="7782" w:type="dxa"/>
            <w:gridSpan w:val="9"/>
            <w:tcBorders>
              <w:left w:val="single" w:color="000000" w:sz="8" w:space="0"/>
            </w:tcBorders>
            <w:vAlign w:val="top"/>
          </w:tcPr>
          <w:p w14:paraId="55905E50">
            <w:pPr>
              <w:pStyle w:val="6"/>
              <w:spacing w:before="73" w:line="221" w:lineRule="auto"/>
              <w:ind w:left="103"/>
              <w:rPr>
                <w:sz w:val="20"/>
                <w:szCs w:val="20"/>
              </w:rPr>
            </w:pPr>
            <w:r>
              <w:rPr>
                <w:spacing w:val="-2"/>
                <w:sz w:val="20"/>
                <w:szCs w:val="20"/>
              </w:rPr>
              <w:t>五十一、通用工序</w:t>
            </w:r>
          </w:p>
        </w:tc>
        <w:tc>
          <w:tcPr>
            <w:tcW w:w="191" w:type="dxa"/>
            <w:gridSpan w:val="2"/>
            <w:vMerge w:val="continue"/>
            <w:tcBorders>
              <w:top w:val="nil"/>
              <w:bottom w:val="nil"/>
              <w:right w:val="single" w:color="000000" w:sz="6" w:space="0"/>
            </w:tcBorders>
            <w:vAlign w:val="top"/>
          </w:tcPr>
          <w:p w14:paraId="7FFBADB1">
            <w:pPr>
              <w:rPr>
                <w:rFonts w:ascii="Arial"/>
                <w:sz w:val="21"/>
              </w:rPr>
            </w:pPr>
          </w:p>
        </w:tc>
      </w:tr>
      <w:tr w14:paraId="62873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832" w:type="dxa"/>
            <w:vMerge w:val="continue"/>
            <w:tcBorders>
              <w:top w:val="nil"/>
              <w:left w:val="single" w:color="000000" w:sz="6" w:space="0"/>
              <w:bottom w:val="nil"/>
            </w:tcBorders>
            <w:vAlign w:val="top"/>
          </w:tcPr>
          <w:p w14:paraId="48AC369B">
            <w:pPr>
              <w:rPr>
                <w:rFonts w:ascii="Arial"/>
                <w:sz w:val="21"/>
              </w:rPr>
            </w:pPr>
          </w:p>
        </w:tc>
        <w:tc>
          <w:tcPr>
            <w:tcW w:w="183" w:type="dxa"/>
            <w:gridSpan w:val="2"/>
            <w:tcBorders>
              <w:right w:val="single" w:color="000000" w:sz="8" w:space="0"/>
            </w:tcBorders>
            <w:vAlign w:val="top"/>
          </w:tcPr>
          <w:p w14:paraId="03FE2571">
            <w:pPr>
              <w:rPr>
                <w:rFonts w:ascii="Arial"/>
                <w:sz w:val="21"/>
              </w:rPr>
            </w:pPr>
          </w:p>
        </w:tc>
        <w:tc>
          <w:tcPr>
            <w:tcW w:w="698" w:type="dxa"/>
            <w:gridSpan w:val="2"/>
            <w:tcBorders>
              <w:left w:val="single" w:color="000000" w:sz="8" w:space="0"/>
            </w:tcBorders>
            <w:vAlign w:val="top"/>
          </w:tcPr>
          <w:p w14:paraId="1430BED3">
            <w:pPr>
              <w:spacing w:line="325" w:lineRule="auto"/>
              <w:rPr>
                <w:rFonts w:ascii="Arial"/>
                <w:sz w:val="21"/>
              </w:rPr>
            </w:pPr>
          </w:p>
          <w:p w14:paraId="2298DDFF">
            <w:pPr>
              <w:spacing w:line="325" w:lineRule="auto"/>
              <w:rPr>
                <w:rFonts w:ascii="Arial"/>
                <w:sz w:val="21"/>
              </w:rPr>
            </w:pPr>
          </w:p>
          <w:p w14:paraId="1B247DE9">
            <w:pPr>
              <w:spacing w:before="57" w:line="233" w:lineRule="auto"/>
              <w:ind w:left="206"/>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110</w:t>
            </w:r>
          </w:p>
        </w:tc>
        <w:tc>
          <w:tcPr>
            <w:tcW w:w="1626" w:type="dxa"/>
            <w:vAlign w:val="top"/>
          </w:tcPr>
          <w:p w14:paraId="6610B491">
            <w:pPr>
              <w:spacing w:line="304" w:lineRule="auto"/>
              <w:rPr>
                <w:rFonts w:ascii="Arial"/>
                <w:sz w:val="21"/>
              </w:rPr>
            </w:pPr>
          </w:p>
          <w:p w14:paraId="6D8A82BB">
            <w:pPr>
              <w:spacing w:line="305" w:lineRule="auto"/>
              <w:rPr>
                <w:rFonts w:ascii="Arial"/>
                <w:sz w:val="21"/>
              </w:rPr>
            </w:pPr>
          </w:p>
          <w:p w14:paraId="4466260C">
            <w:pPr>
              <w:pStyle w:val="6"/>
              <w:spacing w:before="65" w:line="221" w:lineRule="auto"/>
              <w:ind w:left="417"/>
              <w:rPr>
                <w:sz w:val="20"/>
                <w:szCs w:val="20"/>
              </w:rPr>
            </w:pPr>
            <w:r>
              <w:rPr>
                <w:spacing w:val="-2"/>
                <w:sz w:val="20"/>
                <w:szCs w:val="20"/>
              </w:rPr>
              <w:t>工业炉窑</w:t>
            </w:r>
          </w:p>
        </w:tc>
        <w:tc>
          <w:tcPr>
            <w:tcW w:w="1838" w:type="dxa"/>
            <w:vAlign w:val="top"/>
          </w:tcPr>
          <w:p w14:paraId="2F47F7F2">
            <w:pPr>
              <w:rPr>
                <w:rFonts w:ascii="Arial"/>
                <w:sz w:val="21"/>
              </w:rPr>
            </w:pPr>
          </w:p>
          <w:p w14:paraId="203879CF">
            <w:pPr>
              <w:spacing w:line="241" w:lineRule="auto"/>
              <w:rPr>
                <w:rFonts w:ascii="Arial"/>
                <w:sz w:val="21"/>
              </w:rPr>
            </w:pPr>
          </w:p>
          <w:p w14:paraId="72135D16">
            <w:pPr>
              <w:pStyle w:val="6"/>
              <w:spacing w:before="65" w:line="242" w:lineRule="auto"/>
              <w:ind w:left="113" w:right="128"/>
              <w:rPr>
                <w:sz w:val="20"/>
                <w:szCs w:val="20"/>
              </w:rPr>
            </w:pPr>
            <w:r>
              <w:rPr>
                <w:spacing w:val="-2"/>
                <w:sz w:val="20"/>
                <w:szCs w:val="20"/>
              </w:rPr>
              <w:t>纳入重点排污单位</w:t>
            </w:r>
            <w:r>
              <w:rPr>
                <w:spacing w:val="6"/>
                <w:sz w:val="20"/>
                <w:szCs w:val="20"/>
              </w:rPr>
              <w:t xml:space="preserve"> </w:t>
            </w:r>
            <w:r>
              <w:rPr>
                <w:spacing w:val="-3"/>
                <w:sz w:val="20"/>
                <w:szCs w:val="20"/>
              </w:rPr>
              <w:t>名录的</w:t>
            </w:r>
          </w:p>
        </w:tc>
        <w:tc>
          <w:tcPr>
            <w:tcW w:w="1853" w:type="dxa"/>
            <w:gridSpan w:val="2"/>
            <w:vAlign w:val="top"/>
          </w:tcPr>
          <w:p w14:paraId="0037956B">
            <w:pPr>
              <w:pStyle w:val="6"/>
              <w:spacing w:before="28" w:line="234" w:lineRule="auto"/>
              <w:ind w:left="114" w:right="140" w:firstLine="11"/>
              <w:jc w:val="both"/>
              <w:rPr>
                <w:sz w:val="20"/>
                <w:szCs w:val="20"/>
              </w:rPr>
            </w:pPr>
            <w:r>
              <w:rPr>
                <w:spacing w:val="-3"/>
                <w:sz w:val="20"/>
                <w:szCs w:val="20"/>
              </w:rPr>
              <w:t>除纳入重点排污单</w:t>
            </w:r>
            <w:r>
              <w:rPr>
                <w:spacing w:val="4"/>
                <w:sz w:val="20"/>
                <w:szCs w:val="20"/>
              </w:rPr>
              <w:t xml:space="preserve"> </w:t>
            </w:r>
            <w:r>
              <w:rPr>
                <w:spacing w:val="-1"/>
                <w:sz w:val="20"/>
                <w:szCs w:val="20"/>
              </w:rPr>
              <w:t>位名录的，除以天</w:t>
            </w:r>
            <w:r>
              <w:rPr>
                <w:sz w:val="20"/>
                <w:szCs w:val="20"/>
              </w:rPr>
              <w:t xml:space="preserve"> </w:t>
            </w:r>
            <w:r>
              <w:rPr>
                <w:spacing w:val="-1"/>
                <w:sz w:val="20"/>
                <w:szCs w:val="20"/>
              </w:rPr>
              <w:t>然气或者电为能源</w:t>
            </w:r>
            <w:r>
              <w:rPr>
                <w:sz w:val="20"/>
                <w:szCs w:val="20"/>
              </w:rPr>
              <w:t xml:space="preserve"> </w:t>
            </w:r>
            <w:r>
              <w:rPr>
                <w:spacing w:val="-1"/>
                <w:sz w:val="20"/>
                <w:szCs w:val="20"/>
              </w:rPr>
              <w:t>的加热炉、热以外</w:t>
            </w:r>
            <w:r>
              <w:rPr>
                <w:sz w:val="20"/>
                <w:szCs w:val="20"/>
              </w:rPr>
              <w:t xml:space="preserve"> </w:t>
            </w:r>
            <w:r>
              <w:rPr>
                <w:spacing w:val="-1"/>
                <w:sz w:val="20"/>
                <w:szCs w:val="20"/>
              </w:rPr>
              <w:t>的其他干燥炉</w:t>
            </w:r>
            <w:r>
              <w:rPr>
                <w:rFonts w:hint="eastAsia"/>
                <w:spacing w:val="-1"/>
                <w:sz w:val="20"/>
                <w:szCs w:val="20"/>
                <w:lang w:eastAsia="zh-CN"/>
              </w:rPr>
              <w:t>（</w:t>
            </w:r>
            <w:r>
              <w:rPr>
                <w:spacing w:val="-1"/>
                <w:sz w:val="20"/>
                <w:szCs w:val="20"/>
              </w:rPr>
              <w:t>窑</w:t>
            </w:r>
            <w:r>
              <w:rPr>
                <w:rFonts w:hint="eastAsia"/>
                <w:spacing w:val="-1"/>
                <w:sz w:val="20"/>
                <w:szCs w:val="20"/>
                <w:lang w:eastAsia="zh-CN"/>
              </w:rPr>
              <w:t>）</w:t>
            </w:r>
            <w:r>
              <w:rPr>
                <w:rFonts w:ascii="Times New Roman" w:hAnsi="Times New Roman" w:eastAsia="Times New Roman" w:cs="Times New Roman"/>
                <w:sz w:val="20"/>
                <w:szCs w:val="20"/>
              </w:rPr>
              <w:t xml:space="preserve">  </w:t>
            </w:r>
            <w:r>
              <w:rPr>
                <w:spacing w:val="-2"/>
                <w:sz w:val="20"/>
                <w:szCs w:val="20"/>
              </w:rPr>
              <w:t>工业炉窑</w:t>
            </w:r>
          </w:p>
        </w:tc>
        <w:tc>
          <w:tcPr>
            <w:tcW w:w="1767" w:type="dxa"/>
            <w:gridSpan w:val="3"/>
            <w:vAlign w:val="top"/>
          </w:tcPr>
          <w:p w14:paraId="231A263B">
            <w:pPr>
              <w:pStyle w:val="6"/>
              <w:spacing w:before="28" w:line="234" w:lineRule="auto"/>
              <w:ind w:left="116" w:right="80" w:firstLine="12"/>
              <w:rPr>
                <w:rFonts w:ascii="Times New Roman" w:hAnsi="Times New Roman" w:eastAsia="Times New Roman" w:cs="Times New Roman"/>
                <w:sz w:val="20"/>
                <w:szCs w:val="20"/>
              </w:rPr>
            </w:pPr>
            <w:r>
              <w:rPr>
                <w:spacing w:val="-3"/>
                <w:sz w:val="20"/>
                <w:szCs w:val="20"/>
              </w:rPr>
              <w:t>除纳入重点排污</w:t>
            </w:r>
            <w:r>
              <w:rPr>
                <w:sz w:val="20"/>
                <w:szCs w:val="20"/>
              </w:rPr>
              <w:t xml:space="preserve">  </w:t>
            </w:r>
            <w:r>
              <w:rPr>
                <w:spacing w:val="-7"/>
                <w:sz w:val="20"/>
                <w:szCs w:val="20"/>
              </w:rPr>
              <w:t>单位名录的，以天</w:t>
            </w:r>
            <w:r>
              <w:rPr>
                <w:spacing w:val="1"/>
                <w:sz w:val="20"/>
                <w:szCs w:val="20"/>
              </w:rPr>
              <w:t xml:space="preserve"> </w:t>
            </w:r>
            <w:r>
              <w:rPr>
                <w:spacing w:val="-1"/>
                <w:sz w:val="20"/>
                <w:szCs w:val="20"/>
              </w:rPr>
              <w:t>然气或者电为能</w:t>
            </w:r>
            <w:r>
              <w:rPr>
                <w:sz w:val="20"/>
                <w:szCs w:val="20"/>
              </w:rPr>
              <w:t xml:space="preserve">  </w:t>
            </w:r>
            <w:r>
              <w:rPr>
                <w:spacing w:val="-7"/>
                <w:sz w:val="20"/>
                <w:szCs w:val="20"/>
              </w:rPr>
              <w:t>源的加热炉、热处</w:t>
            </w:r>
            <w:r>
              <w:rPr>
                <w:spacing w:val="1"/>
                <w:sz w:val="20"/>
                <w:szCs w:val="20"/>
              </w:rPr>
              <w:t xml:space="preserve"> </w:t>
            </w:r>
            <w:r>
              <w:rPr>
                <w:spacing w:val="-5"/>
                <w:sz w:val="20"/>
                <w:szCs w:val="20"/>
              </w:rPr>
              <w:t>理炉或者处理炉、</w:t>
            </w:r>
            <w:r>
              <w:rPr>
                <w:spacing w:val="3"/>
                <w:sz w:val="20"/>
                <w:szCs w:val="20"/>
              </w:rPr>
              <w:t xml:space="preserve"> </w:t>
            </w:r>
            <w:r>
              <w:rPr>
                <w:spacing w:val="-1"/>
                <w:sz w:val="20"/>
                <w:szCs w:val="20"/>
              </w:rPr>
              <w:t>干燥炉</w:t>
            </w:r>
            <w:r>
              <w:rPr>
                <w:rFonts w:hint="eastAsia"/>
                <w:spacing w:val="-1"/>
                <w:sz w:val="20"/>
                <w:szCs w:val="20"/>
                <w:lang w:eastAsia="zh-CN"/>
              </w:rPr>
              <w:t>（</w:t>
            </w:r>
            <w:r>
              <w:rPr>
                <w:spacing w:val="-1"/>
                <w:sz w:val="20"/>
                <w:szCs w:val="20"/>
              </w:rPr>
              <w:t>窑</w:t>
            </w:r>
            <w:r>
              <w:rPr>
                <w:rFonts w:hint="eastAsia"/>
                <w:spacing w:val="-1"/>
                <w:sz w:val="20"/>
                <w:szCs w:val="20"/>
                <w:lang w:eastAsia="zh-CN"/>
              </w:rPr>
              <w:t>）</w:t>
            </w:r>
          </w:p>
        </w:tc>
        <w:tc>
          <w:tcPr>
            <w:tcW w:w="191" w:type="dxa"/>
            <w:gridSpan w:val="2"/>
            <w:vMerge w:val="continue"/>
            <w:tcBorders>
              <w:top w:val="nil"/>
              <w:bottom w:val="nil"/>
              <w:right w:val="single" w:color="000000" w:sz="6" w:space="0"/>
            </w:tcBorders>
            <w:vAlign w:val="top"/>
          </w:tcPr>
          <w:p w14:paraId="2C6B49B4">
            <w:pPr>
              <w:rPr>
                <w:rFonts w:ascii="Arial"/>
                <w:sz w:val="21"/>
              </w:rPr>
            </w:pPr>
          </w:p>
        </w:tc>
      </w:tr>
      <w:tr w14:paraId="0EC41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4" w:hRule="atLeast"/>
        </w:trPr>
        <w:tc>
          <w:tcPr>
            <w:tcW w:w="832" w:type="dxa"/>
            <w:vMerge w:val="continue"/>
            <w:tcBorders>
              <w:top w:val="nil"/>
              <w:left w:val="single" w:color="000000" w:sz="6" w:space="0"/>
              <w:bottom w:val="nil"/>
            </w:tcBorders>
            <w:vAlign w:val="top"/>
          </w:tcPr>
          <w:p w14:paraId="0698EED1">
            <w:pPr>
              <w:rPr>
                <w:rFonts w:ascii="Arial"/>
                <w:sz w:val="21"/>
              </w:rPr>
            </w:pPr>
          </w:p>
        </w:tc>
        <w:tc>
          <w:tcPr>
            <w:tcW w:w="8156" w:type="dxa"/>
            <w:gridSpan w:val="13"/>
            <w:tcBorders>
              <w:right w:val="single" w:color="000000" w:sz="6" w:space="0"/>
            </w:tcBorders>
            <w:vAlign w:val="top"/>
          </w:tcPr>
          <w:p w14:paraId="7EA8CBF7">
            <w:pPr>
              <w:pStyle w:val="6"/>
              <w:spacing w:before="142" w:line="348" w:lineRule="auto"/>
              <w:ind w:left="109" w:right="44" w:firstLine="420"/>
            </w:pPr>
            <w:r>
              <w:rPr>
                <w:spacing w:val="-5"/>
              </w:rPr>
              <w:t>综上，本项目为生物质成型燃料生产项目，使用的</w:t>
            </w:r>
            <w:r>
              <w:rPr>
                <w:spacing w:val="-6"/>
              </w:rPr>
              <w:t>热风炉以生物质成型燃料为燃料，</w:t>
            </w:r>
            <w:r>
              <w:t xml:space="preserve"> </w:t>
            </w:r>
            <w:r>
              <w:rPr>
                <w:spacing w:val="-1"/>
              </w:rPr>
              <w:t>涉及通用工序中的简化管理。因此，本项目排污许可类别属于简化管理。</w:t>
            </w:r>
          </w:p>
          <w:p w14:paraId="35199341">
            <w:pPr>
              <w:spacing w:line="241" w:lineRule="auto"/>
              <w:ind w:left="51"/>
              <w:rPr>
                <w:rFonts w:ascii="黑体" w:hAnsi="黑体" w:eastAsia="黑体" w:cs="黑体"/>
                <w:sz w:val="21"/>
                <w:szCs w:val="21"/>
              </w:rPr>
            </w:pPr>
            <w:r>
              <w:rPr>
                <w:rFonts w:ascii="Times New Roman" w:hAnsi="Times New Roman" w:eastAsia="Times New Roman" w:cs="Times New Roman"/>
                <w:spacing w:val="2"/>
                <w:sz w:val="21"/>
                <w:szCs w:val="21"/>
              </w:rPr>
              <w:t>2</w:t>
            </w:r>
            <w:r>
              <w:rPr>
                <w:rFonts w:ascii="Times New Roman" w:hAnsi="Times New Roman" w:eastAsia="Times New Roman" w:cs="Times New Roman"/>
                <w:spacing w:val="-17"/>
                <w:sz w:val="21"/>
                <w:szCs w:val="21"/>
              </w:rPr>
              <w:t xml:space="preserve"> </w:t>
            </w:r>
            <w:r>
              <w:rPr>
                <w:rFonts w:ascii="黑体" w:hAnsi="黑体" w:eastAsia="黑体" w:cs="黑体"/>
                <w:spacing w:val="2"/>
                <w:sz w:val="21"/>
                <w:szCs w:val="21"/>
              </w:rPr>
              <w:t>、建设内容</w:t>
            </w:r>
          </w:p>
          <w:p w14:paraId="57D72E64">
            <w:pPr>
              <w:pStyle w:val="6"/>
              <w:spacing w:before="131" w:line="352" w:lineRule="auto"/>
              <w:ind w:left="108" w:right="12" w:firstLine="420"/>
              <w:jc w:val="both"/>
            </w:pPr>
            <w:r>
              <w:rPr>
                <w:spacing w:val="-2"/>
              </w:rPr>
              <w:t>本项目租用达州市通川区亚飞钢化玻璃有限公司的空置厂房</w:t>
            </w:r>
            <w:r>
              <w:rPr>
                <w:rFonts w:ascii="Times New Roman" w:hAnsi="Times New Roman" w:eastAsia="Times New Roman" w:cs="Times New Roman"/>
                <w:spacing w:val="-2"/>
              </w:rPr>
              <w:t>7400m</w:t>
            </w:r>
            <w:r>
              <w:rPr>
                <w:rFonts w:ascii="Times New Roman" w:hAnsi="Times New Roman" w:eastAsia="Times New Roman" w:cs="Times New Roman"/>
                <w:spacing w:val="-2"/>
                <w:position w:val="7"/>
                <w:sz w:val="14"/>
                <w:szCs w:val="14"/>
              </w:rPr>
              <w:t>2</w:t>
            </w:r>
            <w:r>
              <w:rPr>
                <w:spacing w:val="-2"/>
              </w:rPr>
              <w:t>，建设致密生物</w:t>
            </w:r>
            <w:r>
              <w:rPr>
                <w:spacing w:val="4"/>
              </w:rPr>
              <w:t xml:space="preserve">  </w:t>
            </w:r>
            <w:r>
              <w:rPr>
                <w:spacing w:val="-4"/>
              </w:rPr>
              <w:t>质成型燃料生产线一条，厂房内布置有原料堆场、成品堆场、中间</w:t>
            </w:r>
            <w:r>
              <w:rPr>
                <w:spacing w:val="-5"/>
              </w:rPr>
              <w:t>料（湿粉料、干粉料）</w:t>
            </w:r>
            <w:r>
              <w:t xml:space="preserve"> </w:t>
            </w:r>
            <w:r>
              <w:rPr>
                <w:spacing w:val="-1"/>
              </w:rPr>
              <w:t>堆放间以及生产设备布置区。生产线主要设备有削片机、粉碎机</w:t>
            </w:r>
            <w:r>
              <w:rPr>
                <w:spacing w:val="-2"/>
              </w:rPr>
              <w:t>、滚筒烘干机、热风炉</w:t>
            </w:r>
            <w:r>
              <w:t xml:space="preserve">  </w:t>
            </w:r>
            <w:r>
              <w:rPr>
                <w:spacing w:val="-1"/>
              </w:rPr>
              <w:t>以及造粒机等，并配套安装有废气处理设施等。项目采用削片粉碎、</w:t>
            </w:r>
            <w:r>
              <w:rPr>
                <w:spacing w:val="-2"/>
              </w:rPr>
              <w:t>烘干造粒的生产工</w:t>
            </w:r>
            <w:r>
              <w:t xml:space="preserve">  </w:t>
            </w:r>
            <w:r>
              <w:rPr>
                <w:spacing w:val="-1"/>
              </w:rPr>
              <w:t>艺，建成后预计年产致密生物质成型燃料</w:t>
            </w:r>
            <w:r>
              <w:rPr>
                <w:rFonts w:ascii="Times New Roman" w:hAnsi="Times New Roman" w:eastAsia="Times New Roman" w:cs="Times New Roman"/>
                <w:spacing w:val="-1"/>
              </w:rPr>
              <w:t>15</w:t>
            </w:r>
            <w:r>
              <w:rPr>
                <w:spacing w:val="-1"/>
              </w:rPr>
              <w:t>万吨。</w:t>
            </w:r>
          </w:p>
          <w:p w14:paraId="3EA671B4">
            <w:pPr>
              <w:pStyle w:val="6"/>
              <w:spacing w:line="219" w:lineRule="auto"/>
              <w:ind w:left="530"/>
            </w:pPr>
            <w:r>
              <w:rPr>
                <w:spacing w:val="-3"/>
              </w:rPr>
              <w:t>项目组成和可能产生的环境问题见下表。</w:t>
            </w:r>
          </w:p>
          <w:p w14:paraId="344C4E3A">
            <w:pPr>
              <w:spacing w:before="95" w:line="209" w:lineRule="auto"/>
              <w:ind w:left="2149"/>
              <w:rPr>
                <w:rFonts w:ascii="黑体" w:hAnsi="黑体" w:eastAsia="黑体" w:cs="黑体"/>
                <w:sz w:val="20"/>
                <w:szCs w:val="20"/>
              </w:rPr>
            </w:pPr>
            <w:r>
              <w:rPr>
                <w:rFonts w:ascii="黑体" w:hAnsi="黑体" w:eastAsia="黑体" w:cs="黑体"/>
                <w:spacing w:val="-1"/>
                <w:sz w:val="20"/>
                <w:szCs w:val="20"/>
              </w:rPr>
              <w:t>表</w:t>
            </w:r>
            <w:r>
              <w:rPr>
                <w:rFonts w:ascii="Times New Roman" w:hAnsi="Times New Roman" w:eastAsia="Times New Roman" w:cs="Times New Roman"/>
                <w:spacing w:val="-1"/>
                <w:sz w:val="20"/>
                <w:szCs w:val="20"/>
              </w:rPr>
              <w:t xml:space="preserve">2-2    </w:t>
            </w:r>
            <w:r>
              <w:rPr>
                <w:rFonts w:ascii="黑体" w:hAnsi="黑体" w:eastAsia="黑体" w:cs="黑体"/>
                <w:spacing w:val="-1"/>
                <w:sz w:val="20"/>
                <w:szCs w:val="20"/>
              </w:rPr>
              <w:t>项目组成及可能产生的主要环境问题</w:t>
            </w:r>
          </w:p>
        </w:tc>
      </w:tr>
      <w:tr w14:paraId="53852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832" w:type="dxa"/>
            <w:vMerge w:val="continue"/>
            <w:tcBorders>
              <w:top w:val="nil"/>
              <w:left w:val="single" w:color="000000" w:sz="6" w:space="0"/>
              <w:bottom w:val="nil"/>
            </w:tcBorders>
            <w:vAlign w:val="top"/>
          </w:tcPr>
          <w:p w14:paraId="22BC0E32">
            <w:pPr>
              <w:rPr>
                <w:rFonts w:ascii="Arial"/>
                <w:sz w:val="21"/>
              </w:rPr>
            </w:pPr>
          </w:p>
        </w:tc>
        <w:tc>
          <w:tcPr>
            <w:tcW w:w="124" w:type="dxa"/>
            <w:vMerge w:val="restart"/>
            <w:tcBorders>
              <w:bottom w:val="nil"/>
              <w:right w:val="nil"/>
            </w:tcBorders>
            <w:vAlign w:val="top"/>
          </w:tcPr>
          <w:p w14:paraId="5F89022F">
            <w:pPr>
              <w:rPr>
                <w:rFonts w:ascii="Arial"/>
                <w:sz w:val="21"/>
              </w:rPr>
            </w:pPr>
          </w:p>
        </w:tc>
        <w:tc>
          <w:tcPr>
            <w:tcW w:w="652" w:type="dxa"/>
            <w:gridSpan w:val="2"/>
            <w:vMerge w:val="restart"/>
            <w:tcBorders>
              <w:left w:val="nil"/>
              <w:bottom w:val="nil"/>
            </w:tcBorders>
            <w:vAlign w:val="top"/>
          </w:tcPr>
          <w:p w14:paraId="11A9E6CB">
            <w:pPr>
              <w:pStyle w:val="6"/>
              <w:spacing w:before="192" w:line="222" w:lineRule="auto"/>
              <w:ind w:left="129"/>
              <w:rPr>
                <w:sz w:val="20"/>
                <w:szCs w:val="20"/>
              </w:rPr>
            </w:pPr>
            <w:r>
              <w:rPr>
                <w:b/>
                <w:bCs/>
                <w:spacing w:val="-5"/>
                <w:sz w:val="20"/>
                <w:szCs w:val="20"/>
              </w:rPr>
              <w:t>名称</w:t>
            </w:r>
          </w:p>
        </w:tc>
        <w:tc>
          <w:tcPr>
            <w:tcW w:w="4736" w:type="dxa"/>
            <w:gridSpan w:val="4"/>
            <w:vMerge w:val="restart"/>
            <w:tcBorders>
              <w:bottom w:val="nil"/>
            </w:tcBorders>
            <w:vAlign w:val="top"/>
          </w:tcPr>
          <w:p w14:paraId="711BB364">
            <w:pPr>
              <w:pStyle w:val="6"/>
              <w:spacing w:before="192" w:line="220" w:lineRule="auto"/>
              <w:ind w:left="1671"/>
              <w:rPr>
                <w:sz w:val="20"/>
                <w:szCs w:val="20"/>
              </w:rPr>
            </w:pPr>
            <w:r>
              <w:rPr>
                <w:b/>
                <w:bCs/>
                <w:spacing w:val="-3"/>
                <w:sz w:val="20"/>
                <w:szCs w:val="20"/>
              </w:rPr>
              <w:t>建设内容及规模</w:t>
            </w:r>
          </w:p>
        </w:tc>
        <w:tc>
          <w:tcPr>
            <w:tcW w:w="1837" w:type="dxa"/>
            <w:gridSpan w:val="3"/>
            <w:vAlign w:val="top"/>
          </w:tcPr>
          <w:p w14:paraId="477EC236">
            <w:pPr>
              <w:pStyle w:val="6"/>
              <w:spacing w:before="32" w:line="184" w:lineRule="auto"/>
              <w:ind w:left="327"/>
              <w:rPr>
                <w:sz w:val="20"/>
                <w:szCs w:val="20"/>
              </w:rPr>
            </w:pPr>
            <w:r>
              <w:rPr>
                <w:b/>
                <w:bCs/>
                <w:spacing w:val="-3"/>
                <w:sz w:val="20"/>
                <w:szCs w:val="20"/>
              </w:rPr>
              <w:t>主要环境问题</w:t>
            </w:r>
          </w:p>
        </w:tc>
        <w:tc>
          <w:tcPr>
            <w:tcW w:w="672" w:type="dxa"/>
            <w:gridSpan w:val="2"/>
            <w:vMerge w:val="restart"/>
            <w:tcBorders>
              <w:bottom w:val="nil"/>
            </w:tcBorders>
            <w:vAlign w:val="top"/>
          </w:tcPr>
          <w:p w14:paraId="522271DF">
            <w:pPr>
              <w:pStyle w:val="6"/>
              <w:spacing w:before="192" w:line="221" w:lineRule="auto"/>
              <w:ind w:left="149"/>
              <w:rPr>
                <w:sz w:val="20"/>
                <w:szCs w:val="20"/>
              </w:rPr>
            </w:pPr>
            <w:r>
              <w:rPr>
                <w:b/>
                <w:bCs/>
                <w:spacing w:val="-5"/>
                <w:sz w:val="20"/>
                <w:szCs w:val="20"/>
              </w:rPr>
              <w:t>备注</w:t>
            </w:r>
          </w:p>
        </w:tc>
        <w:tc>
          <w:tcPr>
            <w:tcW w:w="135" w:type="dxa"/>
            <w:tcBorders>
              <w:top w:val="nil"/>
              <w:bottom w:val="nil"/>
              <w:right w:val="single" w:color="000000" w:sz="6" w:space="0"/>
            </w:tcBorders>
            <w:vAlign w:val="top"/>
          </w:tcPr>
          <w:p w14:paraId="61CD5BDF">
            <w:pPr>
              <w:spacing w:line="232" w:lineRule="exact"/>
              <w:rPr>
                <w:rFonts w:ascii="Arial"/>
                <w:sz w:val="20"/>
              </w:rPr>
            </w:pPr>
          </w:p>
        </w:tc>
      </w:tr>
      <w:tr w14:paraId="58795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32" w:type="dxa"/>
            <w:vMerge w:val="continue"/>
            <w:tcBorders>
              <w:top w:val="nil"/>
              <w:left w:val="single" w:color="000000" w:sz="6" w:space="0"/>
              <w:bottom w:val="nil"/>
            </w:tcBorders>
            <w:vAlign w:val="top"/>
          </w:tcPr>
          <w:p w14:paraId="24C2384A">
            <w:pPr>
              <w:rPr>
                <w:rFonts w:ascii="Arial"/>
                <w:sz w:val="21"/>
              </w:rPr>
            </w:pPr>
          </w:p>
        </w:tc>
        <w:tc>
          <w:tcPr>
            <w:tcW w:w="124" w:type="dxa"/>
            <w:vMerge w:val="continue"/>
            <w:tcBorders>
              <w:top w:val="nil"/>
              <w:right w:val="nil"/>
            </w:tcBorders>
            <w:vAlign w:val="top"/>
          </w:tcPr>
          <w:p w14:paraId="067C81DE">
            <w:pPr>
              <w:rPr>
                <w:rFonts w:ascii="Arial"/>
                <w:sz w:val="21"/>
              </w:rPr>
            </w:pPr>
          </w:p>
        </w:tc>
        <w:tc>
          <w:tcPr>
            <w:tcW w:w="652" w:type="dxa"/>
            <w:gridSpan w:val="2"/>
            <w:vMerge w:val="continue"/>
            <w:tcBorders>
              <w:top w:val="nil"/>
              <w:left w:val="nil"/>
            </w:tcBorders>
            <w:vAlign w:val="top"/>
          </w:tcPr>
          <w:p w14:paraId="14E29E27">
            <w:pPr>
              <w:rPr>
                <w:rFonts w:ascii="Arial"/>
                <w:sz w:val="21"/>
              </w:rPr>
            </w:pPr>
          </w:p>
        </w:tc>
        <w:tc>
          <w:tcPr>
            <w:tcW w:w="4736" w:type="dxa"/>
            <w:gridSpan w:val="4"/>
            <w:vMerge w:val="continue"/>
            <w:tcBorders>
              <w:top w:val="nil"/>
            </w:tcBorders>
            <w:vAlign w:val="top"/>
          </w:tcPr>
          <w:p w14:paraId="1C30AADA">
            <w:pPr>
              <w:rPr>
                <w:rFonts w:ascii="Arial"/>
                <w:sz w:val="21"/>
              </w:rPr>
            </w:pPr>
          </w:p>
        </w:tc>
        <w:tc>
          <w:tcPr>
            <w:tcW w:w="850" w:type="dxa"/>
            <w:gridSpan w:val="2"/>
            <w:vAlign w:val="top"/>
          </w:tcPr>
          <w:p w14:paraId="5396DD34">
            <w:pPr>
              <w:pStyle w:val="6"/>
              <w:spacing w:before="80" w:line="221" w:lineRule="auto"/>
              <w:ind w:left="131"/>
              <w:rPr>
                <w:sz w:val="20"/>
                <w:szCs w:val="20"/>
              </w:rPr>
            </w:pPr>
            <w:r>
              <w:rPr>
                <w:b/>
                <w:bCs/>
                <w:spacing w:val="-4"/>
                <w:sz w:val="20"/>
                <w:szCs w:val="20"/>
              </w:rPr>
              <w:t>施工期</w:t>
            </w:r>
          </w:p>
        </w:tc>
        <w:tc>
          <w:tcPr>
            <w:tcW w:w="987" w:type="dxa"/>
            <w:vAlign w:val="top"/>
          </w:tcPr>
          <w:p w14:paraId="2787B6D3">
            <w:pPr>
              <w:pStyle w:val="6"/>
              <w:spacing w:before="80" w:line="221" w:lineRule="auto"/>
              <w:ind w:left="209"/>
              <w:rPr>
                <w:sz w:val="20"/>
                <w:szCs w:val="20"/>
              </w:rPr>
            </w:pPr>
            <w:r>
              <w:rPr>
                <w:b/>
                <w:bCs/>
                <w:spacing w:val="-7"/>
                <w:sz w:val="20"/>
                <w:szCs w:val="20"/>
              </w:rPr>
              <w:t>营运期</w:t>
            </w:r>
          </w:p>
        </w:tc>
        <w:tc>
          <w:tcPr>
            <w:tcW w:w="672" w:type="dxa"/>
            <w:gridSpan w:val="2"/>
            <w:vMerge w:val="continue"/>
            <w:tcBorders>
              <w:top w:val="nil"/>
            </w:tcBorders>
            <w:vAlign w:val="top"/>
          </w:tcPr>
          <w:p w14:paraId="3C67AD0E">
            <w:pPr>
              <w:rPr>
                <w:rFonts w:ascii="Arial"/>
                <w:sz w:val="21"/>
              </w:rPr>
            </w:pPr>
          </w:p>
        </w:tc>
        <w:tc>
          <w:tcPr>
            <w:tcW w:w="135" w:type="dxa"/>
            <w:tcBorders>
              <w:top w:val="nil"/>
              <w:bottom w:val="nil"/>
              <w:right w:val="single" w:color="000000" w:sz="6" w:space="0"/>
            </w:tcBorders>
            <w:vAlign w:val="top"/>
          </w:tcPr>
          <w:p w14:paraId="3D8F05BF">
            <w:pPr>
              <w:rPr>
                <w:rFonts w:ascii="Arial"/>
                <w:sz w:val="21"/>
              </w:rPr>
            </w:pPr>
          </w:p>
        </w:tc>
      </w:tr>
      <w:tr w14:paraId="69ACB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1" w:hRule="atLeast"/>
        </w:trPr>
        <w:tc>
          <w:tcPr>
            <w:tcW w:w="832" w:type="dxa"/>
            <w:vMerge w:val="continue"/>
            <w:tcBorders>
              <w:top w:val="nil"/>
              <w:left w:val="single" w:color="000000" w:sz="6" w:space="0"/>
              <w:bottom w:val="nil"/>
            </w:tcBorders>
            <w:vAlign w:val="top"/>
          </w:tcPr>
          <w:p w14:paraId="184B5266">
            <w:pPr>
              <w:rPr>
                <w:rFonts w:ascii="Arial"/>
                <w:sz w:val="21"/>
              </w:rPr>
            </w:pPr>
          </w:p>
        </w:tc>
        <w:tc>
          <w:tcPr>
            <w:tcW w:w="124" w:type="dxa"/>
            <w:tcBorders>
              <w:right w:val="single" w:color="000000" w:sz="8" w:space="0"/>
            </w:tcBorders>
            <w:vAlign w:val="top"/>
          </w:tcPr>
          <w:p w14:paraId="3CEC640A">
            <w:pPr>
              <w:rPr>
                <w:rFonts w:ascii="Arial"/>
                <w:sz w:val="21"/>
              </w:rPr>
            </w:pPr>
          </w:p>
        </w:tc>
        <w:tc>
          <w:tcPr>
            <w:tcW w:w="652" w:type="dxa"/>
            <w:gridSpan w:val="2"/>
            <w:tcBorders>
              <w:left w:val="single" w:color="000000" w:sz="8" w:space="0"/>
            </w:tcBorders>
            <w:vAlign w:val="top"/>
          </w:tcPr>
          <w:p w14:paraId="48EF5116">
            <w:pPr>
              <w:spacing w:line="356" w:lineRule="auto"/>
              <w:rPr>
                <w:rFonts w:ascii="Arial"/>
                <w:sz w:val="21"/>
              </w:rPr>
            </w:pPr>
          </w:p>
          <w:p w14:paraId="1A19A1FC">
            <w:pPr>
              <w:pStyle w:val="6"/>
              <w:spacing w:before="65" w:line="221" w:lineRule="auto"/>
              <w:ind w:left="119"/>
              <w:rPr>
                <w:sz w:val="20"/>
                <w:szCs w:val="20"/>
              </w:rPr>
            </w:pPr>
            <w:r>
              <w:rPr>
                <w:spacing w:val="-3"/>
                <w:sz w:val="20"/>
                <w:szCs w:val="20"/>
              </w:rPr>
              <w:t>主体</w:t>
            </w:r>
          </w:p>
          <w:p w14:paraId="20C0C93F">
            <w:pPr>
              <w:pStyle w:val="6"/>
              <w:spacing w:before="19" w:line="221" w:lineRule="auto"/>
              <w:ind w:left="120"/>
              <w:rPr>
                <w:sz w:val="20"/>
                <w:szCs w:val="20"/>
              </w:rPr>
            </w:pPr>
            <w:r>
              <w:rPr>
                <w:spacing w:val="-3"/>
                <w:sz w:val="20"/>
                <w:szCs w:val="20"/>
              </w:rPr>
              <w:t>工程</w:t>
            </w:r>
          </w:p>
        </w:tc>
        <w:tc>
          <w:tcPr>
            <w:tcW w:w="4736" w:type="dxa"/>
            <w:gridSpan w:val="4"/>
            <w:vAlign w:val="top"/>
          </w:tcPr>
          <w:p w14:paraId="30C0AEED">
            <w:pPr>
              <w:pStyle w:val="6"/>
              <w:spacing w:before="34" w:line="232" w:lineRule="auto"/>
              <w:ind w:left="58" w:right="39"/>
              <w:jc w:val="both"/>
              <w:rPr>
                <w:sz w:val="20"/>
                <w:szCs w:val="20"/>
              </w:rPr>
            </w:pPr>
            <w:r>
              <w:rPr>
                <w:spacing w:val="-1"/>
                <w:sz w:val="20"/>
                <w:szCs w:val="20"/>
              </w:rPr>
              <w:t>生物质成型燃料生产线：布置在租用的封闭式钢结构</w:t>
            </w:r>
            <w:r>
              <w:rPr>
                <w:spacing w:val="13"/>
                <w:sz w:val="20"/>
                <w:szCs w:val="20"/>
              </w:rPr>
              <w:t xml:space="preserve"> </w:t>
            </w:r>
            <w:r>
              <w:rPr>
                <w:spacing w:val="-3"/>
                <w:sz w:val="20"/>
                <w:szCs w:val="20"/>
              </w:rPr>
              <w:t>厂房内，总占地面积约</w:t>
            </w:r>
            <w:r>
              <w:rPr>
                <w:spacing w:val="-30"/>
                <w:sz w:val="20"/>
                <w:szCs w:val="20"/>
              </w:rPr>
              <w:t xml:space="preserve"> </w:t>
            </w:r>
            <w:r>
              <w:rPr>
                <w:rFonts w:ascii="Times New Roman" w:hAnsi="Times New Roman" w:eastAsia="Times New Roman" w:cs="Times New Roman"/>
                <w:spacing w:val="-3"/>
                <w:sz w:val="20"/>
                <w:szCs w:val="20"/>
              </w:rPr>
              <w:t>7000m</w:t>
            </w:r>
            <w:r>
              <w:rPr>
                <w:rFonts w:ascii="Times New Roman" w:hAnsi="Times New Roman" w:eastAsia="Times New Roman" w:cs="Times New Roman"/>
                <w:spacing w:val="-3"/>
                <w:position w:val="6"/>
                <w:sz w:val="12"/>
                <w:szCs w:val="12"/>
              </w:rPr>
              <w:t>2</w:t>
            </w:r>
            <w:r>
              <w:rPr>
                <w:rFonts w:ascii="Times New Roman" w:hAnsi="Times New Roman" w:eastAsia="Times New Roman" w:cs="Times New Roman"/>
                <w:spacing w:val="-6"/>
                <w:position w:val="6"/>
                <w:sz w:val="12"/>
                <w:szCs w:val="12"/>
              </w:rPr>
              <w:t xml:space="preserve"> </w:t>
            </w:r>
            <w:r>
              <w:rPr>
                <w:spacing w:val="-3"/>
                <w:sz w:val="20"/>
                <w:szCs w:val="20"/>
              </w:rPr>
              <w:t>，分别有原料堆放区、</w:t>
            </w:r>
            <w:r>
              <w:rPr>
                <w:sz w:val="20"/>
                <w:szCs w:val="20"/>
              </w:rPr>
              <w:t xml:space="preserve"> </w:t>
            </w:r>
            <w:r>
              <w:rPr>
                <w:spacing w:val="-1"/>
                <w:sz w:val="20"/>
                <w:szCs w:val="20"/>
              </w:rPr>
              <w:t>削片粉碎区、烘干区、造粒区、料仓冷却区，生产线</w:t>
            </w:r>
            <w:r>
              <w:rPr>
                <w:spacing w:val="13"/>
                <w:sz w:val="20"/>
                <w:szCs w:val="20"/>
              </w:rPr>
              <w:t xml:space="preserve"> </w:t>
            </w:r>
            <w:r>
              <w:rPr>
                <w:spacing w:val="-1"/>
                <w:sz w:val="20"/>
                <w:szCs w:val="20"/>
              </w:rPr>
              <w:t>主要设备包括削片机、粉碎机、滚筒烘干机、热风炉</w:t>
            </w:r>
            <w:r>
              <w:rPr>
                <w:spacing w:val="13"/>
                <w:sz w:val="20"/>
                <w:szCs w:val="20"/>
              </w:rPr>
              <w:t xml:space="preserve"> </w:t>
            </w:r>
            <w:r>
              <w:rPr>
                <w:spacing w:val="-5"/>
                <w:sz w:val="20"/>
                <w:szCs w:val="20"/>
              </w:rPr>
              <w:t>以及造粒机等，预计年产致密生物质成型燃料</w:t>
            </w:r>
            <w:r>
              <w:rPr>
                <w:spacing w:val="-16"/>
                <w:sz w:val="20"/>
                <w:szCs w:val="20"/>
              </w:rPr>
              <w:t xml:space="preserve"> </w:t>
            </w:r>
            <w:r>
              <w:rPr>
                <w:rFonts w:ascii="Times New Roman" w:hAnsi="Times New Roman" w:eastAsia="Times New Roman" w:cs="Times New Roman"/>
                <w:spacing w:val="-5"/>
                <w:sz w:val="20"/>
                <w:szCs w:val="20"/>
              </w:rPr>
              <w:t>15</w:t>
            </w:r>
            <w:r>
              <w:rPr>
                <w:rFonts w:ascii="Times New Roman" w:hAnsi="Times New Roman" w:eastAsia="Times New Roman" w:cs="Times New Roman"/>
                <w:spacing w:val="13"/>
                <w:w w:val="101"/>
                <w:sz w:val="20"/>
                <w:szCs w:val="20"/>
              </w:rPr>
              <w:t xml:space="preserve"> </w:t>
            </w:r>
            <w:r>
              <w:rPr>
                <w:spacing w:val="-5"/>
                <w:sz w:val="20"/>
                <w:szCs w:val="20"/>
              </w:rPr>
              <w:t>万吨</w:t>
            </w:r>
          </w:p>
        </w:tc>
        <w:tc>
          <w:tcPr>
            <w:tcW w:w="850" w:type="dxa"/>
            <w:gridSpan w:val="2"/>
            <w:vMerge w:val="restart"/>
            <w:tcBorders>
              <w:bottom w:val="nil"/>
            </w:tcBorders>
            <w:vAlign w:val="top"/>
          </w:tcPr>
          <w:p w14:paraId="1AEB4B81">
            <w:pPr>
              <w:spacing w:line="298" w:lineRule="auto"/>
              <w:rPr>
                <w:rFonts w:ascii="Arial"/>
                <w:sz w:val="21"/>
              </w:rPr>
            </w:pPr>
          </w:p>
          <w:p w14:paraId="276CE7E0">
            <w:pPr>
              <w:spacing w:line="299" w:lineRule="auto"/>
              <w:rPr>
                <w:rFonts w:ascii="Arial"/>
                <w:sz w:val="21"/>
              </w:rPr>
            </w:pPr>
          </w:p>
          <w:p w14:paraId="00FBB81C">
            <w:pPr>
              <w:spacing w:line="299" w:lineRule="auto"/>
              <w:rPr>
                <w:rFonts w:ascii="Arial"/>
                <w:sz w:val="21"/>
              </w:rPr>
            </w:pPr>
          </w:p>
          <w:p w14:paraId="44CEFC4B">
            <w:pPr>
              <w:pStyle w:val="6"/>
              <w:spacing w:before="65" w:line="239" w:lineRule="auto"/>
              <w:ind w:left="134" w:right="49" w:hanging="70"/>
              <w:rPr>
                <w:sz w:val="20"/>
                <w:szCs w:val="20"/>
              </w:rPr>
            </w:pPr>
            <w:r>
              <w:rPr>
                <w:spacing w:val="-18"/>
                <w:sz w:val="20"/>
                <w:szCs w:val="20"/>
              </w:rPr>
              <w:t>废水、废</w:t>
            </w:r>
            <w:r>
              <w:rPr>
                <w:spacing w:val="2"/>
                <w:sz w:val="20"/>
                <w:szCs w:val="20"/>
              </w:rPr>
              <w:t xml:space="preserve"> </w:t>
            </w:r>
            <w:r>
              <w:rPr>
                <w:spacing w:val="-2"/>
                <w:sz w:val="20"/>
                <w:szCs w:val="20"/>
              </w:rPr>
              <w:t>气、扬</w:t>
            </w:r>
          </w:p>
          <w:p w14:paraId="76378AA0">
            <w:pPr>
              <w:pStyle w:val="6"/>
              <w:spacing w:line="220" w:lineRule="auto"/>
              <w:ind w:left="135"/>
              <w:rPr>
                <w:sz w:val="20"/>
                <w:szCs w:val="20"/>
              </w:rPr>
            </w:pPr>
            <w:r>
              <w:rPr>
                <w:spacing w:val="-2"/>
                <w:sz w:val="20"/>
                <w:szCs w:val="20"/>
              </w:rPr>
              <w:t>尘、固</w:t>
            </w:r>
          </w:p>
          <w:p w14:paraId="7623A208">
            <w:pPr>
              <w:pStyle w:val="6"/>
              <w:spacing w:before="19" w:line="241" w:lineRule="auto"/>
              <w:ind w:left="69" w:right="49" w:firstLine="63"/>
              <w:jc w:val="both"/>
              <w:rPr>
                <w:sz w:val="20"/>
                <w:szCs w:val="20"/>
              </w:rPr>
            </w:pPr>
            <w:r>
              <w:rPr>
                <w:spacing w:val="-2"/>
                <w:sz w:val="20"/>
                <w:szCs w:val="20"/>
              </w:rPr>
              <w:t>废、噪</w:t>
            </w:r>
            <w:r>
              <w:rPr>
                <w:sz w:val="20"/>
                <w:szCs w:val="20"/>
              </w:rPr>
              <w:t xml:space="preserve"> </w:t>
            </w:r>
            <w:r>
              <w:rPr>
                <w:spacing w:val="-19"/>
                <w:sz w:val="20"/>
                <w:szCs w:val="20"/>
              </w:rPr>
              <w:t>声、水土</w:t>
            </w:r>
            <w:r>
              <w:rPr>
                <w:spacing w:val="1"/>
                <w:sz w:val="20"/>
                <w:szCs w:val="20"/>
              </w:rPr>
              <w:t xml:space="preserve"> </w:t>
            </w:r>
            <w:r>
              <w:rPr>
                <w:spacing w:val="19"/>
                <w:sz w:val="20"/>
                <w:szCs w:val="20"/>
              </w:rPr>
              <w:t>流失等</w:t>
            </w:r>
          </w:p>
        </w:tc>
        <w:tc>
          <w:tcPr>
            <w:tcW w:w="987" w:type="dxa"/>
            <w:vAlign w:val="top"/>
          </w:tcPr>
          <w:p w14:paraId="0DC08BC4">
            <w:pPr>
              <w:pStyle w:val="6"/>
              <w:spacing w:before="291" w:line="221" w:lineRule="auto"/>
              <w:ind w:left="103"/>
              <w:rPr>
                <w:sz w:val="20"/>
                <w:szCs w:val="20"/>
              </w:rPr>
            </w:pPr>
            <w:r>
              <w:rPr>
                <w:spacing w:val="-2"/>
                <w:sz w:val="20"/>
                <w:szCs w:val="20"/>
              </w:rPr>
              <w:t>废气、废</w:t>
            </w:r>
          </w:p>
          <w:p w14:paraId="794D2F0C">
            <w:pPr>
              <w:pStyle w:val="6"/>
              <w:spacing w:before="21" w:line="220" w:lineRule="auto"/>
              <w:ind w:left="107"/>
              <w:rPr>
                <w:sz w:val="20"/>
                <w:szCs w:val="20"/>
              </w:rPr>
            </w:pPr>
            <w:r>
              <w:rPr>
                <w:spacing w:val="-8"/>
                <w:sz w:val="20"/>
                <w:szCs w:val="20"/>
              </w:rPr>
              <w:t>水噪声、</w:t>
            </w:r>
          </w:p>
          <w:p w14:paraId="1E2A26E1">
            <w:pPr>
              <w:pStyle w:val="6"/>
              <w:spacing w:before="20" w:line="221" w:lineRule="auto"/>
              <w:ind w:left="322"/>
              <w:rPr>
                <w:sz w:val="20"/>
                <w:szCs w:val="20"/>
              </w:rPr>
            </w:pPr>
            <w:r>
              <w:rPr>
                <w:spacing w:val="-7"/>
                <w:sz w:val="20"/>
                <w:szCs w:val="20"/>
              </w:rPr>
              <w:t>固废</w:t>
            </w:r>
          </w:p>
        </w:tc>
        <w:tc>
          <w:tcPr>
            <w:tcW w:w="672" w:type="dxa"/>
            <w:gridSpan w:val="2"/>
            <w:vAlign w:val="top"/>
          </w:tcPr>
          <w:p w14:paraId="3AD04542">
            <w:pPr>
              <w:spacing w:line="242" w:lineRule="auto"/>
              <w:rPr>
                <w:rFonts w:ascii="Arial"/>
                <w:sz w:val="21"/>
              </w:rPr>
            </w:pPr>
          </w:p>
          <w:p w14:paraId="64BC0412">
            <w:pPr>
              <w:spacing w:line="242" w:lineRule="auto"/>
              <w:rPr>
                <w:rFonts w:ascii="Arial"/>
                <w:sz w:val="21"/>
              </w:rPr>
            </w:pPr>
          </w:p>
          <w:p w14:paraId="6AB3F7BB">
            <w:pPr>
              <w:pStyle w:val="6"/>
              <w:spacing w:before="65" w:line="221" w:lineRule="auto"/>
              <w:ind w:left="149"/>
              <w:rPr>
                <w:sz w:val="20"/>
                <w:szCs w:val="20"/>
              </w:rPr>
            </w:pPr>
            <w:r>
              <w:rPr>
                <w:spacing w:val="-2"/>
                <w:sz w:val="20"/>
                <w:szCs w:val="20"/>
              </w:rPr>
              <w:t>新建</w:t>
            </w:r>
          </w:p>
        </w:tc>
        <w:tc>
          <w:tcPr>
            <w:tcW w:w="135" w:type="dxa"/>
            <w:tcBorders>
              <w:top w:val="nil"/>
              <w:bottom w:val="nil"/>
              <w:right w:val="single" w:color="000000" w:sz="6" w:space="0"/>
            </w:tcBorders>
            <w:vAlign w:val="top"/>
          </w:tcPr>
          <w:p w14:paraId="2C200F2D">
            <w:pPr>
              <w:rPr>
                <w:rFonts w:ascii="Arial"/>
                <w:sz w:val="21"/>
              </w:rPr>
            </w:pPr>
          </w:p>
        </w:tc>
      </w:tr>
      <w:tr w14:paraId="680E8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32" w:type="dxa"/>
            <w:vMerge w:val="continue"/>
            <w:tcBorders>
              <w:top w:val="nil"/>
              <w:left w:val="single" w:color="000000" w:sz="6" w:space="0"/>
              <w:bottom w:val="nil"/>
            </w:tcBorders>
            <w:vAlign w:val="top"/>
          </w:tcPr>
          <w:p w14:paraId="5EA4259A">
            <w:pPr>
              <w:rPr>
                <w:rFonts w:ascii="Arial"/>
                <w:sz w:val="21"/>
              </w:rPr>
            </w:pPr>
          </w:p>
        </w:tc>
        <w:tc>
          <w:tcPr>
            <w:tcW w:w="124" w:type="dxa"/>
            <w:vMerge w:val="restart"/>
            <w:tcBorders>
              <w:bottom w:val="nil"/>
              <w:right w:val="nil"/>
            </w:tcBorders>
            <w:vAlign w:val="top"/>
          </w:tcPr>
          <w:p w14:paraId="1B5F5F5F">
            <w:pPr>
              <w:rPr>
                <w:rFonts w:ascii="Arial"/>
                <w:sz w:val="21"/>
              </w:rPr>
            </w:pPr>
          </w:p>
        </w:tc>
        <w:tc>
          <w:tcPr>
            <w:tcW w:w="652" w:type="dxa"/>
            <w:gridSpan w:val="2"/>
            <w:vMerge w:val="restart"/>
            <w:tcBorders>
              <w:left w:val="nil"/>
              <w:bottom w:val="nil"/>
            </w:tcBorders>
            <w:vAlign w:val="top"/>
          </w:tcPr>
          <w:p w14:paraId="284D7B9C">
            <w:pPr>
              <w:spacing w:line="254" w:lineRule="auto"/>
              <w:rPr>
                <w:rFonts w:ascii="Arial"/>
                <w:sz w:val="21"/>
              </w:rPr>
            </w:pPr>
          </w:p>
          <w:p w14:paraId="172426B6">
            <w:pPr>
              <w:spacing w:line="254" w:lineRule="auto"/>
              <w:rPr>
                <w:rFonts w:ascii="Arial"/>
                <w:sz w:val="21"/>
              </w:rPr>
            </w:pPr>
          </w:p>
          <w:p w14:paraId="2A163A59">
            <w:pPr>
              <w:spacing w:line="254" w:lineRule="auto"/>
              <w:rPr>
                <w:rFonts w:ascii="Arial"/>
                <w:sz w:val="21"/>
              </w:rPr>
            </w:pPr>
          </w:p>
          <w:p w14:paraId="7988DD5F">
            <w:pPr>
              <w:pStyle w:val="6"/>
              <w:spacing w:before="65" w:line="221" w:lineRule="auto"/>
              <w:ind w:left="129"/>
              <w:rPr>
                <w:sz w:val="20"/>
                <w:szCs w:val="20"/>
              </w:rPr>
            </w:pPr>
            <w:r>
              <w:rPr>
                <w:spacing w:val="-3"/>
                <w:sz w:val="20"/>
                <w:szCs w:val="20"/>
              </w:rPr>
              <w:t>辅助</w:t>
            </w:r>
          </w:p>
          <w:p w14:paraId="671258F8">
            <w:pPr>
              <w:pStyle w:val="6"/>
              <w:spacing w:before="20" w:line="221" w:lineRule="auto"/>
              <w:ind w:left="130"/>
              <w:rPr>
                <w:sz w:val="20"/>
                <w:szCs w:val="20"/>
              </w:rPr>
            </w:pPr>
            <w:r>
              <w:rPr>
                <w:spacing w:val="-3"/>
                <w:sz w:val="20"/>
                <w:szCs w:val="20"/>
              </w:rPr>
              <w:t>工程</w:t>
            </w:r>
          </w:p>
        </w:tc>
        <w:tc>
          <w:tcPr>
            <w:tcW w:w="4736" w:type="dxa"/>
            <w:gridSpan w:val="4"/>
            <w:vAlign w:val="top"/>
          </w:tcPr>
          <w:p w14:paraId="50414E11">
            <w:pPr>
              <w:pStyle w:val="6"/>
              <w:spacing w:before="32" w:line="222" w:lineRule="auto"/>
              <w:ind w:left="55" w:right="50" w:firstLine="6"/>
              <w:rPr>
                <w:sz w:val="20"/>
                <w:szCs w:val="20"/>
              </w:rPr>
            </w:pPr>
            <w:r>
              <w:rPr>
                <w:spacing w:val="-3"/>
                <w:sz w:val="20"/>
                <w:szCs w:val="20"/>
              </w:rPr>
              <w:t>原料堆场：占地面积约</w:t>
            </w:r>
            <w:r>
              <w:rPr>
                <w:spacing w:val="-20"/>
                <w:sz w:val="20"/>
                <w:szCs w:val="20"/>
              </w:rPr>
              <w:t xml:space="preserve"> </w:t>
            </w:r>
            <w:r>
              <w:rPr>
                <w:rFonts w:ascii="Times New Roman" w:hAnsi="Times New Roman" w:eastAsia="Times New Roman" w:cs="Times New Roman"/>
                <w:spacing w:val="-3"/>
                <w:sz w:val="20"/>
                <w:szCs w:val="20"/>
              </w:rPr>
              <w:t>1728m</w:t>
            </w:r>
            <w:r>
              <w:rPr>
                <w:rFonts w:ascii="Times New Roman" w:hAnsi="Times New Roman" w:eastAsia="Times New Roman" w:cs="Times New Roman"/>
                <w:spacing w:val="-3"/>
                <w:position w:val="6"/>
                <w:sz w:val="12"/>
                <w:szCs w:val="12"/>
              </w:rPr>
              <w:t>2</w:t>
            </w:r>
            <w:r>
              <w:rPr>
                <w:spacing w:val="-3"/>
                <w:sz w:val="20"/>
                <w:szCs w:val="20"/>
              </w:rPr>
              <w:t>，位于厂房内南部西南</w:t>
            </w:r>
            <w:r>
              <w:rPr>
                <w:sz w:val="20"/>
                <w:szCs w:val="20"/>
              </w:rPr>
              <w:t xml:space="preserve"> 侧</w:t>
            </w:r>
          </w:p>
        </w:tc>
        <w:tc>
          <w:tcPr>
            <w:tcW w:w="850" w:type="dxa"/>
            <w:gridSpan w:val="2"/>
            <w:vMerge w:val="continue"/>
            <w:tcBorders>
              <w:top w:val="nil"/>
              <w:bottom w:val="nil"/>
            </w:tcBorders>
            <w:vAlign w:val="top"/>
          </w:tcPr>
          <w:p w14:paraId="4A147204">
            <w:pPr>
              <w:rPr>
                <w:rFonts w:ascii="Arial"/>
                <w:sz w:val="21"/>
              </w:rPr>
            </w:pPr>
          </w:p>
        </w:tc>
        <w:tc>
          <w:tcPr>
            <w:tcW w:w="987" w:type="dxa"/>
            <w:vAlign w:val="top"/>
          </w:tcPr>
          <w:p w14:paraId="436B5F8A">
            <w:pPr>
              <w:spacing w:before="197" w:line="232" w:lineRule="auto"/>
              <w:ind w:left="469"/>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672" w:type="dxa"/>
            <w:gridSpan w:val="2"/>
            <w:vAlign w:val="top"/>
          </w:tcPr>
          <w:p w14:paraId="487DFA87">
            <w:pPr>
              <w:pStyle w:val="6"/>
              <w:spacing w:before="163" w:line="221" w:lineRule="auto"/>
              <w:ind w:left="149"/>
              <w:rPr>
                <w:sz w:val="20"/>
                <w:szCs w:val="20"/>
              </w:rPr>
            </w:pPr>
            <w:r>
              <w:rPr>
                <w:spacing w:val="-2"/>
                <w:sz w:val="20"/>
                <w:szCs w:val="20"/>
              </w:rPr>
              <w:t>新建</w:t>
            </w:r>
          </w:p>
        </w:tc>
        <w:tc>
          <w:tcPr>
            <w:tcW w:w="135" w:type="dxa"/>
            <w:tcBorders>
              <w:top w:val="nil"/>
              <w:bottom w:val="nil"/>
              <w:right w:val="single" w:color="000000" w:sz="6" w:space="0"/>
            </w:tcBorders>
            <w:vAlign w:val="top"/>
          </w:tcPr>
          <w:p w14:paraId="4D60F8CA">
            <w:pPr>
              <w:rPr>
                <w:rFonts w:ascii="Arial"/>
                <w:sz w:val="21"/>
              </w:rPr>
            </w:pPr>
          </w:p>
        </w:tc>
      </w:tr>
      <w:tr w14:paraId="67E1A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832" w:type="dxa"/>
            <w:vMerge w:val="continue"/>
            <w:tcBorders>
              <w:top w:val="nil"/>
              <w:left w:val="single" w:color="000000" w:sz="6" w:space="0"/>
              <w:bottom w:val="nil"/>
            </w:tcBorders>
            <w:vAlign w:val="top"/>
          </w:tcPr>
          <w:p w14:paraId="7BD3827D">
            <w:pPr>
              <w:rPr>
                <w:rFonts w:ascii="Arial"/>
                <w:sz w:val="21"/>
              </w:rPr>
            </w:pPr>
          </w:p>
        </w:tc>
        <w:tc>
          <w:tcPr>
            <w:tcW w:w="124" w:type="dxa"/>
            <w:vMerge w:val="continue"/>
            <w:tcBorders>
              <w:top w:val="nil"/>
              <w:bottom w:val="nil"/>
              <w:right w:val="nil"/>
            </w:tcBorders>
            <w:vAlign w:val="top"/>
          </w:tcPr>
          <w:p w14:paraId="74F4500E">
            <w:pPr>
              <w:rPr>
                <w:rFonts w:ascii="Arial"/>
                <w:sz w:val="21"/>
              </w:rPr>
            </w:pPr>
          </w:p>
        </w:tc>
        <w:tc>
          <w:tcPr>
            <w:tcW w:w="652" w:type="dxa"/>
            <w:gridSpan w:val="2"/>
            <w:vMerge w:val="continue"/>
            <w:tcBorders>
              <w:top w:val="nil"/>
              <w:left w:val="nil"/>
              <w:bottom w:val="nil"/>
            </w:tcBorders>
            <w:vAlign w:val="top"/>
          </w:tcPr>
          <w:p w14:paraId="1154D630">
            <w:pPr>
              <w:rPr>
                <w:rFonts w:ascii="Arial"/>
                <w:sz w:val="21"/>
              </w:rPr>
            </w:pPr>
          </w:p>
        </w:tc>
        <w:tc>
          <w:tcPr>
            <w:tcW w:w="4736" w:type="dxa"/>
            <w:gridSpan w:val="4"/>
            <w:vAlign w:val="top"/>
          </w:tcPr>
          <w:p w14:paraId="3A12CC7E">
            <w:pPr>
              <w:pStyle w:val="6"/>
              <w:spacing w:before="34" w:line="221" w:lineRule="auto"/>
              <w:ind w:left="57" w:right="110"/>
              <w:rPr>
                <w:sz w:val="20"/>
                <w:szCs w:val="20"/>
              </w:rPr>
            </w:pPr>
            <w:r>
              <w:rPr>
                <w:spacing w:val="-2"/>
                <w:sz w:val="20"/>
                <w:szCs w:val="20"/>
              </w:rPr>
              <w:t>湿粉料堆放间：占地面积约</w:t>
            </w:r>
            <w:r>
              <w:rPr>
                <w:spacing w:val="-28"/>
                <w:sz w:val="20"/>
                <w:szCs w:val="20"/>
              </w:rPr>
              <w:t xml:space="preserve"> </w:t>
            </w:r>
            <w:r>
              <w:rPr>
                <w:rFonts w:ascii="Times New Roman" w:hAnsi="Times New Roman" w:eastAsia="Times New Roman" w:cs="Times New Roman"/>
                <w:spacing w:val="-2"/>
                <w:sz w:val="20"/>
                <w:szCs w:val="20"/>
              </w:rPr>
              <w:t>720m</w:t>
            </w:r>
            <w:r>
              <w:rPr>
                <w:rFonts w:ascii="Times New Roman" w:hAnsi="Times New Roman" w:eastAsia="Times New Roman" w:cs="Times New Roman"/>
                <w:spacing w:val="-2"/>
                <w:position w:val="6"/>
                <w:sz w:val="12"/>
                <w:szCs w:val="12"/>
              </w:rPr>
              <w:t>2</w:t>
            </w:r>
            <w:r>
              <w:rPr>
                <w:rFonts w:ascii="Times New Roman" w:hAnsi="Times New Roman" w:eastAsia="Times New Roman" w:cs="Times New Roman"/>
                <w:spacing w:val="-6"/>
                <w:position w:val="6"/>
                <w:sz w:val="12"/>
                <w:szCs w:val="12"/>
              </w:rPr>
              <w:t xml:space="preserve"> </w:t>
            </w:r>
            <w:r>
              <w:rPr>
                <w:spacing w:val="-2"/>
                <w:sz w:val="20"/>
                <w:szCs w:val="20"/>
              </w:rPr>
              <w:t>，位于厂房内中部</w:t>
            </w:r>
            <w:r>
              <w:rPr>
                <w:sz w:val="20"/>
                <w:szCs w:val="20"/>
              </w:rPr>
              <w:t xml:space="preserve"> </w:t>
            </w:r>
            <w:r>
              <w:rPr>
                <w:spacing w:val="-1"/>
                <w:sz w:val="20"/>
                <w:szCs w:val="20"/>
              </w:rPr>
              <w:t>靠西侧，建设为封闭式堆放间</w:t>
            </w:r>
          </w:p>
        </w:tc>
        <w:tc>
          <w:tcPr>
            <w:tcW w:w="850" w:type="dxa"/>
            <w:gridSpan w:val="2"/>
            <w:vMerge w:val="continue"/>
            <w:tcBorders>
              <w:top w:val="nil"/>
              <w:bottom w:val="nil"/>
            </w:tcBorders>
            <w:vAlign w:val="top"/>
          </w:tcPr>
          <w:p w14:paraId="2D691F52">
            <w:pPr>
              <w:rPr>
                <w:rFonts w:ascii="Arial"/>
                <w:sz w:val="21"/>
              </w:rPr>
            </w:pPr>
          </w:p>
        </w:tc>
        <w:tc>
          <w:tcPr>
            <w:tcW w:w="987" w:type="dxa"/>
            <w:vAlign w:val="top"/>
          </w:tcPr>
          <w:p w14:paraId="45FA5421">
            <w:pPr>
              <w:spacing w:before="197" w:line="232" w:lineRule="auto"/>
              <w:ind w:left="469"/>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672" w:type="dxa"/>
            <w:gridSpan w:val="2"/>
            <w:vAlign w:val="top"/>
          </w:tcPr>
          <w:p w14:paraId="63D6CD62">
            <w:pPr>
              <w:pStyle w:val="6"/>
              <w:spacing w:before="163" w:line="221" w:lineRule="auto"/>
              <w:ind w:left="149"/>
              <w:rPr>
                <w:sz w:val="20"/>
                <w:szCs w:val="20"/>
              </w:rPr>
            </w:pPr>
            <w:r>
              <w:rPr>
                <w:spacing w:val="-2"/>
                <w:sz w:val="20"/>
                <w:szCs w:val="20"/>
              </w:rPr>
              <w:t>新建</w:t>
            </w:r>
          </w:p>
        </w:tc>
        <w:tc>
          <w:tcPr>
            <w:tcW w:w="135" w:type="dxa"/>
            <w:tcBorders>
              <w:top w:val="nil"/>
              <w:bottom w:val="nil"/>
              <w:right w:val="single" w:color="000000" w:sz="6" w:space="0"/>
            </w:tcBorders>
            <w:vAlign w:val="top"/>
          </w:tcPr>
          <w:p w14:paraId="6DA390AD">
            <w:pPr>
              <w:rPr>
                <w:rFonts w:ascii="Arial"/>
                <w:sz w:val="21"/>
              </w:rPr>
            </w:pPr>
          </w:p>
        </w:tc>
      </w:tr>
      <w:tr w14:paraId="3494A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32" w:type="dxa"/>
            <w:vMerge w:val="continue"/>
            <w:tcBorders>
              <w:top w:val="nil"/>
              <w:left w:val="single" w:color="000000" w:sz="6" w:space="0"/>
              <w:bottom w:val="nil"/>
            </w:tcBorders>
            <w:vAlign w:val="top"/>
          </w:tcPr>
          <w:p w14:paraId="17C030F8">
            <w:pPr>
              <w:rPr>
                <w:rFonts w:ascii="Arial"/>
                <w:sz w:val="21"/>
              </w:rPr>
            </w:pPr>
          </w:p>
        </w:tc>
        <w:tc>
          <w:tcPr>
            <w:tcW w:w="124" w:type="dxa"/>
            <w:vMerge w:val="continue"/>
            <w:tcBorders>
              <w:top w:val="nil"/>
              <w:bottom w:val="nil"/>
              <w:right w:val="nil"/>
            </w:tcBorders>
            <w:vAlign w:val="top"/>
          </w:tcPr>
          <w:p w14:paraId="2C641AF0">
            <w:pPr>
              <w:rPr>
                <w:rFonts w:ascii="Arial"/>
                <w:sz w:val="21"/>
              </w:rPr>
            </w:pPr>
          </w:p>
        </w:tc>
        <w:tc>
          <w:tcPr>
            <w:tcW w:w="652" w:type="dxa"/>
            <w:gridSpan w:val="2"/>
            <w:vMerge w:val="continue"/>
            <w:tcBorders>
              <w:top w:val="nil"/>
              <w:left w:val="nil"/>
              <w:bottom w:val="nil"/>
            </w:tcBorders>
            <w:vAlign w:val="top"/>
          </w:tcPr>
          <w:p w14:paraId="3022179F">
            <w:pPr>
              <w:rPr>
                <w:rFonts w:ascii="Arial"/>
                <w:sz w:val="21"/>
              </w:rPr>
            </w:pPr>
          </w:p>
        </w:tc>
        <w:tc>
          <w:tcPr>
            <w:tcW w:w="4736" w:type="dxa"/>
            <w:gridSpan w:val="4"/>
            <w:vAlign w:val="top"/>
          </w:tcPr>
          <w:p w14:paraId="3C04C469">
            <w:pPr>
              <w:pStyle w:val="6"/>
              <w:spacing w:before="35" w:line="221" w:lineRule="auto"/>
              <w:ind w:left="57" w:right="51" w:hanging="1"/>
              <w:rPr>
                <w:sz w:val="20"/>
                <w:szCs w:val="20"/>
              </w:rPr>
            </w:pPr>
            <w:r>
              <w:rPr>
                <w:spacing w:val="-3"/>
                <w:sz w:val="20"/>
                <w:szCs w:val="20"/>
              </w:rPr>
              <w:t>干粉料堆放间：占地面积约</w:t>
            </w:r>
            <w:r>
              <w:rPr>
                <w:spacing w:val="-16"/>
                <w:sz w:val="20"/>
                <w:szCs w:val="20"/>
              </w:rPr>
              <w:t xml:space="preserve"> </w:t>
            </w:r>
            <w:r>
              <w:rPr>
                <w:rFonts w:ascii="Times New Roman" w:hAnsi="Times New Roman" w:eastAsia="Times New Roman" w:cs="Times New Roman"/>
                <w:spacing w:val="-3"/>
                <w:sz w:val="20"/>
                <w:szCs w:val="20"/>
              </w:rPr>
              <w:t>1150m</w:t>
            </w:r>
            <w:r>
              <w:rPr>
                <w:rFonts w:ascii="Times New Roman" w:hAnsi="Times New Roman" w:eastAsia="Times New Roman" w:cs="Times New Roman"/>
                <w:spacing w:val="-3"/>
                <w:position w:val="6"/>
                <w:sz w:val="12"/>
                <w:szCs w:val="12"/>
              </w:rPr>
              <w:t>2</w:t>
            </w:r>
            <w:r>
              <w:rPr>
                <w:spacing w:val="-3"/>
                <w:sz w:val="20"/>
                <w:szCs w:val="20"/>
              </w:rPr>
              <w:t>，位于厂房内中部</w:t>
            </w:r>
            <w:r>
              <w:rPr>
                <w:sz w:val="20"/>
                <w:szCs w:val="20"/>
              </w:rPr>
              <w:t xml:space="preserve"> </w:t>
            </w:r>
            <w:r>
              <w:rPr>
                <w:spacing w:val="-1"/>
                <w:sz w:val="20"/>
                <w:szCs w:val="20"/>
              </w:rPr>
              <w:t>靠东侧，建设为封闭式堆放间</w:t>
            </w:r>
          </w:p>
        </w:tc>
        <w:tc>
          <w:tcPr>
            <w:tcW w:w="850" w:type="dxa"/>
            <w:gridSpan w:val="2"/>
            <w:vMerge w:val="continue"/>
            <w:tcBorders>
              <w:top w:val="nil"/>
              <w:bottom w:val="nil"/>
            </w:tcBorders>
            <w:vAlign w:val="top"/>
          </w:tcPr>
          <w:p w14:paraId="348050CD">
            <w:pPr>
              <w:rPr>
                <w:rFonts w:ascii="Arial"/>
                <w:sz w:val="21"/>
              </w:rPr>
            </w:pPr>
          </w:p>
        </w:tc>
        <w:tc>
          <w:tcPr>
            <w:tcW w:w="987" w:type="dxa"/>
            <w:vAlign w:val="top"/>
          </w:tcPr>
          <w:p w14:paraId="58CF3894">
            <w:pPr>
              <w:spacing w:before="198" w:line="232" w:lineRule="auto"/>
              <w:ind w:left="469"/>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672" w:type="dxa"/>
            <w:gridSpan w:val="2"/>
            <w:vAlign w:val="top"/>
          </w:tcPr>
          <w:p w14:paraId="1B755215">
            <w:pPr>
              <w:pStyle w:val="6"/>
              <w:spacing w:before="164" w:line="221" w:lineRule="auto"/>
              <w:ind w:left="149"/>
              <w:rPr>
                <w:sz w:val="20"/>
                <w:szCs w:val="20"/>
              </w:rPr>
            </w:pPr>
            <w:r>
              <w:rPr>
                <w:spacing w:val="-2"/>
                <w:sz w:val="20"/>
                <w:szCs w:val="20"/>
              </w:rPr>
              <w:t>新建</w:t>
            </w:r>
          </w:p>
        </w:tc>
        <w:tc>
          <w:tcPr>
            <w:tcW w:w="135" w:type="dxa"/>
            <w:tcBorders>
              <w:top w:val="nil"/>
              <w:bottom w:val="nil"/>
              <w:right w:val="single" w:color="000000" w:sz="6" w:space="0"/>
            </w:tcBorders>
            <w:vAlign w:val="top"/>
          </w:tcPr>
          <w:p w14:paraId="196301E7">
            <w:pPr>
              <w:rPr>
                <w:rFonts w:ascii="Arial"/>
                <w:sz w:val="21"/>
              </w:rPr>
            </w:pPr>
          </w:p>
        </w:tc>
      </w:tr>
      <w:tr w14:paraId="0889B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832" w:type="dxa"/>
            <w:vMerge w:val="continue"/>
            <w:tcBorders>
              <w:top w:val="nil"/>
              <w:left w:val="single" w:color="000000" w:sz="6" w:space="0"/>
              <w:bottom w:val="nil"/>
            </w:tcBorders>
            <w:vAlign w:val="top"/>
          </w:tcPr>
          <w:p w14:paraId="11E26E81">
            <w:pPr>
              <w:rPr>
                <w:rFonts w:ascii="Arial"/>
                <w:sz w:val="21"/>
              </w:rPr>
            </w:pPr>
          </w:p>
        </w:tc>
        <w:tc>
          <w:tcPr>
            <w:tcW w:w="124" w:type="dxa"/>
            <w:vMerge w:val="continue"/>
            <w:tcBorders>
              <w:top w:val="nil"/>
              <w:bottom w:val="nil"/>
              <w:right w:val="nil"/>
            </w:tcBorders>
            <w:vAlign w:val="top"/>
          </w:tcPr>
          <w:p w14:paraId="3DE1F076">
            <w:pPr>
              <w:rPr>
                <w:rFonts w:ascii="Arial"/>
                <w:sz w:val="21"/>
              </w:rPr>
            </w:pPr>
          </w:p>
        </w:tc>
        <w:tc>
          <w:tcPr>
            <w:tcW w:w="652" w:type="dxa"/>
            <w:gridSpan w:val="2"/>
            <w:vMerge w:val="continue"/>
            <w:tcBorders>
              <w:top w:val="nil"/>
              <w:left w:val="nil"/>
              <w:bottom w:val="nil"/>
            </w:tcBorders>
            <w:vAlign w:val="top"/>
          </w:tcPr>
          <w:p w14:paraId="405C22C9">
            <w:pPr>
              <w:rPr>
                <w:rFonts w:ascii="Arial"/>
                <w:sz w:val="21"/>
              </w:rPr>
            </w:pPr>
          </w:p>
        </w:tc>
        <w:tc>
          <w:tcPr>
            <w:tcW w:w="4736" w:type="dxa"/>
            <w:gridSpan w:val="4"/>
            <w:vAlign w:val="top"/>
          </w:tcPr>
          <w:p w14:paraId="1B7BF775">
            <w:pPr>
              <w:pStyle w:val="6"/>
              <w:spacing w:before="35" w:line="202" w:lineRule="auto"/>
              <w:ind w:left="58"/>
              <w:rPr>
                <w:sz w:val="20"/>
                <w:szCs w:val="20"/>
              </w:rPr>
            </w:pPr>
            <w:r>
              <w:rPr>
                <w:spacing w:val="-6"/>
                <w:sz w:val="20"/>
                <w:szCs w:val="20"/>
              </w:rPr>
              <w:t>成品堆场：占地面积约</w:t>
            </w:r>
            <w:r>
              <w:rPr>
                <w:spacing w:val="-32"/>
                <w:sz w:val="20"/>
                <w:szCs w:val="20"/>
              </w:rPr>
              <w:t xml:space="preserve"> </w:t>
            </w:r>
            <w:r>
              <w:rPr>
                <w:rFonts w:ascii="Times New Roman" w:hAnsi="Times New Roman" w:eastAsia="Times New Roman" w:cs="Times New Roman"/>
                <w:spacing w:val="-6"/>
                <w:sz w:val="20"/>
                <w:szCs w:val="20"/>
              </w:rPr>
              <w:t>648m</w:t>
            </w:r>
            <w:r>
              <w:rPr>
                <w:rFonts w:ascii="Times New Roman" w:hAnsi="Times New Roman" w:eastAsia="Times New Roman" w:cs="Times New Roman"/>
                <w:spacing w:val="-6"/>
                <w:position w:val="6"/>
                <w:sz w:val="12"/>
                <w:szCs w:val="12"/>
              </w:rPr>
              <w:t>2</w:t>
            </w:r>
            <w:r>
              <w:rPr>
                <w:spacing w:val="-6"/>
                <w:sz w:val="20"/>
                <w:szCs w:val="20"/>
              </w:rPr>
              <w:t>，位于厂房内南部靠东侧</w:t>
            </w:r>
          </w:p>
        </w:tc>
        <w:tc>
          <w:tcPr>
            <w:tcW w:w="850" w:type="dxa"/>
            <w:gridSpan w:val="2"/>
            <w:vMerge w:val="continue"/>
            <w:tcBorders>
              <w:top w:val="nil"/>
              <w:bottom w:val="nil"/>
            </w:tcBorders>
            <w:vAlign w:val="top"/>
          </w:tcPr>
          <w:p w14:paraId="382069E7">
            <w:pPr>
              <w:rPr>
                <w:rFonts w:ascii="Arial"/>
                <w:sz w:val="21"/>
              </w:rPr>
            </w:pPr>
          </w:p>
        </w:tc>
        <w:tc>
          <w:tcPr>
            <w:tcW w:w="987" w:type="dxa"/>
            <w:vAlign w:val="top"/>
          </w:tcPr>
          <w:p w14:paraId="2DFC2C1B">
            <w:pPr>
              <w:spacing w:before="68" w:line="194" w:lineRule="auto"/>
              <w:ind w:left="469"/>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672" w:type="dxa"/>
            <w:gridSpan w:val="2"/>
            <w:vAlign w:val="top"/>
          </w:tcPr>
          <w:p w14:paraId="0831F4E1">
            <w:pPr>
              <w:pStyle w:val="6"/>
              <w:spacing w:before="35" w:line="202" w:lineRule="auto"/>
              <w:ind w:left="149"/>
              <w:rPr>
                <w:sz w:val="20"/>
                <w:szCs w:val="20"/>
              </w:rPr>
            </w:pPr>
            <w:r>
              <w:rPr>
                <w:spacing w:val="-2"/>
                <w:sz w:val="20"/>
                <w:szCs w:val="20"/>
              </w:rPr>
              <w:t>新建</w:t>
            </w:r>
          </w:p>
        </w:tc>
        <w:tc>
          <w:tcPr>
            <w:tcW w:w="135" w:type="dxa"/>
            <w:tcBorders>
              <w:top w:val="nil"/>
              <w:bottom w:val="nil"/>
              <w:right w:val="single" w:color="000000" w:sz="6" w:space="0"/>
            </w:tcBorders>
            <w:vAlign w:val="top"/>
          </w:tcPr>
          <w:p w14:paraId="30EE05CD">
            <w:pPr>
              <w:rPr>
                <w:rFonts w:ascii="Arial"/>
                <w:sz w:val="21"/>
              </w:rPr>
            </w:pPr>
          </w:p>
        </w:tc>
      </w:tr>
      <w:tr w14:paraId="34842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832" w:type="dxa"/>
            <w:vMerge w:val="continue"/>
            <w:tcBorders>
              <w:top w:val="nil"/>
              <w:left w:val="single" w:color="000000" w:sz="6" w:space="0"/>
            </w:tcBorders>
            <w:vAlign w:val="top"/>
          </w:tcPr>
          <w:p w14:paraId="6620992E">
            <w:pPr>
              <w:rPr>
                <w:rFonts w:ascii="Arial"/>
                <w:sz w:val="21"/>
              </w:rPr>
            </w:pPr>
          </w:p>
        </w:tc>
        <w:tc>
          <w:tcPr>
            <w:tcW w:w="124" w:type="dxa"/>
            <w:vMerge w:val="continue"/>
            <w:tcBorders>
              <w:top w:val="nil"/>
              <w:right w:val="nil"/>
            </w:tcBorders>
            <w:vAlign w:val="top"/>
          </w:tcPr>
          <w:p w14:paraId="7FD99461">
            <w:pPr>
              <w:rPr>
                <w:rFonts w:ascii="Arial"/>
                <w:sz w:val="21"/>
              </w:rPr>
            </w:pPr>
          </w:p>
        </w:tc>
        <w:tc>
          <w:tcPr>
            <w:tcW w:w="652" w:type="dxa"/>
            <w:gridSpan w:val="2"/>
            <w:vMerge w:val="continue"/>
            <w:tcBorders>
              <w:top w:val="nil"/>
              <w:left w:val="nil"/>
            </w:tcBorders>
            <w:vAlign w:val="top"/>
          </w:tcPr>
          <w:p w14:paraId="3657DEF0">
            <w:pPr>
              <w:rPr>
                <w:rFonts w:ascii="Arial"/>
                <w:sz w:val="21"/>
              </w:rPr>
            </w:pPr>
          </w:p>
        </w:tc>
        <w:tc>
          <w:tcPr>
            <w:tcW w:w="4736" w:type="dxa"/>
            <w:gridSpan w:val="4"/>
            <w:vAlign w:val="top"/>
          </w:tcPr>
          <w:p w14:paraId="5CEA3123">
            <w:pPr>
              <w:pStyle w:val="6"/>
              <w:spacing w:before="36" w:line="216" w:lineRule="auto"/>
              <w:ind w:left="58"/>
              <w:rPr>
                <w:sz w:val="20"/>
                <w:szCs w:val="20"/>
              </w:rPr>
            </w:pPr>
            <w:r>
              <w:rPr>
                <w:spacing w:val="-1"/>
                <w:sz w:val="20"/>
                <w:szCs w:val="20"/>
              </w:rPr>
              <w:t>生产控制室：布置在厂房内造粒区旁边</w:t>
            </w:r>
          </w:p>
        </w:tc>
        <w:tc>
          <w:tcPr>
            <w:tcW w:w="850" w:type="dxa"/>
            <w:gridSpan w:val="2"/>
            <w:vMerge w:val="continue"/>
            <w:tcBorders>
              <w:top w:val="nil"/>
            </w:tcBorders>
            <w:vAlign w:val="top"/>
          </w:tcPr>
          <w:p w14:paraId="29AEED40">
            <w:pPr>
              <w:rPr>
                <w:rFonts w:ascii="Arial"/>
                <w:sz w:val="21"/>
              </w:rPr>
            </w:pPr>
          </w:p>
        </w:tc>
        <w:tc>
          <w:tcPr>
            <w:tcW w:w="987" w:type="dxa"/>
            <w:vAlign w:val="top"/>
          </w:tcPr>
          <w:p w14:paraId="4E851855">
            <w:pPr>
              <w:spacing w:before="68" w:line="210" w:lineRule="auto"/>
              <w:ind w:left="469"/>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672" w:type="dxa"/>
            <w:gridSpan w:val="2"/>
            <w:vAlign w:val="top"/>
          </w:tcPr>
          <w:p w14:paraId="5D018E86">
            <w:pPr>
              <w:pStyle w:val="6"/>
              <w:spacing w:before="36" w:line="216" w:lineRule="auto"/>
              <w:ind w:left="149"/>
              <w:rPr>
                <w:sz w:val="20"/>
                <w:szCs w:val="20"/>
              </w:rPr>
            </w:pPr>
            <w:r>
              <w:rPr>
                <w:spacing w:val="-2"/>
                <w:sz w:val="20"/>
                <w:szCs w:val="20"/>
              </w:rPr>
              <w:t>新建</w:t>
            </w:r>
          </w:p>
        </w:tc>
        <w:tc>
          <w:tcPr>
            <w:tcW w:w="135" w:type="dxa"/>
            <w:tcBorders>
              <w:top w:val="nil"/>
              <w:right w:val="single" w:color="000000" w:sz="6" w:space="0"/>
            </w:tcBorders>
            <w:vAlign w:val="top"/>
          </w:tcPr>
          <w:p w14:paraId="583650D1">
            <w:pPr>
              <w:rPr>
                <w:rFonts w:ascii="Arial"/>
                <w:sz w:val="21"/>
              </w:rPr>
            </w:pPr>
          </w:p>
        </w:tc>
      </w:tr>
    </w:tbl>
    <w:p w14:paraId="6D93EFF3">
      <w:pPr>
        <w:rPr>
          <w:rFonts w:ascii="Arial"/>
          <w:sz w:val="21"/>
        </w:rPr>
      </w:pPr>
    </w:p>
    <w:p w14:paraId="7FD1151F">
      <w:pPr>
        <w:rPr>
          <w:rFonts w:ascii="Arial" w:hAnsi="Arial" w:eastAsia="Arial" w:cs="Arial"/>
          <w:sz w:val="21"/>
          <w:szCs w:val="21"/>
        </w:rPr>
        <w:sectPr>
          <w:footerReference r:id="rId39" w:type="default"/>
          <w:pgSz w:w="11907" w:h="16839"/>
          <w:pgMar w:top="1431" w:right="1450" w:bottom="1055" w:left="1451" w:header="0" w:footer="802" w:gutter="0"/>
          <w:cols w:space="720" w:num="1"/>
        </w:sectPr>
      </w:pPr>
    </w:p>
    <w:p w14:paraId="6A363C78">
      <w:pPr>
        <w:spacing w:before="28"/>
      </w:pPr>
    </w:p>
    <w:tbl>
      <w:tblPr>
        <w:tblStyle w:val="5"/>
        <w:tblW w:w="898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25"/>
        <w:gridCol w:w="652"/>
        <w:gridCol w:w="535"/>
        <w:gridCol w:w="4200"/>
        <w:gridCol w:w="850"/>
        <w:gridCol w:w="987"/>
        <w:gridCol w:w="672"/>
        <w:gridCol w:w="135"/>
      </w:tblGrid>
      <w:tr w14:paraId="5CF76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832" w:type="dxa"/>
            <w:vMerge w:val="restart"/>
            <w:tcBorders>
              <w:top w:val="single" w:color="000000" w:sz="6" w:space="0"/>
              <w:left w:val="single" w:color="000000" w:sz="6" w:space="0"/>
              <w:bottom w:val="nil"/>
            </w:tcBorders>
            <w:vAlign w:val="top"/>
          </w:tcPr>
          <w:p w14:paraId="553BBBE7">
            <w:pPr>
              <w:spacing w:line="249" w:lineRule="auto"/>
              <w:rPr>
                <w:rFonts w:ascii="Arial"/>
                <w:sz w:val="21"/>
              </w:rPr>
            </w:pPr>
          </w:p>
          <w:p w14:paraId="38EBF1FC">
            <w:pPr>
              <w:spacing w:line="249" w:lineRule="auto"/>
              <w:rPr>
                <w:rFonts w:ascii="Arial"/>
                <w:sz w:val="21"/>
              </w:rPr>
            </w:pPr>
          </w:p>
          <w:p w14:paraId="19C72243">
            <w:pPr>
              <w:spacing w:line="249" w:lineRule="auto"/>
              <w:rPr>
                <w:rFonts w:ascii="Arial"/>
                <w:sz w:val="21"/>
              </w:rPr>
            </w:pPr>
          </w:p>
          <w:p w14:paraId="1039DC84">
            <w:pPr>
              <w:spacing w:line="249" w:lineRule="auto"/>
              <w:rPr>
                <w:rFonts w:ascii="Arial"/>
                <w:sz w:val="21"/>
              </w:rPr>
            </w:pPr>
          </w:p>
          <w:p w14:paraId="479F16D4">
            <w:pPr>
              <w:spacing w:line="249" w:lineRule="auto"/>
              <w:rPr>
                <w:rFonts w:ascii="Arial"/>
                <w:sz w:val="21"/>
              </w:rPr>
            </w:pPr>
          </w:p>
          <w:p w14:paraId="5E007603">
            <w:pPr>
              <w:spacing w:line="249" w:lineRule="auto"/>
              <w:rPr>
                <w:rFonts w:ascii="Arial"/>
                <w:sz w:val="21"/>
              </w:rPr>
            </w:pPr>
          </w:p>
          <w:p w14:paraId="578FBA59">
            <w:pPr>
              <w:spacing w:line="249" w:lineRule="auto"/>
              <w:rPr>
                <w:rFonts w:ascii="Arial"/>
                <w:sz w:val="21"/>
              </w:rPr>
            </w:pPr>
          </w:p>
          <w:p w14:paraId="0702FA3F">
            <w:pPr>
              <w:spacing w:line="249" w:lineRule="auto"/>
              <w:rPr>
                <w:rFonts w:ascii="Arial"/>
                <w:sz w:val="21"/>
              </w:rPr>
            </w:pPr>
          </w:p>
          <w:p w14:paraId="625F12BF">
            <w:pPr>
              <w:spacing w:line="249" w:lineRule="auto"/>
              <w:rPr>
                <w:rFonts w:ascii="Arial"/>
                <w:sz w:val="21"/>
              </w:rPr>
            </w:pPr>
          </w:p>
          <w:p w14:paraId="24E3D1D1">
            <w:pPr>
              <w:spacing w:line="249" w:lineRule="auto"/>
              <w:rPr>
                <w:rFonts w:ascii="Arial"/>
                <w:sz w:val="21"/>
              </w:rPr>
            </w:pPr>
          </w:p>
          <w:p w14:paraId="5F9093DB">
            <w:pPr>
              <w:spacing w:line="249" w:lineRule="auto"/>
              <w:rPr>
                <w:rFonts w:ascii="Arial"/>
                <w:sz w:val="21"/>
              </w:rPr>
            </w:pPr>
          </w:p>
          <w:p w14:paraId="746D86D6">
            <w:pPr>
              <w:spacing w:line="249" w:lineRule="auto"/>
              <w:rPr>
                <w:rFonts w:ascii="Arial"/>
                <w:sz w:val="21"/>
              </w:rPr>
            </w:pPr>
          </w:p>
          <w:p w14:paraId="1C02B800">
            <w:pPr>
              <w:spacing w:line="249" w:lineRule="auto"/>
              <w:rPr>
                <w:rFonts w:ascii="Arial"/>
                <w:sz w:val="21"/>
              </w:rPr>
            </w:pPr>
          </w:p>
          <w:p w14:paraId="62855663">
            <w:pPr>
              <w:spacing w:line="249" w:lineRule="auto"/>
              <w:rPr>
                <w:rFonts w:ascii="Arial"/>
                <w:sz w:val="21"/>
              </w:rPr>
            </w:pPr>
          </w:p>
          <w:p w14:paraId="242F61E7">
            <w:pPr>
              <w:spacing w:line="249" w:lineRule="auto"/>
              <w:rPr>
                <w:rFonts w:ascii="Arial"/>
                <w:sz w:val="21"/>
              </w:rPr>
            </w:pPr>
          </w:p>
          <w:p w14:paraId="642D905C">
            <w:pPr>
              <w:spacing w:line="249" w:lineRule="auto"/>
              <w:rPr>
                <w:rFonts w:ascii="Arial"/>
                <w:sz w:val="21"/>
              </w:rPr>
            </w:pPr>
          </w:p>
          <w:p w14:paraId="6C0ECF35">
            <w:pPr>
              <w:spacing w:line="249" w:lineRule="auto"/>
              <w:rPr>
                <w:rFonts w:ascii="Arial"/>
                <w:sz w:val="21"/>
              </w:rPr>
            </w:pPr>
          </w:p>
          <w:p w14:paraId="6FD5C8FA">
            <w:pPr>
              <w:spacing w:line="249" w:lineRule="auto"/>
              <w:rPr>
                <w:rFonts w:ascii="Arial"/>
                <w:sz w:val="21"/>
              </w:rPr>
            </w:pPr>
          </w:p>
          <w:p w14:paraId="36E3C3FD">
            <w:pPr>
              <w:spacing w:line="249" w:lineRule="auto"/>
              <w:rPr>
                <w:rFonts w:ascii="Arial"/>
                <w:sz w:val="21"/>
              </w:rPr>
            </w:pPr>
          </w:p>
          <w:p w14:paraId="57126C8B">
            <w:pPr>
              <w:spacing w:line="249" w:lineRule="auto"/>
              <w:rPr>
                <w:rFonts w:ascii="Arial"/>
                <w:sz w:val="21"/>
              </w:rPr>
            </w:pPr>
          </w:p>
          <w:p w14:paraId="59FF4441">
            <w:pPr>
              <w:spacing w:line="249" w:lineRule="auto"/>
              <w:rPr>
                <w:rFonts w:ascii="Arial"/>
                <w:sz w:val="21"/>
              </w:rPr>
            </w:pPr>
          </w:p>
          <w:p w14:paraId="6BA0B2AC">
            <w:pPr>
              <w:spacing w:line="249" w:lineRule="auto"/>
              <w:rPr>
                <w:rFonts w:ascii="Arial"/>
                <w:sz w:val="21"/>
              </w:rPr>
            </w:pPr>
          </w:p>
          <w:p w14:paraId="446FFE2C">
            <w:pPr>
              <w:spacing w:line="249" w:lineRule="auto"/>
              <w:rPr>
                <w:rFonts w:ascii="Arial"/>
                <w:sz w:val="21"/>
              </w:rPr>
            </w:pPr>
          </w:p>
          <w:p w14:paraId="756A85B7">
            <w:pPr>
              <w:pStyle w:val="6"/>
              <w:spacing w:before="69" w:line="221" w:lineRule="auto"/>
              <w:ind w:left="206"/>
            </w:pPr>
            <w:r>
              <w:rPr>
                <w:b/>
                <w:bCs/>
                <w:spacing w:val="-5"/>
              </w:rPr>
              <w:t>建设</w:t>
            </w:r>
          </w:p>
          <w:p w14:paraId="3BB23B97">
            <w:pPr>
              <w:pStyle w:val="6"/>
              <w:spacing w:before="20" w:line="220" w:lineRule="auto"/>
              <w:ind w:left="228"/>
            </w:pPr>
            <w:r>
              <w:rPr>
                <w:b/>
                <w:bCs/>
                <w:spacing w:val="-11"/>
              </w:rPr>
              <w:t>内容</w:t>
            </w:r>
          </w:p>
        </w:tc>
        <w:tc>
          <w:tcPr>
            <w:tcW w:w="125" w:type="dxa"/>
            <w:tcBorders>
              <w:top w:val="single" w:color="000000" w:sz="6" w:space="0"/>
              <w:bottom w:val="nil"/>
            </w:tcBorders>
            <w:vAlign w:val="top"/>
          </w:tcPr>
          <w:p w14:paraId="21D79DAE">
            <w:pPr>
              <w:rPr>
                <w:rFonts w:ascii="Arial"/>
                <w:sz w:val="21"/>
              </w:rPr>
            </w:pPr>
          </w:p>
        </w:tc>
        <w:tc>
          <w:tcPr>
            <w:tcW w:w="652" w:type="dxa"/>
            <w:tcBorders>
              <w:top w:val="single" w:color="000000" w:sz="6" w:space="0"/>
            </w:tcBorders>
            <w:vAlign w:val="top"/>
          </w:tcPr>
          <w:p w14:paraId="4423FFE6">
            <w:pPr>
              <w:rPr>
                <w:rFonts w:ascii="Arial"/>
                <w:sz w:val="21"/>
              </w:rPr>
            </w:pPr>
          </w:p>
        </w:tc>
        <w:tc>
          <w:tcPr>
            <w:tcW w:w="4735" w:type="dxa"/>
            <w:gridSpan w:val="2"/>
            <w:tcBorders>
              <w:top w:val="single" w:color="000000" w:sz="6" w:space="0"/>
            </w:tcBorders>
            <w:vAlign w:val="top"/>
          </w:tcPr>
          <w:p w14:paraId="05C4393E">
            <w:pPr>
              <w:pStyle w:val="6"/>
              <w:spacing w:before="44" w:line="207" w:lineRule="auto"/>
              <w:ind w:left="62"/>
              <w:rPr>
                <w:sz w:val="20"/>
                <w:szCs w:val="20"/>
              </w:rPr>
            </w:pPr>
            <w:r>
              <w:rPr>
                <w:spacing w:val="-1"/>
                <w:sz w:val="20"/>
                <w:szCs w:val="20"/>
              </w:rPr>
              <w:t>空压机：位于控制室旁边，设专用的设备间</w:t>
            </w:r>
          </w:p>
        </w:tc>
        <w:tc>
          <w:tcPr>
            <w:tcW w:w="850" w:type="dxa"/>
            <w:vMerge w:val="restart"/>
            <w:tcBorders>
              <w:top w:val="single" w:color="000000" w:sz="6" w:space="0"/>
              <w:bottom w:val="nil"/>
            </w:tcBorders>
            <w:vAlign w:val="top"/>
          </w:tcPr>
          <w:p w14:paraId="3FBFA8F5">
            <w:pPr>
              <w:rPr>
                <w:rFonts w:ascii="Arial"/>
                <w:sz w:val="21"/>
              </w:rPr>
            </w:pPr>
          </w:p>
        </w:tc>
        <w:tc>
          <w:tcPr>
            <w:tcW w:w="987" w:type="dxa"/>
            <w:tcBorders>
              <w:top w:val="single" w:color="000000" w:sz="6" w:space="0"/>
            </w:tcBorders>
            <w:vAlign w:val="top"/>
          </w:tcPr>
          <w:p w14:paraId="322CB27D">
            <w:pPr>
              <w:pStyle w:val="6"/>
              <w:spacing w:before="44" w:line="207" w:lineRule="auto"/>
              <w:ind w:left="314"/>
              <w:rPr>
                <w:sz w:val="20"/>
                <w:szCs w:val="20"/>
              </w:rPr>
            </w:pPr>
            <w:r>
              <w:rPr>
                <w:spacing w:val="-5"/>
                <w:sz w:val="20"/>
                <w:szCs w:val="20"/>
              </w:rPr>
              <w:t>噪声</w:t>
            </w:r>
          </w:p>
        </w:tc>
        <w:tc>
          <w:tcPr>
            <w:tcW w:w="672" w:type="dxa"/>
            <w:tcBorders>
              <w:top w:val="single" w:color="000000" w:sz="6" w:space="0"/>
            </w:tcBorders>
            <w:vAlign w:val="top"/>
          </w:tcPr>
          <w:p w14:paraId="6A83DF06">
            <w:pPr>
              <w:pStyle w:val="6"/>
              <w:spacing w:before="44" w:line="207" w:lineRule="auto"/>
              <w:ind w:left="149"/>
              <w:rPr>
                <w:sz w:val="20"/>
                <w:szCs w:val="20"/>
              </w:rPr>
            </w:pPr>
            <w:r>
              <w:rPr>
                <w:spacing w:val="-2"/>
                <w:sz w:val="20"/>
                <w:szCs w:val="20"/>
              </w:rPr>
              <w:t>新建</w:t>
            </w:r>
          </w:p>
        </w:tc>
        <w:tc>
          <w:tcPr>
            <w:tcW w:w="135" w:type="dxa"/>
            <w:tcBorders>
              <w:top w:val="single" w:color="000000" w:sz="6" w:space="0"/>
              <w:bottom w:val="nil"/>
              <w:right w:val="single" w:color="000000" w:sz="6" w:space="0"/>
            </w:tcBorders>
            <w:vAlign w:val="top"/>
          </w:tcPr>
          <w:p w14:paraId="559DD1CC">
            <w:pPr>
              <w:rPr>
                <w:rFonts w:ascii="Arial"/>
                <w:sz w:val="21"/>
              </w:rPr>
            </w:pPr>
          </w:p>
        </w:tc>
      </w:tr>
      <w:tr w14:paraId="20F72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832" w:type="dxa"/>
            <w:vMerge w:val="continue"/>
            <w:tcBorders>
              <w:top w:val="nil"/>
              <w:left w:val="single" w:color="000000" w:sz="6" w:space="0"/>
              <w:bottom w:val="nil"/>
            </w:tcBorders>
            <w:vAlign w:val="top"/>
          </w:tcPr>
          <w:p w14:paraId="0F83F57A">
            <w:pPr>
              <w:rPr>
                <w:rFonts w:ascii="Arial"/>
                <w:sz w:val="21"/>
              </w:rPr>
            </w:pPr>
          </w:p>
        </w:tc>
        <w:tc>
          <w:tcPr>
            <w:tcW w:w="125" w:type="dxa"/>
            <w:tcBorders>
              <w:top w:val="nil"/>
              <w:bottom w:val="nil"/>
            </w:tcBorders>
            <w:vAlign w:val="top"/>
          </w:tcPr>
          <w:p w14:paraId="742EF5FF">
            <w:pPr>
              <w:rPr>
                <w:rFonts w:ascii="Arial"/>
                <w:sz w:val="21"/>
              </w:rPr>
            </w:pPr>
          </w:p>
        </w:tc>
        <w:tc>
          <w:tcPr>
            <w:tcW w:w="652" w:type="dxa"/>
            <w:vMerge w:val="restart"/>
            <w:tcBorders>
              <w:bottom w:val="nil"/>
            </w:tcBorders>
            <w:vAlign w:val="top"/>
          </w:tcPr>
          <w:p w14:paraId="757FEFC7">
            <w:pPr>
              <w:spacing w:line="253" w:lineRule="auto"/>
              <w:rPr>
                <w:rFonts w:ascii="Arial"/>
                <w:sz w:val="21"/>
              </w:rPr>
            </w:pPr>
          </w:p>
          <w:p w14:paraId="44F514D6">
            <w:pPr>
              <w:spacing w:line="254" w:lineRule="auto"/>
              <w:rPr>
                <w:rFonts w:ascii="Arial"/>
                <w:sz w:val="21"/>
              </w:rPr>
            </w:pPr>
          </w:p>
          <w:p w14:paraId="6106D08C">
            <w:pPr>
              <w:spacing w:line="254" w:lineRule="auto"/>
              <w:rPr>
                <w:rFonts w:ascii="Arial"/>
                <w:sz w:val="21"/>
              </w:rPr>
            </w:pPr>
          </w:p>
          <w:p w14:paraId="0BF818B8">
            <w:pPr>
              <w:spacing w:line="254" w:lineRule="auto"/>
              <w:rPr>
                <w:rFonts w:ascii="Arial"/>
                <w:sz w:val="21"/>
              </w:rPr>
            </w:pPr>
          </w:p>
          <w:p w14:paraId="221EA4EF">
            <w:pPr>
              <w:pStyle w:val="6"/>
              <w:spacing w:before="65" w:line="221" w:lineRule="auto"/>
              <w:ind w:left="131"/>
              <w:rPr>
                <w:sz w:val="20"/>
                <w:szCs w:val="20"/>
              </w:rPr>
            </w:pPr>
            <w:r>
              <w:rPr>
                <w:spacing w:val="-4"/>
                <w:sz w:val="20"/>
                <w:szCs w:val="20"/>
              </w:rPr>
              <w:t>公用</w:t>
            </w:r>
          </w:p>
          <w:p w14:paraId="7CD6AF2A">
            <w:pPr>
              <w:pStyle w:val="6"/>
              <w:spacing w:before="19" w:line="221" w:lineRule="auto"/>
              <w:ind w:left="127"/>
              <w:rPr>
                <w:sz w:val="20"/>
                <w:szCs w:val="20"/>
              </w:rPr>
            </w:pPr>
            <w:r>
              <w:rPr>
                <w:spacing w:val="-3"/>
                <w:sz w:val="20"/>
                <w:szCs w:val="20"/>
              </w:rPr>
              <w:t>工程</w:t>
            </w:r>
          </w:p>
        </w:tc>
        <w:tc>
          <w:tcPr>
            <w:tcW w:w="4735" w:type="dxa"/>
            <w:gridSpan w:val="2"/>
            <w:vAlign w:val="top"/>
          </w:tcPr>
          <w:p w14:paraId="7EC242CC">
            <w:pPr>
              <w:pStyle w:val="6"/>
              <w:spacing w:before="29" w:line="207" w:lineRule="auto"/>
              <w:ind w:left="56"/>
              <w:rPr>
                <w:sz w:val="20"/>
                <w:szCs w:val="20"/>
              </w:rPr>
            </w:pPr>
            <w:r>
              <w:rPr>
                <w:spacing w:val="-1"/>
                <w:sz w:val="20"/>
                <w:szCs w:val="20"/>
              </w:rPr>
              <w:t>供气设施：项目区不设食堂、宿舍，无供气设施</w:t>
            </w:r>
          </w:p>
        </w:tc>
        <w:tc>
          <w:tcPr>
            <w:tcW w:w="850" w:type="dxa"/>
            <w:vMerge w:val="continue"/>
            <w:tcBorders>
              <w:top w:val="nil"/>
              <w:bottom w:val="nil"/>
            </w:tcBorders>
            <w:vAlign w:val="top"/>
          </w:tcPr>
          <w:p w14:paraId="0749ACAB">
            <w:pPr>
              <w:rPr>
                <w:rFonts w:ascii="Arial"/>
                <w:sz w:val="21"/>
              </w:rPr>
            </w:pPr>
          </w:p>
        </w:tc>
        <w:tc>
          <w:tcPr>
            <w:tcW w:w="987" w:type="dxa"/>
            <w:vAlign w:val="top"/>
          </w:tcPr>
          <w:p w14:paraId="207ADF56">
            <w:pPr>
              <w:spacing w:before="62" w:line="200" w:lineRule="auto"/>
              <w:ind w:left="469"/>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672" w:type="dxa"/>
            <w:vAlign w:val="top"/>
          </w:tcPr>
          <w:p w14:paraId="587B1B88">
            <w:pPr>
              <w:spacing w:before="62" w:line="200" w:lineRule="auto"/>
              <w:ind w:left="313"/>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135" w:type="dxa"/>
            <w:tcBorders>
              <w:top w:val="nil"/>
              <w:bottom w:val="nil"/>
              <w:right w:val="single" w:color="000000" w:sz="6" w:space="0"/>
            </w:tcBorders>
            <w:vAlign w:val="top"/>
          </w:tcPr>
          <w:p w14:paraId="0C85FACC">
            <w:pPr>
              <w:rPr>
                <w:rFonts w:ascii="Arial"/>
                <w:sz w:val="21"/>
              </w:rPr>
            </w:pPr>
          </w:p>
        </w:tc>
      </w:tr>
      <w:tr w14:paraId="67356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32" w:type="dxa"/>
            <w:vMerge w:val="continue"/>
            <w:tcBorders>
              <w:top w:val="nil"/>
              <w:left w:val="single" w:color="000000" w:sz="6" w:space="0"/>
              <w:bottom w:val="nil"/>
            </w:tcBorders>
            <w:vAlign w:val="top"/>
          </w:tcPr>
          <w:p w14:paraId="280BC37E">
            <w:pPr>
              <w:rPr>
                <w:rFonts w:ascii="Arial"/>
                <w:sz w:val="21"/>
              </w:rPr>
            </w:pPr>
          </w:p>
        </w:tc>
        <w:tc>
          <w:tcPr>
            <w:tcW w:w="125" w:type="dxa"/>
            <w:tcBorders>
              <w:top w:val="nil"/>
              <w:bottom w:val="nil"/>
            </w:tcBorders>
            <w:vAlign w:val="top"/>
          </w:tcPr>
          <w:p w14:paraId="28EB6084">
            <w:pPr>
              <w:rPr>
                <w:rFonts w:ascii="Arial"/>
                <w:sz w:val="21"/>
              </w:rPr>
            </w:pPr>
          </w:p>
        </w:tc>
        <w:tc>
          <w:tcPr>
            <w:tcW w:w="652" w:type="dxa"/>
            <w:vMerge w:val="continue"/>
            <w:tcBorders>
              <w:top w:val="nil"/>
              <w:bottom w:val="nil"/>
            </w:tcBorders>
            <w:vAlign w:val="top"/>
          </w:tcPr>
          <w:p w14:paraId="06694853">
            <w:pPr>
              <w:rPr>
                <w:rFonts w:ascii="Arial"/>
                <w:sz w:val="21"/>
              </w:rPr>
            </w:pPr>
          </w:p>
        </w:tc>
        <w:tc>
          <w:tcPr>
            <w:tcW w:w="4735" w:type="dxa"/>
            <w:gridSpan w:val="2"/>
            <w:vAlign w:val="top"/>
          </w:tcPr>
          <w:p w14:paraId="4A264307">
            <w:pPr>
              <w:pStyle w:val="6"/>
              <w:spacing w:before="28" w:line="224" w:lineRule="auto"/>
              <w:ind w:left="56" w:right="80"/>
              <w:rPr>
                <w:sz w:val="20"/>
                <w:szCs w:val="20"/>
              </w:rPr>
            </w:pPr>
            <w:r>
              <w:rPr>
                <w:spacing w:val="-1"/>
                <w:sz w:val="20"/>
                <w:szCs w:val="20"/>
              </w:rPr>
              <w:t>供水设施：用水来自东岳场镇供水管网，依托租用厂</w:t>
            </w:r>
            <w:r>
              <w:rPr>
                <w:spacing w:val="15"/>
                <w:sz w:val="20"/>
                <w:szCs w:val="20"/>
              </w:rPr>
              <w:t xml:space="preserve"> </w:t>
            </w:r>
            <w:r>
              <w:rPr>
                <w:spacing w:val="-1"/>
                <w:sz w:val="20"/>
                <w:szCs w:val="20"/>
              </w:rPr>
              <w:t>房已建的给水管网供水</w:t>
            </w:r>
          </w:p>
        </w:tc>
        <w:tc>
          <w:tcPr>
            <w:tcW w:w="850" w:type="dxa"/>
            <w:vMerge w:val="continue"/>
            <w:tcBorders>
              <w:top w:val="nil"/>
              <w:bottom w:val="nil"/>
            </w:tcBorders>
            <w:vAlign w:val="top"/>
          </w:tcPr>
          <w:p w14:paraId="0D10A2F8">
            <w:pPr>
              <w:rPr>
                <w:rFonts w:ascii="Arial"/>
                <w:sz w:val="21"/>
              </w:rPr>
            </w:pPr>
          </w:p>
        </w:tc>
        <w:tc>
          <w:tcPr>
            <w:tcW w:w="987" w:type="dxa"/>
            <w:vAlign w:val="top"/>
          </w:tcPr>
          <w:p w14:paraId="6F9C3642">
            <w:pPr>
              <w:spacing w:before="192" w:line="232" w:lineRule="auto"/>
              <w:ind w:left="469"/>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672" w:type="dxa"/>
            <w:vAlign w:val="top"/>
          </w:tcPr>
          <w:p w14:paraId="57D8B166">
            <w:pPr>
              <w:pStyle w:val="6"/>
              <w:spacing w:before="159" w:line="221" w:lineRule="auto"/>
              <w:ind w:left="149"/>
              <w:rPr>
                <w:sz w:val="20"/>
                <w:szCs w:val="20"/>
              </w:rPr>
            </w:pPr>
            <w:r>
              <w:rPr>
                <w:spacing w:val="-2"/>
                <w:sz w:val="20"/>
                <w:szCs w:val="20"/>
              </w:rPr>
              <w:t>新建</w:t>
            </w:r>
          </w:p>
        </w:tc>
        <w:tc>
          <w:tcPr>
            <w:tcW w:w="135" w:type="dxa"/>
            <w:tcBorders>
              <w:top w:val="nil"/>
              <w:bottom w:val="nil"/>
              <w:right w:val="single" w:color="000000" w:sz="6" w:space="0"/>
            </w:tcBorders>
            <w:vAlign w:val="top"/>
          </w:tcPr>
          <w:p w14:paraId="4DAC4B30">
            <w:pPr>
              <w:rPr>
                <w:rFonts w:ascii="Arial"/>
                <w:sz w:val="21"/>
              </w:rPr>
            </w:pPr>
          </w:p>
        </w:tc>
      </w:tr>
      <w:tr w14:paraId="4C4B2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832" w:type="dxa"/>
            <w:vMerge w:val="continue"/>
            <w:tcBorders>
              <w:top w:val="nil"/>
              <w:left w:val="single" w:color="000000" w:sz="6" w:space="0"/>
              <w:bottom w:val="nil"/>
            </w:tcBorders>
            <w:vAlign w:val="top"/>
          </w:tcPr>
          <w:p w14:paraId="0AC432A6">
            <w:pPr>
              <w:rPr>
                <w:rFonts w:ascii="Arial"/>
                <w:sz w:val="21"/>
              </w:rPr>
            </w:pPr>
          </w:p>
        </w:tc>
        <w:tc>
          <w:tcPr>
            <w:tcW w:w="125" w:type="dxa"/>
            <w:tcBorders>
              <w:top w:val="nil"/>
              <w:bottom w:val="nil"/>
            </w:tcBorders>
            <w:vAlign w:val="top"/>
          </w:tcPr>
          <w:p w14:paraId="194E48C4">
            <w:pPr>
              <w:rPr>
                <w:rFonts w:ascii="Arial"/>
                <w:sz w:val="21"/>
              </w:rPr>
            </w:pPr>
          </w:p>
        </w:tc>
        <w:tc>
          <w:tcPr>
            <w:tcW w:w="652" w:type="dxa"/>
            <w:vMerge w:val="continue"/>
            <w:tcBorders>
              <w:top w:val="nil"/>
              <w:bottom w:val="nil"/>
            </w:tcBorders>
            <w:vAlign w:val="top"/>
          </w:tcPr>
          <w:p w14:paraId="4DB8940C">
            <w:pPr>
              <w:rPr>
                <w:rFonts w:ascii="Arial"/>
                <w:sz w:val="21"/>
              </w:rPr>
            </w:pPr>
          </w:p>
        </w:tc>
        <w:tc>
          <w:tcPr>
            <w:tcW w:w="4735" w:type="dxa"/>
            <w:gridSpan w:val="2"/>
            <w:vAlign w:val="top"/>
          </w:tcPr>
          <w:p w14:paraId="39C7967C">
            <w:pPr>
              <w:pStyle w:val="6"/>
              <w:spacing w:before="29" w:line="223" w:lineRule="auto"/>
              <w:ind w:left="71" w:right="117" w:hanging="15"/>
              <w:rPr>
                <w:sz w:val="20"/>
                <w:szCs w:val="20"/>
              </w:rPr>
            </w:pPr>
            <w:r>
              <w:rPr>
                <w:spacing w:val="-9"/>
                <w:sz w:val="20"/>
                <w:szCs w:val="20"/>
              </w:rPr>
              <w:t>供电设施：电源为东岳电网，</w:t>
            </w:r>
            <w:r>
              <w:rPr>
                <w:rFonts w:hint="eastAsia"/>
                <w:spacing w:val="-9"/>
                <w:sz w:val="20"/>
                <w:szCs w:val="20"/>
                <w:lang w:eastAsia="zh-CN"/>
              </w:rPr>
              <w:t>并</w:t>
            </w:r>
            <w:r>
              <w:rPr>
                <w:spacing w:val="-9"/>
                <w:sz w:val="20"/>
                <w:szCs w:val="20"/>
              </w:rPr>
              <w:t>依托厂房东侧已有的</w:t>
            </w:r>
            <w:r>
              <w:rPr>
                <w:spacing w:val="-29"/>
                <w:sz w:val="20"/>
                <w:szCs w:val="20"/>
              </w:rPr>
              <w:t xml:space="preserve"> </w:t>
            </w:r>
            <w:r>
              <w:rPr>
                <w:rFonts w:ascii="Times New Roman" w:hAnsi="Times New Roman" w:eastAsia="Times New Roman" w:cs="Times New Roman"/>
                <w:spacing w:val="-9"/>
                <w:sz w:val="20"/>
                <w:szCs w:val="20"/>
              </w:rPr>
              <w:t>1</w:t>
            </w:r>
            <w:r>
              <w:rPr>
                <w:rFonts w:ascii="Times New Roman" w:hAnsi="Times New Roman" w:eastAsia="Times New Roman" w:cs="Times New Roman"/>
                <w:sz w:val="20"/>
                <w:szCs w:val="20"/>
              </w:rPr>
              <w:t xml:space="preserve"> </w:t>
            </w:r>
            <w:r>
              <w:rPr>
                <w:spacing w:val="-11"/>
                <w:sz w:val="20"/>
                <w:szCs w:val="20"/>
              </w:rPr>
              <w:t>台</w:t>
            </w:r>
            <w:r>
              <w:rPr>
                <w:spacing w:val="-39"/>
                <w:sz w:val="20"/>
                <w:szCs w:val="20"/>
              </w:rPr>
              <w:t xml:space="preserve"> </w:t>
            </w:r>
            <w:r>
              <w:rPr>
                <w:rFonts w:ascii="Times New Roman" w:hAnsi="Times New Roman" w:eastAsia="Times New Roman" w:cs="Times New Roman"/>
                <w:spacing w:val="-11"/>
                <w:sz w:val="20"/>
                <w:szCs w:val="20"/>
              </w:rPr>
              <w:t>800KVA</w:t>
            </w:r>
            <w:r>
              <w:rPr>
                <w:rFonts w:ascii="Times New Roman" w:hAnsi="Times New Roman" w:eastAsia="Times New Roman" w:cs="Times New Roman"/>
                <w:spacing w:val="18"/>
                <w:w w:val="101"/>
                <w:sz w:val="20"/>
                <w:szCs w:val="20"/>
              </w:rPr>
              <w:t xml:space="preserve"> </w:t>
            </w:r>
            <w:r>
              <w:rPr>
                <w:spacing w:val="-11"/>
                <w:sz w:val="20"/>
                <w:szCs w:val="20"/>
              </w:rPr>
              <w:t>的变压器</w:t>
            </w:r>
            <w:r>
              <w:rPr>
                <w:spacing w:val="-37"/>
                <w:sz w:val="20"/>
                <w:szCs w:val="20"/>
              </w:rPr>
              <w:t xml:space="preserve"> </w:t>
            </w:r>
            <w:r>
              <w:rPr>
                <w:rFonts w:ascii="Times New Roman" w:hAnsi="Times New Roman" w:eastAsia="Times New Roman" w:cs="Times New Roman"/>
                <w:spacing w:val="-11"/>
                <w:sz w:val="20"/>
                <w:szCs w:val="20"/>
              </w:rPr>
              <w:t>1</w:t>
            </w:r>
            <w:r>
              <w:rPr>
                <w:rFonts w:ascii="Times New Roman" w:hAnsi="Times New Roman" w:eastAsia="Times New Roman" w:cs="Times New Roman"/>
                <w:spacing w:val="17"/>
                <w:w w:val="101"/>
                <w:sz w:val="20"/>
                <w:szCs w:val="20"/>
              </w:rPr>
              <w:t xml:space="preserve"> </w:t>
            </w:r>
            <w:r>
              <w:rPr>
                <w:spacing w:val="-11"/>
                <w:sz w:val="20"/>
                <w:szCs w:val="20"/>
              </w:rPr>
              <w:t>台，同时在车间内设配电柜</w:t>
            </w:r>
          </w:p>
        </w:tc>
        <w:tc>
          <w:tcPr>
            <w:tcW w:w="850" w:type="dxa"/>
            <w:vMerge w:val="continue"/>
            <w:tcBorders>
              <w:top w:val="nil"/>
              <w:bottom w:val="nil"/>
            </w:tcBorders>
            <w:vAlign w:val="top"/>
          </w:tcPr>
          <w:p w14:paraId="6D32BE2C">
            <w:pPr>
              <w:rPr>
                <w:rFonts w:ascii="Arial"/>
                <w:sz w:val="21"/>
              </w:rPr>
            </w:pPr>
          </w:p>
        </w:tc>
        <w:tc>
          <w:tcPr>
            <w:tcW w:w="987" w:type="dxa"/>
            <w:vAlign w:val="top"/>
          </w:tcPr>
          <w:p w14:paraId="221B9EDA">
            <w:pPr>
              <w:pStyle w:val="6"/>
              <w:spacing w:before="158" w:line="221" w:lineRule="auto"/>
              <w:ind w:left="314"/>
              <w:rPr>
                <w:sz w:val="20"/>
                <w:szCs w:val="20"/>
              </w:rPr>
            </w:pPr>
            <w:r>
              <w:rPr>
                <w:spacing w:val="-5"/>
                <w:sz w:val="20"/>
                <w:szCs w:val="20"/>
              </w:rPr>
              <w:t>噪声</w:t>
            </w:r>
          </w:p>
        </w:tc>
        <w:tc>
          <w:tcPr>
            <w:tcW w:w="672" w:type="dxa"/>
            <w:vAlign w:val="top"/>
          </w:tcPr>
          <w:p w14:paraId="52182F7A">
            <w:pPr>
              <w:pStyle w:val="6"/>
              <w:spacing w:before="158" w:line="221" w:lineRule="auto"/>
              <w:ind w:left="149"/>
              <w:rPr>
                <w:sz w:val="20"/>
                <w:szCs w:val="20"/>
              </w:rPr>
            </w:pPr>
            <w:r>
              <w:rPr>
                <w:spacing w:val="-2"/>
                <w:sz w:val="20"/>
                <w:szCs w:val="20"/>
              </w:rPr>
              <w:t>新建</w:t>
            </w:r>
          </w:p>
        </w:tc>
        <w:tc>
          <w:tcPr>
            <w:tcW w:w="135" w:type="dxa"/>
            <w:tcBorders>
              <w:top w:val="nil"/>
              <w:bottom w:val="nil"/>
              <w:right w:val="single" w:color="000000" w:sz="6" w:space="0"/>
            </w:tcBorders>
            <w:vAlign w:val="top"/>
          </w:tcPr>
          <w:p w14:paraId="19A9A5AD">
            <w:pPr>
              <w:rPr>
                <w:rFonts w:ascii="Arial"/>
                <w:sz w:val="21"/>
              </w:rPr>
            </w:pPr>
          </w:p>
        </w:tc>
      </w:tr>
      <w:tr w14:paraId="66697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32" w:type="dxa"/>
            <w:vMerge w:val="continue"/>
            <w:tcBorders>
              <w:top w:val="nil"/>
              <w:left w:val="single" w:color="000000" w:sz="6" w:space="0"/>
              <w:bottom w:val="nil"/>
            </w:tcBorders>
            <w:vAlign w:val="top"/>
          </w:tcPr>
          <w:p w14:paraId="27F79262">
            <w:pPr>
              <w:rPr>
                <w:rFonts w:ascii="Arial"/>
                <w:sz w:val="21"/>
              </w:rPr>
            </w:pPr>
          </w:p>
        </w:tc>
        <w:tc>
          <w:tcPr>
            <w:tcW w:w="125" w:type="dxa"/>
            <w:tcBorders>
              <w:top w:val="nil"/>
              <w:bottom w:val="nil"/>
            </w:tcBorders>
            <w:vAlign w:val="top"/>
          </w:tcPr>
          <w:p w14:paraId="60A0B44B">
            <w:pPr>
              <w:rPr>
                <w:rFonts w:ascii="Arial"/>
                <w:sz w:val="21"/>
              </w:rPr>
            </w:pPr>
          </w:p>
        </w:tc>
        <w:tc>
          <w:tcPr>
            <w:tcW w:w="652" w:type="dxa"/>
            <w:vMerge w:val="continue"/>
            <w:tcBorders>
              <w:top w:val="nil"/>
              <w:bottom w:val="nil"/>
            </w:tcBorders>
            <w:vAlign w:val="top"/>
          </w:tcPr>
          <w:p w14:paraId="6CE29D6E">
            <w:pPr>
              <w:rPr>
                <w:rFonts w:ascii="Arial"/>
                <w:sz w:val="21"/>
              </w:rPr>
            </w:pPr>
          </w:p>
        </w:tc>
        <w:tc>
          <w:tcPr>
            <w:tcW w:w="4735" w:type="dxa"/>
            <w:gridSpan w:val="2"/>
            <w:vAlign w:val="top"/>
          </w:tcPr>
          <w:p w14:paraId="17CC55DA">
            <w:pPr>
              <w:pStyle w:val="6"/>
              <w:spacing w:before="30" w:line="223" w:lineRule="auto"/>
              <w:ind w:left="56" w:right="65" w:firstLine="4"/>
              <w:rPr>
                <w:sz w:val="20"/>
                <w:szCs w:val="20"/>
              </w:rPr>
            </w:pPr>
            <w:r>
              <w:rPr>
                <w:spacing w:val="-8"/>
                <w:sz w:val="20"/>
                <w:szCs w:val="20"/>
              </w:rPr>
              <w:t>安全通道：位于厂房内靠东侧设一条南北向</w:t>
            </w:r>
            <w:r>
              <w:rPr>
                <w:spacing w:val="-9"/>
                <w:sz w:val="20"/>
                <w:szCs w:val="20"/>
              </w:rPr>
              <w:t>贯通的安全</w:t>
            </w:r>
            <w:r>
              <w:rPr>
                <w:sz w:val="20"/>
                <w:szCs w:val="20"/>
              </w:rPr>
              <w:t xml:space="preserve"> </w:t>
            </w:r>
            <w:r>
              <w:rPr>
                <w:spacing w:val="-8"/>
                <w:sz w:val="20"/>
                <w:szCs w:val="20"/>
              </w:rPr>
              <w:t>通道，便于人员活动和移动机械作业</w:t>
            </w:r>
          </w:p>
        </w:tc>
        <w:tc>
          <w:tcPr>
            <w:tcW w:w="850" w:type="dxa"/>
            <w:vMerge w:val="continue"/>
            <w:tcBorders>
              <w:top w:val="nil"/>
              <w:bottom w:val="nil"/>
            </w:tcBorders>
            <w:vAlign w:val="top"/>
          </w:tcPr>
          <w:p w14:paraId="5BA23B72">
            <w:pPr>
              <w:rPr>
                <w:rFonts w:ascii="Arial"/>
                <w:sz w:val="21"/>
              </w:rPr>
            </w:pPr>
          </w:p>
        </w:tc>
        <w:tc>
          <w:tcPr>
            <w:tcW w:w="987" w:type="dxa"/>
            <w:vAlign w:val="top"/>
          </w:tcPr>
          <w:p w14:paraId="6282A085">
            <w:pPr>
              <w:pStyle w:val="6"/>
              <w:spacing w:before="160" w:line="221" w:lineRule="auto"/>
              <w:ind w:left="314"/>
              <w:rPr>
                <w:sz w:val="20"/>
                <w:szCs w:val="20"/>
              </w:rPr>
            </w:pPr>
            <w:r>
              <w:rPr>
                <w:spacing w:val="-5"/>
                <w:sz w:val="20"/>
                <w:szCs w:val="20"/>
              </w:rPr>
              <w:t>噪声</w:t>
            </w:r>
          </w:p>
        </w:tc>
        <w:tc>
          <w:tcPr>
            <w:tcW w:w="672" w:type="dxa"/>
            <w:vAlign w:val="top"/>
          </w:tcPr>
          <w:p w14:paraId="764F0DCF">
            <w:pPr>
              <w:pStyle w:val="6"/>
              <w:spacing w:before="160" w:line="221" w:lineRule="auto"/>
              <w:ind w:left="149"/>
              <w:rPr>
                <w:sz w:val="20"/>
                <w:szCs w:val="20"/>
              </w:rPr>
            </w:pPr>
            <w:r>
              <w:rPr>
                <w:spacing w:val="-2"/>
                <w:sz w:val="20"/>
                <w:szCs w:val="20"/>
              </w:rPr>
              <w:t>新建</w:t>
            </w:r>
          </w:p>
        </w:tc>
        <w:tc>
          <w:tcPr>
            <w:tcW w:w="135" w:type="dxa"/>
            <w:tcBorders>
              <w:top w:val="nil"/>
              <w:bottom w:val="nil"/>
              <w:right w:val="single" w:color="000000" w:sz="6" w:space="0"/>
            </w:tcBorders>
            <w:vAlign w:val="top"/>
          </w:tcPr>
          <w:p w14:paraId="41EA652E">
            <w:pPr>
              <w:rPr>
                <w:rFonts w:ascii="Arial"/>
                <w:sz w:val="21"/>
              </w:rPr>
            </w:pPr>
          </w:p>
        </w:tc>
      </w:tr>
      <w:tr w14:paraId="4C61B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832" w:type="dxa"/>
            <w:vMerge w:val="continue"/>
            <w:tcBorders>
              <w:top w:val="nil"/>
              <w:left w:val="single" w:color="000000" w:sz="6" w:space="0"/>
              <w:bottom w:val="nil"/>
            </w:tcBorders>
            <w:vAlign w:val="top"/>
          </w:tcPr>
          <w:p w14:paraId="2F2CC88A">
            <w:pPr>
              <w:rPr>
                <w:rFonts w:ascii="Arial"/>
                <w:sz w:val="21"/>
              </w:rPr>
            </w:pPr>
          </w:p>
        </w:tc>
        <w:tc>
          <w:tcPr>
            <w:tcW w:w="125" w:type="dxa"/>
            <w:tcBorders>
              <w:top w:val="nil"/>
              <w:bottom w:val="nil"/>
            </w:tcBorders>
            <w:vAlign w:val="top"/>
          </w:tcPr>
          <w:p w14:paraId="35408B5B">
            <w:pPr>
              <w:rPr>
                <w:rFonts w:ascii="Arial"/>
                <w:sz w:val="21"/>
              </w:rPr>
            </w:pPr>
          </w:p>
        </w:tc>
        <w:tc>
          <w:tcPr>
            <w:tcW w:w="652" w:type="dxa"/>
            <w:vMerge w:val="continue"/>
            <w:tcBorders>
              <w:top w:val="nil"/>
            </w:tcBorders>
            <w:vAlign w:val="top"/>
          </w:tcPr>
          <w:p w14:paraId="50F1DB97">
            <w:pPr>
              <w:rPr>
                <w:rFonts w:ascii="Arial"/>
                <w:sz w:val="21"/>
              </w:rPr>
            </w:pPr>
          </w:p>
        </w:tc>
        <w:tc>
          <w:tcPr>
            <w:tcW w:w="4735" w:type="dxa"/>
            <w:gridSpan w:val="2"/>
            <w:vAlign w:val="top"/>
          </w:tcPr>
          <w:p w14:paraId="616DF468">
            <w:pPr>
              <w:pStyle w:val="6"/>
              <w:spacing w:before="28" w:line="229" w:lineRule="auto"/>
              <w:ind w:left="57" w:right="80" w:hanging="1"/>
              <w:jc w:val="both"/>
              <w:rPr>
                <w:sz w:val="20"/>
                <w:szCs w:val="20"/>
              </w:rPr>
            </w:pPr>
            <w:r>
              <w:rPr>
                <w:spacing w:val="-1"/>
                <w:sz w:val="20"/>
                <w:szCs w:val="20"/>
              </w:rPr>
              <w:t>排水设施：员工办公生活污水依托租用办公用房已建</w:t>
            </w:r>
            <w:r>
              <w:rPr>
                <w:spacing w:val="14"/>
                <w:sz w:val="20"/>
                <w:szCs w:val="20"/>
              </w:rPr>
              <w:t xml:space="preserve"> </w:t>
            </w:r>
            <w:r>
              <w:rPr>
                <w:spacing w:val="-1"/>
                <w:sz w:val="20"/>
                <w:szCs w:val="20"/>
              </w:rPr>
              <w:t>的设施排入管网；厂房内喷淋塔的喷淋废水收集后过</w:t>
            </w:r>
            <w:r>
              <w:rPr>
                <w:spacing w:val="13"/>
                <w:sz w:val="20"/>
                <w:szCs w:val="20"/>
              </w:rPr>
              <w:t xml:space="preserve"> </w:t>
            </w:r>
            <w:r>
              <w:rPr>
                <w:spacing w:val="-1"/>
                <w:sz w:val="20"/>
                <w:szCs w:val="20"/>
              </w:rPr>
              <w:t>滤并定期出渣处理后循环回用</w:t>
            </w:r>
          </w:p>
        </w:tc>
        <w:tc>
          <w:tcPr>
            <w:tcW w:w="850" w:type="dxa"/>
            <w:vMerge w:val="continue"/>
            <w:tcBorders>
              <w:top w:val="nil"/>
              <w:bottom w:val="nil"/>
            </w:tcBorders>
            <w:vAlign w:val="top"/>
          </w:tcPr>
          <w:p w14:paraId="15BA4E5F">
            <w:pPr>
              <w:rPr>
                <w:rFonts w:ascii="Arial"/>
                <w:sz w:val="21"/>
              </w:rPr>
            </w:pPr>
          </w:p>
        </w:tc>
        <w:tc>
          <w:tcPr>
            <w:tcW w:w="987" w:type="dxa"/>
            <w:vAlign w:val="top"/>
          </w:tcPr>
          <w:p w14:paraId="15532739">
            <w:pPr>
              <w:spacing w:line="263" w:lineRule="auto"/>
              <w:rPr>
                <w:rFonts w:ascii="Arial"/>
                <w:sz w:val="21"/>
              </w:rPr>
            </w:pPr>
          </w:p>
          <w:p w14:paraId="3F83204F">
            <w:pPr>
              <w:spacing w:before="58" w:line="232" w:lineRule="auto"/>
              <w:ind w:left="469"/>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672" w:type="dxa"/>
            <w:vAlign w:val="top"/>
          </w:tcPr>
          <w:p w14:paraId="1CDAF5F9">
            <w:pPr>
              <w:pStyle w:val="6"/>
              <w:spacing w:before="288" w:line="221" w:lineRule="auto"/>
              <w:ind w:left="149"/>
              <w:rPr>
                <w:sz w:val="20"/>
                <w:szCs w:val="20"/>
              </w:rPr>
            </w:pPr>
            <w:r>
              <w:rPr>
                <w:spacing w:val="-2"/>
                <w:sz w:val="20"/>
                <w:szCs w:val="20"/>
              </w:rPr>
              <w:t>新建</w:t>
            </w:r>
          </w:p>
        </w:tc>
        <w:tc>
          <w:tcPr>
            <w:tcW w:w="135" w:type="dxa"/>
            <w:tcBorders>
              <w:top w:val="nil"/>
              <w:bottom w:val="nil"/>
              <w:right w:val="single" w:color="000000" w:sz="6" w:space="0"/>
            </w:tcBorders>
            <w:vAlign w:val="top"/>
          </w:tcPr>
          <w:p w14:paraId="1AE89528">
            <w:pPr>
              <w:rPr>
                <w:rFonts w:ascii="Arial"/>
                <w:sz w:val="21"/>
              </w:rPr>
            </w:pPr>
          </w:p>
        </w:tc>
      </w:tr>
      <w:tr w14:paraId="4FE26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832" w:type="dxa"/>
            <w:vMerge w:val="continue"/>
            <w:tcBorders>
              <w:top w:val="nil"/>
              <w:left w:val="single" w:color="000000" w:sz="6" w:space="0"/>
              <w:bottom w:val="nil"/>
            </w:tcBorders>
            <w:vAlign w:val="top"/>
          </w:tcPr>
          <w:p w14:paraId="1D8247EA">
            <w:pPr>
              <w:rPr>
                <w:rFonts w:ascii="Arial"/>
                <w:sz w:val="21"/>
              </w:rPr>
            </w:pPr>
          </w:p>
        </w:tc>
        <w:tc>
          <w:tcPr>
            <w:tcW w:w="125" w:type="dxa"/>
            <w:tcBorders>
              <w:top w:val="nil"/>
              <w:bottom w:val="nil"/>
            </w:tcBorders>
            <w:vAlign w:val="top"/>
          </w:tcPr>
          <w:p w14:paraId="55A744C7">
            <w:pPr>
              <w:rPr>
                <w:rFonts w:ascii="Arial"/>
                <w:sz w:val="21"/>
              </w:rPr>
            </w:pPr>
          </w:p>
        </w:tc>
        <w:tc>
          <w:tcPr>
            <w:tcW w:w="652" w:type="dxa"/>
            <w:vMerge w:val="restart"/>
            <w:tcBorders>
              <w:bottom w:val="nil"/>
            </w:tcBorders>
            <w:vAlign w:val="top"/>
          </w:tcPr>
          <w:p w14:paraId="7115739E">
            <w:pPr>
              <w:spacing w:line="251" w:lineRule="auto"/>
              <w:rPr>
                <w:rFonts w:ascii="Arial"/>
                <w:sz w:val="21"/>
              </w:rPr>
            </w:pPr>
          </w:p>
          <w:p w14:paraId="037D485F">
            <w:pPr>
              <w:spacing w:line="252" w:lineRule="auto"/>
              <w:rPr>
                <w:rFonts w:ascii="Arial"/>
                <w:sz w:val="21"/>
              </w:rPr>
            </w:pPr>
          </w:p>
          <w:p w14:paraId="6847D162">
            <w:pPr>
              <w:spacing w:line="252" w:lineRule="auto"/>
              <w:rPr>
                <w:rFonts w:ascii="Arial"/>
                <w:sz w:val="21"/>
              </w:rPr>
            </w:pPr>
          </w:p>
          <w:p w14:paraId="081A6F4B">
            <w:pPr>
              <w:spacing w:line="252" w:lineRule="auto"/>
              <w:rPr>
                <w:rFonts w:ascii="Arial"/>
                <w:sz w:val="21"/>
              </w:rPr>
            </w:pPr>
          </w:p>
          <w:p w14:paraId="49EC3BEF">
            <w:pPr>
              <w:spacing w:line="252" w:lineRule="auto"/>
              <w:rPr>
                <w:rFonts w:ascii="Arial"/>
                <w:sz w:val="21"/>
              </w:rPr>
            </w:pPr>
          </w:p>
          <w:p w14:paraId="6CD9C987">
            <w:pPr>
              <w:spacing w:line="252" w:lineRule="auto"/>
              <w:rPr>
                <w:rFonts w:ascii="Arial"/>
                <w:sz w:val="21"/>
              </w:rPr>
            </w:pPr>
          </w:p>
          <w:p w14:paraId="39A48893">
            <w:pPr>
              <w:spacing w:line="252" w:lineRule="auto"/>
              <w:rPr>
                <w:rFonts w:ascii="Arial"/>
                <w:sz w:val="21"/>
              </w:rPr>
            </w:pPr>
          </w:p>
          <w:p w14:paraId="6029A8F3">
            <w:pPr>
              <w:spacing w:line="252" w:lineRule="auto"/>
              <w:rPr>
                <w:rFonts w:ascii="Arial"/>
                <w:sz w:val="21"/>
              </w:rPr>
            </w:pPr>
          </w:p>
          <w:p w14:paraId="687E4D40">
            <w:pPr>
              <w:spacing w:line="252" w:lineRule="auto"/>
              <w:rPr>
                <w:rFonts w:ascii="Arial"/>
                <w:sz w:val="21"/>
              </w:rPr>
            </w:pPr>
          </w:p>
          <w:p w14:paraId="45715652">
            <w:pPr>
              <w:spacing w:line="252" w:lineRule="auto"/>
              <w:rPr>
                <w:rFonts w:ascii="Arial"/>
                <w:sz w:val="21"/>
              </w:rPr>
            </w:pPr>
          </w:p>
          <w:p w14:paraId="3A112B56">
            <w:pPr>
              <w:spacing w:line="252" w:lineRule="auto"/>
              <w:rPr>
                <w:rFonts w:ascii="Arial"/>
                <w:sz w:val="21"/>
              </w:rPr>
            </w:pPr>
          </w:p>
          <w:p w14:paraId="1A47EF41">
            <w:pPr>
              <w:spacing w:line="252" w:lineRule="auto"/>
              <w:rPr>
                <w:rFonts w:ascii="Arial"/>
                <w:sz w:val="21"/>
              </w:rPr>
            </w:pPr>
          </w:p>
          <w:p w14:paraId="7535E8DA">
            <w:pPr>
              <w:spacing w:line="252" w:lineRule="auto"/>
              <w:rPr>
                <w:rFonts w:ascii="Arial"/>
                <w:sz w:val="21"/>
              </w:rPr>
            </w:pPr>
          </w:p>
          <w:p w14:paraId="358005D0">
            <w:pPr>
              <w:spacing w:line="252" w:lineRule="auto"/>
              <w:rPr>
                <w:rFonts w:ascii="Arial"/>
                <w:sz w:val="21"/>
              </w:rPr>
            </w:pPr>
          </w:p>
          <w:p w14:paraId="7A001D7D">
            <w:pPr>
              <w:spacing w:line="252" w:lineRule="auto"/>
              <w:rPr>
                <w:rFonts w:ascii="Arial"/>
                <w:sz w:val="21"/>
              </w:rPr>
            </w:pPr>
          </w:p>
          <w:p w14:paraId="541D6770">
            <w:pPr>
              <w:spacing w:line="252" w:lineRule="auto"/>
              <w:rPr>
                <w:rFonts w:ascii="Arial"/>
                <w:sz w:val="21"/>
              </w:rPr>
            </w:pPr>
          </w:p>
          <w:p w14:paraId="262F55F2">
            <w:pPr>
              <w:spacing w:line="252" w:lineRule="auto"/>
              <w:rPr>
                <w:rFonts w:ascii="Arial"/>
                <w:sz w:val="21"/>
              </w:rPr>
            </w:pPr>
          </w:p>
          <w:p w14:paraId="1A42705C">
            <w:pPr>
              <w:spacing w:line="252" w:lineRule="auto"/>
              <w:rPr>
                <w:rFonts w:ascii="Arial"/>
                <w:sz w:val="21"/>
              </w:rPr>
            </w:pPr>
          </w:p>
          <w:p w14:paraId="60760D33">
            <w:pPr>
              <w:spacing w:line="252" w:lineRule="auto"/>
              <w:rPr>
                <w:rFonts w:ascii="Arial"/>
                <w:sz w:val="21"/>
              </w:rPr>
            </w:pPr>
          </w:p>
          <w:p w14:paraId="38BB4AC4">
            <w:pPr>
              <w:pStyle w:val="6"/>
              <w:spacing w:before="65" w:line="221" w:lineRule="auto"/>
              <w:ind w:left="124"/>
              <w:rPr>
                <w:sz w:val="20"/>
                <w:szCs w:val="20"/>
              </w:rPr>
            </w:pPr>
            <w:r>
              <w:rPr>
                <w:spacing w:val="-2"/>
                <w:sz w:val="20"/>
                <w:szCs w:val="20"/>
              </w:rPr>
              <w:t>环保</w:t>
            </w:r>
          </w:p>
          <w:p w14:paraId="1EC6EDDF">
            <w:pPr>
              <w:pStyle w:val="6"/>
              <w:spacing w:before="19" w:line="221" w:lineRule="auto"/>
              <w:ind w:left="127"/>
              <w:rPr>
                <w:sz w:val="20"/>
                <w:szCs w:val="20"/>
              </w:rPr>
            </w:pPr>
            <w:r>
              <w:rPr>
                <w:spacing w:val="-3"/>
                <w:sz w:val="20"/>
                <w:szCs w:val="20"/>
              </w:rPr>
              <w:t>工程</w:t>
            </w:r>
          </w:p>
        </w:tc>
        <w:tc>
          <w:tcPr>
            <w:tcW w:w="535" w:type="dxa"/>
            <w:vMerge w:val="restart"/>
            <w:tcBorders>
              <w:bottom w:val="nil"/>
            </w:tcBorders>
            <w:vAlign w:val="top"/>
          </w:tcPr>
          <w:p w14:paraId="4866B370">
            <w:pPr>
              <w:rPr>
                <w:rFonts w:ascii="Arial"/>
                <w:sz w:val="21"/>
              </w:rPr>
            </w:pPr>
          </w:p>
          <w:p w14:paraId="6406B447">
            <w:pPr>
              <w:rPr>
                <w:rFonts w:ascii="Arial"/>
                <w:sz w:val="21"/>
              </w:rPr>
            </w:pPr>
          </w:p>
          <w:p w14:paraId="695AA097">
            <w:pPr>
              <w:rPr>
                <w:rFonts w:ascii="Arial"/>
                <w:sz w:val="21"/>
              </w:rPr>
            </w:pPr>
          </w:p>
          <w:p w14:paraId="1BE7374A">
            <w:pPr>
              <w:rPr>
                <w:rFonts w:ascii="Arial"/>
                <w:sz w:val="21"/>
              </w:rPr>
            </w:pPr>
          </w:p>
          <w:p w14:paraId="184217D1">
            <w:pPr>
              <w:rPr>
                <w:rFonts w:ascii="Arial"/>
                <w:sz w:val="21"/>
              </w:rPr>
            </w:pPr>
          </w:p>
          <w:p w14:paraId="31D5031F">
            <w:pPr>
              <w:rPr>
                <w:rFonts w:ascii="Arial"/>
                <w:sz w:val="21"/>
              </w:rPr>
            </w:pPr>
          </w:p>
          <w:p w14:paraId="59BF5607">
            <w:pPr>
              <w:rPr>
                <w:rFonts w:ascii="Arial"/>
                <w:sz w:val="21"/>
              </w:rPr>
            </w:pPr>
          </w:p>
          <w:p w14:paraId="358F97EF">
            <w:pPr>
              <w:rPr>
                <w:rFonts w:ascii="Arial"/>
                <w:sz w:val="21"/>
              </w:rPr>
            </w:pPr>
          </w:p>
          <w:p w14:paraId="1157267E">
            <w:pPr>
              <w:rPr>
                <w:rFonts w:ascii="Arial"/>
                <w:sz w:val="21"/>
              </w:rPr>
            </w:pPr>
          </w:p>
          <w:p w14:paraId="532B50F3">
            <w:pPr>
              <w:rPr>
                <w:rFonts w:ascii="Arial"/>
                <w:sz w:val="21"/>
              </w:rPr>
            </w:pPr>
          </w:p>
          <w:p w14:paraId="05FB225B">
            <w:pPr>
              <w:rPr>
                <w:rFonts w:ascii="Arial"/>
                <w:sz w:val="21"/>
              </w:rPr>
            </w:pPr>
          </w:p>
          <w:p w14:paraId="075B45FB">
            <w:pPr>
              <w:spacing w:line="241" w:lineRule="auto"/>
              <w:rPr>
                <w:rFonts w:ascii="Arial"/>
                <w:sz w:val="21"/>
              </w:rPr>
            </w:pPr>
          </w:p>
          <w:p w14:paraId="1677FD32">
            <w:pPr>
              <w:spacing w:line="241" w:lineRule="auto"/>
              <w:rPr>
                <w:rFonts w:ascii="Arial"/>
                <w:sz w:val="21"/>
              </w:rPr>
            </w:pPr>
          </w:p>
          <w:p w14:paraId="069EBBC0">
            <w:pPr>
              <w:spacing w:line="241" w:lineRule="auto"/>
              <w:rPr>
                <w:rFonts w:ascii="Arial"/>
                <w:sz w:val="21"/>
              </w:rPr>
            </w:pPr>
          </w:p>
          <w:p w14:paraId="66C0E47D">
            <w:pPr>
              <w:spacing w:line="241" w:lineRule="auto"/>
              <w:rPr>
                <w:rFonts w:ascii="Arial"/>
                <w:sz w:val="21"/>
              </w:rPr>
            </w:pPr>
          </w:p>
          <w:p w14:paraId="14A392AD">
            <w:pPr>
              <w:pStyle w:val="6"/>
              <w:spacing w:before="65" w:line="221" w:lineRule="auto"/>
              <w:ind w:left="66"/>
              <w:rPr>
                <w:sz w:val="20"/>
                <w:szCs w:val="20"/>
              </w:rPr>
            </w:pPr>
            <w:r>
              <w:rPr>
                <w:spacing w:val="-2"/>
                <w:sz w:val="20"/>
                <w:szCs w:val="20"/>
              </w:rPr>
              <w:t>废气</w:t>
            </w:r>
          </w:p>
          <w:p w14:paraId="682B49FB">
            <w:pPr>
              <w:pStyle w:val="6"/>
              <w:spacing w:before="20" w:line="224" w:lineRule="auto"/>
              <w:ind w:left="70"/>
              <w:rPr>
                <w:sz w:val="20"/>
                <w:szCs w:val="20"/>
              </w:rPr>
            </w:pPr>
            <w:r>
              <w:rPr>
                <w:spacing w:val="-3"/>
                <w:sz w:val="20"/>
                <w:szCs w:val="20"/>
              </w:rPr>
              <w:t>处理</w:t>
            </w:r>
          </w:p>
        </w:tc>
        <w:tc>
          <w:tcPr>
            <w:tcW w:w="4200" w:type="dxa"/>
            <w:vAlign w:val="top"/>
          </w:tcPr>
          <w:p w14:paraId="5CA539AC">
            <w:pPr>
              <w:pStyle w:val="6"/>
              <w:spacing w:before="30" w:line="231" w:lineRule="auto"/>
              <w:ind w:left="57" w:right="150" w:firstLine="5"/>
              <w:rPr>
                <w:sz w:val="20"/>
                <w:szCs w:val="20"/>
              </w:rPr>
            </w:pPr>
            <w:r>
              <w:rPr>
                <w:spacing w:val="-1"/>
                <w:sz w:val="20"/>
                <w:szCs w:val="20"/>
              </w:rPr>
              <w:t>原料削片粉尘：设备布置在封闭式车间内，避</w:t>
            </w:r>
            <w:r>
              <w:rPr>
                <w:sz w:val="20"/>
                <w:szCs w:val="20"/>
              </w:rPr>
              <w:t xml:space="preserve"> </w:t>
            </w:r>
            <w:r>
              <w:rPr>
                <w:spacing w:val="-2"/>
                <w:sz w:val="20"/>
                <w:szCs w:val="20"/>
              </w:rPr>
              <w:t>免风力扰动起尘，从途径上抑制粉尘逸散；原</w:t>
            </w:r>
            <w:r>
              <w:rPr>
                <w:spacing w:val="16"/>
                <w:sz w:val="20"/>
                <w:szCs w:val="20"/>
              </w:rPr>
              <w:t xml:space="preserve"> </w:t>
            </w:r>
            <w:r>
              <w:rPr>
                <w:spacing w:val="-1"/>
                <w:sz w:val="20"/>
                <w:szCs w:val="20"/>
              </w:rPr>
              <w:t>料木材本身具有较高的含水率，起尘概率低；</w:t>
            </w:r>
            <w:r>
              <w:rPr>
                <w:spacing w:val="5"/>
                <w:sz w:val="20"/>
                <w:szCs w:val="20"/>
              </w:rPr>
              <w:t xml:space="preserve"> </w:t>
            </w:r>
            <w:r>
              <w:rPr>
                <w:spacing w:val="-1"/>
                <w:sz w:val="20"/>
                <w:szCs w:val="20"/>
              </w:rPr>
              <w:t>采用密闭型设备，在入料口上方增加挡板</w:t>
            </w:r>
          </w:p>
        </w:tc>
        <w:tc>
          <w:tcPr>
            <w:tcW w:w="850" w:type="dxa"/>
            <w:vMerge w:val="continue"/>
            <w:tcBorders>
              <w:top w:val="nil"/>
              <w:bottom w:val="nil"/>
            </w:tcBorders>
            <w:vAlign w:val="top"/>
          </w:tcPr>
          <w:p w14:paraId="5F349834">
            <w:pPr>
              <w:rPr>
                <w:rFonts w:ascii="Arial"/>
                <w:sz w:val="21"/>
              </w:rPr>
            </w:pPr>
          </w:p>
        </w:tc>
        <w:tc>
          <w:tcPr>
            <w:tcW w:w="987" w:type="dxa"/>
            <w:vAlign w:val="top"/>
          </w:tcPr>
          <w:p w14:paraId="58C84B0E">
            <w:pPr>
              <w:spacing w:line="392" w:lineRule="auto"/>
              <w:rPr>
                <w:rFonts w:ascii="Arial"/>
                <w:sz w:val="21"/>
              </w:rPr>
            </w:pPr>
          </w:p>
          <w:p w14:paraId="7B0CAD0F">
            <w:pPr>
              <w:spacing w:before="58" w:line="232" w:lineRule="auto"/>
              <w:ind w:left="469"/>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672" w:type="dxa"/>
            <w:vAlign w:val="top"/>
          </w:tcPr>
          <w:p w14:paraId="4C16C619">
            <w:pPr>
              <w:spacing w:line="351" w:lineRule="auto"/>
              <w:rPr>
                <w:rFonts w:ascii="Arial"/>
                <w:sz w:val="21"/>
              </w:rPr>
            </w:pPr>
          </w:p>
          <w:p w14:paraId="5DAFFA6F">
            <w:pPr>
              <w:pStyle w:val="6"/>
              <w:spacing w:before="65" w:line="221" w:lineRule="auto"/>
              <w:ind w:left="149"/>
              <w:rPr>
                <w:sz w:val="20"/>
                <w:szCs w:val="20"/>
              </w:rPr>
            </w:pPr>
            <w:r>
              <w:rPr>
                <w:spacing w:val="-2"/>
                <w:sz w:val="20"/>
                <w:szCs w:val="20"/>
              </w:rPr>
              <w:t>新建</w:t>
            </w:r>
          </w:p>
        </w:tc>
        <w:tc>
          <w:tcPr>
            <w:tcW w:w="135" w:type="dxa"/>
            <w:tcBorders>
              <w:top w:val="nil"/>
              <w:bottom w:val="nil"/>
              <w:right w:val="single" w:color="000000" w:sz="6" w:space="0"/>
            </w:tcBorders>
            <w:vAlign w:val="top"/>
          </w:tcPr>
          <w:p w14:paraId="74352FD1">
            <w:pPr>
              <w:rPr>
                <w:rFonts w:ascii="Arial"/>
                <w:sz w:val="21"/>
              </w:rPr>
            </w:pPr>
          </w:p>
        </w:tc>
      </w:tr>
      <w:tr w14:paraId="50F85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9" w:hRule="atLeast"/>
        </w:trPr>
        <w:tc>
          <w:tcPr>
            <w:tcW w:w="832" w:type="dxa"/>
            <w:vMerge w:val="continue"/>
            <w:tcBorders>
              <w:top w:val="nil"/>
              <w:left w:val="single" w:color="000000" w:sz="6" w:space="0"/>
              <w:bottom w:val="nil"/>
            </w:tcBorders>
            <w:vAlign w:val="top"/>
          </w:tcPr>
          <w:p w14:paraId="6CAA392D">
            <w:pPr>
              <w:rPr>
                <w:rFonts w:ascii="Arial"/>
                <w:sz w:val="21"/>
              </w:rPr>
            </w:pPr>
          </w:p>
        </w:tc>
        <w:tc>
          <w:tcPr>
            <w:tcW w:w="125" w:type="dxa"/>
            <w:tcBorders>
              <w:top w:val="nil"/>
              <w:bottom w:val="nil"/>
            </w:tcBorders>
            <w:vAlign w:val="top"/>
          </w:tcPr>
          <w:p w14:paraId="5689227B">
            <w:pPr>
              <w:rPr>
                <w:rFonts w:ascii="Arial"/>
                <w:sz w:val="21"/>
              </w:rPr>
            </w:pPr>
          </w:p>
        </w:tc>
        <w:tc>
          <w:tcPr>
            <w:tcW w:w="652" w:type="dxa"/>
            <w:vMerge w:val="continue"/>
            <w:tcBorders>
              <w:top w:val="nil"/>
              <w:bottom w:val="nil"/>
            </w:tcBorders>
            <w:vAlign w:val="top"/>
          </w:tcPr>
          <w:p w14:paraId="5B71E928">
            <w:pPr>
              <w:rPr>
                <w:rFonts w:ascii="Arial"/>
                <w:sz w:val="21"/>
              </w:rPr>
            </w:pPr>
          </w:p>
        </w:tc>
        <w:tc>
          <w:tcPr>
            <w:tcW w:w="535" w:type="dxa"/>
            <w:vMerge w:val="continue"/>
            <w:tcBorders>
              <w:top w:val="nil"/>
              <w:bottom w:val="nil"/>
            </w:tcBorders>
            <w:vAlign w:val="top"/>
          </w:tcPr>
          <w:p w14:paraId="453947EE">
            <w:pPr>
              <w:rPr>
                <w:rFonts w:ascii="Arial"/>
                <w:sz w:val="21"/>
              </w:rPr>
            </w:pPr>
          </w:p>
        </w:tc>
        <w:tc>
          <w:tcPr>
            <w:tcW w:w="4200" w:type="dxa"/>
            <w:vAlign w:val="top"/>
          </w:tcPr>
          <w:p w14:paraId="797B617F">
            <w:pPr>
              <w:pStyle w:val="6"/>
              <w:spacing w:before="31" w:line="219" w:lineRule="auto"/>
              <w:ind w:left="59"/>
              <w:rPr>
                <w:sz w:val="20"/>
                <w:szCs w:val="20"/>
              </w:rPr>
            </w:pPr>
            <w:r>
              <w:rPr>
                <w:spacing w:val="-2"/>
                <w:sz w:val="20"/>
                <w:szCs w:val="20"/>
              </w:rPr>
              <w:t>给料粉碎粉尘：将设备布置在封闭式车间内，</w:t>
            </w:r>
          </w:p>
          <w:p w14:paraId="16D8A6C7">
            <w:pPr>
              <w:pStyle w:val="6"/>
              <w:spacing w:before="21" w:line="219" w:lineRule="auto"/>
              <w:ind w:left="57"/>
              <w:rPr>
                <w:sz w:val="20"/>
                <w:szCs w:val="20"/>
              </w:rPr>
            </w:pPr>
            <w:r>
              <w:rPr>
                <w:spacing w:val="-2"/>
                <w:sz w:val="20"/>
                <w:szCs w:val="20"/>
              </w:rPr>
              <w:t>在给料机筛网上方加盖封闭挡板仅留进料口，</w:t>
            </w:r>
          </w:p>
          <w:p w14:paraId="788E6409">
            <w:pPr>
              <w:pStyle w:val="6"/>
              <w:spacing w:before="19" w:line="233" w:lineRule="auto"/>
              <w:ind w:left="58" w:right="49" w:firstLine="17"/>
              <w:rPr>
                <w:sz w:val="20"/>
                <w:szCs w:val="20"/>
              </w:rPr>
            </w:pPr>
            <w:r>
              <w:rPr>
                <w:spacing w:val="-2"/>
                <w:sz w:val="20"/>
                <w:szCs w:val="20"/>
              </w:rPr>
              <w:t>出料口与粉碎机紧密连接。粉碎机半地下式安</w:t>
            </w:r>
            <w:r>
              <w:rPr>
                <w:spacing w:val="7"/>
                <w:sz w:val="20"/>
                <w:szCs w:val="20"/>
              </w:rPr>
              <w:t xml:space="preserve">  </w:t>
            </w:r>
            <w:r>
              <w:rPr>
                <w:spacing w:val="-1"/>
                <w:sz w:val="20"/>
                <w:szCs w:val="20"/>
              </w:rPr>
              <w:t>装，设备出料与输送皮带连接处设包围式集气</w:t>
            </w:r>
            <w:r>
              <w:rPr>
                <w:spacing w:val="5"/>
                <w:sz w:val="20"/>
                <w:szCs w:val="20"/>
              </w:rPr>
              <w:t xml:space="preserve">  </w:t>
            </w:r>
            <w:r>
              <w:rPr>
                <w:spacing w:val="-1"/>
                <w:sz w:val="20"/>
                <w:szCs w:val="20"/>
              </w:rPr>
              <w:t>罩形成微负压状态，收集粉尘至一套“旋风除</w:t>
            </w:r>
            <w:r>
              <w:rPr>
                <w:spacing w:val="5"/>
                <w:sz w:val="20"/>
                <w:szCs w:val="20"/>
              </w:rPr>
              <w:t xml:space="preserve">  </w:t>
            </w:r>
            <w:r>
              <w:rPr>
                <w:spacing w:val="-2"/>
                <w:sz w:val="20"/>
                <w:szCs w:val="20"/>
              </w:rPr>
              <w:t>尘</w:t>
            </w:r>
            <w:r>
              <w:rPr>
                <w:rFonts w:ascii="Times New Roman" w:hAnsi="Times New Roman" w:eastAsia="Times New Roman" w:cs="Times New Roman"/>
                <w:spacing w:val="-2"/>
                <w:sz w:val="20"/>
                <w:szCs w:val="20"/>
              </w:rPr>
              <w:t>+</w:t>
            </w:r>
            <w:r>
              <w:rPr>
                <w:spacing w:val="-2"/>
                <w:sz w:val="20"/>
                <w:szCs w:val="20"/>
              </w:rPr>
              <w:t>布袋除尘”处理后在车间无组织排放，加强</w:t>
            </w:r>
            <w:r>
              <w:rPr>
                <w:spacing w:val="14"/>
                <w:sz w:val="20"/>
                <w:szCs w:val="20"/>
              </w:rPr>
              <w:t xml:space="preserve"> </w:t>
            </w:r>
            <w:r>
              <w:rPr>
                <w:spacing w:val="-2"/>
                <w:sz w:val="20"/>
                <w:szCs w:val="20"/>
              </w:rPr>
              <w:t>车间通风换气</w:t>
            </w:r>
          </w:p>
        </w:tc>
        <w:tc>
          <w:tcPr>
            <w:tcW w:w="850" w:type="dxa"/>
            <w:vMerge w:val="continue"/>
            <w:tcBorders>
              <w:top w:val="nil"/>
              <w:bottom w:val="nil"/>
            </w:tcBorders>
            <w:vAlign w:val="top"/>
          </w:tcPr>
          <w:p w14:paraId="1DD41C2B">
            <w:pPr>
              <w:rPr>
                <w:rFonts w:ascii="Arial"/>
                <w:sz w:val="21"/>
              </w:rPr>
            </w:pPr>
          </w:p>
        </w:tc>
        <w:tc>
          <w:tcPr>
            <w:tcW w:w="987" w:type="dxa"/>
            <w:vAlign w:val="top"/>
          </w:tcPr>
          <w:p w14:paraId="37F694D1">
            <w:pPr>
              <w:spacing w:line="304" w:lineRule="auto"/>
              <w:rPr>
                <w:rFonts w:ascii="Arial"/>
                <w:sz w:val="21"/>
              </w:rPr>
            </w:pPr>
          </w:p>
          <w:p w14:paraId="44FEC981">
            <w:pPr>
              <w:spacing w:line="305" w:lineRule="auto"/>
              <w:rPr>
                <w:rFonts w:ascii="Arial"/>
                <w:sz w:val="21"/>
              </w:rPr>
            </w:pPr>
          </w:p>
          <w:p w14:paraId="0AA67D12">
            <w:pPr>
              <w:pStyle w:val="6"/>
              <w:spacing w:before="65" w:line="220" w:lineRule="auto"/>
              <w:ind w:left="111"/>
              <w:rPr>
                <w:sz w:val="20"/>
                <w:szCs w:val="20"/>
              </w:rPr>
            </w:pPr>
            <w:r>
              <w:rPr>
                <w:spacing w:val="-8"/>
                <w:sz w:val="20"/>
                <w:szCs w:val="20"/>
              </w:rPr>
              <w:t>收尘灰、</w:t>
            </w:r>
          </w:p>
          <w:p w14:paraId="509CBB96">
            <w:pPr>
              <w:pStyle w:val="6"/>
              <w:spacing w:before="21" w:line="221" w:lineRule="auto"/>
              <w:ind w:left="314"/>
              <w:rPr>
                <w:sz w:val="20"/>
                <w:szCs w:val="20"/>
              </w:rPr>
            </w:pPr>
            <w:r>
              <w:rPr>
                <w:spacing w:val="-5"/>
                <w:sz w:val="20"/>
                <w:szCs w:val="20"/>
              </w:rPr>
              <w:t>噪声</w:t>
            </w:r>
          </w:p>
        </w:tc>
        <w:tc>
          <w:tcPr>
            <w:tcW w:w="672" w:type="dxa"/>
            <w:vAlign w:val="top"/>
          </w:tcPr>
          <w:p w14:paraId="4CE9F11A">
            <w:pPr>
              <w:spacing w:line="246" w:lineRule="auto"/>
              <w:rPr>
                <w:rFonts w:ascii="Arial"/>
                <w:sz w:val="21"/>
              </w:rPr>
            </w:pPr>
          </w:p>
          <w:p w14:paraId="44A931DF">
            <w:pPr>
              <w:spacing w:line="246" w:lineRule="auto"/>
              <w:rPr>
                <w:rFonts w:ascii="Arial"/>
                <w:sz w:val="21"/>
              </w:rPr>
            </w:pPr>
          </w:p>
          <w:p w14:paraId="2456D0DC">
            <w:pPr>
              <w:spacing w:line="246" w:lineRule="auto"/>
              <w:rPr>
                <w:rFonts w:ascii="Arial"/>
                <w:sz w:val="21"/>
              </w:rPr>
            </w:pPr>
          </w:p>
          <w:p w14:paraId="2F9E3C19">
            <w:pPr>
              <w:pStyle w:val="6"/>
              <w:spacing w:before="65" w:line="221" w:lineRule="auto"/>
              <w:ind w:left="149"/>
              <w:rPr>
                <w:sz w:val="20"/>
                <w:szCs w:val="20"/>
              </w:rPr>
            </w:pPr>
            <w:r>
              <w:rPr>
                <w:spacing w:val="-2"/>
                <w:sz w:val="20"/>
                <w:szCs w:val="20"/>
              </w:rPr>
              <w:t>新建</w:t>
            </w:r>
          </w:p>
        </w:tc>
        <w:tc>
          <w:tcPr>
            <w:tcW w:w="135" w:type="dxa"/>
            <w:tcBorders>
              <w:top w:val="nil"/>
              <w:bottom w:val="nil"/>
              <w:right w:val="single" w:color="000000" w:sz="6" w:space="0"/>
            </w:tcBorders>
            <w:vAlign w:val="top"/>
          </w:tcPr>
          <w:p w14:paraId="7BE53528">
            <w:pPr>
              <w:rPr>
                <w:rFonts w:ascii="Arial"/>
                <w:sz w:val="21"/>
              </w:rPr>
            </w:pPr>
          </w:p>
        </w:tc>
      </w:tr>
      <w:tr w14:paraId="4EC94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832" w:type="dxa"/>
            <w:vMerge w:val="continue"/>
            <w:tcBorders>
              <w:top w:val="nil"/>
              <w:left w:val="single" w:color="000000" w:sz="6" w:space="0"/>
              <w:bottom w:val="nil"/>
            </w:tcBorders>
            <w:vAlign w:val="top"/>
          </w:tcPr>
          <w:p w14:paraId="2DD825F7">
            <w:pPr>
              <w:rPr>
                <w:rFonts w:ascii="Arial"/>
                <w:sz w:val="21"/>
              </w:rPr>
            </w:pPr>
          </w:p>
        </w:tc>
        <w:tc>
          <w:tcPr>
            <w:tcW w:w="125" w:type="dxa"/>
            <w:tcBorders>
              <w:top w:val="nil"/>
              <w:bottom w:val="nil"/>
            </w:tcBorders>
            <w:vAlign w:val="top"/>
          </w:tcPr>
          <w:p w14:paraId="4A5AA9F8">
            <w:pPr>
              <w:rPr>
                <w:rFonts w:ascii="Arial"/>
                <w:sz w:val="21"/>
              </w:rPr>
            </w:pPr>
          </w:p>
        </w:tc>
        <w:tc>
          <w:tcPr>
            <w:tcW w:w="652" w:type="dxa"/>
            <w:vMerge w:val="continue"/>
            <w:tcBorders>
              <w:top w:val="nil"/>
              <w:bottom w:val="nil"/>
            </w:tcBorders>
            <w:vAlign w:val="top"/>
          </w:tcPr>
          <w:p w14:paraId="0F7493C2">
            <w:pPr>
              <w:rPr>
                <w:rFonts w:ascii="Arial"/>
                <w:sz w:val="21"/>
              </w:rPr>
            </w:pPr>
          </w:p>
        </w:tc>
        <w:tc>
          <w:tcPr>
            <w:tcW w:w="535" w:type="dxa"/>
            <w:vMerge w:val="continue"/>
            <w:tcBorders>
              <w:top w:val="nil"/>
              <w:bottom w:val="nil"/>
            </w:tcBorders>
            <w:vAlign w:val="top"/>
          </w:tcPr>
          <w:p w14:paraId="6DD5FEAD">
            <w:pPr>
              <w:rPr>
                <w:rFonts w:ascii="Arial"/>
                <w:sz w:val="21"/>
              </w:rPr>
            </w:pPr>
          </w:p>
        </w:tc>
        <w:tc>
          <w:tcPr>
            <w:tcW w:w="4200" w:type="dxa"/>
            <w:vAlign w:val="top"/>
          </w:tcPr>
          <w:p w14:paraId="6B42F49B">
            <w:pPr>
              <w:pStyle w:val="6"/>
              <w:spacing w:before="31" w:line="231" w:lineRule="auto"/>
              <w:ind w:left="58"/>
              <w:jc w:val="both"/>
              <w:rPr>
                <w:sz w:val="20"/>
                <w:szCs w:val="20"/>
              </w:rPr>
            </w:pPr>
            <w:r>
              <w:rPr>
                <w:spacing w:val="-3"/>
                <w:sz w:val="20"/>
                <w:szCs w:val="20"/>
              </w:rPr>
              <w:t>烘干粉尘、热风炉烟气：引至旋风除尘（分</w:t>
            </w:r>
            <w:r>
              <w:rPr>
                <w:spacing w:val="-4"/>
                <w:sz w:val="20"/>
                <w:szCs w:val="20"/>
              </w:rPr>
              <w:t>离）</w:t>
            </w:r>
            <w:r>
              <w:rPr>
                <w:sz w:val="20"/>
                <w:szCs w:val="20"/>
              </w:rPr>
              <w:t xml:space="preserve"> </w:t>
            </w:r>
            <w:r>
              <w:rPr>
                <w:spacing w:val="-3"/>
                <w:sz w:val="20"/>
                <w:szCs w:val="20"/>
              </w:rPr>
              <w:t>器分离干粉料后，少量未被分离的烘干粉尘和</w:t>
            </w:r>
            <w:r>
              <w:rPr>
                <w:spacing w:val="8"/>
                <w:sz w:val="20"/>
                <w:szCs w:val="20"/>
              </w:rPr>
              <w:t xml:space="preserve">  </w:t>
            </w:r>
            <w:r>
              <w:rPr>
                <w:spacing w:val="-3"/>
                <w:sz w:val="20"/>
                <w:szCs w:val="20"/>
              </w:rPr>
              <w:t>热风炉烟气在进入一套喷淋塔水雾除尘，然后</w:t>
            </w:r>
            <w:r>
              <w:rPr>
                <w:spacing w:val="8"/>
                <w:sz w:val="20"/>
                <w:szCs w:val="20"/>
              </w:rPr>
              <w:t xml:space="preserve">  </w:t>
            </w:r>
            <w:r>
              <w:rPr>
                <w:spacing w:val="-6"/>
                <w:sz w:val="20"/>
                <w:szCs w:val="20"/>
              </w:rPr>
              <w:t>再经</w:t>
            </w:r>
            <w:r>
              <w:rPr>
                <w:spacing w:val="-21"/>
                <w:sz w:val="20"/>
                <w:szCs w:val="20"/>
              </w:rPr>
              <w:t xml:space="preserve"> </w:t>
            </w:r>
            <w:r>
              <w:rPr>
                <w:rFonts w:ascii="Times New Roman" w:hAnsi="Times New Roman" w:eastAsia="Times New Roman" w:cs="Times New Roman"/>
                <w:spacing w:val="-6"/>
                <w:sz w:val="20"/>
                <w:szCs w:val="20"/>
              </w:rPr>
              <w:t xml:space="preserve">1 </w:t>
            </w:r>
            <w:r>
              <w:rPr>
                <w:spacing w:val="-6"/>
                <w:sz w:val="20"/>
                <w:szCs w:val="20"/>
              </w:rPr>
              <w:t>根</w:t>
            </w:r>
            <w:r>
              <w:rPr>
                <w:spacing w:val="-27"/>
                <w:sz w:val="20"/>
                <w:szCs w:val="20"/>
              </w:rPr>
              <w:t xml:space="preserve"> </w:t>
            </w:r>
            <w:r>
              <w:rPr>
                <w:rFonts w:ascii="Times New Roman" w:hAnsi="Times New Roman" w:eastAsia="Times New Roman" w:cs="Times New Roman"/>
                <w:spacing w:val="-6"/>
                <w:sz w:val="20"/>
                <w:szCs w:val="20"/>
              </w:rPr>
              <w:t>15m</w:t>
            </w:r>
            <w:r>
              <w:rPr>
                <w:rFonts w:ascii="Times New Roman" w:hAnsi="Times New Roman" w:eastAsia="Times New Roman" w:cs="Times New Roman"/>
                <w:spacing w:val="14"/>
                <w:sz w:val="20"/>
                <w:szCs w:val="20"/>
              </w:rPr>
              <w:t xml:space="preserve"> </w:t>
            </w:r>
            <w:r>
              <w:rPr>
                <w:spacing w:val="-6"/>
                <w:sz w:val="20"/>
                <w:szCs w:val="20"/>
              </w:rPr>
              <w:t>高排气筒高空排放</w:t>
            </w:r>
          </w:p>
        </w:tc>
        <w:tc>
          <w:tcPr>
            <w:tcW w:w="850" w:type="dxa"/>
            <w:vMerge w:val="continue"/>
            <w:tcBorders>
              <w:top w:val="nil"/>
              <w:bottom w:val="nil"/>
            </w:tcBorders>
            <w:vAlign w:val="top"/>
          </w:tcPr>
          <w:p w14:paraId="5F986946">
            <w:pPr>
              <w:rPr>
                <w:rFonts w:ascii="Arial"/>
                <w:sz w:val="21"/>
              </w:rPr>
            </w:pPr>
          </w:p>
        </w:tc>
        <w:tc>
          <w:tcPr>
            <w:tcW w:w="987" w:type="dxa"/>
            <w:vAlign w:val="top"/>
          </w:tcPr>
          <w:p w14:paraId="72277ABF">
            <w:pPr>
              <w:pStyle w:val="6"/>
              <w:spacing w:before="161" w:line="220" w:lineRule="auto"/>
              <w:ind w:left="111"/>
              <w:rPr>
                <w:sz w:val="20"/>
                <w:szCs w:val="20"/>
              </w:rPr>
            </w:pPr>
            <w:r>
              <w:rPr>
                <w:spacing w:val="-8"/>
                <w:sz w:val="20"/>
                <w:szCs w:val="20"/>
              </w:rPr>
              <w:t>收尘灰、</w:t>
            </w:r>
          </w:p>
          <w:p w14:paraId="0DB53162">
            <w:pPr>
              <w:pStyle w:val="6"/>
              <w:spacing w:before="22" w:line="241" w:lineRule="auto"/>
              <w:ind w:left="205" w:right="83" w:hanging="91"/>
              <w:rPr>
                <w:sz w:val="20"/>
                <w:szCs w:val="20"/>
              </w:rPr>
            </w:pPr>
            <w:r>
              <w:rPr>
                <w:spacing w:val="-4"/>
                <w:sz w:val="20"/>
                <w:szCs w:val="20"/>
              </w:rPr>
              <w:t>噪声、喷</w:t>
            </w:r>
            <w:r>
              <w:rPr>
                <w:sz w:val="20"/>
                <w:szCs w:val="20"/>
              </w:rPr>
              <w:t xml:space="preserve"> </w:t>
            </w:r>
            <w:r>
              <w:rPr>
                <w:spacing w:val="-2"/>
                <w:sz w:val="20"/>
                <w:szCs w:val="20"/>
              </w:rPr>
              <w:t>淋废水</w:t>
            </w:r>
          </w:p>
        </w:tc>
        <w:tc>
          <w:tcPr>
            <w:tcW w:w="672" w:type="dxa"/>
            <w:vAlign w:val="top"/>
          </w:tcPr>
          <w:p w14:paraId="08D8FA48">
            <w:pPr>
              <w:spacing w:line="354" w:lineRule="auto"/>
              <w:rPr>
                <w:rFonts w:ascii="Arial"/>
                <w:sz w:val="21"/>
              </w:rPr>
            </w:pPr>
          </w:p>
          <w:p w14:paraId="2F5FFDF1">
            <w:pPr>
              <w:pStyle w:val="6"/>
              <w:spacing w:before="65" w:line="221" w:lineRule="auto"/>
              <w:ind w:left="149"/>
              <w:rPr>
                <w:sz w:val="20"/>
                <w:szCs w:val="20"/>
              </w:rPr>
            </w:pPr>
            <w:r>
              <w:rPr>
                <w:spacing w:val="-2"/>
                <w:sz w:val="20"/>
                <w:szCs w:val="20"/>
              </w:rPr>
              <w:t>新建</w:t>
            </w:r>
          </w:p>
        </w:tc>
        <w:tc>
          <w:tcPr>
            <w:tcW w:w="135" w:type="dxa"/>
            <w:tcBorders>
              <w:top w:val="nil"/>
              <w:bottom w:val="nil"/>
              <w:right w:val="single" w:color="000000" w:sz="6" w:space="0"/>
            </w:tcBorders>
            <w:vAlign w:val="top"/>
          </w:tcPr>
          <w:p w14:paraId="1A4DAA33">
            <w:pPr>
              <w:rPr>
                <w:rFonts w:ascii="Arial"/>
                <w:sz w:val="21"/>
              </w:rPr>
            </w:pPr>
          </w:p>
        </w:tc>
      </w:tr>
      <w:tr w14:paraId="51ABD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832" w:type="dxa"/>
            <w:vMerge w:val="continue"/>
            <w:tcBorders>
              <w:top w:val="nil"/>
              <w:left w:val="single" w:color="000000" w:sz="6" w:space="0"/>
              <w:bottom w:val="nil"/>
            </w:tcBorders>
            <w:vAlign w:val="top"/>
          </w:tcPr>
          <w:p w14:paraId="544B7CC4">
            <w:pPr>
              <w:rPr>
                <w:rFonts w:ascii="Arial"/>
                <w:sz w:val="21"/>
              </w:rPr>
            </w:pPr>
          </w:p>
        </w:tc>
        <w:tc>
          <w:tcPr>
            <w:tcW w:w="125" w:type="dxa"/>
            <w:tcBorders>
              <w:top w:val="nil"/>
              <w:bottom w:val="nil"/>
            </w:tcBorders>
            <w:vAlign w:val="top"/>
          </w:tcPr>
          <w:p w14:paraId="1E246EEB">
            <w:pPr>
              <w:rPr>
                <w:rFonts w:ascii="Arial"/>
                <w:sz w:val="21"/>
              </w:rPr>
            </w:pPr>
          </w:p>
        </w:tc>
        <w:tc>
          <w:tcPr>
            <w:tcW w:w="652" w:type="dxa"/>
            <w:vMerge w:val="continue"/>
            <w:tcBorders>
              <w:top w:val="nil"/>
              <w:bottom w:val="nil"/>
            </w:tcBorders>
            <w:vAlign w:val="top"/>
          </w:tcPr>
          <w:p w14:paraId="57ED3EE7">
            <w:pPr>
              <w:rPr>
                <w:rFonts w:ascii="Arial"/>
                <w:sz w:val="21"/>
              </w:rPr>
            </w:pPr>
          </w:p>
        </w:tc>
        <w:tc>
          <w:tcPr>
            <w:tcW w:w="535" w:type="dxa"/>
            <w:vMerge w:val="continue"/>
            <w:tcBorders>
              <w:top w:val="nil"/>
              <w:bottom w:val="nil"/>
            </w:tcBorders>
            <w:vAlign w:val="top"/>
          </w:tcPr>
          <w:p w14:paraId="682EE4F0">
            <w:pPr>
              <w:rPr>
                <w:rFonts w:ascii="Arial"/>
                <w:sz w:val="21"/>
              </w:rPr>
            </w:pPr>
          </w:p>
        </w:tc>
        <w:tc>
          <w:tcPr>
            <w:tcW w:w="4200" w:type="dxa"/>
            <w:vAlign w:val="top"/>
          </w:tcPr>
          <w:p w14:paraId="113E506B">
            <w:pPr>
              <w:pStyle w:val="6"/>
              <w:spacing w:before="31" w:line="231" w:lineRule="auto"/>
              <w:ind w:left="57" w:right="143"/>
              <w:jc w:val="both"/>
              <w:rPr>
                <w:sz w:val="20"/>
                <w:szCs w:val="20"/>
              </w:rPr>
            </w:pPr>
            <w:r>
              <w:rPr>
                <w:spacing w:val="-1"/>
                <w:sz w:val="20"/>
                <w:szCs w:val="20"/>
              </w:rPr>
              <w:t>造粒粉尘：采用密闭性生产设备，在出料口设</w:t>
            </w:r>
            <w:r>
              <w:rPr>
                <w:spacing w:val="12"/>
                <w:sz w:val="20"/>
                <w:szCs w:val="20"/>
              </w:rPr>
              <w:t xml:space="preserve"> </w:t>
            </w:r>
            <w:r>
              <w:rPr>
                <w:spacing w:val="-1"/>
                <w:sz w:val="20"/>
                <w:szCs w:val="20"/>
              </w:rPr>
              <w:t>包围式集气罩形成微负压状态，收集粉尘至一</w:t>
            </w:r>
            <w:r>
              <w:rPr>
                <w:spacing w:val="11"/>
                <w:sz w:val="20"/>
                <w:szCs w:val="20"/>
              </w:rPr>
              <w:t xml:space="preserve"> </w:t>
            </w:r>
            <w:r>
              <w:rPr>
                <w:spacing w:val="-1"/>
                <w:sz w:val="20"/>
                <w:szCs w:val="20"/>
              </w:rPr>
              <w:t>套“旋流喷淋塔”除尘处理后，经管道将废气</w:t>
            </w:r>
            <w:r>
              <w:rPr>
                <w:spacing w:val="11"/>
                <w:sz w:val="20"/>
                <w:szCs w:val="20"/>
              </w:rPr>
              <w:t xml:space="preserve"> </w:t>
            </w:r>
            <w:r>
              <w:rPr>
                <w:spacing w:val="-1"/>
                <w:sz w:val="20"/>
                <w:szCs w:val="20"/>
              </w:rPr>
              <w:t>引至烘干机的排气筒一同排放</w:t>
            </w:r>
          </w:p>
        </w:tc>
        <w:tc>
          <w:tcPr>
            <w:tcW w:w="850" w:type="dxa"/>
            <w:vMerge w:val="continue"/>
            <w:tcBorders>
              <w:top w:val="nil"/>
              <w:bottom w:val="nil"/>
            </w:tcBorders>
            <w:vAlign w:val="top"/>
          </w:tcPr>
          <w:p w14:paraId="2EE9B965">
            <w:pPr>
              <w:rPr>
                <w:rFonts w:ascii="Arial"/>
                <w:sz w:val="21"/>
              </w:rPr>
            </w:pPr>
          </w:p>
        </w:tc>
        <w:tc>
          <w:tcPr>
            <w:tcW w:w="987" w:type="dxa"/>
            <w:vAlign w:val="top"/>
          </w:tcPr>
          <w:p w14:paraId="1A370859">
            <w:pPr>
              <w:pStyle w:val="6"/>
              <w:spacing w:before="292" w:line="242" w:lineRule="auto"/>
              <w:ind w:left="107" w:right="96" w:firstLine="105"/>
              <w:rPr>
                <w:sz w:val="20"/>
                <w:szCs w:val="20"/>
              </w:rPr>
            </w:pPr>
            <w:r>
              <w:rPr>
                <w:spacing w:val="-5"/>
                <w:sz w:val="20"/>
                <w:szCs w:val="20"/>
              </w:rPr>
              <w:t>喷淋废</w:t>
            </w:r>
            <w:r>
              <w:rPr>
                <w:sz w:val="20"/>
                <w:szCs w:val="20"/>
              </w:rPr>
              <w:t xml:space="preserve">  </w:t>
            </w:r>
            <w:r>
              <w:rPr>
                <w:spacing w:val="-6"/>
                <w:sz w:val="20"/>
                <w:szCs w:val="20"/>
              </w:rPr>
              <w:t>水、噪声</w:t>
            </w:r>
          </w:p>
        </w:tc>
        <w:tc>
          <w:tcPr>
            <w:tcW w:w="672" w:type="dxa"/>
            <w:vAlign w:val="top"/>
          </w:tcPr>
          <w:p w14:paraId="6EC8703D">
            <w:pPr>
              <w:spacing w:line="354" w:lineRule="auto"/>
              <w:rPr>
                <w:rFonts w:ascii="Arial"/>
                <w:sz w:val="21"/>
              </w:rPr>
            </w:pPr>
          </w:p>
          <w:p w14:paraId="4E7827F5">
            <w:pPr>
              <w:pStyle w:val="6"/>
              <w:spacing w:before="65" w:line="221" w:lineRule="auto"/>
              <w:ind w:left="149"/>
              <w:rPr>
                <w:sz w:val="20"/>
                <w:szCs w:val="20"/>
              </w:rPr>
            </w:pPr>
            <w:r>
              <w:rPr>
                <w:spacing w:val="-2"/>
                <w:sz w:val="20"/>
                <w:szCs w:val="20"/>
              </w:rPr>
              <w:t>新建</w:t>
            </w:r>
          </w:p>
        </w:tc>
        <w:tc>
          <w:tcPr>
            <w:tcW w:w="135" w:type="dxa"/>
            <w:tcBorders>
              <w:top w:val="nil"/>
              <w:bottom w:val="nil"/>
              <w:right w:val="single" w:color="000000" w:sz="6" w:space="0"/>
            </w:tcBorders>
            <w:vAlign w:val="top"/>
          </w:tcPr>
          <w:p w14:paraId="603ECF78">
            <w:pPr>
              <w:rPr>
                <w:rFonts w:ascii="Arial"/>
                <w:sz w:val="21"/>
              </w:rPr>
            </w:pPr>
          </w:p>
        </w:tc>
      </w:tr>
      <w:tr w14:paraId="6C59A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832" w:type="dxa"/>
            <w:vMerge w:val="continue"/>
            <w:tcBorders>
              <w:top w:val="nil"/>
              <w:left w:val="single" w:color="000000" w:sz="6" w:space="0"/>
              <w:bottom w:val="nil"/>
            </w:tcBorders>
            <w:vAlign w:val="top"/>
          </w:tcPr>
          <w:p w14:paraId="1930A892">
            <w:pPr>
              <w:rPr>
                <w:rFonts w:ascii="Arial"/>
                <w:sz w:val="21"/>
              </w:rPr>
            </w:pPr>
          </w:p>
        </w:tc>
        <w:tc>
          <w:tcPr>
            <w:tcW w:w="125" w:type="dxa"/>
            <w:tcBorders>
              <w:top w:val="nil"/>
              <w:bottom w:val="nil"/>
            </w:tcBorders>
            <w:vAlign w:val="top"/>
          </w:tcPr>
          <w:p w14:paraId="1F6C1986">
            <w:pPr>
              <w:rPr>
                <w:rFonts w:ascii="Arial"/>
                <w:sz w:val="21"/>
              </w:rPr>
            </w:pPr>
          </w:p>
        </w:tc>
        <w:tc>
          <w:tcPr>
            <w:tcW w:w="652" w:type="dxa"/>
            <w:vMerge w:val="continue"/>
            <w:tcBorders>
              <w:top w:val="nil"/>
              <w:bottom w:val="nil"/>
            </w:tcBorders>
            <w:vAlign w:val="top"/>
          </w:tcPr>
          <w:p w14:paraId="26E0333E">
            <w:pPr>
              <w:rPr>
                <w:rFonts w:ascii="Arial"/>
                <w:sz w:val="21"/>
              </w:rPr>
            </w:pPr>
          </w:p>
        </w:tc>
        <w:tc>
          <w:tcPr>
            <w:tcW w:w="535" w:type="dxa"/>
            <w:vMerge w:val="continue"/>
            <w:tcBorders>
              <w:top w:val="nil"/>
              <w:bottom w:val="nil"/>
            </w:tcBorders>
            <w:vAlign w:val="top"/>
          </w:tcPr>
          <w:p w14:paraId="18F1ACC6">
            <w:pPr>
              <w:rPr>
                <w:rFonts w:ascii="Arial"/>
                <w:sz w:val="21"/>
              </w:rPr>
            </w:pPr>
          </w:p>
        </w:tc>
        <w:tc>
          <w:tcPr>
            <w:tcW w:w="4200" w:type="dxa"/>
            <w:vAlign w:val="top"/>
          </w:tcPr>
          <w:p w14:paraId="1A523E31">
            <w:pPr>
              <w:pStyle w:val="6"/>
              <w:spacing w:before="31" w:line="231" w:lineRule="auto"/>
              <w:ind w:left="58" w:right="143"/>
              <w:jc w:val="both"/>
              <w:rPr>
                <w:sz w:val="20"/>
                <w:szCs w:val="20"/>
              </w:rPr>
            </w:pPr>
            <w:r>
              <w:rPr>
                <w:spacing w:val="-1"/>
                <w:sz w:val="20"/>
                <w:szCs w:val="20"/>
              </w:rPr>
              <w:t>物料输送粉尘：生产线所有物料的输送均采用</w:t>
            </w:r>
            <w:r>
              <w:rPr>
                <w:spacing w:val="11"/>
                <w:sz w:val="20"/>
                <w:szCs w:val="20"/>
              </w:rPr>
              <w:t xml:space="preserve"> </w:t>
            </w:r>
            <w:r>
              <w:rPr>
                <w:spacing w:val="-1"/>
                <w:sz w:val="20"/>
                <w:szCs w:val="20"/>
              </w:rPr>
              <w:t>密闭绞龙或者封闭式皮带输送，绞龙与设备出</w:t>
            </w:r>
            <w:r>
              <w:rPr>
                <w:spacing w:val="11"/>
                <w:sz w:val="20"/>
                <w:szCs w:val="20"/>
              </w:rPr>
              <w:t xml:space="preserve"> </w:t>
            </w:r>
            <w:r>
              <w:rPr>
                <w:spacing w:val="-1"/>
                <w:sz w:val="20"/>
                <w:szCs w:val="20"/>
              </w:rPr>
              <w:t>料口封闭式连接；干粉料输送设备落料口设置</w:t>
            </w:r>
            <w:r>
              <w:rPr>
                <w:spacing w:val="11"/>
                <w:sz w:val="20"/>
                <w:szCs w:val="20"/>
              </w:rPr>
              <w:t xml:space="preserve"> </w:t>
            </w:r>
            <w:r>
              <w:rPr>
                <w:spacing w:val="-1"/>
                <w:sz w:val="20"/>
                <w:szCs w:val="20"/>
              </w:rPr>
              <w:t>帆布类围挡，降低落料高度</w:t>
            </w:r>
          </w:p>
        </w:tc>
        <w:tc>
          <w:tcPr>
            <w:tcW w:w="850" w:type="dxa"/>
            <w:vMerge w:val="continue"/>
            <w:tcBorders>
              <w:top w:val="nil"/>
              <w:bottom w:val="nil"/>
            </w:tcBorders>
            <w:vAlign w:val="top"/>
          </w:tcPr>
          <w:p w14:paraId="79FB5638">
            <w:pPr>
              <w:rPr>
                <w:rFonts w:ascii="Arial"/>
                <w:sz w:val="21"/>
              </w:rPr>
            </w:pPr>
          </w:p>
        </w:tc>
        <w:tc>
          <w:tcPr>
            <w:tcW w:w="987" w:type="dxa"/>
            <w:vAlign w:val="top"/>
          </w:tcPr>
          <w:p w14:paraId="714CD1B5">
            <w:pPr>
              <w:spacing w:line="395" w:lineRule="auto"/>
              <w:rPr>
                <w:rFonts w:ascii="Arial"/>
                <w:sz w:val="21"/>
              </w:rPr>
            </w:pPr>
          </w:p>
          <w:p w14:paraId="0152C90D">
            <w:pPr>
              <w:spacing w:before="57" w:line="232" w:lineRule="auto"/>
              <w:ind w:left="469"/>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672" w:type="dxa"/>
            <w:vAlign w:val="top"/>
          </w:tcPr>
          <w:p w14:paraId="64D5867B">
            <w:pPr>
              <w:spacing w:line="353" w:lineRule="auto"/>
              <w:rPr>
                <w:rFonts w:ascii="Arial"/>
                <w:sz w:val="21"/>
              </w:rPr>
            </w:pPr>
          </w:p>
          <w:p w14:paraId="074F137F">
            <w:pPr>
              <w:pStyle w:val="6"/>
              <w:spacing w:before="65" w:line="221" w:lineRule="auto"/>
              <w:ind w:left="149"/>
              <w:rPr>
                <w:sz w:val="20"/>
                <w:szCs w:val="20"/>
              </w:rPr>
            </w:pPr>
            <w:r>
              <w:rPr>
                <w:spacing w:val="-2"/>
                <w:sz w:val="20"/>
                <w:szCs w:val="20"/>
              </w:rPr>
              <w:t>新建</w:t>
            </w:r>
          </w:p>
        </w:tc>
        <w:tc>
          <w:tcPr>
            <w:tcW w:w="135" w:type="dxa"/>
            <w:tcBorders>
              <w:top w:val="nil"/>
              <w:bottom w:val="nil"/>
              <w:right w:val="single" w:color="000000" w:sz="6" w:space="0"/>
            </w:tcBorders>
            <w:vAlign w:val="top"/>
          </w:tcPr>
          <w:p w14:paraId="7ADE6A58">
            <w:pPr>
              <w:rPr>
                <w:rFonts w:ascii="Arial"/>
                <w:sz w:val="21"/>
              </w:rPr>
            </w:pPr>
          </w:p>
        </w:tc>
      </w:tr>
      <w:tr w14:paraId="3811D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1" w:hRule="atLeast"/>
        </w:trPr>
        <w:tc>
          <w:tcPr>
            <w:tcW w:w="832" w:type="dxa"/>
            <w:vMerge w:val="continue"/>
            <w:tcBorders>
              <w:top w:val="nil"/>
              <w:left w:val="single" w:color="000000" w:sz="6" w:space="0"/>
              <w:bottom w:val="nil"/>
            </w:tcBorders>
            <w:vAlign w:val="top"/>
          </w:tcPr>
          <w:p w14:paraId="6A73FBB4">
            <w:pPr>
              <w:rPr>
                <w:rFonts w:ascii="Arial"/>
                <w:sz w:val="21"/>
              </w:rPr>
            </w:pPr>
          </w:p>
        </w:tc>
        <w:tc>
          <w:tcPr>
            <w:tcW w:w="125" w:type="dxa"/>
            <w:tcBorders>
              <w:top w:val="nil"/>
              <w:bottom w:val="nil"/>
            </w:tcBorders>
            <w:vAlign w:val="top"/>
          </w:tcPr>
          <w:p w14:paraId="643C1573">
            <w:pPr>
              <w:rPr>
                <w:rFonts w:ascii="Arial"/>
                <w:sz w:val="21"/>
              </w:rPr>
            </w:pPr>
          </w:p>
        </w:tc>
        <w:tc>
          <w:tcPr>
            <w:tcW w:w="652" w:type="dxa"/>
            <w:vMerge w:val="continue"/>
            <w:tcBorders>
              <w:top w:val="nil"/>
              <w:bottom w:val="nil"/>
            </w:tcBorders>
            <w:vAlign w:val="top"/>
          </w:tcPr>
          <w:p w14:paraId="020F40F7">
            <w:pPr>
              <w:rPr>
                <w:rFonts w:ascii="Arial"/>
                <w:sz w:val="21"/>
              </w:rPr>
            </w:pPr>
          </w:p>
        </w:tc>
        <w:tc>
          <w:tcPr>
            <w:tcW w:w="535" w:type="dxa"/>
            <w:vMerge w:val="continue"/>
            <w:tcBorders>
              <w:top w:val="nil"/>
              <w:bottom w:val="nil"/>
            </w:tcBorders>
            <w:vAlign w:val="top"/>
          </w:tcPr>
          <w:p w14:paraId="53F1CFB5">
            <w:pPr>
              <w:rPr>
                <w:rFonts w:ascii="Arial"/>
                <w:sz w:val="21"/>
              </w:rPr>
            </w:pPr>
          </w:p>
        </w:tc>
        <w:tc>
          <w:tcPr>
            <w:tcW w:w="4200" w:type="dxa"/>
            <w:vAlign w:val="top"/>
          </w:tcPr>
          <w:p w14:paraId="1EA25FEB">
            <w:pPr>
              <w:pStyle w:val="6"/>
              <w:spacing w:before="34" w:line="232" w:lineRule="auto"/>
              <w:ind w:left="57" w:right="143" w:firstLine="20"/>
              <w:jc w:val="both"/>
              <w:rPr>
                <w:sz w:val="20"/>
                <w:szCs w:val="20"/>
              </w:rPr>
            </w:pPr>
            <w:r>
              <w:rPr>
                <w:spacing w:val="-2"/>
                <w:sz w:val="20"/>
                <w:szCs w:val="20"/>
              </w:rPr>
              <w:t>中间料堆放粉尘：包括湿粉料堆放间、干粉料</w:t>
            </w:r>
            <w:r>
              <w:rPr>
                <w:spacing w:val="13"/>
                <w:sz w:val="20"/>
                <w:szCs w:val="20"/>
              </w:rPr>
              <w:t xml:space="preserve"> </w:t>
            </w:r>
            <w:r>
              <w:rPr>
                <w:spacing w:val="-1"/>
                <w:sz w:val="20"/>
                <w:szCs w:val="20"/>
              </w:rPr>
              <w:t>堆放间；在车间内设置封闭式中间料堆放间，</w:t>
            </w:r>
            <w:r>
              <w:rPr>
                <w:spacing w:val="13"/>
                <w:sz w:val="20"/>
                <w:szCs w:val="20"/>
              </w:rPr>
              <w:t xml:space="preserve"> </w:t>
            </w:r>
            <w:r>
              <w:rPr>
                <w:spacing w:val="-1"/>
                <w:sz w:val="20"/>
                <w:szCs w:val="20"/>
              </w:rPr>
              <w:t>避免风力扰动起尘，从传播途径上抑制粉尘逸</w:t>
            </w:r>
            <w:r>
              <w:rPr>
                <w:spacing w:val="13"/>
                <w:sz w:val="20"/>
                <w:szCs w:val="20"/>
              </w:rPr>
              <w:t xml:space="preserve"> </w:t>
            </w:r>
            <w:r>
              <w:rPr>
                <w:spacing w:val="-1"/>
                <w:sz w:val="20"/>
                <w:szCs w:val="20"/>
              </w:rPr>
              <w:t>散，湿粉料本身具有较高的含水率，几乎不起</w:t>
            </w:r>
            <w:r>
              <w:rPr>
                <w:spacing w:val="13"/>
                <w:sz w:val="20"/>
                <w:szCs w:val="20"/>
              </w:rPr>
              <w:t xml:space="preserve"> </w:t>
            </w:r>
            <w:r>
              <w:rPr>
                <w:sz w:val="20"/>
                <w:szCs w:val="20"/>
              </w:rPr>
              <w:t>尘</w:t>
            </w:r>
          </w:p>
        </w:tc>
        <w:tc>
          <w:tcPr>
            <w:tcW w:w="850" w:type="dxa"/>
            <w:vMerge w:val="continue"/>
            <w:tcBorders>
              <w:top w:val="nil"/>
              <w:bottom w:val="nil"/>
            </w:tcBorders>
            <w:vAlign w:val="top"/>
          </w:tcPr>
          <w:p w14:paraId="50BD218A">
            <w:pPr>
              <w:rPr>
                <w:rFonts w:ascii="Arial"/>
                <w:sz w:val="21"/>
              </w:rPr>
            </w:pPr>
          </w:p>
        </w:tc>
        <w:tc>
          <w:tcPr>
            <w:tcW w:w="987" w:type="dxa"/>
            <w:vAlign w:val="top"/>
          </w:tcPr>
          <w:p w14:paraId="2F0DE380">
            <w:pPr>
              <w:spacing w:line="262" w:lineRule="auto"/>
              <w:rPr>
                <w:rFonts w:ascii="Arial"/>
                <w:sz w:val="21"/>
              </w:rPr>
            </w:pPr>
          </w:p>
          <w:p w14:paraId="5267B6AA">
            <w:pPr>
              <w:spacing w:line="262" w:lineRule="auto"/>
              <w:rPr>
                <w:rFonts w:ascii="Arial"/>
                <w:sz w:val="21"/>
              </w:rPr>
            </w:pPr>
          </w:p>
          <w:p w14:paraId="0A1735E0">
            <w:pPr>
              <w:spacing w:before="58" w:line="232" w:lineRule="auto"/>
              <w:ind w:left="469"/>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672" w:type="dxa"/>
            <w:vAlign w:val="top"/>
          </w:tcPr>
          <w:p w14:paraId="4A682DF7">
            <w:pPr>
              <w:spacing w:line="241" w:lineRule="auto"/>
              <w:rPr>
                <w:rFonts w:ascii="Arial"/>
                <w:sz w:val="21"/>
              </w:rPr>
            </w:pPr>
          </w:p>
          <w:p w14:paraId="75F0ED4F">
            <w:pPr>
              <w:spacing w:line="242" w:lineRule="auto"/>
              <w:rPr>
                <w:rFonts w:ascii="Arial"/>
                <w:sz w:val="21"/>
              </w:rPr>
            </w:pPr>
          </w:p>
          <w:p w14:paraId="6791BF02">
            <w:pPr>
              <w:pStyle w:val="6"/>
              <w:spacing w:before="65" w:line="221" w:lineRule="auto"/>
              <w:ind w:left="149"/>
              <w:rPr>
                <w:sz w:val="20"/>
                <w:szCs w:val="20"/>
              </w:rPr>
            </w:pPr>
            <w:r>
              <w:rPr>
                <w:spacing w:val="-2"/>
                <w:sz w:val="20"/>
                <w:szCs w:val="20"/>
              </w:rPr>
              <w:t>新建</w:t>
            </w:r>
          </w:p>
        </w:tc>
        <w:tc>
          <w:tcPr>
            <w:tcW w:w="135" w:type="dxa"/>
            <w:tcBorders>
              <w:top w:val="nil"/>
              <w:bottom w:val="nil"/>
              <w:right w:val="single" w:color="000000" w:sz="6" w:space="0"/>
            </w:tcBorders>
            <w:vAlign w:val="top"/>
          </w:tcPr>
          <w:p w14:paraId="295F0106">
            <w:pPr>
              <w:rPr>
                <w:rFonts w:ascii="Arial"/>
                <w:sz w:val="21"/>
              </w:rPr>
            </w:pPr>
          </w:p>
        </w:tc>
      </w:tr>
      <w:tr w14:paraId="6C9B3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832" w:type="dxa"/>
            <w:vMerge w:val="continue"/>
            <w:tcBorders>
              <w:top w:val="nil"/>
              <w:left w:val="single" w:color="000000" w:sz="6" w:space="0"/>
              <w:bottom w:val="nil"/>
            </w:tcBorders>
            <w:vAlign w:val="top"/>
          </w:tcPr>
          <w:p w14:paraId="71D9837E">
            <w:pPr>
              <w:rPr>
                <w:rFonts w:ascii="Arial"/>
                <w:sz w:val="21"/>
              </w:rPr>
            </w:pPr>
          </w:p>
        </w:tc>
        <w:tc>
          <w:tcPr>
            <w:tcW w:w="125" w:type="dxa"/>
            <w:tcBorders>
              <w:top w:val="nil"/>
              <w:bottom w:val="nil"/>
            </w:tcBorders>
            <w:vAlign w:val="top"/>
          </w:tcPr>
          <w:p w14:paraId="795A0750">
            <w:pPr>
              <w:rPr>
                <w:rFonts w:ascii="Arial"/>
                <w:sz w:val="21"/>
              </w:rPr>
            </w:pPr>
          </w:p>
        </w:tc>
        <w:tc>
          <w:tcPr>
            <w:tcW w:w="652" w:type="dxa"/>
            <w:vMerge w:val="continue"/>
            <w:tcBorders>
              <w:top w:val="nil"/>
              <w:bottom w:val="nil"/>
            </w:tcBorders>
            <w:vAlign w:val="top"/>
          </w:tcPr>
          <w:p w14:paraId="740E80FD">
            <w:pPr>
              <w:rPr>
                <w:rFonts w:ascii="Arial"/>
                <w:sz w:val="21"/>
              </w:rPr>
            </w:pPr>
          </w:p>
        </w:tc>
        <w:tc>
          <w:tcPr>
            <w:tcW w:w="535" w:type="dxa"/>
            <w:vMerge w:val="continue"/>
            <w:tcBorders>
              <w:top w:val="nil"/>
            </w:tcBorders>
            <w:vAlign w:val="top"/>
          </w:tcPr>
          <w:p w14:paraId="366B045F">
            <w:pPr>
              <w:rPr>
                <w:rFonts w:ascii="Arial"/>
                <w:sz w:val="21"/>
              </w:rPr>
            </w:pPr>
          </w:p>
        </w:tc>
        <w:tc>
          <w:tcPr>
            <w:tcW w:w="4200" w:type="dxa"/>
            <w:vAlign w:val="top"/>
          </w:tcPr>
          <w:p w14:paraId="1262F93C">
            <w:pPr>
              <w:pStyle w:val="6"/>
              <w:spacing w:before="34" w:line="221" w:lineRule="auto"/>
              <w:ind w:left="62" w:right="159" w:hanging="4"/>
              <w:rPr>
                <w:sz w:val="20"/>
                <w:szCs w:val="20"/>
              </w:rPr>
            </w:pPr>
            <w:r>
              <w:rPr>
                <w:spacing w:val="-2"/>
                <w:sz w:val="20"/>
                <w:szCs w:val="20"/>
              </w:rPr>
              <w:t>包装环节粉尘：包装环节在封闭式车间内，加</w:t>
            </w:r>
            <w:r>
              <w:rPr>
                <w:spacing w:val="16"/>
                <w:sz w:val="20"/>
                <w:szCs w:val="20"/>
              </w:rPr>
              <w:t xml:space="preserve"> </w:t>
            </w:r>
            <w:r>
              <w:rPr>
                <w:spacing w:val="-2"/>
                <w:sz w:val="20"/>
                <w:szCs w:val="20"/>
              </w:rPr>
              <w:t>强车间通风换气</w:t>
            </w:r>
          </w:p>
        </w:tc>
        <w:tc>
          <w:tcPr>
            <w:tcW w:w="850" w:type="dxa"/>
            <w:vMerge w:val="continue"/>
            <w:tcBorders>
              <w:top w:val="nil"/>
              <w:bottom w:val="nil"/>
            </w:tcBorders>
            <w:vAlign w:val="top"/>
          </w:tcPr>
          <w:p w14:paraId="4EDE5018">
            <w:pPr>
              <w:rPr>
                <w:rFonts w:ascii="Arial"/>
                <w:sz w:val="21"/>
              </w:rPr>
            </w:pPr>
          </w:p>
        </w:tc>
        <w:tc>
          <w:tcPr>
            <w:tcW w:w="987" w:type="dxa"/>
            <w:vAlign w:val="top"/>
          </w:tcPr>
          <w:p w14:paraId="03F94EEA">
            <w:pPr>
              <w:spacing w:before="197" w:line="232" w:lineRule="auto"/>
              <w:ind w:left="469"/>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672" w:type="dxa"/>
            <w:vAlign w:val="top"/>
          </w:tcPr>
          <w:p w14:paraId="6B8BB860">
            <w:pPr>
              <w:pStyle w:val="6"/>
              <w:spacing w:before="163" w:line="221" w:lineRule="auto"/>
              <w:ind w:left="149"/>
              <w:rPr>
                <w:sz w:val="20"/>
                <w:szCs w:val="20"/>
              </w:rPr>
            </w:pPr>
            <w:r>
              <w:rPr>
                <w:spacing w:val="-2"/>
                <w:sz w:val="20"/>
                <w:szCs w:val="20"/>
              </w:rPr>
              <w:t>新建</w:t>
            </w:r>
          </w:p>
        </w:tc>
        <w:tc>
          <w:tcPr>
            <w:tcW w:w="135" w:type="dxa"/>
            <w:tcBorders>
              <w:top w:val="nil"/>
              <w:bottom w:val="nil"/>
              <w:right w:val="single" w:color="000000" w:sz="6" w:space="0"/>
            </w:tcBorders>
            <w:vAlign w:val="top"/>
          </w:tcPr>
          <w:p w14:paraId="4F3F08E2">
            <w:pPr>
              <w:rPr>
                <w:rFonts w:ascii="Arial"/>
                <w:sz w:val="21"/>
              </w:rPr>
            </w:pPr>
          </w:p>
        </w:tc>
      </w:tr>
      <w:tr w14:paraId="66337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32" w:type="dxa"/>
            <w:vMerge w:val="continue"/>
            <w:tcBorders>
              <w:top w:val="nil"/>
              <w:left w:val="single" w:color="000000" w:sz="6" w:space="0"/>
              <w:bottom w:val="nil"/>
            </w:tcBorders>
            <w:vAlign w:val="top"/>
          </w:tcPr>
          <w:p w14:paraId="53DA30F5">
            <w:pPr>
              <w:rPr>
                <w:rFonts w:ascii="Arial"/>
                <w:sz w:val="21"/>
              </w:rPr>
            </w:pPr>
          </w:p>
        </w:tc>
        <w:tc>
          <w:tcPr>
            <w:tcW w:w="125" w:type="dxa"/>
            <w:tcBorders>
              <w:top w:val="nil"/>
              <w:bottom w:val="nil"/>
            </w:tcBorders>
            <w:vAlign w:val="top"/>
          </w:tcPr>
          <w:p w14:paraId="74A77650">
            <w:pPr>
              <w:rPr>
                <w:rFonts w:ascii="Arial"/>
                <w:sz w:val="21"/>
              </w:rPr>
            </w:pPr>
          </w:p>
        </w:tc>
        <w:tc>
          <w:tcPr>
            <w:tcW w:w="652" w:type="dxa"/>
            <w:vMerge w:val="continue"/>
            <w:tcBorders>
              <w:top w:val="nil"/>
              <w:bottom w:val="nil"/>
            </w:tcBorders>
            <w:vAlign w:val="top"/>
          </w:tcPr>
          <w:p w14:paraId="039BFE14">
            <w:pPr>
              <w:rPr>
                <w:rFonts w:ascii="Arial"/>
                <w:sz w:val="21"/>
              </w:rPr>
            </w:pPr>
          </w:p>
        </w:tc>
        <w:tc>
          <w:tcPr>
            <w:tcW w:w="535" w:type="dxa"/>
            <w:vMerge w:val="restart"/>
            <w:tcBorders>
              <w:bottom w:val="nil"/>
            </w:tcBorders>
            <w:vAlign w:val="top"/>
          </w:tcPr>
          <w:p w14:paraId="70CEB12F">
            <w:pPr>
              <w:spacing w:line="361" w:lineRule="auto"/>
              <w:rPr>
                <w:rFonts w:ascii="Arial"/>
                <w:sz w:val="21"/>
              </w:rPr>
            </w:pPr>
          </w:p>
          <w:p w14:paraId="59B1B703">
            <w:pPr>
              <w:pStyle w:val="6"/>
              <w:spacing w:before="65" w:line="220" w:lineRule="auto"/>
              <w:ind w:left="66"/>
              <w:rPr>
                <w:sz w:val="20"/>
                <w:szCs w:val="20"/>
              </w:rPr>
            </w:pPr>
            <w:r>
              <w:rPr>
                <w:spacing w:val="-2"/>
                <w:sz w:val="20"/>
                <w:szCs w:val="20"/>
              </w:rPr>
              <w:t>废水</w:t>
            </w:r>
          </w:p>
          <w:p w14:paraId="4CFA0212">
            <w:pPr>
              <w:pStyle w:val="6"/>
              <w:spacing w:before="21" w:line="224" w:lineRule="auto"/>
              <w:ind w:left="70"/>
              <w:rPr>
                <w:sz w:val="20"/>
                <w:szCs w:val="20"/>
              </w:rPr>
            </w:pPr>
            <w:r>
              <w:rPr>
                <w:spacing w:val="-3"/>
                <w:sz w:val="20"/>
                <w:szCs w:val="20"/>
              </w:rPr>
              <w:t>处理</w:t>
            </w:r>
          </w:p>
        </w:tc>
        <w:tc>
          <w:tcPr>
            <w:tcW w:w="4200" w:type="dxa"/>
            <w:vAlign w:val="top"/>
          </w:tcPr>
          <w:p w14:paraId="61654412">
            <w:pPr>
              <w:pStyle w:val="6"/>
              <w:spacing w:before="35" w:line="221" w:lineRule="auto"/>
              <w:ind w:left="59" w:right="143" w:firstLine="7"/>
              <w:rPr>
                <w:sz w:val="20"/>
                <w:szCs w:val="20"/>
              </w:rPr>
            </w:pPr>
            <w:r>
              <w:rPr>
                <w:spacing w:val="-1"/>
                <w:sz w:val="20"/>
                <w:szCs w:val="20"/>
              </w:rPr>
              <w:t>喷淋除尘废水：由喷淋塔底部水槽收集，经超</w:t>
            </w:r>
            <w:r>
              <w:rPr>
                <w:spacing w:val="4"/>
                <w:sz w:val="20"/>
                <w:szCs w:val="20"/>
              </w:rPr>
              <w:t xml:space="preserve"> </w:t>
            </w:r>
            <w:r>
              <w:rPr>
                <w:spacing w:val="-1"/>
                <w:sz w:val="20"/>
                <w:szCs w:val="20"/>
              </w:rPr>
              <w:t>细过滤网过滤处理后循环回用不外排</w:t>
            </w:r>
          </w:p>
        </w:tc>
        <w:tc>
          <w:tcPr>
            <w:tcW w:w="850" w:type="dxa"/>
            <w:vMerge w:val="continue"/>
            <w:tcBorders>
              <w:top w:val="nil"/>
              <w:bottom w:val="nil"/>
            </w:tcBorders>
            <w:vAlign w:val="top"/>
          </w:tcPr>
          <w:p w14:paraId="74B3D47A">
            <w:pPr>
              <w:rPr>
                <w:rFonts w:ascii="Arial"/>
                <w:sz w:val="21"/>
              </w:rPr>
            </w:pPr>
          </w:p>
        </w:tc>
        <w:tc>
          <w:tcPr>
            <w:tcW w:w="987" w:type="dxa"/>
            <w:vAlign w:val="top"/>
          </w:tcPr>
          <w:p w14:paraId="7446D152">
            <w:pPr>
              <w:pStyle w:val="6"/>
              <w:spacing w:before="164" w:line="221" w:lineRule="auto"/>
              <w:ind w:left="305"/>
              <w:rPr>
                <w:sz w:val="20"/>
                <w:szCs w:val="20"/>
              </w:rPr>
            </w:pPr>
            <w:r>
              <w:rPr>
                <w:spacing w:val="-2"/>
                <w:sz w:val="20"/>
                <w:szCs w:val="20"/>
              </w:rPr>
              <w:t>沉渣</w:t>
            </w:r>
          </w:p>
        </w:tc>
        <w:tc>
          <w:tcPr>
            <w:tcW w:w="672" w:type="dxa"/>
            <w:vAlign w:val="top"/>
          </w:tcPr>
          <w:p w14:paraId="2C807EC4">
            <w:pPr>
              <w:pStyle w:val="6"/>
              <w:spacing w:before="164" w:line="221" w:lineRule="auto"/>
              <w:ind w:left="149"/>
              <w:rPr>
                <w:sz w:val="20"/>
                <w:szCs w:val="20"/>
              </w:rPr>
            </w:pPr>
            <w:r>
              <w:rPr>
                <w:spacing w:val="-2"/>
                <w:sz w:val="20"/>
                <w:szCs w:val="20"/>
              </w:rPr>
              <w:t>新建</w:t>
            </w:r>
          </w:p>
        </w:tc>
        <w:tc>
          <w:tcPr>
            <w:tcW w:w="135" w:type="dxa"/>
            <w:tcBorders>
              <w:top w:val="nil"/>
              <w:bottom w:val="nil"/>
              <w:right w:val="single" w:color="000000" w:sz="6" w:space="0"/>
            </w:tcBorders>
            <w:vAlign w:val="top"/>
          </w:tcPr>
          <w:p w14:paraId="2046ABD2">
            <w:pPr>
              <w:rPr>
                <w:rFonts w:ascii="Arial"/>
                <w:sz w:val="21"/>
              </w:rPr>
            </w:pPr>
          </w:p>
        </w:tc>
      </w:tr>
      <w:tr w14:paraId="1EF58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832" w:type="dxa"/>
            <w:vMerge w:val="continue"/>
            <w:tcBorders>
              <w:top w:val="nil"/>
              <w:left w:val="single" w:color="000000" w:sz="6" w:space="0"/>
              <w:bottom w:val="nil"/>
            </w:tcBorders>
            <w:vAlign w:val="top"/>
          </w:tcPr>
          <w:p w14:paraId="21D46F06">
            <w:pPr>
              <w:rPr>
                <w:rFonts w:ascii="Arial"/>
                <w:sz w:val="21"/>
              </w:rPr>
            </w:pPr>
          </w:p>
        </w:tc>
        <w:tc>
          <w:tcPr>
            <w:tcW w:w="125" w:type="dxa"/>
            <w:tcBorders>
              <w:top w:val="nil"/>
              <w:bottom w:val="nil"/>
            </w:tcBorders>
            <w:vAlign w:val="top"/>
          </w:tcPr>
          <w:p w14:paraId="1636E337">
            <w:pPr>
              <w:rPr>
                <w:rFonts w:ascii="Arial"/>
                <w:sz w:val="21"/>
              </w:rPr>
            </w:pPr>
          </w:p>
        </w:tc>
        <w:tc>
          <w:tcPr>
            <w:tcW w:w="652" w:type="dxa"/>
            <w:vMerge w:val="continue"/>
            <w:tcBorders>
              <w:top w:val="nil"/>
              <w:bottom w:val="nil"/>
            </w:tcBorders>
            <w:vAlign w:val="top"/>
          </w:tcPr>
          <w:p w14:paraId="28C50B96">
            <w:pPr>
              <w:rPr>
                <w:rFonts w:ascii="Arial"/>
                <w:sz w:val="21"/>
              </w:rPr>
            </w:pPr>
          </w:p>
        </w:tc>
        <w:tc>
          <w:tcPr>
            <w:tcW w:w="535" w:type="dxa"/>
            <w:vMerge w:val="continue"/>
            <w:tcBorders>
              <w:top w:val="nil"/>
            </w:tcBorders>
            <w:vAlign w:val="top"/>
          </w:tcPr>
          <w:p w14:paraId="10F3BF98">
            <w:pPr>
              <w:rPr>
                <w:rFonts w:ascii="Arial"/>
                <w:sz w:val="21"/>
              </w:rPr>
            </w:pPr>
          </w:p>
        </w:tc>
        <w:tc>
          <w:tcPr>
            <w:tcW w:w="4200" w:type="dxa"/>
            <w:vAlign w:val="top"/>
          </w:tcPr>
          <w:p w14:paraId="37FEECAA">
            <w:pPr>
              <w:pStyle w:val="6"/>
              <w:spacing w:before="34" w:line="219" w:lineRule="auto"/>
              <w:ind w:left="60"/>
              <w:rPr>
                <w:sz w:val="20"/>
                <w:szCs w:val="20"/>
              </w:rPr>
            </w:pPr>
            <w:r>
              <w:rPr>
                <w:spacing w:val="-1"/>
                <w:sz w:val="20"/>
                <w:szCs w:val="20"/>
              </w:rPr>
              <w:t>生活污水：依托亚飞玻璃公司已建化粪池</w:t>
            </w:r>
          </w:p>
          <w:p w14:paraId="1C9D12F1">
            <w:pPr>
              <w:pStyle w:val="6"/>
              <w:spacing w:before="22" w:line="221" w:lineRule="auto"/>
              <w:ind w:left="58" w:right="50" w:firstLine="5"/>
              <w:rPr>
                <w:sz w:val="20"/>
                <w:szCs w:val="20"/>
              </w:rPr>
            </w:pPr>
            <w:r>
              <w:rPr>
                <w:spacing w:val="-3"/>
                <w:sz w:val="20"/>
                <w:szCs w:val="20"/>
              </w:rPr>
              <w:t>（</w:t>
            </w:r>
            <w:r>
              <w:rPr>
                <w:rFonts w:ascii="Times New Roman" w:hAnsi="Times New Roman" w:eastAsia="Times New Roman" w:cs="Times New Roman"/>
                <w:spacing w:val="-3"/>
                <w:sz w:val="20"/>
                <w:szCs w:val="20"/>
              </w:rPr>
              <w:t>100m</w:t>
            </w:r>
            <w:r>
              <w:rPr>
                <w:rFonts w:ascii="Times New Roman" w:hAnsi="Times New Roman" w:eastAsia="Times New Roman" w:cs="Times New Roman"/>
                <w:spacing w:val="-3"/>
                <w:position w:val="6"/>
                <w:sz w:val="12"/>
                <w:szCs w:val="12"/>
              </w:rPr>
              <w:t xml:space="preserve">3 </w:t>
            </w:r>
            <w:r>
              <w:rPr>
                <w:spacing w:val="-3"/>
                <w:sz w:val="20"/>
                <w:szCs w:val="20"/>
              </w:rPr>
              <w:t>）收集处理后，经场镇污水管网进入东</w:t>
            </w:r>
            <w:r>
              <w:rPr>
                <w:spacing w:val="5"/>
                <w:sz w:val="20"/>
                <w:szCs w:val="20"/>
              </w:rPr>
              <w:t xml:space="preserve"> </w:t>
            </w:r>
            <w:r>
              <w:rPr>
                <w:spacing w:val="-1"/>
                <w:sz w:val="20"/>
                <w:szCs w:val="20"/>
              </w:rPr>
              <w:t>岳场镇生活污水处理厂处理</w:t>
            </w:r>
          </w:p>
        </w:tc>
        <w:tc>
          <w:tcPr>
            <w:tcW w:w="850" w:type="dxa"/>
            <w:vMerge w:val="continue"/>
            <w:tcBorders>
              <w:top w:val="nil"/>
              <w:bottom w:val="nil"/>
            </w:tcBorders>
            <w:vAlign w:val="top"/>
          </w:tcPr>
          <w:p w14:paraId="5ABE04AA">
            <w:pPr>
              <w:rPr>
                <w:rFonts w:ascii="Arial"/>
                <w:sz w:val="21"/>
              </w:rPr>
            </w:pPr>
          </w:p>
        </w:tc>
        <w:tc>
          <w:tcPr>
            <w:tcW w:w="987" w:type="dxa"/>
            <w:vAlign w:val="top"/>
          </w:tcPr>
          <w:p w14:paraId="40AC8676">
            <w:pPr>
              <w:pStyle w:val="6"/>
              <w:spacing w:before="294" w:line="220" w:lineRule="auto"/>
              <w:ind w:left="305"/>
              <w:rPr>
                <w:sz w:val="20"/>
                <w:szCs w:val="20"/>
              </w:rPr>
            </w:pPr>
            <w:r>
              <w:rPr>
                <w:spacing w:val="-2"/>
                <w:sz w:val="20"/>
                <w:szCs w:val="20"/>
              </w:rPr>
              <w:t>恶臭</w:t>
            </w:r>
          </w:p>
        </w:tc>
        <w:tc>
          <w:tcPr>
            <w:tcW w:w="672" w:type="dxa"/>
            <w:vAlign w:val="top"/>
          </w:tcPr>
          <w:p w14:paraId="03D01210">
            <w:pPr>
              <w:pStyle w:val="6"/>
              <w:spacing w:before="294" w:line="221" w:lineRule="auto"/>
              <w:ind w:left="149"/>
              <w:rPr>
                <w:sz w:val="20"/>
                <w:szCs w:val="20"/>
              </w:rPr>
            </w:pPr>
            <w:r>
              <w:rPr>
                <w:spacing w:val="-2"/>
                <w:sz w:val="20"/>
                <w:szCs w:val="20"/>
              </w:rPr>
              <w:t>新建</w:t>
            </w:r>
          </w:p>
        </w:tc>
        <w:tc>
          <w:tcPr>
            <w:tcW w:w="135" w:type="dxa"/>
            <w:tcBorders>
              <w:top w:val="nil"/>
              <w:bottom w:val="nil"/>
              <w:right w:val="single" w:color="000000" w:sz="6" w:space="0"/>
            </w:tcBorders>
            <w:vAlign w:val="top"/>
          </w:tcPr>
          <w:p w14:paraId="74A143D9">
            <w:pPr>
              <w:rPr>
                <w:rFonts w:ascii="Arial"/>
                <w:sz w:val="21"/>
              </w:rPr>
            </w:pPr>
          </w:p>
        </w:tc>
      </w:tr>
      <w:tr w14:paraId="206E5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trPr>
        <w:tc>
          <w:tcPr>
            <w:tcW w:w="832" w:type="dxa"/>
            <w:vMerge w:val="continue"/>
            <w:tcBorders>
              <w:top w:val="nil"/>
              <w:left w:val="single" w:color="000000" w:sz="6" w:space="0"/>
              <w:bottom w:val="nil"/>
            </w:tcBorders>
            <w:vAlign w:val="top"/>
          </w:tcPr>
          <w:p w14:paraId="7B0A5BDF">
            <w:pPr>
              <w:rPr>
                <w:rFonts w:ascii="Arial"/>
                <w:sz w:val="21"/>
              </w:rPr>
            </w:pPr>
          </w:p>
        </w:tc>
        <w:tc>
          <w:tcPr>
            <w:tcW w:w="125" w:type="dxa"/>
            <w:tcBorders>
              <w:top w:val="nil"/>
              <w:bottom w:val="nil"/>
            </w:tcBorders>
            <w:vAlign w:val="top"/>
          </w:tcPr>
          <w:p w14:paraId="2A618C94">
            <w:pPr>
              <w:rPr>
                <w:rFonts w:ascii="Arial"/>
                <w:sz w:val="21"/>
              </w:rPr>
            </w:pPr>
          </w:p>
        </w:tc>
        <w:tc>
          <w:tcPr>
            <w:tcW w:w="652" w:type="dxa"/>
            <w:vMerge w:val="continue"/>
            <w:tcBorders>
              <w:top w:val="nil"/>
            </w:tcBorders>
            <w:vAlign w:val="top"/>
          </w:tcPr>
          <w:p w14:paraId="33CD614B">
            <w:pPr>
              <w:rPr>
                <w:rFonts w:ascii="Arial"/>
                <w:sz w:val="21"/>
              </w:rPr>
            </w:pPr>
          </w:p>
        </w:tc>
        <w:tc>
          <w:tcPr>
            <w:tcW w:w="535" w:type="dxa"/>
            <w:vAlign w:val="top"/>
          </w:tcPr>
          <w:p w14:paraId="311DE803">
            <w:pPr>
              <w:pStyle w:val="6"/>
              <w:spacing w:before="302" w:line="221" w:lineRule="auto"/>
              <w:ind w:left="76"/>
              <w:rPr>
                <w:sz w:val="20"/>
                <w:szCs w:val="20"/>
              </w:rPr>
            </w:pPr>
            <w:r>
              <w:rPr>
                <w:spacing w:val="-5"/>
                <w:sz w:val="20"/>
                <w:szCs w:val="20"/>
              </w:rPr>
              <w:t>噪声</w:t>
            </w:r>
          </w:p>
          <w:p w14:paraId="2F2660D1">
            <w:pPr>
              <w:pStyle w:val="6"/>
              <w:spacing w:before="20" w:line="225" w:lineRule="auto"/>
              <w:ind w:left="71"/>
              <w:rPr>
                <w:sz w:val="20"/>
                <w:szCs w:val="20"/>
              </w:rPr>
            </w:pPr>
            <w:r>
              <w:rPr>
                <w:spacing w:val="-3"/>
                <w:sz w:val="20"/>
                <w:szCs w:val="20"/>
              </w:rPr>
              <w:t>治理</w:t>
            </w:r>
          </w:p>
        </w:tc>
        <w:tc>
          <w:tcPr>
            <w:tcW w:w="4200" w:type="dxa"/>
            <w:vAlign w:val="top"/>
          </w:tcPr>
          <w:p w14:paraId="1CECF9B0">
            <w:pPr>
              <w:pStyle w:val="6"/>
              <w:spacing w:before="42" w:line="232" w:lineRule="auto"/>
              <w:ind w:left="57" w:right="143" w:firstLine="3"/>
              <w:jc w:val="both"/>
              <w:rPr>
                <w:sz w:val="20"/>
                <w:szCs w:val="20"/>
              </w:rPr>
            </w:pPr>
            <w:r>
              <w:rPr>
                <w:spacing w:val="-1"/>
                <w:sz w:val="20"/>
                <w:szCs w:val="20"/>
              </w:rPr>
              <w:t>生产车间为全封闭式车间，所有生产设备均布</w:t>
            </w:r>
            <w:r>
              <w:rPr>
                <w:spacing w:val="10"/>
                <w:sz w:val="20"/>
                <w:szCs w:val="20"/>
              </w:rPr>
              <w:t xml:space="preserve"> </w:t>
            </w:r>
            <w:r>
              <w:rPr>
                <w:spacing w:val="-1"/>
                <w:sz w:val="20"/>
                <w:szCs w:val="20"/>
              </w:rPr>
              <w:t>置在车间内，优化设备布局；选用环保型低噪</w:t>
            </w:r>
            <w:r>
              <w:rPr>
                <w:spacing w:val="13"/>
                <w:sz w:val="20"/>
                <w:szCs w:val="20"/>
              </w:rPr>
              <w:t xml:space="preserve"> </w:t>
            </w:r>
            <w:r>
              <w:rPr>
                <w:spacing w:val="-1"/>
                <w:sz w:val="20"/>
                <w:szCs w:val="20"/>
              </w:rPr>
              <w:t>声设备、安装时采取基础减振；加强设备的维</w:t>
            </w:r>
            <w:r>
              <w:rPr>
                <w:spacing w:val="13"/>
                <w:sz w:val="20"/>
                <w:szCs w:val="20"/>
              </w:rPr>
              <w:t xml:space="preserve"> </w:t>
            </w:r>
            <w:r>
              <w:rPr>
                <w:spacing w:val="-1"/>
                <w:sz w:val="20"/>
                <w:szCs w:val="20"/>
              </w:rPr>
              <w:t>护保养；合理安排生产及运输作业时间</w:t>
            </w:r>
          </w:p>
        </w:tc>
        <w:tc>
          <w:tcPr>
            <w:tcW w:w="850" w:type="dxa"/>
            <w:vMerge w:val="continue"/>
            <w:tcBorders>
              <w:top w:val="nil"/>
            </w:tcBorders>
            <w:vAlign w:val="top"/>
          </w:tcPr>
          <w:p w14:paraId="0A5C9A0E">
            <w:pPr>
              <w:rPr>
                <w:rFonts w:ascii="Arial"/>
                <w:sz w:val="21"/>
              </w:rPr>
            </w:pPr>
          </w:p>
        </w:tc>
        <w:tc>
          <w:tcPr>
            <w:tcW w:w="987" w:type="dxa"/>
            <w:vAlign w:val="top"/>
          </w:tcPr>
          <w:p w14:paraId="71EC70DA">
            <w:pPr>
              <w:spacing w:line="405" w:lineRule="auto"/>
              <w:rPr>
                <w:rFonts w:ascii="Arial"/>
                <w:sz w:val="21"/>
              </w:rPr>
            </w:pPr>
          </w:p>
          <w:p w14:paraId="30C7B732">
            <w:pPr>
              <w:spacing w:before="58" w:line="232" w:lineRule="auto"/>
              <w:ind w:left="469"/>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672" w:type="dxa"/>
            <w:vAlign w:val="top"/>
          </w:tcPr>
          <w:p w14:paraId="699142A7">
            <w:pPr>
              <w:spacing w:line="364" w:lineRule="auto"/>
              <w:rPr>
                <w:rFonts w:ascii="Arial"/>
                <w:sz w:val="21"/>
              </w:rPr>
            </w:pPr>
          </w:p>
          <w:p w14:paraId="1844C45D">
            <w:pPr>
              <w:pStyle w:val="6"/>
              <w:spacing w:before="65" w:line="221" w:lineRule="auto"/>
              <w:ind w:left="149"/>
              <w:rPr>
                <w:sz w:val="20"/>
                <w:szCs w:val="20"/>
              </w:rPr>
            </w:pPr>
            <w:r>
              <w:rPr>
                <w:spacing w:val="-2"/>
                <w:sz w:val="20"/>
                <w:szCs w:val="20"/>
              </w:rPr>
              <w:t>新建</w:t>
            </w:r>
          </w:p>
        </w:tc>
        <w:tc>
          <w:tcPr>
            <w:tcW w:w="135" w:type="dxa"/>
            <w:tcBorders>
              <w:top w:val="nil"/>
              <w:bottom w:val="nil"/>
              <w:right w:val="single" w:color="000000" w:sz="6" w:space="0"/>
            </w:tcBorders>
            <w:vAlign w:val="top"/>
          </w:tcPr>
          <w:p w14:paraId="66053AC8">
            <w:pPr>
              <w:rPr>
                <w:rFonts w:ascii="Arial"/>
                <w:sz w:val="21"/>
              </w:rPr>
            </w:pPr>
          </w:p>
        </w:tc>
      </w:tr>
      <w:tr w14:paraId="592A8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 w:hRule="atLeast"/>
        </w:trPr>
        <w:tc>
          <w:tcPr>
            <w:tcW w:w="832" w:type="dxa"/>
            <w:vMerge w:val="continue"/>
            <w:tcBorders>
              <w:top w:val="nil"/>
              <w:left w:val="single" w:color="000000" w:sz="6" w:space="0"/>
            </w:tcBorders>
            <w:vAlign w:val="top"/>
          </w:tcPr>
          <w:p w14:paraId="7D91DFC7">
            <w:pPr>
              <w:rPr>
                <w:rFonts w:ascii="Arial"/>
                <w:sz w:val="21"/>
              </w:rPr>
            </w:pPr>
          </w:p>
        </w:tc>
        <w:tc>
          <w:tcPr>
            <w:tcW w:w="8156" w:type="dxa"/>
            <w:gridSpan w:val="8"/>
            <w:tcBorders>
              <w:right w:val="single" w:color="000000" w:sz="6" w:space="0"/>
            </w:tcBorders>
            <w:vAlign w:val="top"/>
          </w:tcPr>
          <w:p w14:paraId="2A595FE7">
            <w:pPr>
              <w:spacing w:line="188" w:lineRule="exact"/>
              <w:rPr>
                <w:rFonts w:ascii="Arial"/>
                <w:sz w:val="16"/>
              </w:rPr>
            </w:pPr>
          </w:p>
        </w:tc>
      </w:tr>
    </w:tbl>
    <w:p w14:paraId="06860B33">
      <w:pPr>
        <w:rPr>
          <w:rFonts w:ascii="Arial"/>
          <w:sz w:val="21"/>
        </w:rPr>
      </w:pPr>
    </w:p>
    <w:p w14:paraId="45531E4D">
      <w:pPr>
        <w:rPr>
          <w:rFonts w:ascii="Arial" w:hAnsi="Arial" w:eastAsia="Arial" w:cs="Arial"/>
          <w:sz w:val="21"/>
          <w:szCs w:val="21"/>
        </w:rPr>
        <w:sectPr>
          <w:footerReference r:id="rId40" w:type="default"/>
          <w:pgSz w:w="11907" w:h="16839"/>
          <w:pgMar w:top="1431" w:right="1450" w:bottom="1055" w:left="1451" w:header="0" w:footer="802" w:gutter="0"/>
          <w:cols w:space="720" w:num="1"/>
        </w:sectPr>
      </w:pPr>
    </w:p>
    <w:p w14:paraId="4492C359">
      <w:pPr>
        <w:spacing w:before="28"/>
      </w:pPr>
      <w:r>
        <w:drawing>
          <wp:anchor distT="0" distB="0" distL="0" distR="0" simplePos="0" relativeHeight="251671552" behindDoc="0" locked="0" layoutInCell="0" allowOverlap="1">
            <wp:simplePos x="0" y="0"/>
            <wp:positionH relativeFrom="page">
              <wp:posOffset>-3175</wp:posOffset>
            </wp:positionH>
            <wp:positionV relativeFrom="page">
              <wp:posOffset>-3175</wp:posOffset>
            </wp:positionV>
            <wp:extent cx="6350" cy="635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5"/>
                    <a:stretch>
                      <a:fillRect/>
                    </a:stretch>
                  </pic:blipFill>
                  <pic:spPr>
                    <a:xfrm>
                      <a:off x="0" y="0"/>
                      <a:ext cx="6350" cy="6350"/>
                    </a:xfrm>
                    <a:prstGeom prst="rect">
                      <a:avLst/>
                    </a:prstGeom>
                  </pic:spPr>
                </pic:pic>
              </a:graphicData>
            </a:graphic>
          </wp:anchor>
        </w:drawing>
      </w:r>
    </w:p>
    <w:tbl>
      <w:tblPr>
        <w:tblStyle w:val="5"/>
        <w:tblW w:w="898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25"/>
        <w:gridCol w:w="652"/>
        <w:gridCol w:w="535"/>
        <w:gridCol w:w="4200"/>
        <w:gridCol w:w="850"/>
        <w:gridCol w:w="987"/>
        <w:gridCol w:w="672"/>
        <w:gridCol w:w="135"/>
      </w:tblGrid>
      <w:tr w14:paraId="67CD6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5" w:hRule="atLeast"/>
        </w:trPr>
        <w:tc>
          <w:tcPr>
            <w:tcW w:w="832" w:type="dxa"/>
            <w:vMerge w:val="restart"/>
            <w:tcBorders>
              <w:top w:val="single" w:color="000000" w:sz="6" w:space="0"/>
              <w:left w:val="single" w:color="000000" w:sz="6" w:space="0"/>
              <w:bottom w:val="nil"/>
            </w:tcBorders>
            <w:vAlign w:val="top"/>
          </w:tcPr>
          <w:p w14:paraId="22BD41CE">
            <w:pPr>
              <w:spacing w:line="249" w:lineRule="auto"/>
              <w:rPr>
                <w:rFonts w:ascii="Arial"/>
                <w:sz w:val="21"/>
              </w:rPr>
            </w:pPr>
          </w:p>
          <w:p w14:paraId="453542E6">
            <w:pPr>
              <w:spacing w:line="249" w:lineRule="auto"/>
              <w:rPr>
                <w:rFonts w:ascii="Arial"/>
                <w:sz w:val="21"/>
              </w:rPr>
            </w:pPr>
          </w:p>
          <w:p w14:paraId="72913084">
            <w:pPr>
              <w:spacing w:line="249" w:lineRule="auto"/>
              <w:rPr>
                <w:rFonts w:ascii="Arial"/>
                <w:sz w:val="21"/>
              </w:rPr>
            </w:pPr>
          </w:p>
          <w:p w14:paraId="5F72F34E">
            <w:pPr>
              <w:spacing w:line="249" w:lineRule="auto"/>
              <w:rPr>
                <w:rFonts w:ascii="Arial"/>
                <w:sz w:val="21"/>
              </w:rPr>
            </w:pPr>
          </w:p>
          <w:p w14:paraId="783B9A1B">
            <w:pPr>
              <w:spacing w:line="249" w:lineRule="auto"/>
              <w:rPr>
                <w:rFonts w:ascii="Arial"/>
                <w:sz w:val="21"/>
              </w:rPr>
            </w:pPr>
          </w:p>
          <w:p w14:paraId="2A0C850C">
            <w:pPr>
              <w:spacing w:line="249" w:lineRule="auto"/>
              <w:rPr>
                <w:rFonts w:ascii="Arial"/>
                <w:sz w:val="21"/>
              </w:rPr>
            </w:pPr>
          </w:p>
          <w:p w14:paraId="260A66D7">
            <w:pPr>
              <w:spacing w:line="249" w:lineRule="auto"/>
              <w:rPr>
                <w:rFonts w:ascii="Arial"/>
                <w:sz w:val="21"/>
              </w:rPr>
            </w:pPr>
          </w:p>
          <w:p w14:paraId="6D0E2E33">
            <w:pPr>
              <w:spacing w:line="249" w:lineRule="auto"/>
              <w:rPr>
                <w:rFonts w:ascii="Arial"/>
                <w:sz w:val="21"/>
              </w:rPr>
            </w:pPr>
          </w:p>
          <w:p w14:paraId="11F4C4C9">
            <w:pPr>
              <w:spacing w:line="249" w:lineRule="auto"/>
              <w:rPr>
                <w:rFonts w:ascii="Arial"/>
                <w:sz w:val="21"/>
              </w:rPr>
            </w:pPr>
          </w:p>
          <w:p w14:paraId="47D691ED">
            <w:pPr>
              <w:spacing w:line="249" w:lineRule="auto"/>
              <w:rPr>
                <w:rFonts w:ascii="Arial"/>
                <w:sz w:val="21"/>
              </w:rPr>
            </w:pPr>
          </w:p>
          <w:p w14:paraId="4FA28D1D">
            <w:pPr>
              <w:spacing w:line="249" w:lineRule="auto"/>
              <w:rPr>
                <w:rFonts w:ascii="Arial"/>
                <w:sz w:val="21"/>
              </w:rPr>
            </w:pPr>
          </w:p>
          <w:p w14:paraId="3A757AF0">
            <w:pPr>
              <w:spacing w:line="249" w:lineRule="auto"/>
              <w:rPr>
                <w:rFonts w:ascii="Arial"/>
                <w:sz w:val="21"/>
              </w:rPr>
            </w:pPr>
          </w:p>
          <w:p w14:paraId="694D206D">
            <w:pPr>
              <w:spacing w:line="249" w:lineRule="auto"/>
              <w:rPr>
                <w:rFonts w:ascii="Arial"/>
                <w:sz w:val="21"/>
              </w:rPr>
            </w:pPr>
          </w:p>
          <w:p w14:paraId="3EF2A1C1">
            <w:pPr>
              <w:spacing w:line="249" w:lineRule="auto"/>
              <w:rPr>
                <w:rFonts w:ascii="Arial"/>
                <w:sz w:val="21"/>
              </w:rPr>
            </w:pPr>
          </w:p>
          <w:p w14:paraId="2C18760B">
            <w:pPr>
              <w:spacing w:line="249" w:lineRule="auto"/>
              <w:rPr>
                <w:rFonts w:ascii="Arial"/>
                <w:sz w:val="21"/>
              </w:rPr>
            </w:pPr>
          </w:p>
          <w:p w14:paraId="0144A054">
            <w:pPr>
              <w:spacing w:line="249" w:lineRule="auto"/>
              <w:rPr>
                <w:rFonts w:ascii="Arial"/>
                <w:sz w:val="21"/>
              </w:rPr>
            </w:pPr>
          </w:p>
          <w:p w14:paraId="5EBFB16D">
            <w:pPr>
              <w:spacing w:line="249" w:lineRule="auto"/>
              <w:rPr>
                <w:rFonts w:ascii="Arial"/>
                <w:sz w:val="21"/>
              </w:rPr>
            </w:pPr>
          </w:p>
          <w:p w14:paraId="6A1D5677">
            <w:pPr>
              <w:spacing w:line="249" w:lineRule="auto"/>
              <w:rPr>
                <w:rFonts w:ascii="Arial"/>
                <w:sz w:val="21"/>
              </w:rPr>
            </w:pPr>
          </w:p>
          <w:p w14:paraId="3F988982">
            <w:pPr>
              <w:spacing w:line="249" w:lineRule="auto"/>
              <w:rPr>
                <w:rFonts w:ascii="Arial"/>
                <w:sz w:val="21"/>
              </w:rPr>
            </w:pPr>
          </w:p>
          <w:p w14:paraId="4DA37887">
            <w:pPr>
              <w:spacing w:line="249" w:lineRule="auto"/>
              <w:rPr>
                <w:rFonts w:ascii="Arial"/>
                <w:sz w:val="21"/>
              </w:rPr>
            </w:pPr>
          </w:p>
          <w:p w14:paraId="2ADD4852">
            <w:pPr>
              <w:spacing w:line="249" w:lineRule="auto"/>
              <w:rPr>
                <w:rFonts w:ascii="Arial"/>
                <w:sz w:val="21"/>
              </w:rPr>
            </w:pPr>
          </w:p>
          <w:p w14:paraId="32895807">
            <w:pPr>
              <w:spacing w:line="249" w:lineRule="auto"/>
              <w:rPr>
                <w:rFonts w:ascii="Arial"/>
                <w:sz w:val="21"/>
              </w:rPr>
            </w:pPr>
          </w:p>
          <w:p w14:paraId="24FA564F">
            <w:pPr>
              <w:spacing w:line="249" w:lineRule="auto"/>
              <w:rPr>
                <w:rFonts w:ascii="Arial"/>
                <w:sz w:val="21"/>
              </w:rPr>
            </w:pPr>
          </w:p>
          <w:p w14:paraId="5616CF9B">
            <w:pPr>
              <w:pStyle w:val="6"/>
              <w:spacing w:before="69" w:line="221" w:lineRule="auto"/>
              <w:ind w:left="206"/>
            </w:pPr>
            <w:r>
              <w:rPr>
                <w:b/>
                <w:bCs/>
                <w:spacing w:val="-5"/>
              </w:rPr>
              <w:t>建设</w:t>
            </w:r>
          </w:p>
          <w:p w14:paraId="2CBA3B3E">
            <w:pPr>
              <w:pStyle w:val="6"/>
              <w:spacing w:before="20" w:line="220" w:lineRule="auto"/>
              <w:ind w:left="228"/>
            </w:pPr>
            <w:r>
              <w:rPr>
                <w:b/>
                <w:bCs/>
                <w:spacing w:val="-11"/>
              </w:rPr>
              <w:t>内容</w:t>
            </w:r>
          </w:p>
        </w:tc>
        <w:tc>
          <w:tcPr>
            <w:tcW w:w="777" w:type="dxa"/>
            <w:gridSpan w:val="2"/>
            <w:vMerge w:val="restart"/>
            <w:tcBorders>
              <w:top w:val="single" w:color="000000" w:sz="6" w:space="0"/>
              <w:bottom w:val="nil"/>
            </w:tcBorders>
            <w:vAlign w:val="top"/>
          </w:tcPr>
          <w:p w14:paraId="6FC1A7F2">
            <w:pPr>
              <w:rPr>
                <w:rFonts w:ascii="Arial"/>
                <w:sz w:val="21"/>
              </w:rPr>
            </w:pPr>
            <w:r>
              <w:pict>
                <v:shape id="_x0000_s1038" o:spid="_x0000_s1038" style="position:absolute;left:0pt;margin-left:5.75pt;margin-top:1.4pt;height:221.55pt;width:0.5pt;mso-position-horizontal-relative:page;mso-position-vertical-relative:page;z-index:251670528;mso-width-relative:page;mso-height-relative:page;" fillcolor="#000000" filled="t" stroked="f" coordsize="10,4431" path="m0,1817l9,1817,9,0,0,0,0,1817xem0,1826l9,1826,9,1817,0,1817,0,1826xem0,3901l9,3901,9,1826,0,1826,0,3901xem0,3911l9,3911,9,3901,0,3901,0,3911xem0,4430l9,4430,9,3911,0,3911,0,4430xe">
                  <v:path/>
                  <v:fill on="t" focussize="0,0"/>
                  <v:stroke on="f"/>
                  <v:imagedata o:title=""/>
                  <o:lock v:ext="edit"/>
                </v:shape>
              </w:pict>
            </w:r>
          </w:p>
        </w:tc>
        <w:tc>
          <w:tcPr>
            <w:tcW w:w="535" w:type="dxa"/>
            <w:vMerge w:val="restart"/>
            <w:tcBorders>
              <w:bottom w:val="nil"/>
            </w:tcBorders>
            <w:vAlign w:val="top"/>
          </w:tcPr>
          <w:p w14:paraId="3BFCBBEA">
            <w:pPr>
              <w:rPr>
                <w:rFonts w:ascii="Arial"/>
                <w:sz w:val="21"/>
              </w:rPr>
            </w:pPr>
          </w:p>
          <w:p w14:paraId="532FAAD4">
            <w:pPr>
              <w:rPr>
                <w:rFonts w:ascii="Arial"/>
                <w:sz w:val="21"/>
              </w:rPr>
            </w:pPr>
          </w:p>
          <w:p w14:paraId="59DE52E4">
            <w:pPr>
              <w:rPr>
                <w:rFonts w:ascii="Arial"/>
                <w:sz w:val="21"/>
              </w:rPr>
            </w:pPr>
          </w:p>
          <w:p w14:paraId="49B10D69">
            <w:pPr>
              <w:rPr>
                <w:rFonts w:ascii="Arial"/>
                <w:sz w:val="21"/>
              </w:rPr>
            </w:pPr>
          </w:p>
          <w:p w14:paraId="24BB36D1">
            <w:pPr>
              <w:rPr>
                <w:rFonts w:ascii="Arial"/>
                <w:sz w:val="21"/>
              </w:rPr>
            </w:pPr>
          </w:p>
          <w:p w14:paraId="6219E55E">
            <w:pPr>
              <w:rPr>
                <w:rFonts w:ascii="Arial"/>
                <w:sz w:val="21"/>
              </w:rPr>
            </w:pPr>
          </w:p>
          <w:p w14:paraId="4C3F17DF">
            <w:pPr>
              <w:spacing w:line="241" w:lineRule="auto"/>
              <w:rPr>
                <w:rFonts w:ascii="Arial"/>
                <w:sz w:val="21"/>
              </w:rPr>
            </w:pPr>
          </w:p>
          <w:p w14:paraId="2E7312D9">
            <w:pPr>
              <w:spacing w:line="241" w:lineRule="auto"/>
              <w:rPr>
                <w:rFonts w:ascii="Arial"/>
                <w:sz w:val="21"/>
              </w:rPr>
            </w:pPr>
          </w:p>
          <w:p w14:paraId="75EFCA1F">
            <w:pPr>
              <w:pStyle w:val="6"/>
              <w:spacing w:before="65" w:line="221" w:lineRule="auto"/>
              <w:ind w:left="84"/>
              <w:rPr>
                <w:sz w:val="20"/>
                <w:szCs w:val="20"/>
              </w:rPr>
            </w:pPr>
            <w:r>
              <w:rPr>
                <w:spacing w:val="-7"/>
                <w:sz w:val="20"/>
                <w:szCs w:val="20"/>
              </w:rPr>
              <w:t>固废</w:t>
            </w:r>
          </w:p>
          <w:p w14:paraId="4FB67264">
            <w:pPr>
              <w:pStyle w:val="6"/>
              <w:spacing w:before="20" w:line="224" w:lineRule="auto"/>
              <w:ind w:left="70"/>
              <w:rPr>
                <w:sz w:val="20"/>
                <w:szCs w:val="20"/>
              </w:rPr>
            </w:pPr>
            <w:r>
              <w:rPr>
                <w:spacing w:val="-3"/>
                <w:sz w:val="20"/>
                <w:szCs w:val="20"/>
              </w:rPr>
              <w:t>处置</w:t>
            </w:r>
          </w:p>
        </w:tc>
        <w:tc>
          <w:tcPr>
            <w:tcW w:w="4200" w:type="dxa"/>
            <w:vAlign w:val="top"/>
          </w:tcPr>
          <w:p w14:paraId="498E65B9">
            <w:pPr>
              <w:pStyle w:val="6"/>
              <w:spacing w:before="42" w:line="235" w:lineRule="auto"/>
              <w:ind w:left="57" w:right="142" w:firstLine="4"/>
              <w:rPr>
                <w:sz w:val="20"/>
                <w:szCs w:val="20"/>
              </w:rPr>
            </w:pPr>
            <w:r>
              <w:rPr>
                <w:spacing w:val="-1"/>
                <w:sz w:val="20"/>
                <w:szCs w:val="20"/>
              </w:rPr>
              <w:t>一般固废：主要包括人工分拣和磁选环节的废</w:t>
            </w:r>
            <w:r>
              <w:rPr>
                <w:spacing w:val="9"/>
                <w:sz w:val="20"/>
                <w:szCs w:val="20"/>
              </w:rPr>
              <w:t xml:space="preserve"> </w:t>
            </w:r>
            <w:r>
              <w:rPr>
                <w:spacing w:val="-2"/>
                <w:sz w:val="20"/>
                <w:szCs w:val="20"/>
              </w:rPr>
              <w:t>纸板废塑料和废铁质杂物、除尘器的收尘灰、</w:t>
            </w:r>
            <w:r>
              <w:rPr>
                <w:spacing w:val="3"/>
                <w:sz w:val="20"/>
                <w:szCs w:val="20"/>
              </w:rPr>
              <w:t xml:space="preserve"> </w:t>
            </w:r>
            <w:r>
              <w:rPr>
                <w:spacing w:val="-1"/>
                <w:sz w:val="20"/>
                <w:szCs w:val="20"/>
              </w:rPr>
              <w:t>喷淋塔水槽清理的沉渣、热风炉的炉灰。废纸</w:t>
            </w:r>
            <w:r>
              <w:rPr>
                <w:spacing w:val="13"/>
                <w:sz w:val="20"/>
                <w:szCs w:val="20"/>
              </w:rPr>
              <w:t xml:space="preserve"> </w:t>
            </w:r>
            <w:r>
              <w:rPr>
                <w:spacing w:val="-1"/>
                <w:sz w:val="20"/>
                <w:szCs w:val="20"/>
              </w:rPr>
              <w:t>板废塑料和废铁质杂物集中收集后，外售至附</w:t>
            </w:r>
            <w:r>
              <w:rPr>
                <w:spacing w:val="12"/>
                <w:sz w:val="20"/>
                <w:szCs w:val="20"/>
              </w:rPr>
              <w:t xml:space="preserve"> </w:t>
            </w:r>
            <w:r>
              <w:rPr>
                <w:spacing w:val="-1"/>
                <w:sz w:val="20"/>
                <w:szCs w:val="20"/>
              </w:rPr>
              <w:t>近的废品回收站；喷淋塔清理的沉渣和收尘灰</w:t>
            </w:r>
            <w:r>
              <w:rPr>
                <w:spacing w:val="12"/>
                <w:sz w:val="20"/>
                <w:szCs w:val="20"/>
              </w:rPr>
              <w:t xml:space="preserve"> </w:t>
            </w:r>
            <w:r>
              <w:rPr>
                <w:spacing w:val="-1"/>
                <w:sz w:val="20"/>
                <w:szCs w:val="20"/>
              </w:rPr>
              <w:t>定期清理后返回生产线做原料。热风炉炉灰定</w:t>
            </w:r>
            <w:r>
              <w:rPr>
                <w:spacing w:val="12"/>
                <w:sz w:val="20"/>
                <w:szCs w:val="20"/>
              </w:rPr>
              <w:t xml:space="preserve"> </w:t>
            </w:r>
            <w:r>
              <w:rPr>
                <w:spacing w:val="-1"/>
                <w:sz w:val="20"/>
                <w:szCs w:val="20"/>
              </w:rPr>
              <w:t>期清理后，可作为农业肥料外运综合利用。</w:t>
            </w:r>
          </w:p>
        </w:tc>
        <w:tc>
          <w:tcPr>
            <w:tcW w:w="850" w:type="dxa"/>
            <w:vMerge w:val="restart"/>
            <w:tcBorders>
              <w:bottom w:val="nil"/>
            </w:tcBorders>
            <w:vAlign w:val="top"/>
          </w:tcPr>
          <w:p w14:paraId="65205031">
            <w:pPr>
              <w:rPr>
                <w:rFonts w:ascii="Arial"/>
                <w:sz w:val="21"/>
              </w:rPr>
            </w:pPr>
          </w:p>
        </w:tc>
        <w:tc>
          <w:tcPr>
            <w:tcW w:w="987" w:type="dxa"/>
            <w:vAlign w:val="top"/>
          </w:tcPr>
          <w:p w14:paraId="0F11A593">
            <w:pPr>
              <w:spacing w:line="264" w:lineRule="auto"/>
              <w:rPr>
                <w:rFonts w:ascii="Arial"/>
                <w:sz w:val="21"/>
              </w:rPr>
            </w:pPr>
          </w:p>
          <w:p w14:paraId="1832566D">
            <w:pPr>
              <w:spacing w:line="264" w:lineRule="auto"/>
              <w:rPr>
                <w:rFonts w:ascii="Arial"/>
                <w:sz w:val="21"/>
              </w:rPr>
            </w:pPr>
          </w:p>
          <w:p w14:paraId="2AB52498">
            <w:pPr>
              <w:spacing w:line="265" w:lineRule="auto"/>
              <w:rPr>
                <w:rFonts w:ascii="Arial"/>
                <w:sz w:val="21"/>
              </w:rPr>
            </w:pPr>
          </w:p>
          <w:p w14:paraId="3D54BF6D">
            <w:pPr>
              <w:spacing w:before="58" w:line="232" w:lineRule="auto"/>
              <w:ind w:left="469"/>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672" w:type="dxa"/>
            <w:vAlign w:val="top"/>
          </w:tcPr>
          <w:p w14:paraId="2B00D40C">
            <w:pPr>
              <w:spacing w:line="250" w:lineRule="auto"/>
              <w:rPr>
                <w:rFonts w:ascii="Arial"/>
                <w:sz w:val="21"/>
              </w:rPr>
            </w:pPr>
          </w:p>
          <w:p w14:paraId="32E54EB3">
            <w:pPr>
              <w:spacing w:line="251" w:lineRule="auto"/>
              <w:rPr>
                <w:rFonts w:ascii="Arial"/>
                <w:sz w:val="21"/>
              </w:rPr>
            </w:pPr>
          </w:p>
          <w:p w14:paraId="3C70A693">
            <w:pPr>
              <w:spacing w:line="251" w:lineRule="auto"/>
              <w:rPr>
                <w:rFonts w:ascii="Arial"/>
                <w:sz w:val="21"/>
              </w:rPr>
            </w:pPr>
          </w:p>
          <w:p w14:paraId="4AD3076B">
            <w:pPr>
              <w:pStyle w:val="6"/>
              <w:spacing w:before="65" w:line="221" w:lineRule="auto"/>
              <w:ind w:left="149"/>
              <w:rPr>
                <w:sz w:val="20"/>
                <w:szCs w:val="20"/>
              </w:rPr>
            </w:pPr>
            <w:r>
              <w:rPr>
                <w:spacing w:val="-2"/>
                <w:sz w:val="20"/>
                <w:szCs w:val="20"/>
              </w:rPr>
              <w:t>新建</w:t>
            </w:r>
          </w:p>
        </w:tc>
        <w:tc>
          <w:tcPr>
            <w:tcW w:w="135" w:type="dxa"/>
            <w:vMerge w:val="restart"/>
            <w:tcBorders>
              <w:top w:val="single" w:color="000000" w:sz="6" w:space="0"/>
              <w:bottom w:val="nil"/>
              <w:right w:val="single" w:color="000000" w:sz="6" w:space="0"/>
            </w:tcBorders>
            <w:vAlign w:val="top"/>
          </w:tcPr>
          <w:p w14:paraId="7A24E682">
            <w:pPr>
              <w:rPr>
                <w:rFonts w:ascii="Arial"/>
                <w:sz w:val="21"/>
              </w:rPr>
            </w:pPr>
          </w:p>
        </w:tc>
      </w:tr>
      <w:tr w14:paraId="3ADBE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9" w:hRule="atLeast"/>
        </w:trPr>
        <w:tc>
          <w:tcPr>
            <w:tcW w:w="832" w:type="dxa"/>
            <w:vMerge w:val="continue"/>
            <w:tcBorders>
              <w:top w:val="nil"/>
              <w:left w:val="single" w:color="000000" w:sz="6" w:space="0"/>
              <w:bottom w:val="nil"/>
            </w:tcBorders>
            <w:vAlign w:val="top"/>
          </w:tcPr>
          <w:p w14:paraId="45199D66">
            <w:pPr>
              <w:rPr>
                <w:rFonts w:ascii="Arial"/>
                <w:sz w:val="21"/>
              </w:rPr>
            </w:pPr>
          </w:p>
        </w:tc>
        <w:tc>
          <w:tcPr>
            <w:tcW w:w="777" w:type="dxa"/>
            <w:gridSpan w:val="2"/>
            <w:vMerge w:val="continue"/>
            <w:tcBorders>
              <w:top w:val="nil"/>
              <w:bottom w:val="nil"/>
            </w:tcBorders>
            <w:vAlign w:val="top"/>
          </w:tcPr>
          <w:p w14:paraId="3A6C145D">
            <w:pPr>
              <w:rPr>
                <w:rFonts w:ascii="Arial"/>
                <w:sz w:val="21"/>
              </w:rPr>
            </w:pPr>
          </w:p>
        </w:tc>
        <w:tc>
          <w:tcPr>
            <w:tcW w:w="535" w:type="dxa"/>
            <w:vMerge w:val="continue"/>
            <w:tcBorders>
              <w:top w:val="nil"/>
              <w:bottom w:val="nil"/>
            </w:tcBorders>
            <w:vAlign w:val="top"/>
          </w:tcPr>
          <w:p w14:paraId="39DCC465">
            <w:pPr>
              <w:rPr>
                <w:rFonts w:ascii="Arial"/>
                <w:sz w:val="21"/>
              </w:rPr>
            </w:pPr>
          </w:p>
        </w:tc>
        <w:tc>
          <w:tcPr>
            <w:tcW w:w="4200" w:type="dxa"/>
            <w:vAlign w:val="top"/>
          </w:tcPr>
          <w:p w14:paraId="278760F1">
            <w:pPr>
              <w:pStyle w:val="6"/>
              <w:spacing w:before="29" w:line="238" w:lineRule="auto"/>
              <w:ind w:left="60" w:right="60"/>
              <w:rPr>
                <w:rFonts w:ascii="Times New Roman" w:hAnsi="Times New Roman" w:eastAsia="Times New Roman" w:cs="Times New Roman"/>
                <w:sz w:val="20"/>
                <w:szCs w:val="20"/>
              </w:rPr>
            </w:pPr>
            <w:r>
              <w:rPr>
                <w:spacing w:val="-2"/>
                <w:sz w:val="20"/>
                <w:szCs w:val="20"/>
              </w:rPr>
              <w:t>危险废物：主要为废矿物油和废矿物油桶，在</w:t>
            </w:r>
            <w:r>
              <w:rPr>
                <w:spacing w:val="9"/>
                <w:sz w:val="20"/>
                <w:szCs w:val="20"/>
              </w:rPr>
              <w:t xml:space="preserve">  </w:t>
            </w:r>
            <w:r>
              <w:rPr>
                <w:spacing w:val="-6"/>
                <w:sz w:val="20"/>
                <w:szCs w:val="20"/>
              </w:rPr>
              <w:t>车间内设危废暂存间</w:t>
            </w:r>
            <w:r>
              <w:rPr>
                <w:spacing w:val="-14"/>
                <w:sz w:val="20"/>
                <w:szCs w:val="20"/>
              </w:rPr>
              <w:t xml:space="preserve"> </w:t>
            </w:r>
            <w:r>
              <w:rPr>
                <w:rFonts w:ascii="Times New Roman" w:hAnsi="Times New Roman" w:eastAsia="Times New Roman" w:cs="Times New Roman"/>
                <w:spacing w:val="-6"/>
                <w:sz w:val="20"/>
                <w:szCs w:val="20"/>
              </w:rPr>
              <w:t xml:space="preserve">1 </w:t>
            </w:r>
            <w:r>
              <w:rPr>
                <w:spacing w:val="-6"/>
                <w:sz w:val="20"/>
                <w:szCs w:val="20"/>
              </w:rPr>
              <w:t>个，建筑面积约</w:t>
            </w:r>
            <w:r>
              <w:rPr>
                <w:spacing w:val="-41"/>
                <w:sz w:val="20"/>
                <w:szCs w:val="20"/>
              </w:rPr>
              <w:t xml:space="preserve"> </w:t>
            </w:r>
            <w:r>
              <w:rPr>
                <w:rFonts w:ascii="Times New Roman" w:hAnsi="Times New Roman" w:eastAsia="Times New Roman" w:cs="Times New Roman"/>
                <w:spacing w:val="-6"/>
                <w:sz w:val="20"/>
                <w:szCs w:val="20"/>
              </w:rPr>
              <w:t>5m</w:t>
            </w:r>
            <w:r>
              <w:rPr>
                <w:rFonts w:ascii="Times New Roman" w:hAnsi="Times New Roman" w:eastAsia="Times New Roman" w:cs="Times New Roman"/>
                <w:spacing w:val="-6"/>
                <w:position w:val="6"/>
                <w:sz w:val="12"/>
                <w:szCs w:val="12"/>
              </w:rPr>
              <w:t>2</w:t>
            </w:r>
            <w:r>
              <w:rPr>
                <w:spacing w:val="-6"/>
                <w:sz w:val="20"/>
                <w:szCs w:val="20"/>
              </w:rPr>
              <w:t>，按</w:t>
            </w:r>
            <w:r>
              <w:rPr>
                <w:sz w:val="20"/>
                <w:szCs w:val="20"/>
              </w:rPr>
              <w:t xml:space="preserve"> </w:t>
            </w:r>
            <w:r>
              <w:rPr>
                <w:spacing w:val="-1"/>
                <w:sz w:val="20"/>
                <w:szCs w:val="20"/>
              </w:rPr>
              <w:t>照《危险废物贮存污染物控制标准》（</w:t>
            </w:r>
            <w:r>
              <w:rPr>
                <w:rFonts w:ascii="Times New Roman" w:hAnsi="Times New Roman" w:eastAsia="Times New Roman" w:cs="Times New Roman"/>
                <w:spacing w:val="-1"/>
                <w:sz w:val="20"/>
                <w:szCs w:val="20"/>
              </w:rPr>
              <w:t>GB</w:t>
            </w:r>
          </w:p>
          <w:p w14:paraId="61D49BC5">
            <w:pPr>
              <w:pStyle w:val="6"/>
              <w:spacing w:before="3" w:line="233" w:lineRule="auto"/>
              <w:ind w:left="59" w:right="49" w:firstLine="14"/>
              <w:rPr>
                <w:sz w:val="20"/>
                <w:szCs w:val="20"/>
              </w:rPr>
            </w:pPr>
            <w:r>
              <w:rPr>
                <w:rFonts w:ascii="Times New Roman" w:hAnsi="Times New Roman" w:eastAsia="Times New Roman" w:cs="Times New Roman"/>
                <w:spacing w:val="-4"/>
                <w:sz w:val="20"/>
                <w:szCs w:val="20"/>
              </w:rPr>
              <w:t>18597-2023</w:t>
            </w:r>
            <w:r>
              <w:rPr>
                <w:spacing w:val="-4"/>
                <w:sz w:val="20"/>
                <w:szCs w:val="20"/>
              </w:rPr>
              <w:t>）要求，落实防风、防雨、防晒、防</w:t>
            </w:r>
            <w:r>
              <w:rPr>
                <w:spacing w:val="7"/>
                <w:sz w:val="20"/>
                <w:szCs w:val="20"/>
              </w:rPr>
              <w:t xml:space="preserve"> </w:t>
            </w:r>
            <w:r>
              <w:rPr>
                <w:spacing w:val="-6"/>
                <w:sz w:val="20"/>
                <w:szCs w:val="20"/>
              </w:rPr>
              <w:t>渗、防漏、防腐等环境污染防治措施，并按《危</w:t>
            </w:r>
            <w:r>
              <w:rPr>
                <w:sz w:val="20"/>
                <w:szCs w:val="20"/>
              </w:rPr>
              <w:t xml:space="preserve"> </w:t>
            </w:r>
            <w:r>
              <w:rPr>
                <w:spacing w:val="-1"/>
                <w:sz w:val="20"/>
                <w:szCs w:val="20"/>
              </w:rPr>
              <w:t>险废物识别标志设置技术规范》</w:t>
            </w:r>
            <w:r>
              <w:rPr>
                <w:rFonts w:hint="eastAsia"/>
                <w:spacing w:val="-1"/>
                <w:sz w:val="20"/>
                <w:szCs w:val="20"/>
                <w:lang w:eastAsia="zh-CN"/>
              </w:rPr>
              <w:t>（</w:t>
            </w:r>
            <w:r>
              <w:rPr>
                <w:rFonts w:ascii="Times New Roman" w:hAnsi="Times New Roman" w:eastAsia="Times New Roman" w:cs="Times New Roman"/>
                <w:spacing w:val="-1"/>
                <w:sz w:val="20"/>
                <w:szCs w:val="20"/>
              </w:rPr>
              <w:t>HJ</w:t>
            </w:r>
            <w:r>
              <w:rPr>
                <w:rFonts w:ascii="Times New Roman" w:hAnsi="Times New Roman" w:eastAsia="Times New Roman" w:cs="Times New Roman"/>
                <w:spacing w:val="39"/>
                <w:w w:val="101"/>
                <w:sz w:val="20"/>
                <w:szCs w:val="20"/>
              </w:rPr>
              <w:t xml:space="preserve"> </w:t>
            </w:r>
            <w:r>
              <w:rPr>
                <w:rFonts w:ascii="Times New Roman" w:hAnsi="Times New Roman" w:eastAsia="Times New Roman" w:cs="Times New Roman"/>
                <w:spacing w:val="-1"/>
                <w:sz w:val="20"/>
                <w:szCs w:val="20"/>
              </w:rPr>
              <w:t>1276-2022)</w:t>
            </w:r>
            <w:r>
              <w:rPr>
                <w:rFonts w:ascii="Times New Roman" w:hAnsi="Times New Roman" w:eastAsia="Times New Roman" w:cs="Times New Roman"/>
                <w:sz w:val="20"/>
                <w:szCs w:val="20"/>
              </w:rPr>
              <w:t xml:space="preserve"> </w:t>
            </w:r>
            <w:r>
              <w:rPr>
                <w:spacing w:val="-1"/>
                <w:sz w:val="20"/>
                <w:szCs w:val="20"/>
              </w:rPr>
              <w:t>要求张贴标识标牌等，建立危废台账，委托有</w:t>
            </w:r>
            <w:r>
              <w:rPr>
                <w:spacing w:val="5"/>
                <w:sz w:val="20"/>
                <w:szCs w:val="20"/>
              </w:rPr>
              <w:t xml:space="preserve">  </w:t>
            </w:r>
            <w:r>
              <w:rPr>
                <w:spacing w:val="-1"/>
                <w:sz w:val="20"/>
                <w:szCs w:val="20"/>
              </w:rPr>
              <w:t>资质的单位回收处理</w:t>
            </w:r>
          </w:p>
        </w:tc>
        <w:tc>
          <w:tcPr>
            <w:tcW w:w="850" w:type="dxa"/>
            <w:vMerge w:val="continue"/>
            <w:tcBorders>
              <w:top w:val="nil"/>
              <w:bottom w:val="nil"/>
            </w:tcBorders>
            <w:vAlign w:val="top"/>
          </w:tcPr>
          <w:p w14:paraId="0DECE5D1">
            <w:pPr>
              <w:rPr>
                <w:rFonts w:ascii="Arial"/>
                <w:sz w:val="21"/>
              </w:rPr>
            </w:pPr>
          </w:p>
        </w:tc>
        <w:tc>
          <w:tcPr>
            <w:tcW w:w="987" w:type="dxa"/>
            <w:vAlign w:val="top"/>
          </w:tcPr>
          <w:p w14:paraId="2440C93C">
            <w:pPr>
              <w:spacing w:line="288" w:lineRule="auto"/>
              <w:rPr>
                <w:rFonts w:ascii="Arial"/>
                <w:sz w:val="21"/>
              </w:rPr>
            </w:pPr>
          </w:p>
          <w:p w14:paraId="1627A287">
            <w:pPr>
              <w:spacing w:line="289" w:lineRule="auto"/>
              <w:rPr>
                <w:rFonts w:ascii="Arial"/>
                <w:sz w:val="21"/>
              </w:rPr>
            </w:pPr>
          </w:p>
          <w:p w14:paraId="706F43F5">
            <w:pPr>
              <w:spacing w:line="289" w:lineRule="auto"/>
              <w:rPr>
                <w:rFonts w:ascii="Arial"/>
                <w:sz w:val="21"/>
              </w:rPr>
            </w:pPr>
          </w:p>
          <w:p w14:paraId="3354C029">
            <w:pPr>
              <w:pStyle w:val="6"/>
              <w:spacing w:before="65" w:line="221" w:lineRule="auto"/>
              <w:ind w:left="104"/>
              <w:rPr>
                <w:sz w:val="20"/>
                <w:szCs w:val="20"/>
              </w:rPr>
            </w:pPr>
            <w:r>
              <w:rPr>
                <w:spacing w:val="-2"/>
                <w:sz w:val="20"/>
                <w:szCs w:val="20"/>
              </w:rPr>
              <w:t>环境风险</w:t>
            </w:r>
          </w:p>
        </w:tc>
        <w:tc>
          <w:tcPr>
            <w:tcW w:w="672" w:type="dxa"/>
            <w:vAlign w:val="top"/>
          </w:tcPr>
          <w:p w14:paraId="16B26EED">
            <w:pPr>
              <w:spacing w:line="288" w:lineRule="auto"/>
              <w:rPr>
                <w:rFonts w:ascii="Arial"/>
                <w:sz w:val="21"/>
              </w:rPr>
            </w:pPr>
          </w:p>
          <w:p w14:paraId="2E74CC3C">
            <w:pPr>
              <w:spacing w:line="289" w:lineRule="auto"/>
              <w:rPr>
                <w:rFonts w:ascii="Arial"/>
                <w:sz w:val="21"/>
              </w:rPr>
            </w:pPr>
          </w:p>
          <w:p w14:paraId="35651961">
            <w:pPr>
              <w:spacing w:line="289" w:lineRule="auto"/>
              <w:rPr>
                <w:rFonts w:ascii="Arial"/>
                <w:sz w:val="21"/>
              </w:rPr>
            </w:pPr>
          </w:p>
          <w:p w14:paraId="7736F16D">
            <w:pPr>
              <w:pStyle w:val="6"/>
              <w:spacing w:before="65" w:line="221" w:lineRule="auto"/>
              <w:ind w:left="149"/>
              <w:rPr>
                <w:sz w:val="20"/>
                <w:szCs w:val="20"/>
              </w:rPr>
            </w:pPr>
            <w:r>
              <w:rPr>
                <w:spacing w:val="-2"/>
                <w:sz w:val="20"/>
                <w:szCs w:val="20"/>
              </w:rPr>
              <w:t>新建</w:t>
            </w:r>
          </w:p>
        </w:tc>
        <w:tc>
          <w:tcPr>
            <w:tcW w:w="135" w:type="dxa"/>
            <w:vMerge w:val="continue"/>
            <w:tcBorders>
              <w:top w:val="nil"/>
              <w:bottom w:val="nil"/>
              <w:right w:val="single" w:color="000000" w:sz="6" w:space="0"/>
            </w:tcBorders>
            <w:vAlign w:val="top"/>
          </w:tcPr>
          <w:p w14:paraId="291501FA">
            <w:pPr>
              <w:rPr>
                <w:rFonts w:ascii="Arial"/>
                <w:sz w:val="21"/>
              </w:rPr>
            </w:pPr>
          </w:p>
        </w:tc>
      </w:tr>
      <w:tr w14:paraId="76F0B1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32" w:type="dxa"/>
            <w:vMerge w:val="continue"/>
            <w:tcBorders>
              <w:top w:val="nil"/>
              <w:left w:val="single" w:color="000000" w:sz="6" w:space="0"/>
              <w:bottom w:val="nil"/>
            </w:tcBorders>
            <w:vAlign w:val="top"/>
          </w:tcPr>
          <w:p w14:paraId="67A1B745">
            <w:pPr>
              <w:rPr>
                <w:rFonts w:ascii="Arial"/>
                <w:sz w:val="21"/>
              </w:rPr>
            </w:pPr>
          </w:p>
        </w:tc>
        <w:tc>
          <w:tcPr>
            <w:tcW w:w="777" w:type="dxa"/>
            <w:gridSpan w:val="2"/>
            <w:vMerge w:val="continue"/>
            <w:tcBorders>
              <w:top w:val="nil"/>
            </w:tcBorders>
            <w:vAlign w:val="top"/>
          </w:tcPr>
          <w:p w14:paraId="01528D83">
            <w:pPr>
              <w:rPr>
                <w:rFonts w:ascii="Arial"/>
                <w:sz w:val="21"/>
              </w:rPr>
            </w:pPr>
          </w:p>
        </w:tc>
        <w:tc>
          <w:tcPr>
            <w:tcW w:w="535" w:type="dxa"/>
            <w:vMerge w:val="continue"/>
            <w:tcBorders>
              <w:top w:val="nil"/>
            </w:tcBorders>
            <w:vAlign w:val="top"/>
          </w:tcPr>
          <w:p w14:paraId="6703E6D8">
            <w:pPr>
              <w:rPr>
                <w:rFonts w:ascii="Arial"/>
                <w:sz w:val="21"/>
              </w:rPr>
            </w:pPr>
          </w:p>
        </w:tc>
        <w:tc>
          <w:tcPr>
            <w:tcW w:w="4200" w:type="dxa"/>
            <w:vAlign w:val="top"/>
          </w:tcPr>
          <w:p w14:paraId="1B7C817E">
            <w:pPr>
              <w:pStyle w:val="6"/>
              <w:spacing w:before="30" w:line="223" w:lineRule="auto"/>
              <w:ind w:left="58" w:right="143" w:firstLine="1"/>
              <w:rPr>
                <w:sz w:val="20"/>
                <w:szCs w:val="20"/>
              </w:rPr>
            </w:pPr>
            <w:r>
              <w:rPr>
                <w:spacing w:val="-1"/>
                <w:sz w:val="20"/>
                <w:szCs w:val="20"/>
              </w:rPr>
              <w:t>生活垃圾：袋装收集后运至附近场镇生活垃圾</w:t>
            </w:r>
            <w:r>
              <w:rPr>
                <w:spacing w:val="10"/>
                <w:sz w:val="20"/>
                <w:szCs w:val="20"/>
              </w:rPr>
              <w:t xml:space="preserve"> </w:t>
            </w:r>
            <w:r>
              <w:rPr>
                <w:spacing w:val="-1"/>
                <w:sz w:val="20"/>
                <w:szCs w:val="20"/>
              </w:rPr>
              <w:t>集中收集点，由环卫负责清运</w:t>
            </w:r>
          </w:p>
        </w:tc>
        <w:tc>
          <w:tcPr>
            <w:tcW w:w="850" w:type="dxa"/>
            <w:vMerge w:val="continue"/>
            <w:tcBorders>
              <w:top w:val="nil"/>
              <w:bottom w:val="nil"/>
            </w:tcBorders>
            <w:vAlign w:val="top"/>
          </w:tcPr>
          <w:p w14:paraId="021EC3D1">
            <w:pPr>
              <w:rPr>
                <w:rFonts w:ascii="Arial"/>
                <w:sz w:val="21"/>
              </w:rPr>
            </w:pPr>
          </w:p>
        </w:tc>
        <w:tc>
          <w:tcPr>
            <w:tcW w:w="987" w:type="dxa"/>
            <w:vAlign w:val="top"/>
          </w:tcPr>
          <w:p w14:paraId="332A0025">
            <w:pPr>
              <w:spacing w:before="193" w:line="232" w:lineRule="auto"/>
              <w:ind w:left="469"/>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672" w:type="dxa"/>
            <w:vAlign w:val="top"/>
          </w:tcPr>
          <w:p w14:paraId="4989632D">
            <w:pPr>
              <w:pStyle w:val="6"/>
              <w:spacing w:before="159" w:line="221" w:lineRule="auto"/>
              <w:ind w:left="149"/>
              <w:rPr>
                <w:sz w:val="20"/>
                <w:szCs w:val="20"/>
              </w:rPr>
            </w:pPr>
            <w:r>
              <w:rPr>
                <w:spacing w:val="-2"/>
                <w:sz w:val="20"/>
                <w:szCs w:val="20"/>
              </w:rPr>
              <w:t>新建</w:t>
            </w:r>
          </w:p>
        </w:tc>
        <w:tc>
          <w:tcPr>
            <w:tcW w:w="135" w:type="dxa"/>
            <w:vMerge w:val="continue"/>
            <w:tcBorders>
              <w:top w:val="nil"/>
              <w:bottom w:val="nil"/>
              <w:right w:val="single" w:color="000000" w:sz="6" w:space="0"/>
            </w:tcBorders>
            <w:vAlign w:val="top"/>
          </w:tcPr>
          <w:p w14:paraId="2DA79A53">
            <w:pPr>
              <w:rPr>
                <w:rFonts w:ascii="Arial"/>
                <w:sz w:val="21"/>
              </w:rPr>
            </w:pPr>
          </w:p>
        </w:tc>
      </w:tr>
      <w:tr w14:paraId="096F2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832" w:type="dxa"/>
            <w:vMerge w:val="continue"/>
            <w:tcBorders>
              <w:top w:val="nil"/>
              <w:left w:val="single" w:color="000000" w:sz="6" w:space="0"/>
              <w:bottom w:val="nil"/>
            </w:tcBorders>
            <w:vAlign w:val="top"/>
          </w:tcPr>
          <w:p w14:paraId="01A6B3FD">
            <w:pPr>
              <w:rPr>
                <w:rFonts w:ascii="Arial"/>
                <w:sz w:val="21"/>
              </w:rPr>
            </w:pPr>
          </w:p>
        </w:tc>
        <w:tc>
          <w:tcPr>
            <w:tcW w:w="125" w:type="dxa"/>
            <w:tcBorders>
              <w:right w:val="single" w:color="000000" w:sz="8" w:space="0"/>
            </w:tcBorders>
            <w:vAlign w:val="top"/>
          </w:tcPr>
          <w:p w14:paraId="7787003D">
            <w:pPr>
              <w:rPr>
                <w:rFonts w:ascii="Arial"/>
                <w:sz w:val="21"/>
              </w:rPr>
            </w:pPr>
          </w:p>
        </w:tc>
        <w:tc>
          <w:tcPr>
            <w:tcW w:w="1187" w:type="dxa"/>
            <w:gridSpan w:val="2"/>
            <w:tcBorders>
              <w:left w:val="single" w:color="000000" w:sz="8" w:space="0"/>
            </w:tcBorders>
            <w:vAlign w:val="top"/>
          </w:tcPr>
          <w:p w14:paraId="77530CBA">
            <w:pPr>
              <w:pStyle w:val="6"/>
              <w:spacing w:before="289" w:line="220" w:lineRule="auto"/>
              <w:ind w:left="189"/>
              <w:rPr>
                <w:sz w:val="20"/>
                <w:szCs w:val="20"/>
              </w:rPr>
            </w:pPr>
            <w:r>
              <w:rPr>
                <w:spacing w:val="-2"/>
                <w:sz w:val="20"/>
                <w:szCs w:val="20"/>
              </w:rPr>
              <w:t>办公生活</w:t>
            </w:r>
          </w:p>
        </w:tc>
        <w:tc>
          <w:tcPr>
            <w:tcW w:w="4200" w:type="dxa"/>
            <w:vAlign w:val="top"/>
          </w:tcPr>
          <w:p w14:paraId="27D8BBA6">
            <w:pPr>
              <w:pStyle w:val="6"/>
              <w:spacing w:before="159" w:line="235" w:lineRule="auto"/>
              <w:ind w:left="61" w:right="117" w:hanging="1"/>
              <w:rPr>
                <w:sz w:val="20"/>
                <w:szCs w:val="20"/>
              </w:rPr>
            </w:pPr>
            <w:r>
              <w:rPr>
                <w:spacing w:val="-3"/>
                <w:sz w:val="20"/>
                <w:szCs w:val="20"/>
              </w:rPr>
              <w:t>租用亚飞玻璃公司的办公用房，面积约</w:t>
            </w:r>
            <w:r>
              <w:rPr>
                <w:spacing w:val="-33"/>
                <w:sz w:val="20"/>
                <w:szCs w:val="20"/>
              </w:rPr>
              <w:t xml:space="preserve"> </w:t>
            </w:r>
            <w:r>
              <w:rPr>
                <w:rFonts w:ascii="Times New Roman" w:hAnsi="Times New Roman" w:eastAsia="Times New Roman" w:cs="Times New Roman"/>
                <w:spacing w:val="-3"/>
                <w:sz w:val="20"/>
                <w:szCs w:val="20"/>
              </w:rPr>
              <w:t>40m</w:t>
            </w:r>
            <w:r>
              <w:rPr>
                <w:rFonts w:ascii="Times New Roman" w:hAnsi="Times New Roman" w:eastAsia="Times New Roman" w:cs="Times New Roman"/>
                <w:spacing w:val="-3"/>
                <w:position w:val="6"/>
                <w:sz w:val="12"/>
                <w:szCs w:val="12"/>
              </w:rPr>
              <w:t>2</w:t>
            </w:r>
            <w:r>
              <w:rPr>
                <w:spacing w:val="-3"/>
                <w:sz w:val="20"/>
                <w:szCs w:val="20"/>
              </w:rPr>
              <w:t>，</w:t>
            </w:r>
            <w:r>
              <w:rPr>
                <w:sz w:val="20"/>
                <w:szCs w:val="20"/>
              </w:rPr>
              <w:t xml:space="preserve"> </w:t>
            </w:r>
            <w:r>
              <w:rPr>
                <w:spacing w:val="-1"/>
                <w:sz w:val="20"/>
                <w:szCs w:val="20"/>
              </w:rPr>
              <w:t>设置办公室、会议室等，不设职工食堂和宿舍</w:t>
            </w:r>
          </w:p>
        </w:tc>
        <w:tc>
          <w:tcPr>
            <w:tcW w:w="850" w:type="dxa"/>
            <w:vMerge w:val="continue"/>
            <w:tcBorders>
              <w:top w:val="nil"/>
            </w:tcBorders>
            <w:vAlign w:val="top"/>
          </w:tcPr>
          <w:p w14:paraId="6D66D6E6">
            <w:pPr>
              <w:rPr>
                <w:rFonts w:ascii="Arial"/>
                <w:sz w:val="21"/>
              </w:rPr>
            </w:pPr>
          </w:p>
        </w:tc>
        <w:tc>
          <w:tcPr>
            <w:tcW w:w="987" w:type="dxa"/>
            <w:vAlign w:val="top"/>
          </w:tcPr>
          <w:p w14:paraId="6F6391EB">
            <w:pPr>
              <w:pStyle w:val="6"/>
              <w:spacing w:before="30" w:line="221" w:lineRule="auto"/>
              <w:ind w:left="205"/>
              <w:rPr>
                <w:sz w:val="20"/>
                <w:szCs w:val="20"/>
              </w:rPr>
            </w:pPr>
            <w:r>
              <w:rPr>
                <w:spacing w:val="-2"/>
                <w:sz w:val="20"/>
                <w:szCs w:val="20"/>
              </w:rPr>
              <w:t>生活污</w:t>
            </w:r>
          </w:p>
          <w:p w14:paraId="702DD8C1">
            <w:pPr>
              <w:pStyle w:val="6"/>
              <w:spacing w:before="20" w:line="220" w:lineRule="auto"/>
              <w:ind w:left="107"/>
              <w:rPr>
                <w:sz w:val="20"/>
                <w:szCs w:val="20"/>
              </w:rPr>
            </w:pPr>
            <w:r>
              <w:rPr>
                <w:spacing w:val="-2"/>
                <w:sz w:val="20"/>
                <w:szCs w:val="20"/>
              </w:rPr>
              <w:t>水、生活</w:t>
            </w:r>
          </w:p>
          <w:p w14:paraId="464CB6C3">
            <w:pPr>
              <w:pStyle w:val="6"/>
              <w:spacing w:before="20" w:line="207" w:lineRule="auto"/>
              <w:ind w:left="306"/>
              <w:rPr>
                <w:sz w:val="20"/>
                <w:szCs w:val="20"/>
              </w:rPr>
            </w:pPr>
            <w:r>
              <w:rPr>
                <w:spacing w:val="-3"/>
                <w:sz w:val="20"/>
                <w:szCs w:val="20"/>
              </w:rPr>
              <w:t>垃圾</w:t>
            </w:r>
          </w:p>
        </w:tc>
        <w:tc>
          <w:tcPr>
            <w:tcW w:w="672" w:type="dxa"/>
            <w:vAlign w:val="top"/>
          </w:tcPr>
          <w:p w14:paraId="2B8CE9FC">
            <w:pPr>
              <w:pStyle w:val="6"/>
              <w:spacing w:before="290" w:line="221" w:lineRule="auto"/>
              <w:ind w:left="150"/>
              <w:rPr>
                <w:sz w:val="20"/>
                <w:szCs w:val="20"/>
              </w:rPr>
            </w:pPr>
            <w:r>
              <w:rPr>
                <w:spacing w:val="-3"/>
                <w:sz w:val="20"/>
                <w:szCs w:val="20"/>
              </w:rPr>
              <w:t>租用</w:t>
            </w:r>
          </w:p>
        </w:tc>
        <w:tc>
          <w:tcPr>
            <w:tcW w:w="135" w:type="dxa"/>
            <w:vMerge w:val="continue"/>
            <w:tcBorders>
              <w:top w:val="nil"/>
              <w:bottom w:val="nil"/>
              <w:right w:val="single" w:color="000000" w:sz="6" w:space="0"/>
            </w:tcBorders>
            <w:vAlign w:val="top"/>
          </w:tcPr>
          <w:p w14:paraId="613DB938">
            <w:pPr>
              <w:rPr>
                <w:rFonts w:ascii="Arial"/>
                <w:sz w:val="21"/>
              </w:rPr>
            </w:pPr>
          </w:p>
        </w:tc>
      </w:tr>
      <w:tr w14:paraId="579CB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7" w:hRule="atLeast"/>
        </w:trPr>
        <w:tc>
          <w:tcPr>
            <w:tcW w:w="832" w:type="dxa"/>
            <w:vMerge w:val="continue"/>
            <w:tcBorders>
              <w:top w:val="nil"/>
              <w:left w:val="single" w:color="000000" w:sz="6" w:space="0"/>
            </w:tcBorders>
            <w:vAlign w:val="top"/>
          </w:tcPr>
          <w:p w14:paraId="3768595B">
            <w:pPr>
              <w:rPr>
                <w:rFonts w:ascii="Arial"/>
                <w:sz w:val="21"/>
              </w:rPr>
            </w:pPr>
          </w:p>
        </w:tc>
        <w:tc>
          <w:tcPr>
            <w:tcW w:w="8156" w:type="dxa"/>
            <w:gridSpan w:val="8"/>
            <w:tcBorders>
              <w:right w:val="single" w:color="000000" w:sz="6" w:space="0"/>
            </w:tcBorders>
            <w:vAlign w:val="top"/>
          </w:tcPr>
          <w:p w14:paraId="20EF200A">
            <w:pPr>
              <w:spacing w:before="133" w:line="241" w:lineRule="auto"/>
              <w:ind w:left="55"/>
              <w:rPr>
                <w:rFonts w:ascii="黑体" w:hAnsi="黑体" w:eastAsia="黑体" w:cs="黑体"/>
                <w:sz w:val="21"/>
                <w:szCs w:val="21"/>
              </w:rPr>
            </w:pPr>
            <w:r>
              <w:rPr>
                <w:rFonts w:ascii="Times New Roman" w:hAnsi="Times New Roman" w:eastAsia="Times New Roman" w:cs="Times New Roman"/>
                <w:spacing w:val="6"/>
                <w:sz w:val="21"/>
                <w:szCs w:val="21"/>
              </w:rPr>
              <w:t>3</w:t>
            </w:r>
            <w:r>
              <w:rPr>
                <w:rFonts w:ascii="黑体" w:hAnsi="黑体" w:eastAsia="黑体" w:cs="黑体"/>
                <w:spacing w:val="6"/>
                <w:sz w:val="21"/>
                <w:szCs w:val="21"/>
              </w:rPr>
              <w:t>、产品方案及产能</w:t>
            </w:r>
          </w:p>
          <w:p w14:paraId="6AE443F9">
            <w:pPr>
              <w:pStyle w:val="6"/>
              <w:spacing w:before="132" w:line="332" w:lineRule="auto"/>
              <w:ind w:left="55" w:right="49" w:firstLine="420"/>
              <w:jc w:val="both"/>
            </w:pPr>
            <w:r>
              <w:rPr>
                <w:spacing w:val="-4"/>
              </w:rPr>
              <w:t>本项目产品种类为致密生物质成型燃料，设计生产能力为</w:t>
            </w:r>
            <w:r>
              <w:rPr>
                <w:spacing w:val="-17"/>
              </w:rPr>
              <w:t xml:space="preserve"> </w:t>
            </w:r>
            <w:r>
              <w:rPr>
                <w:rFonts w:ascii="Times New Roman" w:hAnsi="Times New Roman" w:eastAsia="Times New Roman" w:cs="Times New Roman"/>
                <w:spacing w:val="-4"/>
              </w:rPr>
              <w:t>15</w:t>
            </w:r>
            <w:r>
              <w:rPr>
                <w:rFonts w:ascii="Times New Roman" w:hAnsi="Times New Roman" w:eastAsia="Times New Roman" w:cs="Times New Roman"/>
                <w:spacing w:val="13"/>
                <w:w w:val="101"/>
              </w:rPr>
              <w:t xml:space="preserve"> </w:t>
            </w:r>
            <w:r>
              <w:rPr>
                <w:spacing w:val="-4"/>
              </w:rPr>
              <w:t>万吨</w:t>
            </w:r>
            <w:r>
              <w:rPr>
                <w:rFonts w:ascii="Times New Roman" w:hAnsi="Times New Roman" w:eastAsia="Times New Roman" w:cs="Times New Roman"/>
                <w:spacing w:val="-4"/>
              </w:rPr>
              <w:t>/</w:t>
            </w:r>
            <w:r>
              <w:rPr>
                <w:spacing w:val="-4"/>
              </w:rPr>
              <w:t>年，属于林木生物</w:t>
            </w:r>
            <w:r>
              <w:t xml:space="preserve"> 质成型燃料，产品质量标准执行中华人民共和国能源行业标准《</w:t>
            </w:r>
            <w:r>
              <w:fldChar w:fldCharType="begin"/>
            </w:r>
            <w:r>
              <w:instrText xml:space="preserve"> HYPERLINK "https://www.so.com/link?m=bnlVjYtHZN1F9g/1gQ+0mOzPmkHt+BVDZnGJTFUvuUF3G64V6xlx0V+kIzzCU1Lh63zkwSEiNt9/QXJ6hBDYujb/vGSCC6ctHyv81v7/pxc/ybTkE4r6SVBLqEwA4X2BXGS3GrpLcpVwkRMJn" </w:instrText>
            </w:r>
            <w:r>
              <w:fldChar w:fldCharType="separate"/>
            </w:r>
            <w:r>
              <w:rPr>
                <w:spacing w:val="-1"/>
              </w:rPr>
              <w:t>生物质成型燃料质量分</w:t>
            </w:r>
            <w:r>
              <w:rPr>
                <w:spacing w:val="-1"/>
              </w:rPr>
              <w:fldChar w:fldCharType="end"/>
            </w:r>
            <w:r>
              <w:t xml:space="preserve"> </w:t>
            </w:r>
            <w:r>
              <w:fldChar w:fldCharType="begin"/>
            </w:r>
            <w:r>
              <w:instrText xml:space="preserve"> HYPERLINK "https://www.so.com/link?m=bnlVjYtHZN1F9g/1gQ+0mOzPmkHt+BVDZnGJTFUvuUF3G64V6xlx0V+kIzzCU1Lh63zkwSEiNt9/QXJ6hBDYujb/vGSCC6ctHyv81v7/pxc/ybTkE4r6SVBLqEwA4X2BXGS3GrpLcpVwkRMJn" </w:instrText>
            </w:r>
            <w:r>
              <w:fldChar w:fldCharType="separate"/>
            </w:r>
            <w:r>
              <w:rPr>
                <w:spacing w:val="1"/>
              </w:rPr>
              <w:t>级》</w:t>
            </w:r>
            <w:r>
              <w:rPr>
                <w:spacing w:val="1"/>
              </w:rPr>
              <w:fldChar w:fldCharType="end"/>
            </w:r>
            <w:r>
              <w:rPr>
                <w:spacing w:val="1"/>
              </w:rPr>
              <w:t>（</w:t>
            </w:r>
            <w:r>
              <w:rPr>
                <w:rFonts w:ascii="Times New Roman" w:hAnsi="Times New Roman" w:eastAsia="Times New Roman" w:cs="Times New Roman"/>
              </w:rPr>
              <w:t>NB</w:t>
            </w:r>
            <w:r>
              <w:rPr>
                <w:rFonts w:ascii="Times New Roman" w:hAnsi="Times New Roman" w:eastAsia="Times New Roman" w:cs="Times New Roman"/>
                <w:spacing w:val="1"/>
              </w:rPr>
              <w:t>/T34024-2015</w:t>
            </w:r>
            <w:r>
              <w:rPr>
                <w:spacing w:val="1"/>
              </w:rPr>
              <w:t>）。说明：本项目产品包含自用部分，实际外售量</w:t>
            </w:r>
            <w:r>
              <w:t xml:space="preserve">为总产量扣除 </w:t>
            </w:r>
            <w:r>
              <w:rPr>
                <w:spacing w:val="-8"/>
              </w:rPr>
              <w:t>自用量。</w:t>
            </w:r>
          </w:p>
          <w:p w14:paraId="32551A7E">
            <w:pPr>
              <w:spacing w:before="81" w:line="236" w:lineRule="auto"/>
              <w:ind w:left="49"/>
              <w:rPr>
                <w:rFonts w:ascii="黑体" w:hAnsi="黑体" w:eastAsia="黑体" w:cs="黑体"/>
                <w:sz w:val="21"/>
                <w:szCs w:val="21"/>
              </w:rPr>
            </w:pPr>
            <w:r>
              <w:rPr>
                <w:rFonts w:ascii="Times New Roman" w:hAnsi="Times New Roman" w:eastAsia="Times New Roman" w:cs="Times New Roman"/>
                <w:spacing w:val="8"/>
                <w:sz w:val="21"/>
                <w:szCs w:val="21"/>
              </w:rPr>
              <w:t>4</w:t>
            </w:r>
            <w:r>
              <w:rPr>
                <w:rFonts w:ascii="黑体" w:hAnsi="黑体" w:eastAsia="黑体" w:cs="黑体"/>
                <w:spacing w:val="8"/>
                <w:sz w:val="21"/>
                <w:szCs w:val="21"/>
              </w:rPr>
              <w:t>、主要生产单元及工艺</w:t>
            </w:r>
          </w:p>
          <w:p w14:paraId="7D19C959">
            <w:pPr>
              <w:pStyle w:val="6"/>
              <w:spacing w:before="140" w:line="348" w:lineRule="auto"/>
              <w:ind w:left="107" w:right="101" w:firstLine="420"/>
            </w:pPr>
            <w:r>
              <w:rPr>
                <w:spacing w:val="-1"/>
              </w:rPr>
              <w:t>本项目主要生产单元为布局在车间内的生产线，生产工艺为</w:t>
            </w:r>
            <w:r>
              <w:rPr>
                <w:spacing w:val="-2"/>
              </w:rPr>
              <w:t>：原料</w:t>
            </w:r>
            <w:r>
              <w:fldChar w:fldCharType="begin"/>
            </w:r>
            <w:r>
              <w:instrText xml:space="preserve"> HYPERLINK "https://www.sogou.com/link?url=DOb0bgH2eKjRiy6S-EyBciCDFRTZxEJg4IKxYMpi5Ub26FDhCNBXEMyyUtg79KV3W7cQmGZySaVvTYaNurlL6N2vn-B-ioKQ8p2M5mrNcrYMtgk0FB5-DD8cMec6kb2mBsgi4AecS34Ur1xXE7NLYvc1fXWUqHOy" </w:instrText>
            </w:r>
            <w:r>
              <w:fldChar w:fldCharType="separate"/>
            </w:r>
            <w:r>
              <w:rPr>
                <w:rFonts w:ascii="Times New Roman" w:hAnsi="Times New Roman" w:eastAsia="Times New Roman" w:cs="Times New Roman"/>
                <w:spacing w:val="-2"/>
              </w:rPr>
              <w:t>→</w:t>
            </w:r>
            <w:r>
              <w:rPr>
                <w:rFonts w:ascii="Times New Roman" w:hAnsi="Times New Roman" w:eastAsia="Times New Roman" w:cs="Times New Roman"/>
                <w:spacing w:val="-2"/>
              </w:rPr>
              <w:fldChar w:fldCharType="end"/>
            </w:r>
            <w:r>
              <w:rPr>
                <w:spacing w:val="-2"/>
              </w:rPr>
              <w:t>削片</w:t>
            </w:r>
            <w:r>
              <w:fldChar w:fldCharType="begin"/>
            </w:r>
            <w:r>
              <w:instrText xml:space="preserve"> HYPERLINK "https://www.sogou.com/link?url=DOb0bgH2eKjRiy6S-EyBciCDFRTZxEJg4IKxYMpi5Ub26FDhCNBXEMyyUtg79KV3W7cQmGZySaVvTYaNurlL6N2vn-B-ioKQ8p2M5mrNcrYMtgk0FB5-DD8cMec6kb2mBsgi4AecS34Ur1xXE7NLYvc1fXWUqHOy" </w:instrText>
            </w:r>
            <w:r>
              <w:fldChar w:fldCharType="separate"/>
            </w:r>
            <w:r>
              <w:rPr>
                <w:rFonts w:ascii="Times New Roman" w:hAnsi="Times New Roman" w:eastAsia="Times New Roman" w:cs="Times New Roman"/>
                <w:spacing w:val="-2"/>
              </w:rPr>
              <w:t>→</w:t>
            </w:r>
            <w:r>
              <w:rPr>
                <w:rFonts w:ascii="Times New Roman" w:hAnsi="Times New Roman" w:eastAsia="Times New Roman" w:cs="Times New Roman"/>
                <w:spacing w:val="-2"/>
              </w:rPr>
              <w:fldChar w:fldCharType="end"/>
            </w:r>
            <w:r>
              <w:rPr>
                <w:spacing w:val="-2"/>
              </w:rPr>
              <w:t>粉碎</w:t>
            </w:r>
            <w:r>
              <w:fldChar w:fldCharType="begin"/>
            </w:r>
            <w:r>
              <w:instrText xml:space="preserve"> HYPERLINK "https://www.sogou.com/link?url=DOb0bgH2eKjRiy6S-EyBciCDFRTZxEJg4IKxYMpi5Ub26FDhCNBXEMyyUtg79KV3W7cQmGZySaVvTYaNurlL6N2vn-B-ioKQ8p2M5mrNcrYMtgk0FB5-DD8cMec6kb2mBsgi4AecS34Ur1xXE7NLYvc1fXWUqHOy" </w:instrText>
            </w:r>
            <w:r>
              <w:fldChar w:fldCharType="separate"/>
            </w:r>
            <w:r>
              <w:rPr>
                <w:rFonts w:ascii="Times New Roman" w:hAnsi="Times New Roman" w:eastAsia="Times New Roman" w:cs="Times New Roman"/>
                <w:spacing w:val="-2"/>
              </w:rPr>
              <w:t>→</w:t>
            </w:r>
            <w:r>
              <w:rPr>
                <w:rFonts w:ascii="Times New Roman" w:hAnsi="Times New Roman" w:eastAsia="Times New Roman" w:cs="Times New Roman"/>
                <w:spacing w:val="-2"/>
              </w:rPr>
              <w:fldChar w:fldCharType="end"/>
            </w:r>
            <w:r>
              <w:rPr>
                <w:rFonts w:ascii="Times New Roman" w:hAnsi="Times New Roman" w:eastAsia="Times New Roman" w:cs="Times New Roman"/>
              </w:rPr>
              <w:t xml:space="preserve"> </w:t>
            </w:r>
            <w:r>
              <w:rPr>
                <w:spacing w:val="-1"/>
              </w:rPr>
              <w:t>烘干</w:t>
            </w:r>
            <w:r>
              <w:fldChar w:fldCharType="begin"/>
            </w:r>
            <w:r>
              <w:instrText xml:space="preserve"> HYPERLINK "https://www.sogou.com/link?url=DOb0bgH2eKjRiy6S-EyBciCDFRTZxEJg4IKxYMpi5Ub26FDhCNBXEMyyUtg79KV3W7cQmGZySaVvTYaNurlL6N2vn-B-ioKQ8p2M5mrNcrYMtgk0FB5-DD8cMec6kb2mBsgi4AecS34Ur1xXE7NLYvc1fXWUqHOy" </w:instrText>
            </w:r>
            <w:r>
              <w:fldChar w:fldCharType="separate"/>
            </w:r>
            <w:r>
              <w:rPr>
                <w:rFonts w:ascii="Times New Roman" w:hAnsi="Times New Roman" w:eastAsia="Times New Roman" w:cs="Times New Roman"/>
                <w:spacing w:val="-1"/>
              </w:rPr>
              <w:t>→</w:t>
            </w:r>
            <w:r>
              <w:rPr>
                <w:rFonts w:ascii="Times New Roman" w:hAnsi="Times New Roman" w:eastAsia="Times New Roman" w:cs="Times New Roman"/>
                <w:spacing w:val="-1"/>
              </w:rPr>
              <w:fldChar w:fldCharType="end"/>
            </w:r>
            <w:r>
              <w:rPr>
                <w:spacing w:val="-1"/>
              </w:rPr>
              <w:t>制粒</w:t>
            </w:r>
            <w:r>
              <w:fldChar w:fldCharType="begin"/>
            </w:r>
            <w:r>
              <w:instrText xml:space="preserve"> HYPERLINK "https://www.sogou.com/link?url=DOb0bgH2eKjRiy6S-EyBciCDFRTZxEJg4IKxYMpi5Ub26FDhCNBXEMyyUtg79KV3W7cQmGZySaVvTYaNurlL6N2vn-B-ioKQ8p2M5mrNcrYMtgk0FB5-DD8cMec6kb2mBsgi4AecS34Ur1xXE7NLYvc1fXWUqHOy" </w:instrText>
            </w:r>
            <w:r>
              <w:fldChar w:fldCharType="separate"/>
            </w:r>
            <w:r>
              <w:rPr>
                <w:rFonts w:ascii="Times New Roman" w:hAnsi="Times New Roman" w:eastAsia="Times New Roman" w:cs="Times New Roman"/>
                <w:spacing w:val="-1"/>
              </w:rPr>
              <w:t>→</w:t>
            </w:r>
            <w:r>
              <w:rPr>
                <w:rFonts w:ascii="Times New Roman" w:hAnsi="Times New Roman" w:eastAsia="Times New Roman" w:cs="Times New Roman"/>
                <w:spacing w:val="-1"/>
              </w:rPr>
              <w:fldChar w:fldCharType="end"/>
            </w:r>
            <w:r>
              <w:rPr>
                <w:spacing w:val="-1"/>
              </w:rPr>
              <w:t>料仓冷却</w:t>
            </w:r>
            <w:r>
              <w:fldChar w:fldCharType="begin"/>
            </w:r>
            <w:r>
              <w:instrText xml:space="preserve"> HYPERLINK "https://www.sogou.com/link?url=DOb0bgH2eKjRiy6S-EyBciCDFRTZxEJg4IKxYMpi5Ub26FDhCNBXEMyyUtg79KV3W7cQmGZySaVvTYaNurlL6N2vn-B-ioKQ8p2M5mrNcrYMtgk0FB5-DD8cMec6kb2mBsgi4AecS34Ur1xXE7NLYvc1fXWUqHOy" </w:instrText>
            </w:r>
            <w:r>
              <w:fldChar w:fldCharType="separate"/>
            </w:r>
            <w:r>
              <w:rPr>
                <w:rFonts w:ascii="Times New Roman" w:hAnsi="Times New Roman" w:eastAsia="Times New Roman" w:cs="Times New Roman"/>
                <w:spacing w:val="-1"/>
              </w:rPr>
              <w:t>→</w:t>
            </w:r>
            <w:r>
              <w:rPr>
                <w:rFonts w:ascii="Times New Roman" w:hAnsi="Times New Roman" w:eastAsia="Times New Roman" w:cs="Times New Roman"/>
                <w:spacing w:val="-1"/>
              </w:rPr>
              <w:fldChar w:fldCharType="end"/>
            </w:r>
            <w:r>
              <w:rPr>
                <w:spacing w:val="-1"/>
              </w:rPr>
              <w:t>包装入库。</w:t>
            </w:r>
          </w:p>
          <w:p w14:paraId="5359C92B">
            <w:pPr>
              <w:spacing w:before="1"/>
              <w:ind w:left="56"/>
              <w:rPr>
                <w:rFonts w:ascii="黑体" w:hAnsi="黑体" w:eastAsia="黑体" w:cs="黑体"/>
                <w:sz w:val="21"/>
                <w:szCs w:val="21"/>
              </w:rPr>
            </w:pPr>
            <w:r>
              <w:rPr>
                <w:rFonts w:ascii="Times New Roman" w:hAnsi="Times New Roman" w:eastAsia="Times New Roman" w:cs="Times New Roman"/>
                <w:spacing w:val="7"/>
                <w:sz w:val="21"/>
                <w:szCs w:val="21"/>
              </w:rPr>
              <w:t>5</w:t>
            </w:r>
            <w:r>
              <w:rPr>
                <w:rFonts w:ascii="黑体" w:hAnsi="黑体" w:eastAsia="黑体" w:cs="黑体"/>
                <w:spacing w:val="7"/>
                <w:sz w:val="21"/>
                <w:szCs w:val="21"/>
              </w:rPr>
              <w:t>、主要原辅材料种类及用量</w:t>
            </w:r>
          </w:p>
          <w:p w14:paraId="2C889A99">
            <w:pPr>
              <w:spacing w:before="78" w:line="218" w:lineRule="auto"/>
              <w:ind w:left="2498"/>
              <w:rPr>
                <w:rFonts w:ascii="黑体" w:hAnsi="黑体" w:eastAsia="黑体" w:cs="黑体"/>
                <w:sz w:val="20"/>
                <w:szCs w:val="20"/>
              </w:rPr>
            </w:pPr>
            <w:r>
              <w:rPr>
                <w:rFonts w:ascii="黑体" w:hAnsi="黑体" w:eastAsia="黑体" w:cs="黑体"/>
                <w:spacing w:val="-1"/>
                <w:sz w:val="20"/>
                <w:szCs w:val="20"/>
              </w:rPr>
              <w:t>表</w:t>
            </w:r>
            <w:r>
              <w:rPr>
                <w:rFonts w:ascii="Times New Roman" w:hAnsi="Times New Roman" w:eastAsia="Times New Roman" w:cs="Times New Roman"/>
                <w:spacing w:val="-1"/>
                <w:sz w:val="20"/>
                <w:szCs w:val="20"/>
              </w:rPr>
              <w:t xml:space="preserve">2-3      </w:t>
            </w:r>
            <w:r>
              <w:rPr>
                <w:rFonts w:ascii="黑体" w:hAnsi="黑体" w:eastAsia="黑体" w:cs="黑体"/>
                <w:spacing w:val="-1"/>
                <w:sz w:val="20"/>
                <w:szCs w:val="20"/>
              </w:rPr>
              <w:t>主要原辅材料及能耗情况表</w:t>
            </w:r>
          </w:p>
          <w:tbl>
            <w:tblPr>
              <w:tblStyle w:val="5"/>
              <w:tblW w:w="7835" w:type="dxa"/>
              <w:tblInd w:w="1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5"/>
              <w:gridCol w:w="2137"/>
              <w:gridCol w:w="1105"/>
              <w:gridCol w:w="1053"/>
              <w:gridCol w:w="1509"/>
              <w:gridCol w:w="1146"/>
            </w:tblGrid>
            <w:tr w14:paraId="78725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885" w:type="dxa"/>
                  <w:vAlign w:val="top"/>
                </w:tcPr>
                <w:p w14:paraId="1472CDE7">
                  <w:pPr>
                    <w:pStyle w:val="6"/>
                    <w:spacing w:before="73" w:line="208" w:lineRule="auto"/>
                    <w:ind w:left="245"/>
                    <w:rPr>
                      <w:sz w:val="20"/>
                      <w:szCs w:val="20"/>
                    </w:rPr>
                  </w:pPr>
                  <w:r>
                    <w:rPr>
                      <w:b/>
                      <w:bCs/>
                      <w:spacing w:val="-4"/>
                      <w:sz w:val="20"/>
                      <w:szCs w:val="20"/>
                    </w:rPr>
                    <w:t>序号</w:t>
                  </w:r>
                </w:p>
              </w:tc>
              <w:tc>
                <w:tcPr>
                  <w:tcW w:w="2137" w:type="dxa"/>
                  <w:vAlign w:val="top"/>
                </w:tcPr>
                <w:p w14:paraId="3C13B48B">
                  <w:pPr>
                    <w:pStyle w:val="6"/>
                    <w:spacing w:before="73" w:line="208" w:lineRule="auto"/>
                    <w:ind w:left="874"/>
                    <w:rPr>
                      <w:sz w:val="20"/>
                      <w:szCs w:val="20"/>
                    </w:rPr>
                  </w:pPr>
                  <w:r>
                    <w:rPr>
                      <w:b/>
                      <w:bCs/>
                      <w:spacing w:val="-5"/>
                      <w:sz w:val="20"/>
                      <w:szCs w:val="20"/>
                    </w:rPr>
                    <w:t>名称</w:t>
                  </w:r>
                </w:p>
              </w:tc>
              <w:tc>
                <w:tcPr>
                  <w:tcW w:w="1105" w:type="dxa"/>
                  <w:vAlign w:val="top"/>
                </w:tcPr>
                <w:p w14:paraId="2D0B857F">
                  <w:pPr>
                    <w:pStyle w:val="6"/>
                    <w:spacing w:before="73" w:line="208" w:lineRule="auto"/>
                    <w:ind w:left="358"/>
                    <w:rPr>
                      <w:sz w:val="20"/>
                      <w:szCs w:val="20"/>
                    </w:rPr>
                  </w:pPr>
                  <w:r>
                    <w:rPr>
                      <w:b/>
                      <w:bCs/>
                      <w:spacing w:val="-4"/>
                      <w:sz w:val="20"/>
                      <w:szCs w:val="20"/>
                    </w:rPr>
                    <w:t>单位</w:t>
                  </w:r>
                </w:p>
              </w:tc>
              <w:tc>
                <w:tcPr>
                  <w:tcW w:w="1053" w:type="dxa"/>
                  <w:vAlign w:val="top"/>
                </w:tcPr>
                <w:p w14:paraId="2C60B510">
                  <w:pPr>
                    <w:pStyle w:val="6"/>
                    <w:spacing w:before="73" w:line="208" w:lineRule="auto"/>
                    <w:ind w:left="332"/>
                    <w:rPr>
                      <w:sz w:val="20"/>
                      <w:szCs w:val="20"/>
                    </w:rPr>
                  </w:pPr>
                  <w:r>
                    <w:rPr>
                      <w:b/>
                      <w:bCs/>
                      <w:spacing w:val="-4"/>
                      <w:sz w:val="20"/>
                      <w:szCs w:val="20"/>
                    </w:rPr>
                    <w:t>数量</w:t>
                  </w:r>
                </w:p>
              </w:tc>
              <w:tc>
                <w:tcPr>
                  <w:tcW w:w="1509" w:type="dxa"/>
                  <w:vAlign w:val="top"/>
                </w:tcPr>
                <w:p w14:paraId="73B6AD14">
                  <w:pPr>
                    <w:pStyle w:val="6"/>
                    <w:spacing w:before="73" w:line="208" w:lineRule="auto"/>
                    <w:ind w:left="560"/>
                    <w:rPr>
                      <w:sz w:val="20"/>
                      <w:szCs w:val="20"/>
                    </w:rPr>
                  </w:pPr>
                  <w:r>
                    <w:rPr>
                      <w:b/>
                      <w:bCs/>
                      <w:spacing w:val="-4"/>
                      <w:sz w:val="20"/>
                      <w:szCs w:val="20"/>
                    </w:rPr>
                    <w:t>来源</w:t>
                  </w:r>
                </w:p>
              </w:tc>
              <w:tc>
                <w:tcPr>
                  <w:tcW w:w="1146" w:type="dxa"/>
                  <w:vAlign w:val="top"/>
                </w:tcPr>
                <w:p w14:paraId="292E069D">
                  <w:pPr>
                    <w:pStyle w:val="6"/>
                    <w:spacing w:before="73" w:line="208" w:lineRule="auto"/>
                    <w:ind w:left="379"/>
                    <w:rPr>
                      <w:sz w:val="20"/>
                      <w:szCs w:val="20"/>
                    </w:rPr>
                  </w:pPr>
                  <w:r>
                    <w:rPr>
                      <w:b/>
                      <w:bCs/>
                      <w:spacing w:val="-5"/>
                      <w:sz w:val="20"/>
                      <w:szCs w:val="20"/>
                    </w:rPr>
                    <w:t>备注</w:t>
                  </w:r>
                </w:p>
              </w:tc>
            </w:tr>
            <w:tr w14:paraId="1C4B7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85" w:type="dxa"/>
                  <w:vAlign w:val="top"/>
                </w:tcPr>
                <w:p w14:paraId="6AAE4B9B">
                  <w:pPr>
                    <w:spacing w:before="102" w:line="200" w:lineRule="auto"/>
                    <w:ind w:left="41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137" w:type="dxa"/>
                  <w:vAlign w:val="top"/>
                </w:tcPr>
                <w:p w14:paraId="6CA20B4F">
                  <w:pPr>
                    <w:pStyle w:val="6"/>
                    <w:spacing w:before="69" w:line="207" w:lineRule="auto"/>
                    <w:ind w:left="574"/>
                    <w:rPr>
                      <w:sz w:val="20"/>
                      <w:szCs w:val="20"/>
                    </w:rPr>
                  </w:pPr>
                  <w:r>
                    <w:rPr>
                      <w:spacing w:val="-2"/>
                      <w:sz w:val="20"/>
                      <w:szCs w:val="20"/>
                    </w:rPr>
                    <w:t>松木边角料</w:t>
                  </w:r>
                </w:p>
              </w:tc>
              <w:tc>
                <w:tcPr>
                  <w:tcW w:w="1105" w:type="dxa"/>
                  <w:vAlign w:val="top"/>
                </w:tcPr>
                <w:p w14:paraId="5586BA28">
                  <w:pPr>
                    <w:spacing w:before="102" w:line="200" w:lineRule="auto"/>
                    <w:ind w:left="45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t/a</w:t>
                  </w:r>
                </w:p>
              </w:tc>
              <w:tc>
                <w:tcPr>
                  <w:tcW w:w="1053" w:type="dxa"/>
                  <w:vAlign w:val="top"/>
                </w:tcPr>
                <w:p w14:paraId="0E87DAD2">
                  <w:pPr>
                    <w:spacing w:before="101" w:line="201" w:lineRule="auto"/>
                    <w:ind w:left="24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155000</w:t>
                  </w:r>
                </w:p>
              </w:tc>
              <w:tc>
                <w:tcPr>
                  <w:tcW w:w="1509" w:type="dxa"/>
                  <w:vAlign w:val="top"/>
                </w:tcPr>
                <w:p w14:paraId="70144451">
                  <w:pPr>
                    <w:pStyle w:val="6"/>
                    <w:spacing w:before="69" w:line="207" w:lineRule="auto"/>
                    <w:ind w:left="560"/>
                    <w:rPr>
                      <w:sz w:val="20"/>
                      <w:szCs w:val="20"/>
                    </w:rPr>
                  </w:pPr>
                  <w:r>
                    <w:rPr>
                      <w:spacing w:val="-2"/>
                      <w:sz w:val="20"/>
                      <w:szCs w:val="20"/>
                    </w:rPr>
                    <w:t>农村</w:t>
                  </w:r>
                </w:p>
              </w:tc>
              <w:tc>
                <w:tcPr>
                  <w:tcW w:w="1146" w:type="dxa"/>
                  <w:vAlign w:val="top"/>
                </w:tcPr>
                <w:p w14:paraId="39898AEF">
                  <w:pPr>
                    <w:spacing w:before="102" w:line="200" w:lineRule="auto"/>
                    <w:ind w:left="543"/>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r>
            <w:tr w14:paraId="70133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85" w:type="dxa"/>
                  <w:vAlign w:val="top"/>
                </w:tcPr>
                <w:p w14:paraId="70AF7BC2">
                  <w:pPr>
                    <w:spacing w:before="103" w:line="199" w:lineRule="auto"/>
                    <w:ind w:left="394"/>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137" w:type="dxa"/>
                  <w:vAlign w:val="top"/>
                </w:tcPr>
                <w:p w14:paraId="3C157A8E">
                  <w:pPr>
                    <w:pStyle w:val="6"/>
                    <w:spacing w:before="69" w:line="207" w:lineRule="auto"/>
                    <w:ind w:left="474"/>
                    <w:rPr>
                      <w:sz w:val="20"/>
                      <w:szCs w:val="20"/>
                    </w:rPr>
                  </w:pPr>
                  <w:r>
                    <w:rPr>
                      <w:spacing w:val="-2"/>
                      <w:sz w:val="20"/>
                      <w:szCs w:val="20"/>
                    </w:rPr>
                    <w:t>家具厂废木材</w:t>
                  </w:r>
                </w:p>
              </w:tc>
              <w:tc>
                <w:tcPr>
                  <w:tcW w:w="1105" w:type="dxa"/>
                  <w:vAlign w:val="top"/>
                </w:tcPr>
                <w:p w14:paraId="4EA94F93">
                  <w:pPr>
                    <w:spacing w:before="103" w:line="199" w:lineRule="auto"/>
                    <w:ind w:left="45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t/a</w:t>
                  </w:r>
                </w:p>
              </w:tc>
              <w:tc>
                <w:tcPr>
                  <w:tcW w:w="1053" w:type="dxa"/>
                  <w:vAlign w:val="top"/>
                </w:tcPr>
                <w:p w14:paraId="499AB0F7">
                  <w:pPr>
                    <w:spacing w:before="102" w:line="200" w:lineRule="auto"/>
                    <w:ind w:left="12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13765.571</w:t>
                  </w:r>
                </w:p>
              </w:tc>
              <w:tc>
                <w:tcPr>
                  <w:tcW w:w="1509" w:type="dxa"/>
                  <w:vAlign w:val="top"/>
                </w:tcPr>
                <w:p w14:paraId="0416B9F0">
                  <w:pPr>
                    <w:pStyle w:val="6"/>
                    <w:spacing w:before="69" w:line="207" w:lineRule="auto"/>
                    <w:ind w:left="261"/>
                    <w:rPr>
                      <w:sz w:val="20"/>
                      <w:szCs w:val="20"/>
                    </w:rPr>
                  </w:pPr>
                  <w:r>
                    <w:rPr>
                      <w:spacing w:val="-2"/>
                      <w:sz w:val="20"/>
                      <w:szCs w:val="20"/>
                    </w:rPr>
                    <w:t>周边家具厂</w:t>
                  </w:r>
                </w:p>
              </w:tc>
              <w:tc>
                <w:tcPr>
                  <w:tcW w:w="1146" w:type="dxa"/>
                  <w:vAlign w:val="top"/>
                </w:tcPr>
                <w:p w14:paraId="388452A8">
                  <w:pPr>
                    <w:spacing w:before="103" w:line="199" w:lineRule="auto"/>
                    <w:ind w:left="543"/>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r>
            <w:tr w14:paraId="5C611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85" w:type="dxa"/>
                  <w:vAlign w:val="top"/>
                </w:tcPr>
                <w:p w14:paraId="1D4B794F">
                  <w:pPr>
                    <w:spacing w:before="105" w:line="198" w:lineRule="auto"/>
                    <w:ind w:left="39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137" w:type="dxa"/>
                  <w:vAlign w:val="top"/>
                </w:tcPr>
                <w:p w14:paraId="5995F401">
                  <w:pPr>
                    <w:pStyle w:val="6"/>
                    <w:spacing w:before="71" w:line="206" w:lineRule="auto"/>
                    <w:ind w:left="774"/>
                    <w:rPr>
                      <w:sz w:val="20"/>
                      <w:szCs w:val="20"/>
                    </w:rPr>
                  </w:pPr>
                  <w:r>
                    <w:rPr>
                      <w:spacing w:val="-2"/>
                      <w:sz w:val="20"/>
                      <w:szCs w:val="20"/>
                    </w:rPr>
                    <w:t>润滑油</w:t>
                  </w:r>
                </w:p>
              </w:tc>
              <w:tc>
                <w:tcPr>
                  <w:tcW w:w="1105" w:type="dxa"/>
                  <w:vAlign w:val="top"/>
                </w:tcPr>
                <w:p w14:paraId="3D4ED188">
                  <w:pPr>
                    <w:spacing w:before="105" w:line="198" w:lineRule="auto"/>
                    <w:ind w:left="45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t/a</w:t>
                  </w:r>
                </w:p>
              </w:tc>
              <w:tc>
                <w:tcPr>
                  <w:tcW w:w="1053" w:type="dxa"/>
                  <w:vAlign w:val="top"/>
                </w:tcPr>
                <w:p w14:paraId="142EE4A1">
                  <w:pPr>
                    <w:spacing w:before="105" w:line="198" w:lineRule="auto"/>
                    <w:ind w:left="35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0.05</w:t>
                  </w:r>
                </w:p>
              </w:tc>
              <w:tc>
                <w:tcPr>
                  <w:tcW w:w="1509" w:type="dxa"/>
                  <w:vAlign w:val="top"/>
                </w:tcPr>
                <w:p w14:paraId="08F9FD35">
                  <w:pPr>
                    <w:pStyle w:val="6"/>
                    <w:spacing w:before="71" w:line="206" w:lineRule="auto"/>
                    <w:ind w:left="564"/>
                    <w:rPr>
                      <w:sz w:val="20"/>
                      <w:szCs w:val="20"/>
                    </w:rPr>
                  </w:pPr>
                  <w:r>
                    <w:rPr>
                      <w:spacing w:val="-3"/>
                      <w:sz w:val="20"/>
                      <w:szCs w:val="20"/>
                    </w:rPr>
                    <w:t>外购</w:t>
                  </w:r>
                </w:p>
              </w:tc>
              <w:tc>
                <w:tcPr>
                  <w:tcW w:w="1146" w:type="dxa"/>
                  <w:vAlign w:val="top"/>
                </w:tcPr>
                <w:p w14:paraId="307024AC">
                  <w:pPr>
                    <w:spacing w:before="105" w:line="198" w:lineRule="auto"/>
                    <w:ind w:left="543"/>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r>
            <w:tr w14:paraId="4DE35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85" w:type="dxa"/>
                  <w:vAlign w:val="top"/>
                </w:tcPr>
                <w:p w14:paraId="5B47C7AD">
                  <w:pPr>
                    <w:spacing w:before="104" w:line="198" w:lineRule="auto"/>
                    <w:ind w:left="393"/>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tc>
              <w:tc>
                <w:tcPr>
                  <w:tcW w:w="2137" w:type="dxa"/>
                  <w:vAlign w:val="top"/>
                </w:tcPr>
                <w:p w14:paraId="15DF3585">
                  <w:pPr>
                    <w:pStyle w:val="6"/>
                    <w:spacing w:before="70" w:line="206" w:lineRule="auto"/>
                    <w:ind w:left="674"/>
                    <w:rPr>
                      <w:sz w:val="20"/>
                      <w:szCs w:val="20"/>
                    </w:rPr>
                  </w:pPr>
                  <w:r>
                    <w:rPr>
                      <w:spacing w:val="-2"/>
                      <w:sz w:val="20"/>
                      <w:szCs w:val="20"/>
                    </w:rPr>
                    <w:t>生活用水</w:t>
                  </w:r>
                </w:p>
              </w:tc>
              <w:tc>
                <w:tcPr>
                  <w:tcW w:w="1105" w:type="dxa"/>
                  <w:vAlign w:val="top"/>
                </w:tcPr>
                <w:p w14:paraId="409EF1E6">
                  <w:pPr>
                    <w:spacing w:before="84" w:line="219" w:lineRule="auto"/>
                    <w:ind w:left="368"/>
                    <w:rPr>
                      <w:rFonts w:ascii="Times New Roman" w:hAnsi="Times New Roman" w:eastAsia="Times New Roman" w:cs="Times New Roman"/>
                      <w:sz w:val="20"/>
                      <w:szCs w:val="20"/>
                    </w:rPr>
                  </w:pPr>
                  <w:r>
                    <w:rPr>
                      <w:rFonts w:ascii="Times New Roman" w:hAnsi="Times New Roman" w:eastAsia="Times New Roman" w:cs="Times New Roman"/>
                      <w:sz w:val="20"/>
                      <w:szCs w:val="20"/>
                    </w:rPr>
                    <w:t>m</w:t>
                  </w:r>
                  <w:r>
                    <w:rPr>
                      <w:rFonts w:ascii="Times New Roman" w:hAnsi="Times New Roman" w:eastAsia="Times New Roman" w:cs="Times New Roman"/>
                      <w:position w:val="6"/>
                      <w:sz w:val="12"/>
                      <w:szCs w:val="12"/>
                    </w:rPr>
                    <w:t>3</w:t>
                  </w:r>
                  <w:r>
                    <w:rPr>
                      <w:rFonts w:ascii="Times New Roman" w:hAnsi="Times New Roman" w:eastAsia="Times New Roman" w:cs="Times New Roman"/>
                      <w:sz w:val="20"/>
                      <w:szCs w:val="20"/>
                    </w:rPr>
                    <w:t>/a</w:t>
                  </w:r>
                </w:p>
              </w:tc>
              <w:tc>
                <w:tcPr>
                  <w:tcW w:w="1053" w:type="dxa"/>
                  <w:vAlign w:val="top"/>
                </w:tcPr>
                <w:p w14:paraId="2CDD0B89">
                  <w:pPr>
                    <w:spacing w:before="104" w:line="198" w:lineRule="auto"/>
                    <w:ind w:left="33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3120</w:t>
                  </w:r>
                </w:p>
              </w:tc>
              <w:tc>
                <w:tcPr>
                  <w:tcW w:w="1509" w:type="dxa"/>
                  <w:vAlign w:val="top"/>
                </w:tcPr>
                <w:p w14:paraId="73589ED5">
                  <w:pPr>
                    <w:pStyle w:val="6"/>
                    <w:spacing w:before="70" w:line="206" w:lineRule="auto"/>
                    <w:ind w:left="494"/>
                    <w:rPr>
                      <w:sz w:val="20"/>
                      <w:szCs w:val="20"/>
                    </w:rPr>
                  </w:pPr>
                  <w:r>
                    <w:rPr>
                      <w:spacing w:val="-9"/>
                      <w:sz w:val="20"/>
                      <w:szCs w:val="20"/>
                    </w:rPr>
                    <w:t>自来水</w:t>
                  </w:r>
                </w:p>
              </w:tc>
              <w:tc>
                <w:tcPr>
                  <w:tcW w:w="1146" w:type="dxa"/>
                  <w:vAlign w:val="top"/>
                </w:tcPr>
                <w:p w14:paraId="03348D47">
                  <w:pPr>
                    <w:spacing w:before="104" w:line="198" w:lineRule="auto"/>
                    <w:ind w:left="543"/>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r>
            <w:tr w14:paraId="1BCDE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85" w:type="dxa"/>
                  <w:vAlign w:val="top"/>
                </w:tcPr>
                <w:p w14:paraId="120B4EA9">
                  <w:pPr>
                    <w:spacing w:before="105" w:line="197" w:lineRule="auto"/>
                    <w:ind w:left="399"/>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137" w:type="dxa"/>
                  <w:vAlign w:val="top"/>
                </w:tcPr>
                <w:p w14:paraId="51DCA538">
                  <w:pPr>
                    <w:pStyle w:val="6"/>
                    <w:spacing w:before="71" w:line="205" w:lineRule="auto"/>
                    <w:ind w:left="374"/>
                    <w:rPr>
                      <w:sz w:val="20"/>
                      <w:szCs w:val="20"/>
                    </w:rPr>
                  </w:pPr>
                  <w:r>
                    <w:rPr>
                      <w:spacing w:val="-2"/>
                      <w:sz w:val="20"/>
                      <w:szCs w:val="20"/>
                    </w:rPr>
                    <w:t>生物质成型燃料</w:t>
                  </w:r>
                </w:p>
              </w:tc>
              <w:tc>
                <w:tcPr>
                  <w:tcW w:w="1105" w:type="dxa"/>
                  <w:vAlign w:val="top"/>
                </w:tcPr>
                <w:p w14:paraId="6C2E3033">
                  <w:pPr>
                    <w:spacing w:before="105" w:line="197" w:lineRule="auto"/>
                    <w:ind w:left="45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t/a</w:t>
                  </w:r>
                </w:p>
              </w:tc>
              <w:tc>
                <w:tcPr>
                  <w:tcW w:w="1053" w:type="dxa"/>
                  <w:vAlign w:val="top"/>
                </w:tcPr>
                <w:p w14:paraId="23A991F2">
                  <w:pPr>
                    <w:spacing w:before="105" w:line="197" w:lineRule="auto"/>
                    <w:ind w:left="32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2366</w:t>
                  </w:r>
                </w:p>
              </w:tc>
              <w:tc>
                <w:tcPr>
                  <w:tcW w:w="1509" w:type="dxa"/>
                  <w:vAlign w:val="top"/>
                </w:tcPr>
                <w:p w14:paraId="7E267DB8">
                  <w:pPr>
                    <w:pStyle w:val="6"/>
                    <w:spacing w:before="71" w:line="205" w:lineRule="auto"/>
                    <w:ind w:left="161"/>
                    <w:rPr>
                      <w:sz w:val="20"/>
                      <w:szCs w:val="20"/>
                    </w:rPr>
                  </w:pPr>
                  <w:r>
                    <w:rPr>
                      <w:spacing w:val="-2"/>
                      <w:sz w:val="20"/>
                      <w:szCs w:val="20"/>
                    </w:rPr>
                    <w:t>本项目的产品</w:t>
                  </w:r>
                </w:p>
              </w:tc>
              <w:tc>
                <w:tcPr>
                  <w:tcW w:w="1146" w:type="dxa"/>
                  <w:vAlign w:val="top"/>
                </w:tcPr>
                <w:p w14:paraId="1432B741">
                  <w:pPr>
                    <w:spacing w:before="105" w:line="197" w:lineRule="auto"/>
                    <w:ind w:left="543"/>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r>
            <w:tr w14:paraId="421BF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885" w:type="dxa"/>
                  <w:vAlign w:val="top"/>
                </w:tcPr>
                <w:p w14:paraId="54DCAC65">
                  <w:pPr>
                    <w:spacing w:before="107" w:line="201" w:lineRule="auto"/>
                    <w:ind w:left="398"/>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137" w:type="dxa"/>
                  <w:vAlign w:val="top"/>
                </w:tcPr>
                <w:p w14:paraId="5B85F04E">
                  <w:pPr>
                    <w:pStyle w:val="6"/>
                    <w:spacing w:before="73" w:line="209" w:lineRule="auto"/>
                    <w:ind w:left="996"/>
                    <w:rPr>
                      <w:sz w:val="20"/>
                      <w:szCs w:val="20"/>
                    </w:rPr>
                  </w:pPr>
                  <w:r>
                    <w:rPr>
                      <w:sz w:val="20"/>
                      <w:szCs w:val="20"/>
                    </w:rPr>
                    <w:t>电</w:t>
                  </w:r>
                </w:p>
              </w:tc>
              <w:tc>
                <w:tcPr>
                  <w:tcW w:w="1105" w:type="dxa"/>
                  <w:vAlign w:val="top"/>
                </w:tcPr>
                <w:p w14:paraId="2FB9411D">
                  <w:pPr>
                    <w:pStyle w:val="6"/>
                    <w:spacing w:before="73" w:line="209" w:lineRule="auto"/>
                    <w:ind w:left="174"/>
                    <w:rPr>
                      <w:rFonts w:ascii="Times New Roman" w:hAnsi="Times New Roman" w:eastAsia="Times New Roman" w:cs="Times New Roman"/>
                      <w:sz w:val="20"/>
                      <w:szCs w:val="20"/>
                    </w:rPr>
                  </w:pPr>
                  <w:r>
                    <w:rPr>
                      <w:spacing w:val="-4"/>
                      <w:sz w:val="20"/>
                      <w:szCs w:val="20"/>
                    </w:rPr>
                    <w:t>万</w:t>
                  </w:r>
                  <w:r>
                    <w:rPr>
                      <w:spacing w:val="-48"/>
                      <w:sz w:val="20"/>
                      <w:szCs w:val="20"/>
                    </w:rPr>
                    <w:t xml:space="preserve"> </w:t>
                  </w:r>
                  <w:r>
                    <w:rPr>
                      <w:rFonts w:hint="eastAsia"/>
                      <w:spacing w:val="-48"/>
                      <w:sz w:val="20"/>
                      <w:szCs w:val="20"/>
                      <w:lang w:eastAsia="zh-CN"/>
                    </w:rPr>
                    <w:t>kW</w:t>
                  </w:r>
                  <w:r>
                    <w:rPr>
                      <w:rFonts w:ascii="Times New Roman" w:hAnsi="Times New Roman" w:eastAsia="Times New Roman" w:cs="Times New Roman"/>
                      <w:spacing w:val="-4"/>
                      <w:sz w:val="20"/>
                      <w:szCs w:val="20"/>
                    </w:rPr>
                    <w:t>.h/a</w:t>
                  </w:r>
                </w:p>
              </w:tc>
              <w:tc>
                <w:tcPr>
                  <w:tcW w:w="1053" w:type="dxa"/>
                  <w:vAlign w:val="top"/>
                </w:tcPr>
                <w:p w14:paraId="233C02D9">
                  <w:pPr>
                    <w:spacing w:before="107" w:line="201" w:lineRule="auto"/>
                    <w:ind w:left="43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50</w:t>
                  </w:r>
                </w:p>
              </w:tc>
              <w:tc>
                <w:tcPr>
                  <w:tcW w:w="1509" w:type="dxa"/>
                  <w:vAlign w:val="top"/>
                </w:tcPr>
                <w:p w14:paraId="3837FDA7">
                  <w:pPr>
                    <w:pStyle w:val="6"/>
                    <w:spacing w:before="73" w:line="209" w:lineRule="auto"/>
                    <w:ind w:left="372"/>
                    <w:rPr>
                      <w:sz w:val="20"/>
                      <w:szCs w:val="20"/>
                    </w:rPr>
                  </w:pPr>
                  <w:r>
                    <w:rPr>
                      <w:spacing w:val="-4"/>
                      <w:sz w:val="20"/>
                      <w:szCs w:val="20"/>
                    </w:rPr>
                    <w:t>当地电网</w:t>
                  </w:r>
                </w:p>
              </w:tc>
              <w:tc>
                <w:tcPr>
                  <w:tcW w:w="1146" w:type="dxa"/>
                  <w:vAlign w:val="top"/>
                </w:tcPr>
                <w:p w14:paraId="043D6178">
                  <w:pPr>
                    <w:spacing w:before="107" w:line="201" w:lineRule="auto"/>
                    <w:ind w:left="543"/>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r>
          </w:tbl>
          <w:p w14:paraId="7D040C07">
            <w:pPr>
              <w:pStyle w:val="6"/>
              <w:spacing w:before="141" w:line="326" w:lineRule="auto"/>
              <w:ind w:left="53" w:firstLine="422"/>
              <w:jc w:val="both"/>
            </w:pPr>
            <w:r>
              <w:rPr>
                <w:spacing w:val="-5"/>
              </w:rPr>
              <w:t>生物质成型燃料：生物质成型燃料颗粒粒径一般为</w:t>
            </w:r>
            <w:r>
              <w:rPr>
                <w:spacing w:val="-42"/>
              </w:rPr>
              <w:t xml:space="preserve"> </w:t>
            </w:r>
            <w:r>
              <w:rPr>
                <w:rFonts w:ascii="Times New Roman" w:hAnsi="Times New Roman" w:eastAsia="Times New Roman" w:cs="Times New Roman"/>
                <w:spacing w:val="-5"/>
              </w:rPr>
              <w:t>6</w:t>
            </w:r>
            <w:r>
              <w:rPr>
                <w:rFonts w:hint="eastAsia" w:ascii="Times New Roman" w:hAnsi="Times New Roman" w:eastAsia="宋体" w:cs="Times New Roman"/>
                <w:spacing w:val="-5"/>
                <w:lang w:eastAsia="zh-CN"/>
              </w:rPr>
              <w:t>～</w:t>
            </w:r>
            <w:r>
              <w:rPr>
                <w:rFonts w:ascii="Times New Roman" w:hAnsi="Times New Roman" w:eastAsia="Times New Roman" w:cs="Times New Roman"/>
                <w:spacing w:val="-5"/>
              </w:rPr>
              <w:t>10mm</w:t>
            </w:r>
            <w:r>
              <w:rPr>
                <w:spacing w:val="-5"/>
              </w:rPr>
              <w:t>，长度为其直径的</w:t>
            </w:r>
            <w:r>
              <w:rPr>
                <w:spacing w:val="-49"/>
              </w:rPr>
              <w:t xml:space="preserve"> </w:t>
            </w:r>
            <w:r>
              <w:rPr>
                <w:rFonts w:ascii="Times New Roman" w:hAnsi="Times New Roman" w:eastAsia="Times New Roman" w:cs="Times New Roman"/>
                <w:spacing w:val="-5"/>
              </w:rPr>
              <w:t>4-</w:t>
            </w:r>
            <w:r>
              <w:rPr>
                <w:rFonts w:ascii="Times New Roman" w:hAnsi="Times New Roman" w:eastAsia="Times New Roman" w:cs="Times New Roman"/>
                <w:spacing w:val="-6"/>
              </w:rPr>
              <w:t xml:space="preserve">5 </w:t>
            </w:r>
            <w:r>
              <w:rPr>
                <w:spacing w:val="-6"/>
              </w:rPr>
              <w:t>倍，</w:t>
            </w:r>
            <w:r>
              <w:t xml:space="preserve"> </w:t>
            </w:r>
            <w:r>
              <w:rPr>
                <w:spacing w:val="-5"/>
              </w:rPr>
              <w:t>破碎率小于</w:t>
            </w:r>
            <w:r>
              <w:rPr>
                <w:spacing w:val="-28"/>
              </w:rPr>
              <w:t xml:space="preserve"> </w:t>
            </w:r>
            <w:r>
              <w:rPr>
                <w:rFonts w:ascii="Times New Roman" w:hAnsi="Times New Roman" w:eastAsia="Times New Roman" w:cs="Times New Roman"/>
                <w:spacing w:val="-5"/>
              </w:rPr>
              <w:t>1.5%</w:t>
            </w:r>
            <w:r>
              <w:rPr>
                <w:rFonts w:hint="eastAsia" w:ascii="Times New Roman" w:hAnsi="Times New Roman" w:eastAsia="宋体" w:cs="Times New Roman"/>
                <w:spacing w:val="-5"/>
                <w:lang w:eastAsia="zh-CN"/>
              </w:rPr>
              <w:t>～</w:t>
            </w:r>
            <w:r>
              <w:rPr>
                <w:rFonts w:ascii="Times New Roman" w:hAnsi="Times New Roman" w:eastAsia="Times New Roman" w:cs="Times New Roman"/>
                <w:spacing w:val="-5"/>
              </w:rPr>
              <w:t>2.0%</w:t>
            </w:r>
            <w:r>
              <w:rPr>
                <w:spacing w:val="-5"/>
              </w:rPr>
              <w:t>；发热量约在</w:t>
            </w:r>
            <w:r>
              <w:rPr>
                <w:spacing w:val="-49"/>
              </w:rPr>
              <w:t xml:space="preserve"> </w:t>
            </w:r>
            <w:r>
              <w:rPr>
                <w:rFonts w:ascii="Times New Roman" w:hAnsi="Times New Roman" w:eastAsia="Times New Roman" w:cs="Times New Roman"/>
                <w:spacing w:val="-5"/>
              </w:rPr>
              <w:t xml:space="preserve">4000 </w:t>
            </w:r>
            <w:r>
              <w:rPr>
                <w:spacing w:val="-5"/>
              </w:rPr>
              <w:t>大卡</w:t>
            </w:r>
            <w:r>
              <w:rPr>
                <w:rFonts w:ascii="Times New Roman" w:hAnsi="Times New Roman" w:eastAsia="Times New Roman" w:cs="Times New Roman"/>
                <w:spacing w:val="-5"/>
              </w:rPr>
              <w:t>/kg</w:t>
            </w:r>
            <w:r>
              <w:rPr>
                <w:spacing w:val="-5"/>
              </w:rPr>
              <w:t>；生物质成型燃料清洁卫生、投料方便，</w:t>
            </w:r>
            <w:r>
              <w:t xml:space="preserve"> 燃烧后灰渣极少，可回收作为有机钾肥。本项</w:t>
            </w:r>
            <w:r>
              <w:rPr>
                <w:spacing w:val="-1"/>
              </w:rPr>
              <w:t>目热风炉以生物质成型燃料做燃料。关于</w:t>
            </w:r>
            <w:r>
              <w:t xml:space="preserve">  生物质成型燃料的成分组成情况，本次环评参</w:t>
            </w:r>
            <w:r>
              <w:rPr>
                <w:spacing w:val="-1"/>
              </w:rPr>
              <w:t>考成都迪林晖再生新能源有限公司的生物</w:t>
            </w:r>
            <w:r>
              <w:t xml:space="preserve">  </w:t>
            </w:r>
            <w:r>
              <w:rPr>
                <w:spacing w:val="-4"/>
              </w:rPr>
              <w:t>质成型燃料的成分检测数据，如下：</w:t>
            </w:r>
          </w:p>
        </w:tc>
      </w:tr>
    </w:tbl>
    <w:p w14:paraId="28FB885B">
      <w:pPr>
        <w:rPr>
          <w:rFonts w:ascii="Arial"/>
          <w:sz w:val="21"/>
        </w:rPr>
      </w:pPr>
    </w:p>
    <w:p w14:paraId="3917320D">
      <w:pPr>
        <w:rPr>
          <w:rFonts w:ascii="Arial" w:hAnsi="Arial" w:eastAsia="Arial" w:cs="Arial"/>
          <w:sz w:val="21"/>
          <w:szCs w:val="21"/>
        </w:rPr>
        <w:sectPr>
          <w:footerReference r:id="rId41" w:type="default"/>
          <w:pgSz w:w="11907" w:h="16839"/>
          <w:pgMar w:top="1431" w:right="1450" w:bottom="1055" w:left="1451" w:header="0" w:footer="802" w:gutter="0"/>
          <w:cols w:space="720" w:num="1"/>
        </w:sectPr>
      </w:pPr>
    </w:p>
    <w:p w14:paraId="0709D49F">
      <w:pPr>
        <w:spacing w:before="28"/>
      </w:pPr>
    </w:p>
    <w:tbl>
      <w:tblPr>
        <w:tblStyle w:val="5"/>
        <w:tblW w:w="898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71"/>
        <w:gridCol w:w="825"/>
        <w:gridCol w:w="1649"/>
        <w:gridCol w:w="2010"/>
        <w:gridCol w:w="1265"/>
        <w:gridCol w:w="2056"/>
        <w:gridCol w:w="180"/>
      </w:tblGrid>
      <w:tr w14:paraId="10BF4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4" w:hRule="atLeast"/>
        </w:trPr>
        <w:tc>
          <w:tcPr>
            <w:tcW w:w="832" w:type="dxa"/>
            <w:vMerge w:val="restart"/>
            <w:tcBorders>
              <w:top w:val="single" w:color="000000" w:sz="6" w:space="0"/>
              <w:left w:val="single" w:color="000000" w:sz="6" w:space="0"/>
              <w:bottom w:val="nil"/>
            </w:tcBorders>
            <w:vAlign w:val="top"/>
          </w:tcPr>
          <w:p w14:paraId="2520C37B">
            <w:pPr>
              <w:rPr>
                <w:rFonts w:ascii="Arial"/>
                <w:sz w:val="21"/>
              </w:rPr>
            </w:pPr>
          </w:p>
        </w:tc>
        <w:tc>
          <w:tcPr>
            <w:tcW w:w="8156" w:type="dxa"/>
            <w:gridSpan w:val="7"/>
            <w:tcBorders>
              <w:top w:val="single" w:color="000000" w:sz="6" w:space="0"/>
              <w:right w:val="single" w:color="000000" w:sz="6" w:space="0"/>
            </w:tcBorders>
            <w:vAlign w:val="top"/>
          </w:tcPr>
          <w:p w14:paraId="51E07F97">
            <w:pPr>
              <w:spacing w:line="242" w:lineRule="auto"/>
              <w:rPr>
                <w:rFonts w:ascii="Arial"/>
                <w:sz w:val="21"/>
              </w:rPr>
            </w:pPr>
          </w:p>
          <w:p w14:paraId="146D4539">
            <w:pPr>
              <w:spacing w:line="243" w:lineRule="auto"/>
              <w:rPr>
                <w:rFonts w:ascii="Arial"/>
                <w:sz w:val="21"/>
              </w:rPr>
            </w:pPr>
          </w:p>
          <w:p w14:paraId="67984FCE">
            <w:pPr>
              <w:pStyle w:val="6"/>
              <w:spacing w:before="65" w:line="219" w:lineRule="auto"/>
              <w:ind w:left="2145"/>
              <w:rPr>
                <w:sz w:val="20"/>
                <w:szCs w:val="20"/>
              </w:rPr>
            </w:pPr>
            <w:r>
              <w:rPr>
                <w:b/>
                <w:bCs/>
                <w:spacing w:val="-2"/>
                <w:sz w:val="20"/>
                <w:szCs w:val="20"/>
              </w:rPr>
              <w:t>表</w:t>
            </w:r>
            <w:r>
              <w:rPr>
                <w:spacing w:val="-39"/>
                <w:sz w:val="20"/>
                <w:szCs w:val="20"/>
              </w:rPr>
              <w:t xml:space="preserve"> </w:t>
            </w:r>
            <w:r>
              <w:rPr>
                <w:b/>
                <w:bCs/>
                <w:spacing w:val="-2"/>
                <w:sz w:val="20"/>
                <w:szCs w:val="20"/>
              </w:rPr>
              <w:t>2-4</w:t>
            </w:r>
            <w:r>
              <w:rPr>
                <w:spacing w:val="-2"/>
                <w:sz w:val="20"/>
                <w:szCs w:val="20"/>
              </w:rPr>
              <w:t xml:space="preserve">   </w:t>
            </w:r>
            <w:r>
              <w:rPr>
                <w:b/>
                <w:bCs/>
                <w:spacing w:val="-2"/>
                <w:sz w:val="20"/>
                <w:szCs w:val="20"/>
              </w:rPr>
              <w:t>本项目所用生物质成型燃料成分表</w:t>
            </w:r>
          </w:p>
          <w:p w14:paraId="05DCE0CA">
            <w:pPr>
              <w:spacing w:line="145" w:lineRule="auto"/>
              <w:rPr>
                <w:rFonts w:ascii="Arial"/>
                <w:sz w:val="2"/>
              </w:rPr>
            </w:pPr>
          </w:p>
          <w:tbl>
            <w:tblPr>
              <w:tblStyle w:val="5"/>
              <w:tblW w:w="7343" w:type="dxa"/>
              <w:tblInd w:w="4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2055"/>
              <w:gridCol w:w="2079"/>
              <w:gridCol w:w="2451"/>
            </w:tblGrid>
            <w:tr w14:paraId="61899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758" w:type="dxa"/>
                  <w:vAlign w:val="top"/>
                </w:tcPr>
                <w:p w14:paraId="0385F7FF">
                  <w:pPr>
                    <w:pStyle w:val="6"/>
                    <w:spacing w:before="34" w:line="207" w:lineRule="auto"/>
                    <w:ind w:left="183"/>
                    <w:rPr>
                      <w:sz w:val="20"/>
                      <w:szCs w:val="20"/>
                    </w:rPr>
                  </w:pPr>
                  <w:r>
                    <w:rPr>
                      <w:spacing w:val="-2"/>
                      <w:sz w:val="20"/>
                      <w:szCs w:val="20"/>
                    </w:rPr>
                    <w:t>序号</w:t>
                  </w:r>
                </w:p>
              </w:tc>
              <w:tc>
                <w:tcPr>
                  <w:tcW w:w="4134" w:type="dxa"/>
                  <w:gridSpan w:val="2"/>
                  <w:vAlign w:val="top"/>
                </w:tcPr>
                <w:p w14:paraId="256B3890">
                  <w:pPr>
                    <w:pStyle w:val="6"/>
                    <w:spacing w:before="34" w:line="207" w:lineRule="auto"/>
                    <w:ind w:left="1875"/>
                    <w:rPr>
                      <w:sz w:val="20"/>
                      <w:szCs w:val="20"/>
                    </w:rPr>
                  </w:pPr>
                  <w:r>
                    <w:rPr>
                      <w:spacing w:val="-3"/>
                      <w:sz w:val="20"/>
                      <w:szCs w:val="20"/>
                    </w:rPr>
                    <w:t>项目</w:t>
                  </w:r>
                </w:p>
              </w:tc>
              <w:tc>
                <w:tcPr>
                  <w:tcW w:w="2451" w:type="dxa"/>
                  <w:vAlign w:val="top"/>
                </w:tcPr>
                <w:p w14:paraId="09DE0993">
                  <w:pPr>
                    <w:pStyle w:val="6"/>
                    <w:spacing w:before="34" w:line="207" w:lineRule="auto"/>
                    <w:ind w:left="1034"/>
                    <w:rPr>
                      <w:sz w:val="20"/>
                      <w:szCs w:val="20"/>
                    </w:rPr>
                  </w:pPr>
                  <w:r>
                    <w:rPr>
                      <w:spacing w:val="-3"/>
                      <w:sz w:val="20"/>
                      <w:szCs w:val="20"/>
                    </w:rPr>
                    <w:t>结果</w:t>
                  </w:r>
                </w:p>
              </w:tc>
            </w:tr>
            <w:tr w14:paraId="3CE1B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758" w:type="dxa"/>
                  <w:vMerge w:val="restart"/>
                  <w:tcBorders>
                    <w:bottom w:val="nil"/>
                  </w:tcBorders>
                  <w:vAlign w:val="top"/>
                </w:tcPr>
                <w:p w14:paraId="442C5AAF">
                  <w:pPr>
                    <w:spacing w:before="198" w:line="235" w:lineRule="auto"/>
                    <w:ind w:left="34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4134" w:type="dxa"/>
                  <w:gridSpan w:val="2"/>
                  <w:vMerge w:val="restart"/>
                  <w:tcBorders>
                    <w:bottom w:val="nil"/>
                  </w:tcBorders>
                  <w:vAlign w:val="top"/>
                </w:tcPr>
                <w:p w14:paraId="1BE3A308">
                  <w:pPr>
                    <w:pStyle w:val="6"/>
                    <w:spacing w:before="165" w:line="216" w:lineRule="auto"/>
                    <w:ind w:left="871"/>
                    <w:rPr>
                      <w:rFonts w:ascii="Times New Roman" w:hAnsi="Times New Roman" w:eastAsia="Times New Roman" w:cs="Times New Roman"/>
                      <w:sz w:val="20"/>
                      <w:szCs w:val="20"/>
                    </w:rPr>
                  </w:pPr>
                  <w:r>
                    <w:rPr>
                      <w:spacing w:val="-3"/>
                      <w:sz w:val="20"/>
                      <w:szCs w:val="20"/>
                    </w:rPr>
                    <w:t>收到基低位发热量</w:t>
                  </w:r>
                  <w:r>
                    <w:rPr>
                      <w:spacing w:val="-38"/>
                      <w:sz w:val="20"/>
                      <w:szCs w:val="20"/>
                    </w:rPr>
                    <w:t xml:space="preserve"> </w:t>
                  </w:r>
                  <w:r>
                    <w:rPr>
                      <w:rFonts w:ascii="Times New Roman" w:hAnsi="Times New Roman" w:eastAsia="Times New Roman" w:cs="Times New Roman"/>
                      <w:spacing w:val="-3"/>
                      <w:sz w:val="20"/>
                      <w:szCs w:val="20"/>
                    </w:rPr>
                    <w:t>Qnet,V,ar</w:t>
                  </w:r>
                </w:p>
              </w:tc>
              <w:tc>
                <w:tcPr>
                  <w:tcW w:w="2451" w:type="dxa"/>
                  <w:vAlign w:val="top"/>
                </w:tcPr>
                <w:p w14:paraId="147D1BC0">
                  <w:pPr>
                    <w:pStyle w:val="6"/>
                    <w:spacing w:before="30" w:line="207" w:lineRule="auto"/>
                    <w:ind w:left="564"/>
                    <w:rPr>
                      <w:sz w:val="20"/>
                      <w:szCs w:val="20"/>
                    </w:rPr>
                  </w:pPr>
                  <w:r>
                    <w:rPr>
                      <w:rFonts w:ascii="Times New Roman" w:hAnsi="Times New Roman" w:eastAsia="Times New Roman" w:cs="Times New Roman"/>
                      <w:spacing w:val="-2"/>
                      <w:sz w:val="20"/>
                      <w:szCs w:val="20"/>
                    </w:rPr>
                    <w:t>16.52</w:t>
                  </w:r>
                  <w:r>
                    <w:rPr>
                      <w:rFonts w:hint="eastAsia" w:ascii="Times New Roman" w:hAnsi="Times New Roman" w:eastAsia="宋体" w:cs="Times New Roman"/>
                      <w:spacing w:val="-2"/>
                      <w:sz w:val="20"/>
                      <w:szCs w:val="20"/>
                      <w:lang w:eastAsia="zh-CN"/>
                    </w:rPr>
                    <w:t>(</w:t>
                  </w:r>
                  <w:r>
                    <w:rPr>
                      <w:rFonts w:ascii="Times New Roman" w:hAnsi="Times New Roman" w:eastAsia="Times New Roman" w:cs="Times New Roman"/>
                      <w:spacing w:val="-2"/>
                      <w:sz w:val="20"/>
                      <w:szCs w:val="20"/>
                    </w:rPr>
                    <w:t>MJ/kg</w:t>
                  </w:r>
                  <w:r>
                    <w:rPr>
                      <w:rFonts w:hint="eastAsia" w:ascii="Times New Roman" w:hAnsi="Times New Roman" w:eastAsia="宋体" w:cs="Times New Roman"/>
                      <w:spacing w:val="-2"/>
                      <w:sz w:val="20"/>
                      <w:szCs w:val="20"/>
                      <w:lang w:eastAsia="zh-CN"/>
                    </w:rPr>
                    <w:t>)</w:t>
                  </w:r>
                </w:p>
              </w:tc>
            </w:tr>
            <w:tr w14:paraId="7B597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758" w:type="dxa"/>
                  <w:vMerge w:val="continue"/>
                  <w:tcBorders>
                    <w:top w:val="nil"/>
                  </w:tcBorders>
                  <w:vAlign w:val="top"/>
                </w:tcPr>
                <w:p w14:paraId="0558E431">
                  <w:pPr>
                    <w:rPr>
                      <w:rFonts w:ascii="Arial"/>
                      <w:sz w:val="21"/>
                    </w:rPr>
                  </w:pPr>
                </w:p>
              </w:tc>
              <w:tc>
                <w:tcPr>
                  <w:tcW w:w="4134" w:type="dxa"/>
                  <w:gridSpan w:val="2"/>
                  <w:vMerge w:val="continue"/>
                  <w:tcBorders>
                    <w:top w:val="nil"/>
                  </w:tcBorders>
                  <w:vAlign w:val="top"/>
                </w:tcPr>
                <w:p w14:paraId="58171995">
                  <w:pPr>
                    <w:rPr>
                      <w:rFonts w:ascii="Arial"/>
                      <w:sz w:val="21"/>
                    </w:rPr>
                  </w:pPr>
                </w:p>
              </w:tc>
              <w:tc>
                <w:tcPr>
                  <w:tcW w:w="2451" w:type="dxa"/>
                  <w:vAlign w:val="top"/>
                </w:tcPr>
                <w:p w14:paraId="4EDA7333">
                  <w:pPr>
                    <w:pStyle w:val="6"/>
                    <w:spacing w:before="28" w:line="207" w:lineRule="auto"/>
                    <w:ind w:left="534"/>
                    <w:rPr>
                      <w:sz w:val="20"/>
                      <w:szCs w:val="20"/>
                    </w:rPr>
                  </w:pPr>
                  <w:r>
                    <w:rPr>
                      <w:rFonts w:ascii="Times New Roman" w:hAnsi="Times New Roman" w:eastAsia="Times New Roman" w:cs="Times New Roman"/>
                      <w:spacing w:val="-1"/>
                      <w:sz w:val="20"/>
                      <w:szCs w:val="20"/>
                    </w:rPr>
                    <w:t>3951</w:t>
                  </w:r>
                  <w:r>
                    <w:rPr>
                      <w:rFonts w:hint="eastAsia" w:ascii="Times New Roman" w:hAnsi="Times New Roman" w:eastAsia="宋体" w:cs="Times New Roman"/>
                      <w:spacing w:val="-1"/>
                      <w:sz w:val="20"/>
                      <w:szCs w:val="20"/>
                      <w:lang w:eastAsia="zh-CN"/>
                    </w:rPr>
                    <w:t>(</w:t>
                  </w:r>
                  <w:r>
                    <w:rPr>
                      <w:rFonts w:ascii="Times New Roman" w:hAnsi="Times New Roman" w:eastAsia="Times New Roman" w:cs="Times New Roman"/>
                      <w:spacing w:val="-1"/>
                      <w:sz w:val="20"/>
                      <w:szCs w:val="20"/>
                    </w:rPr>
                    <w:t>kcal/kg</w:t>
                  </w:r>
                  <w:r>
                    <w:rPr>
                      <w:rFonts w:hint="eastAsia" w:ascii="Times New Roman" w:hAnsi="Times New Roman" w:eastAsia="宋体" w:cs="Times New Roman"/>
                      <w:spacing w:val="-1"/>
                      <w:sz w:val="20"/>
                      <w:szCs w:val="20"/>
                      <w:lang w:eastAsia="zh-CN"/>
                    </w:rPr>
                    <w:t>)</w:t>
                  </w:r>
                </w:p>
              </w:tc>
            </w:tr>
            <w:tr w14:paraId="6FD55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758" w:type="dxa"/>
                  <w:vAlign w:val="top"/>
                </w:tcPr>
                <w:p w14:paraId="66E6BE21">
                  <w:pPr>
                    <w:spacing w:before="64" w:line="199" w:lineRule="auto"/>
                    <w:ind w:left="33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4134" w:type="dxa"/>
                  <w:gridSpan w:val="2"/>
                  <w:vAlign w:val="top"/>
                </w:tcPr>
                <w:p w14:paraId="7FAF9B4C">
                  <w:pPr>
                    <w:pStyle w:val="6"/>
                    <w:spacing w:before="30" w:line="207" w:lineRule="auto"/>
                    <w:ind w:left="1630"/>
                    <w:rPr>
                      <w:rFonts w:ascii="Times New Roman" w:hAnsi="Times New Roman" w:eastAsia="Times New Roman" w:cs="Times New Roman"/>
                      <w:sz w:val="20"/>
                      <w:szCs w:val="20"/>
                    </w:rPr>
                  </w:pPr>
                  <w:r>
                    <w:rPr>
                      <w:spacing w:val="-2"/>
                      <w:sz w:val="20"/>
                      <w:szCs w:val="20"/>
                    </w:rPr>
                    <w:t>全水分</w:t>
                  </w:r>
                  <w:r>
                    <w:rPr>
                      <w:spacing w:val="-47"/>
                      <w:sz w:val="20"/>
                      <w:szCs w:val="20"/>
                    </w:rPr>
                    <w:t xml:space="preserve"> </w:t>
                  </w:r>
                  <w:r>
                    <w:rPr>
                      <w:rFonts w:ascii="Times New Roman" w:hAnsi="Times New Roman" w:eastAsia="Times New Roman" w:cs="Times New Roman"/>
                      <w:spacing w:val="-2"/>
                      <w:sz w:val="20"/>
                      <w:szCs w:val="20"/>
                    </w:rPr>
                    <w:t>Mt</w:t>
                  </w:r>
                </w:p>
              </w:tc>
              <w:tc>
                <w:tcPr>
                  <w:tcW w:w="2451" w:type="dxa"/>
                  <w:vAlign w:val="top"/>
                </w:tcPr>
                <w:p w14:paraId="7EF766E0">
                  <w:pPr>
                    <w:pStyle w:val="6"/>
                    <w:spacing w:before="30" w:line="207" w:lineRule="auto"/>
                    <w:ind w:left="822"/>
                    <w:rPr>
                      <w:sz w:val="20"/>
                      <w:szCs w:val="20"/>
                    </w:rPr>
                  </w:pPr>
                  <w:r>
                    <w:rPr>
                      <w:rFonts w:ascii="Times New Roman" w:hAnsi="Times New Roman" w:eastAsia="Times New Roman" w:cs="Times New Roman"/>
                      <w:spacing w:val="-2"/>
                      <w:sz w:val="20"/>
                      <w:szCs w:val="20"/>
                    </w:rPr>
                    <w:t>6.5</w:t>
                  </w:r>
                  <w:r>
                    <w:rPr>
                      <w:rFonts w:hint="eastAsia" w:ascii="Times New Roman" w:hAnsi="Times New Roman" w:eastAsia="宋体" w:cs="Times New Roman"/>
                      <w:spacing w:val="-2"/>
                      <w:sz w:val="20"/>
                      <w:szCs w:val="20"/>
                      <w:lang w:eastAsia="zh-CN"/>
                    </w:rPr>
                    <w:t>(</w:t>
                  </w:r>
                  <w:r>
                    <w:rPr>
                      <w:rFonts w:ascii="Times New Roman" w:hAnsi="Times New Roman" w:eastAsia="Times New Roman" w:cs="Times New Roman"/>
                      <w:spacing w:val="-2"/>
                      <w:sz w:val="20"/>
                      <w:szCs w:val="20"/>
                    </w:rPr>
                    <w:t>%</w:t>
                  </w:r>
                  <w:r>
                    <w:rPr>
                      <w:rFonts w:hint="eastAsia" w:ascii="Times New Roman" w:hAnsi="Times New Roman" w:eastAsia="宋体" w:cs="Times New Roman"/>
                      <w:spacing w:val="-2"/>
                      <w:sz w:val="20"/>
                      <w:szCs w:val="20"/>
                      <w:lang w:eastAsia="zh-CN"/>
                    </w:rPr>
                    <w:t>)</w:t>
                  </w:r>
                </w:p>
              </w:tc>
            </w:tr>
            <w:tr w14:paraId="280D9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758" w:type="dxa"/>
                  <w:vAlign w:val="top"/>
                </w:tcPr>
                <w:p w14:paraId="324EAB01">
                  <w:pPr>
                    <w:spacing w:before="63" w:line="199" w:lineRule="auto"/>
                    <w:ind w:left="33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4134" w:type="dxa"/>
                  <w:gridSpan w:val="2"/>
                  <w:vAlign w:val="top"/>
                </w:tcPr>
                <w:p w14:paraId="3E7F15BE">
                  <w:pPr>
                    <w:pStyle w:val="6"/>
                    <w:spacing w:before="29" w:line="207" w:lineRule="auto"/>
                    <w:ind w:left="1370"/>
                    <w:rPr>
                      <w:rFonts w:ascii="Times New Roman" w:hAnsi="Times New Roman" w:eastAsia="Times New Roman" w:cs="Times New Roman"/>
                      <w:sz w:val="20"/>
                      <w:szCs w:val="20"/>
                    </w:rPr>
                  </w:pPr>
                  <w:r>
                    <w:rPr>
                      <w:spacing w:val="-3"/>
                      <w:sz w:val="20"/>
                      <w:szCs w:val="20"/>
                    </w:rPr>
                    <w:t>空干基水分</w:t>
                  </w:r>
                  <w:r>
                    <w:rPr>
                      <w:spacing w:val="-41"/>
                      <w:sz w:val="20"/>
                      <w:szCs w:val="20"/>
                    </w:rPr>
                    <w:t xml:space="preserve"> </w:t>
                  </w:r>
                  <w:r>
                    <w:rPr>
                      <w:rFonts w:ascii="Times New Roman" w:hAnsi="Times New Roman" w:eastAsia="Times New Roman" w:cs="Times New Roman"/>
                      <w:spacing w:val="-3"/>
                      <w:sz w:val="20"/>
                      <w:szCs w:val="20"/>
                    </w:rPr>
                    <w:t>Mad</w:t>
                  </w:r>
                </w:p>
              </w:tc>
              <w:tc>
                <w:tcPr>
                  <w:tcW w:w="2451" w:type="dxa"/>
                  <w:vAlign w:val="top"/>
                </w:tcPr>
                <w:p w14:paraId="4B4E742E">
                  <w:pPr>
                    <w:pStyle w:val="6"/>
                    <w:spacing w:before="29" w:line="207" w:lineRule="auto"/>
                    <w:ind w:left="771"/>
                    <w:rPr>
                      <w:sz w:val="20"/>
                      <w:szCs w:val="20"/>
                    </w:rPr>
                  </w:pPr>
                  <w:r>
                    <w:rPr>
                      <w:rFonts w:ascii="Times New Roman" w:hAnsi="Times New Roman" w:eastAsia="Times New Roman" w:cs="Times New Roman"/>
                      <w:spacing w:val="-2"/>
                      <w:sz w:val="20"/>
                      <w:szCs w:val="20"/>
                    </w:rPr>
                    <w:t>3.81</w:t>
                  </w:r>
                  <w:r>
                    <w:rPr>
                      <w:rFonts w:hint="eastAsia" w:ascii="Times New Roman" w:hAnsi="Times New Roman" w:eastAsia="宋体" w:cs="Times New Roman"/>
                      <w:spacing w:val="-2"/>
                      <w:sz w:val="20"/>
                      <w:szCs w:val="20"/>
                      <w:lang w:eastAsia="zh-CN"/>
                    </w:rPr>
                    <w:t>(</w:t>
                  </w:r>
                  <w:r>
                    <w:rPr>
                      <w:rFonts w:ascii="Times New Roman" w:hAnsi="Times New Roman" w:eastAsia="Times New Roman" w:cs="Times New Roman"/>
                      <w:spacing w:val="-2"/>
                      <w:sz w:val="20"/>
                      <w:szCs w:val="20"/>
                    </w:rPr>
                    <w:t>%</w:t>
                  </w:r>
                  <w:r>
                    <w:rPr>
                      <w:rFonts w:hint="eastAsia" w:ascii="Times New Roman" w:hAnsi="Times New Roman" w:eastAsia="宋体" w:cs="Times New Roman"/>
                      <w:spacing w:val="-2"/>
                      <w:sz w:val="20"/>
                      <w:szCs w:val="20"/>
                      <w:lang w:eastAsia="zh-CN"/>
                    </w:rPr>
                    <w:t>)</w:t>
                  </w:r>
                </w:p>
              </w:tc>
            </w:tr>
            <w:tr w14:paraId="2E0F8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758" w:type="dxa"/>
                  <w:vAlign w:val="top"/>
                </w:tcPr>
                <w:p w14:paraId="42079FCC">
                  <w:pPr>
                    <w:spacing w:before="63" w:line="200" w:lineRule="auto"/>
                    <w:ind w:left="329"/>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tc>
              <w:tc>
                <w:tcPr>
                  <w:tcW w:w="4134" w:type="dxa"/>
                  <w:gridSpan w:val="2"/>
                  <w:vAlign w:val="top"/>
                </w:tcPr>
                <w:p w14:paraId="3D7626B0">
                  <w:pPr>
                    <w:pStyle w:val="6"/>
                    <w:spacing w:before="30" w:line="207" w:lineRule="auto"/>
                    <w:ind w:left="1267"/>
                    <w:rPr>
                      <w:rFonts w:ascii="Times New Roman" w:hAnsi="Times New Roman" w:eastAsia="Times New Roman" w:cs="Times New Roman"/>
                      <w:sz w:val="20"/>
                      <w:szCs w:val="20"/>
                    </w:rPr>
                  </w:pPr>
                  <w:r>
                    <w:rPr>
                      <w:spacing w:val="-3"/>
                      <w:sz w:val="20"/>
                      <w:szCs w:val="20"/>
                    </w:rPr>
                    <w:t>收到基含硫量</w:t>
                  </w:r>
                  <w:r>
                    <w:rPr>
                      <w:spacing w:val="-32"/>
                      <w:sz w:val="20"/>
                      <w:szCs w:val="20"/>
                    </w:rPr>
                    <w:t xml:space="preserve"> </w:t>
                  </w:r>
                  <w:r>
                    <w:rPr>
                      <w:rFonts w:ascii="Times New Roman" w:hAnsi="Times New Roman" w:eastAsia="Times New Roman" w:cs="Times New Roman"/>
                      <w:spacing w:val="-3"/>
                      <w:sz w:val="20"/>
                      <w:szCs w:val="20"/>
                    </w:rPr>
                    <w:t>St,ar</w:t>
                  </w:r>
                </w:p>
              </w:tc>
              <w:tc>
                <w:tcPr>
                  <w:tcW w:w="2451" w:type="dxa"/>
                  <w:vAlign w:val="top"/>
                </w:tcPr>
                <w:p w14:paraId="751A187A">
                  <w:pPr>
                    <w:pStyle w:val="6"/>
                    <w:spacing w:before="30" w:line="207" w:lineRule="auto"/>
                    <w:ind w:left="770"/>
                    <w:rPr>
                      <w:sz w:val="20"/>
                      <w:szCs w:val="20"/>
                    </w:rPr>
                  </w:pPr>
                  <w:r>
                    <w:rPr>
                      <w:rFonts w:ascii="Times New Roman" w:hAnsi="Times New Roman" w:eastAsia="Times New Roman" w:cs="Times New Roman"/>
                      <w:spacing w:val="-1"/>
                      <w:sz w:val="20"/>
                      <w:szCs w:val="20"/>
                    </w:rPr>
                    <w:t>0.01</w:t>
                  </w:r>
                  <w:r>
                    <w:rPr>
                      <w:rFonts w:hint="eastAsia" w:ascii="Times New Roman" w:hAnsi="Times New Roman" w:eastAsia="宋体" w:cs="Times New Roman"/>
                      <w:spacing w:val="-1"/>
                      <w:sz w:val="20"/>
                      <w:szCs w:val="20"/>
                      <w:lang w:eastAsia="zh-CN"/>
                    </w:rPr>
                    <w:t>(</w:t>
                  </w:r>
                  <w:r>
                    <w:rPr>
                      <w:rFonts w:ascii="Times New Roman" w:hAnsi="Times New Roman" w:eastAsia="Times New Roman" w:cs="Times New Roman"/>
                      <w:spacing w:val="-1"/>
                      <w:sz w:val="20"/>
                      <w:szCs w:val="20"/>
                    </w:rPr>
                    <w:t>%</w:t>
                  </w:r>
                  <w:r>
                    <w:rPr>
                      <w:rFonts w:hint="eastAsia" w:ascii="Times New Roman" w:hAnsi="Times New Roman" w:eastAsia="宋体" w:cs="Times New Roman"/>
                      <w:spacing w:val="-1"/>
                      <w:sz w:val="20"/>
                      <w:szCs w:val="20"/>
                      <w:lang w:eastAsia="zh-CN"/>
                    </w:rPr>
                    <w:t>)</w:t>
                  </w:r>
                </w:p>
              </w:tc>
            </w:tr>
            <w:tr w14:paraId="41C96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758" w:type="dxa"/>
                  <w:vAlign w:val="top"/>
                </w:tcPr>
                <w:p w14:paraId="1B398420">
                  <w:pPr>
                    <w:spacing w:before="63" w:line="198" w:lineRule="auto"/>
                    <w:ind w:left="335"/>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134" w:type="dxa"/>
                  <w:gridSpan w:val="2"/>
                  <w:vAlign w:val="top"/>
                </w:tcPr>
                <w:p w14:paraId="588C75AD">
                  <w:pPr>
                    <w:pStyle w:val="6"/>
                    <w:spacing w:before="29" w:line="206" w:lineRule="auto"/>
                    <w:ind w:left="1405"/>
                    <w:rPr>
                      <w:rFonts w:ascii="Times New Roman" w:hAnsi="Times New Roman" w:eastAsia="Times New Roman" w:cs="Times New Roman"/>
                      <w:sz w:val="20"/>
                      <w:szCs w:val="20"/>
                    </w:rPr>
                  </w:pPr>
                  <w:r>
                    <w:rPr>
                      <w:spacing w:val="-2"/>
                      <w:sz w:val="20"/>
                      <w:szCs w:val="20"/>
                    </w:rPr>
                    <w:t>收到基灰分</w:t>
                  </w:r>
                  <w:r>
                    <w:rPr>
                      <w:spacing w:val="-49"/>
                      <w:sz w:val="20"/>
                      <w:szCs w:val="20"/>
                    </w:rPr>
                    <w:t xml:space="preserve"> </w:t>
                  </w:r>
                  <w:r>
                    <w:rPr>
                      <w:rFonts w:ascii="Times New Roman" w:hAnsi="Times New Roman" w:eastAsia="Times New Roman" w:cs="Times New Roman"/>
                      <w:spacing w:val="-2"/>
                      <w:sz w:val="20"/>
                      <w:szCs w:val="20"/>
                    </w:rPr>
                    <w:t>Aar</w:t>
                  </w:r>
                </w:p>
              </w:tc>
              <w:tc>
                <w:tcPr>
                  <w:tcW w:w="2451" w:type="dxa"/>
                  <w:vAlign w:val="top"/>
                </w:tcPr>
                <w:p w14:paraId="5F8E9CAB">
                  <w:pPr>
                    <w:pStyle w:val="6"/>
                    <w:spacing w:before="29" w:line="206" w:lineRule="auto"/>
                    <w:ind w:left="767"/>
                    <w:rPr>
                      <w:sz w:val="20"/>
                      <w:szCs w:val="20"/>
                    </w:rPr>
                  </w:pPr>
                  <w:r>
                    <w:rPr>
                      <w:rFonts w:ascii="Times New Roman" w:hAnsi="Times New Roman" w:eastAsia="Times New Roman" w:cs="Times New Roman"/>
                      <w:spacing w:val="-1"/>
                      <w:sz w:val="20"/>
                      <w:szCs w:val="20"/>
                    </w:rPr>
                    <w:t>2.90</w:t>
                  </w:r>
                  <w:r>
                    <w:rPr>
                      <w:rFonts w:hint="eastAsia" w:ascii="Times New Roman" w:hAnsi="Times New Roman" w:eastAsia="宋体" w:cs="Times New Roman"/>
                      <w:spacing w:val="-1"/>
                      <w:sz w:val="20"/>
                      <w:szCs w:val="20"/>
                      <w:lang w:eastAsia="zh-CN"/>
                    </w:rPr>
                    <w:t>(</w:t>
                  </w:r>
                  <w:r>
                    <w:rPr>
                      <w:rFonts w:ascii="Times New Roman" w:hAnsi="Times New Roman" w:eastAsia="Times New Roman" w:cs="Times New Roman"/>
                      <w:spacing w:val="-1"/>
                      <w:sz w:val="20"/>
                      <w:szCs w:val="20"/>
                    </w:rPr>
                    <w:t>%</w:t>
                  </w:r>
                  <w:r>
                    <w:rPr>
                      <w:rFonts w:hint="eastAsia" w:ascii="Times New Roman" w:hAnsi="Times New Roman" w:eastAsia="宋体" w:cs="Times New Roman"/>
                      <w:spacing w:val="-1"/>
                      <w:sz w:val="20"/>
                      <w:szCs w:val="20"/>
                      <w:lang w:eastAsia="zh-CN"/>
                    </w:rPr>
                    <w:t>)</w:t>
                  </w:r>
                </w:p>
              </w:tc>
            </w:tr>
            <w:tr w14:paraId="50614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758" w:type="dxa"/>
                  <w:vAlign w:val="top"/>
                </w:tcPr>
                <w:p w14:paraId="6AD062E4">
                  <w:pPr>
                    <w:spacing w:before="64" w:line="199" w:lineRule="auto"/>
                    <w:ind w:left="334"/>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4134" w:type="dxa"/>
                  <w:gridSpan w:val="2"/>
                  <w:vAlign w:val="top"/>
                </w:tcPr>
                <w:p w14:paraId="3DE4844A">
                  <w:pPr>
                    <w:pStyle w:val="6"/>
                    <w:spacing w:before="31" w:line="206" w:lineRule="auto"/>
                    <w:ind w:left="1046"/>
                    <w:rPr>
                      <w:rFonts w:ascii="Times New Roman" w:hAnsi="Times New Roman" w:eastAsia="Times New Roman" w:cs="Times New Roman"/>
                      <w:sz w:val="20"/>
                      <w:szCs w:val="20"/>
                    </w:rPr>
                  </w:pPr>
                  <w:r>
                    <w:rPr>
                      <w:spacing w:val="1"/>
                      <w:sz w:val="20"/>
                      <w:szCs w:val="20"/>
                    </w:rPr>
                    <w:t>干燥无灰基挥发分</w:t>
                  </w:r>
                  <w:r>
                    <w:rPr>
                      <w:spacing w:val="-45"/>
                      <w:sz w:val="20"/>
                      <w:szCs w:val="20"/>
                    </w:rPr>
                    <w:t xml:space="preserve"> </w:t>
                  </w:r>
                  <w:r>
                    <w:rPr>
                      <w:rFonts w:ascii="Times New Roman" w:hAnsi="Times New Roman" w:eastAsia="Times New Roman" w:cs="Times New Roman"/>
                      <w:sz w:val="20"/>
                      <w:szCs w:val="20"/>
                    </w:rPr>
                    <w:t>Vdaf</w:t>
                  </w:r>
                </w:p>
              </w:tc>
              <w:tc>
                <w:tcPr>
                  <w:tcW w:w="2451" w:type="dxa"/>
                  <w:vAlign w:val="top"/>
                </w:tcPr>
                <w:p w14:paraId="59B3C5A3">
                  <w:pPr>
                    <w:pStyle w:val="6"/>
                    <w:spacing w:before="31" w:line="206" w:lineRule="auto"/>
                    <w:ind w:left="721"/>
                    <w:rPr>
                      <w:sz w:val="20"/>
                      <w:szCs w:val="20"/>
                    </w:rPr>
                  </w:pPr>
                  <w:r>
                    <w:rPr>
                      <w:rFonts w:ascii="Times New Roman" w:hAnsi="Times New Roman" w:eastAsia="Times New Roman" w:cs="Times New Roman"/>
                      <w:spacing w:val="-1"/>
                      <w:sz w:val="20"/>
                      <w:szCs w:val="20"/>
                    </w:rPr>
                    <w:t>79.91</w:t>
                  </w:r>
                  <w:r>
                    <w:rPr>
                      <w:rFonts w:hint="eastAsia" w:ascii="Times New Roman" w:hAnsi="Times New Roman" w:eastAsia="宋体" w:cs="Times New Roman"/>
                      <w:spacing w:val="-1"/>
                      <w:sz w:val="20"/>
                      <w:szCs w:val="20"/>
                      <w:lang w:eastAsia="zh-CN"/>
                    </w:rPr>
                    <w:t>(</w:t>
                  </w:r>
                  <w:r>
                    <w:rPr>
                      <w:rFonts w:ascii="Times New Roman" w:hAnsi="Times New Roman" w:eastAsia="Times New Roman" w:cs="Times New Roman"/>
                      <w:spacing w:val="-1"/>
                      <w:sz w:val="20"/>
                      <w:szCs w:val="20"/>
                    </w:rPr>
                    <w:t>%</w:t>
                  </w:r>
                  <w:r>
                    <w:rPr>
                      <w:rFonts w:hint="eastAsia" w:ascii="Times New Roman" w:hAnsi="Times New Roman" w:eastAsia="宋体" w:cs="Times New Roman"/>
                      <w:spacing w:val="-1"/>
                      <w:sz w:val="20"/>
                      <w:szCs w:val="20"/>
                      <w:lang w:eastAsia="zh-CN"/>
                    </w:rPr>
                    <w:t>)</w:t>
                  </w:r>
                </w:p>
              </w:tc>
            </w:tr>
            <w:tr w14:paraId="219F5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758" w:type="dxa"/>
                  <w:vAlign w:val="top"/>
                </w:tcPr>
                <w:p w14:paraId="135643D4">
                  <w:pPr>
                    <w:spacing w:before="64" w:line="197" w:lineRule="auto"/>
                    <w:ind w:left="333"/>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4134" w:type="dxa"/>
                  <w:gridSpan w:val="2"/>
                  <w:vAlign w:val="top"/>
                </w:tcPr>
                <w:p w14:paraId="2FE8A395">
                  <w:pPr>
                    <w:pStyle w:val="6"/>
                    <w:spacing w:before="30" w:line="205" w:lineRule="auto"/>
                    <w:ind w:left="1309"/>
                    <w:rPr>
                      <w:rFonts w:ascii="Times New Roman" w:hAnsi="Times New Roman" w:eastAsia="Times New Roman" w:cs="Times New Roman"/>
                      <w:sz w:val="20"/>
                      <w:szCs w:val="20"/>
                    </w:rPr>
                  </w:pPr>
                  <w:r>
                    <w:rPr>
                      <w:spacing w:val="-3"/>
                      <w:sz w:val="20"/>
                      <w:szCs w:val="20"/>
                    </w:rPr>
                    <w:t>收到基碳含量</w:t>
                  </w:r>
                  <w:r>
                    <w:rPr>
                      <w:spacing w:val="-37"/>
                      <w:sz w:val="20"/>
                      <w:szCs w:val="20"/>
                    </w:rPr>
                    <w:t xml:space="preserve"> </w:t>
                  </w:r>
                  <w:r>
                    <w:rPr>
                      <w:rFonts w:ascii="Times New Roman" w:hAnsi="Times New Roman" w:eastAsia="Times New Roman" w:cs="Times New Roman"/>
                      <w:spacing w:val="-3"/>
                      <w:sz w:val="20"/>
                      <w:szCs w:val="20"/>
                    </w:rPr>
                    <w:t>Car</w:t>
                  </w:r>
                </w:p>
              </w:tc>
              <w:tc>
                <w:tcPr>
                  <w:tcW w:w="2451" w:type="dxa"/>
                  <w:vAlign w:val="top"/>
                </w:tcPr>
                <w:p w14:paraId="163CFEE6">
                  <w:pPr>
                    <w:pStyle w:val="6"/>
                    <w:spacing w:before="30" w:line="205" w:lineRule="auto"/>
                    <w:ind w:left="720"/>
                    <w:rPr>
                      <w:sz w:val="20"/>
                      <w:szCs w:val="20"/>
                    </w:rPr>
                  </w:pPr>
                  <w:r>
                    <w:rPr>
                      <w:rFonts w:ascii="Times New Roman" w:hAnsi="Times New Roman" w:eastAsia="Times New Roman" w:cs="Times New Roman"/>
                      <w:spacing w:val="-2"/>
                      <w:sz w:val="20"/>
                      <w:szCs w:val="20"/>
                    </w:rPr>
                    <w:t>46.11</w:t>
                  </w:r>
                  <w:r>
                    <w:rPr>
                      <w:rFonts w:hint="eastAsia" w:ascii="Times New Roman" w:hAnsi="Times New Roman" w:eastAsia="宋体" w:cs="Times New Roman"/>
                      <w:spacing w:val="-2"/>
                      <w:sz w:val="20"/>
                      <w:szCs w:val="20"/>
                      <w:lang w:eastAsia="zh-CN"/>
                    </w:rPr>
                    <w:t>(</w:t>
                  </w:r>
                  <w:r>
                    <w:rPr>
                      <w:rFonts w:ascii="Times New Roman" w:hAnsi="Times New Roman" w:eastAsia="Times New Roman" w:cs="Times New Roman"/>
                      <w:spacing w:val="-2"/>
                      <w:sz w:val="20"/>
                      <w:szCs w:val="20"/>
                    </w:rPr>
                    <w:t>%</w:t>
                  </w:r>
                  <w:r>
                    <w:rPr>
                      <w:rFonts w:hint="eastAsia" w:ascii="Times New Roman" w:hAnsi="Times New Roman" w:eastAsia="宋体" w:cs="Times New Roman"/>
                      <w:spacing w:val="-2"/>
                      <w:sz w:val="20"/>
                      <w:szCs w:val="20"/>
                      <w:lang w:eastAsia="zh-CN"/>
                    </w:rPr>
                    <w:t>)</w:t>
                  </w:r>
                </w:p>
              </w:tc>
            </w:tr>
            <w:tr w14:paraId="3E9F2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758" w:type="dxa"/>
                  <w:vAlign w:val="top"/>
                </w:tcPr>
                <w:p w14:paraId="5ABAD7D1">
                  <w:pPr>
                    <w:spacing w:before="64" w:line="199" w:lineRule="auto"/>
                    <w:ind w:left="338"/>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4134" w:type="dxa"/>
                  <w:gridSpan w:val="2"/>
                  <w:vAlign w:val="top"/>
                </w:tcPr>
                <w:p w14:paraId="51B4765E">
                  <w:pPr>
                    <w:pStyle w:val="6"/>
                    <w:spacing w:before="31" w:line="206" w:lineRule="auto"/>
                    <w:ind w:left="1303"/>
                    <w:rPr>
                      <w:rFonts w:ascii="Times New Roman" w:hAnsi="Times New Roman" w:eastAsia="Times New Roman" w:cs="Times New Roman"/>
                      <w:sz w:val="20"/>
                      <w:szCs w:val="20"/>
                    </w:rPr>
                  </w:pPr>
                  <w:r>
                    <w:rPr>
                      <w:spacing w:val="-2"/>
                      <w:sz w:val="20"/>
                      <w:szCs w:val="20"/>
                    </w:rPr>
                    <w:t>收到基氢含量</w:t>
                  </w:r>
                  <w:r>
                    <w:rPr>
                      <w:spacing w:val="-46"/>
                      <w:sz w:val="20"/>
                      <w:szCs w:val="20"/>
                    </w:rPr>
                    <w:t xml:space="preserve"> </w:t>
                  </w:r>
                  <w:r>
                    <w:rPr>
                      <w:rFonts w:ascii="Times New Roman" w:hAnsi="Times New Roman" w:eastAsia="Times New Roman" w:cs="Times New Roman"/>
                      <w:spacing w:val="-2"/>
                      <w:sz w:val="20"/>
                      <w:szCs w:val="20"/>
                    </w:rPr>
                    <w:t>Har</w:t>
                  </w:r>
                </w:p>
              </w:tc>
              <w:tc>
                <w:tcPr>
                  <w:tcW w:w="2451" w:type="dxa"/>
                  <w:vAlign w:val="top"/>
                </w:tcPr>
                <w:p w14:paraId="683F3BF1">
                  <w:pPr>
                    <w:pStyle w:val="6"/>
                    <w:spacing w:before="31" w:line="206" w:lineRule="auto"/>
                    <w:ind w:left="766"/>
                    <w:rPr>
                      <w:sz w:val="20"/>
                      <w:szCs w:val="20"/>
                    </w:rPr>
                  </w:pPr>
                  <w:r>
                    <w:rPr>
                      <w:rFonts w:ascii="Times New Roman" w:hAnsi="Times New Roman" w:eastAsia="Times New Roman" w:cs="Times New Roman"/>
                      <w:spacing w:val="-1"/>
                      <w:sz w:val="20"/>
                      <w:szCs w:val="20"/>
                    </w:rPr>
                    <w:t>4.69</w:t>
                  </w:r>
                  <w:r>
                    <w:rPr>
                      <w:rFonts w:hint="eastAsia" w:ascii="Times New Roman" w:hAnsi="Times New Roman" w:eastAsia="宋体" w:cs="Times New Roman"/>
                      <w:spacing w:val="-1"/>
                      <w:sz w:val="20"/>
                      <w:szCs w:val="20"/>
                      <w:lang w:eastAsia="zh-CN"/>
                    </w:rPr>
                    <w:t>(</w:t>
                  </w:r>
                  <w:r>
                    <w:rPr>
                      <w:rFonts w:ascii="Times New Roman" w:hAnsi="Times New Roman" w:eastAsia="Times New Roman" w:cs="Times New Roman"/>
                      <w:spacing w:val="-1"/>
                      <w:sz w:val="20"/>
                      <w:szCs w:val="20"/>
                    </w:rPr>
                    <w:t>%</w:t>
                  </w:r>
                  <w:r>
                    <w:rPr>
                      <w:rFonts w:hint="eastAsia" w:ascii="Times New Roman" w:hAnsi="Times New Roman" w:eastAsia="宋体" w:cs="Times New Roman"/>
                      <w:spacing w:val="-1"/>
                      <w:sz w:val="20"/>
                      <w:szCs w:val="20"/>
                      <w:lang w:eastAsia="zh-CN"/>
                    </w:rPr>
                    <w:t>)</w:t>
                  </w:r>
                </w:p>
              </w:tc>
            </w:tr>
            <w:tr w14:paraId="60D6E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758" w:type="dxa"/>
                  <w:vAlign w:val="top"/>
                </w:tcPr>
                <w:p w14:paraId="6015FE3F">
                  <w:pPr>
                    <w:spacing w:before="65" w:line="196" w:lineRule="auto"/>
                    <w:ind w:left="334"/>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4134" w:type="dxa"/>
                  <w:gridSpan w:val="2"/>
                  <w:vAlign w:val="top"/>
                </w:tcPr>
                <w:p w14:paraId="12AAC421">
                  <w:pPr>
                    <w:pStyle w:val="6"/>
                    <w:spacing w:before="30" w:line="205" w:lineRule="auto"/>
                    <w:ind w:left="1303"/>
                    <w:rPr>
                      <w:rFonts w:ascii="Times New Roman" w:hAnsi="Times New Roman" w:eastAsia="Times New Roman" w:cs="Times New Roman"/>
                      <w:sz w:val="20"/>
                      <w:szCs w:val="20"/>
                    </w:rPr>
                  </w:pPr>
                  <w:r>
                    <w:rPr>
                      <w:spacing w:val="-3"/>
                      <w:sz w:val="20"/>
                      <w:szCs w:val="20"/>
                    </w:rPr>
                    <w:t>收到基养含量</w:t>
                  </w:r>
                  <w:r>
                    <w:rPr>
                      <w:spacing w:val="-38"/>
                      <w:sz w:val="20"/>
                      <w:szCs w:val="20"/>
                    </w:rPr>
                    <w:t xml:space="preserve"> </w:t>
                  </w:r>
                  <w:r>
                    <w:rPr>
                      <w:rFonts w:ascii="Times New Roman" w:hAnsi="Times New Roman" w:eastAsia="Times New Roman" w:cs="Times New Roman"/>
                      <w:spacing w:val="-3"/>
                      <w:sz w:val="20"/>
                      <w:szCs w:val="20"/>
                    </w:rPr>
                    <w:t>Oar</w:t>
                  </w:r>
                </w:p>
              </w:tc>
              <w:tc>
                <w:tcPr>
                  <w:tcW w:w="2451" w:type="dxa"/>
                  <w:vAlign w:val="top"/>
                </w:tcPr>
                <w:p w14:paraId="178862D0">
                  <w:pPr>
                    <w:pStyle w:val="6"/>
                    <w:spacing w:before="30" w:line="205" w:lineRule="auto"/>
                    <w:ind w:left="722"/>
                    <w:rPr>
                      <w:sz w:val="20"/>
                      <w:szCs w:val="20"/>
                    </w:rPr>
                  </w:pPr>
                  <w:r>
                    <w:rPr>
                      <w:rFonts w:ascii="Times New Roman" w:hAnsi="Times New Roman" w:eastAsia="Times New Roman" w:cs="Times New Roman"/>
                      <w:spacing w:val="-1"/>
                      <w:sz w:val="20"/>
                      <w:szCs w:val="20"/>
                    </w:rPr>
                    <w:t>37.36</w:t>
                  </w:r>
                  <w:r>
                    <w:rPr>
                      <w:rFonts w:hint="eastAsia" w:ascii="Times New Roman" w:hAnsi="Times New Roman" w:eastAsia="宋体" w:cs="Times New Roman"/>
                      <w:spacing w:val="-1"/>
                      <w:sz w:val="20"/>
                      <w:szCs w:val="20"/>
                      <w:lang w:eastAsia="zh-CN"/>
                    </w:rPr>
                    <w:t>(</w:t>
                  </w:r>
                  <w:r>
                    <w:rPr>
                      <w:rFonts w:ascii="Times New Roman" w:hAnsi="Times New Roman" w:eastAsia="Times New Roman" w:cs="Times New Roman"/>
                      <w:spacing w:val="-1"/>
                      <w:sz w:val="20"/>
                      <w:szCs w:val="20"/>
                    </w:rPr>
                    <w:t>%</w:t>
                  </w:r>
                  <w:r>
                    <w:rPr>
                      <w:rFonts w:hint="eastAsia" w:ascii="Times New Roman" w:hAnsi="Times New Roman" w:eastAsia="宋体" w:cs="Times New Roman"/>
                      <w:spacing w:val="-1"/>
                      <w:sz w:val="20"/>
                      <w:szCs w:val="20"/>
                      <w:lang w:eastAsia="zh-CN"/>
                    </w:rPr>
                    <w:t>)</w:t>
                  </w:r>
                </w:p>
              </w:tc>
            </w:tr>
            <w:tr w14:paraId="6EB4D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758" w:type="dxa"/>
                  <w:vAlign w:val="top"/>
                </w:tcPr>
                <w:p w14:paraId="6D7BCB9D">
                  <w:pPr>
                    <w:spacing w:before="65" w:line="198" w:lineRule="auto"/>
                    <w:ind w:left="299"/>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10</w:t>
                  </w:r>
                </w:p>
              </w:tc>
              <w:tc>
                <w:tcPr>
                  <w:tcW w:w="4134" w:type="dxa"/>
                  <w:gridSpan w:val="2"/>
                  <w:vAlign w:val="top"/>
                </w:tcPr>
                <w:p w14:paraId="261F0A46">
                  <w:pPr>
                    <w:pStyle w:val="6"/>
                    <w:spacing w:before="31" w:line="206" w:lineRule="auto"/>
                    <w:ind w:left="1303"/>
                    <w:rPr>
                      <w:rFonts w:ascii="Times New Roman" w:hAnsi="Times New Roman" w:eastAsia="Times New Roman" w:cs="Times New Roman"/>
                      <w:sz w:val="20"/>
                      <w:szCs w:val="20"/>
                    </w:rPr>
                  </w:pPr>
                  <w:r>
                    <w:rPr>
                      <w:spacing w:val="-2"/>
                      <w:sz w:val="20"/>
                      <w:szCs w:val="20"/>
                    </w:rPr>
                    <w:t>收到基氮含量</w:t>
                  </w:r>
                  <w:r>
                    <w:rPr>
                      <w:spacing w:val="-47"/>
                      <w:sz w:val="20"/>
                      <w:szCs w:val="20"/>
                    </w:rPr>
                    <w:t xml:space="preserve"> </w:t>
                  </w:r>
                  <w:r>
                    <w:rPr>
                      <w:rFonts w:ascii="Times New Roman" w:hAnsi="Times New Roman" w:eastAsia="Times New Roman" w:cs="Times New Roman"/>
                      <w:spacing w:val="-2"/>
                      <w:sz w:val="20"/>
                      <w:szCs w:val="20"/>
                    </w:rPr>
                    <w:t>Nar</w:t>
                  </w:r>
                </w:p>
              </w:tc>
              <w:tc>
                <w:tcPr>
                  <w:tcW w:w="2451" w:type="dxa"/>
                  <w:vAlign w:val="top"/>
                </w:tcPr>
                <w:p w14:paraId="46256F5D">
                  <w:pPr>
                    <w:pStyle w:val="6"/>
                    <w:spacing w:before="31" w:line="206" w:lineRule="auto"/>
                    <w:ind w:left="767"/>
                    <w:rPr>
                      <w:sz w:val="20"/>
                      <w:szCs w:val="20"/>
                    </w:rPr>
                  </w:pPr>
                  <w:r>
                    <w:rPr>
                      <w:rFonts w:ascii="Times New Roman" w:hAnsi="Times New Roman" w:eastAsia="Times New Roman" w:cs="Times New Roman"/>
                      <w:spacing w:val="-1"/>
                      <w:sz w:val="20"/>
                      <w:szCs w:val="20"/>
                    </w:rPr>
                    <w:t>2.43</w:t>
                  </w:r>
                  <w:r>
                    <w:rPr>
                      <w:rFonts w:hint="eastAsia" w:ascii="Times New Roman" w:hAnsi="Times New Roman" w:eastAsia="宋体" w:cs="Times New Roman"/>
                      <w:spacing w:val="-1"/>
                      <w:sz w:val="20"/>
                      <w:szCs w:val="20"/>
                      <w:lang w:eastAsia="zh-CN"/>
                    </w:rPr>
                    <w:t>(</w:t>
                  </w:r>
                  <w:r>
                    <w:rPr>
                      <w:rFonts w:ascii="Times New Roman" w:hAnsi="Times New Roman" w:eastAsia="Times New Roman" w:cs="Times New Roman"/>
                      <w:spacing w:val="-1"/>
                      <w:sz w:val="20"/>
                      <w:szCs w:val="20"/>
                    </w:rPr>
                    <w:t>%</w:t>
                  </w:r>
                  <w:r>
                    <w:rPr>
                      <w:rFonts w:hint="eastAsia" w:ascii="Times New Roman" w:hAnsi="Times New Roman" w:eastAsia="宋体" w:cs="Times New Roman"/>
                      <w:spacing w:val="-1"/>
                      <w:sz w:val="20"/>
                      <w:szCs w:val="20"/>
                      <w:lang w:eastAsia="zh-CN"/>
                    </w:rPr>
                    <w:t>)</w:t>
                  </w:r>
                </w:p>
              </w:tc>
            </w:tr>
            <w:tr w14:paraId="6DBBE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758" w:type="dxa"/>
                  <w:vAlign w:val="top"/>
                </w:tcPr>
                <w:p w14:paraId="0EBCFB63">
                  <w:pPr>
                    <w:spacing w:before="65" w:line="196" w:lineRule="auto"/>
                    <w:ind w:left="30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11</w:t>
                  </w:r>
                </w:p>
              </w:tc>
              <w:tc>
                <w:tcPr>
                  <w:tcW w:w="2055" w:type="dxa"/>
                  <w:vMerge w:val="restart"/>
                  <w:tcBorders>
                    <w:bottom w:val="nil"/>
                  </w:tcBorders>
                  <w:vAlign w:val="top"/>
                </w:tcPr>
                <w:p w14:paraId="409CB3BD">
                  <w:pPr>
                    <w:pStyle w:val="6"/>
                    <w:spacing w:before="300" w:line="220" w:lineRule="auto"/>
                    <w:ind w:left="836"/>
                    <w:rPr>
                      <w:sz w:val="20"/>
                      <w:szCs w:val="20"/>
                    </w:rPr>
                  </w:pPr>
                  <w:r>
                    <w:rPr>
                      <w:spacing w:val="-3"/>
                      <w:sz w:val="20"/>
                      <w:szCs w:val="20"/>
                    </w:rPr>
                    <w:t>原样</w:t>
                  </w:r>
                </w:p>
              </w:tc>
              <w:tc>
                <w:tcPr>
                  <w:tcW w:w="2079" w:type="dxa"/>
                  <w:vAlign w:val="top"/>
                </w:tcPr>
                <w:p w14:paraId="4B351AC2">
                  <w:pPr>
                    <w:pStyle w:val="6"/>
                    <w:spacing w:before="32" w:line="204" w:lineRule="auto"/>
                    <w:ind w:left="274"/>
                    <w:rPr>
                      <w:rFonts w:ascii="Times New Roman" w:hAnsi="Times New Roman" w:eastAsia="Times New Roman" w:cs="Times New Roman"/>
                      <w:sz w:val="20"/>
                      <w:szCs w:val="20"/>
                    </w:rPr>
                  </w:pPr>
                  <w:r>
                    <w:rPr>
                      <w:spacing w:val="-2"/>
                      <w:sz w:val="20"/>
                      <w:szCs w:val="20"/>
                    </w:rPr>
                    <w:t>干燥基氯含量</w:t>
                  </w:r>
                  <w:r>
                    <w:rPr>
                      <w:spacing w:val="-40"/>
                      <w:sz w:val="20"/>
                      <w:szCs w:val="20"/>
                    </w:rPr>
                    <w:t xml:space="preserve"> </w:t>
                  </w:r>
                  <w:r>
                    <w:rPr>
                      <w:rFonts w:ascii="Times New Roman" w:hAnsi="Times New Roman" w:eastAsia="Times New Roman" w:cs="Times New Roman"/>
                      <w:spacing w:val="-2"/>
                      <w:sz w:val="20"/>
                      <w:szCs w:val="20"/>
                    </w:rPr>
                    <w:t>Cld</w:t>
                  </w:r>
                </w:p>
              </w:tc>
              <w:tc>
                <w:tcPr>
                  <w:tcW w:w="2451" w:type="dxa"/>
                  <w:vAlign w:val="top"/>
                </w:tcPr>
                <w:p w14:paraId="6F4D4B27">
                  <w:pPr>
                    <w:pStyle w:val="6"/>
                    <w:spacing w:before="32" w:line="204" w:lineRule="auto"/>
                    <w:ind w:left="770"/>
                    <w:rPr>
                      <w:sz w:val="20"/>
                      <w:szCs w:val="20"/>
                    </w:rPr>
                  </w:pPr>
                  <w:r>
                    <w:rPr>
                      <w:rFonts w:ascii="Times New Roman" w:hAnsi="Times New Roman" w:eastAsia="Times New Roman" w:cs="Times New Roman"/>
                      <w:spacing w:val="-1"/>
                      <w:sz w:val="20"/>
                      <w:szCs w:val="20"/>
                    </w:rPr>
                    <w:t>0.17</w:t>
                  </w:r>
                  <w:r>
                    <w:rPr>
                      <w:rFonts w:hint="eastAsia" w:ascii="Times New Roman" w:hAnsi="Times New Roman" w:eastAsia="宋体" w:cs="Times New Roman"/>
                      <w:spacing w:val="-1"/>
                      <w:sz w:val="20"/>
                      <w:szCs w:val="20"/>
                      <w:lang w:eastAsia="zh-CN"/>
                    </w:rPr>
                    <w:t>(</w:t>
                  </w:r>
                  <w:r>
                    <w:rPr>
                      <w:rFonts w:ascii="Times New Roman" w:hAnsi="Times New Roman" w:eastAsia="Times New Roman" w:cs="Times New Roman"/>
                      <w:spacing w:val="-1"/>
                      <w:sz w:val="20"/>
                      <w:szCs w:val="20"/>
                    </w:rPr>
                    <w:t>%</w:t>
                  </w:r>
                  <w:r>
                    <w:rPr>
                      <w:rFonts w:hint="eastAsia" w:ascii="Times New Roman" w:hAnsi="Times New Roman" w:eastAsia="宋体" w:cs="Times New Roman"/>
                      <w:spacing w:val="-1"/>
                      <w:sz w:val="20"/>
                      <w:szCs w:val="20"/>
                      <w:lang w:eastAsia="zh-CN"/>
                    </w:rPr>
                    <w:t>)</w:t>
                  </w:r>
                </w:p>
              </w:tc>
            </w:tr>
            <w:tr w14:paraId="34246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758" w:type="dxa"/>
                  <w:vAlign w:val="top"/>
                </w:tcPr>
                <w:p w14:paraId="6BA2964B">
                  <w:pPr>
                    <w:spacing w:before="66" w:line="197" w:lineRule="auto"/>
                    <w:ind w:left="299"/>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12</w:t>
                  </w:r>
                </w:p>
              </w:tc>
              <w:tc>
                <w:tcPr>
                  <w:tcW w:w="2055" w:type="dxa"/>
                  <w:vMerge w:val="continue"/>
                  <w:tcBorders>
                    <w:top w:val="nil"/>
                    <w:bottom w:val="nil"/>
                  </w:tcBorders>
                  <w:vAlign w:val="top"/>
                </w:tcPr>
                <w:p w14:paraId="2BEE15AD">
                  <w:pPr>
                    <w:rPr>
                      <w:rFonts w:ascii="Arial"/>
                      <w:sz w:val="21"/>
                    </w:rPr>
                  </w:pPr>
                </w:p>
              </w:tc>
              <w:tc>
                <w:tcPr>
                  <w:tcW w:w="2079" w:type="dxa"/>
                  <w:vAlign w:val="top"/>
                </w:tcPr>
                <w:p w14:paraId="75D603F1">
                  <w:pPr>
                    <w:pStyle w:val="6"/>
                    <w:spacing w:before="32" w:line="205" w:lineRule="auto"/>
                    <w:ind w:left="846"/>
                    <w:rPr>
                      <w:rFonts w:ascii="Times New Roman" w:hAnsi="Times New Roman" w:eastAsia="Times New Roman" w:cs="Times New Roman"/>
                      <w:sz w:val="20"/>
                      <w:szCs w:val="20"/>
                    </w:rPr>
                  </w:pPr>
                  <w:r>
                    <w:rPr>
                      <w:spacing w:val="-4"/>
                      <w:sz w:val="20"/>
                      <w:szCs w:val="20"/>
                    </w:rPr>
                    <w:t>钾</w:t>
                  </w:r>
                  <w:r>
                    <w:rPr>
                      <w:spacing w:val="-47"/>
                      <w:sz w:val="20"/>
                      <w:szCs w:val="20"/>
                    </w:rPr>
                    <w:t xml:space="preserve"> </w:t>
                  </w:r>
                  <w:r>
                    <w:rPr>
                      <w:rFonts w:ascii="Times New Roman" w:hAnsi="Times New Roman" w:eastAsia="Times New Roman" w:cs="Times New Roman"/>
                      <w:spacing w:val="-4"/>
                      <w:sz w:val="20"/>
                      <w:szCs w:val="20"/>
                    </w:rPr>
                    <w:t>K</w:t>
                  </w:r>
                </w:p>
              </w:tc>
              <w:tc>
                <w:tcPr>
                  <w:tcW w:w="2451" w:type="dxa"/>
                  <w:vAlign w:val="top"/>
                </w:tcPr>
                <w:p w14:paraId="0C169650">
                  <w:pPr>
                    <w:pStyle w:val="6"/>
                    <w:spacing w:before="32" w:line="205" w:lineRule="auto"/>
                    <w:ind w:left="770"/>
                    <w:rPr>
                      <w:sz w:val="20"/>
                      <w:szCs w:val="20"/>
                    </w:rPr>
                  </w:pPr>
                  <w:r>
                    <w:rPr>
                      <w:rFonts w:ascii="Times New Roman" w:hAnsi="Times New Roman" w:eastAsia="Times New Roman" w:cs="Times New Roman"/>
                      <w:spacing w:val="-1"/>
                      <w:sz w:val="20"/>
                      <w:szCs w:val="20"/>
                    </w:rPr>
                    <w:t>0.12</w:t>
                  </w:r>
                  <w:r>
                    <w:rPr>
                      <w:rFonts w:hint="eastAsia" w:ascii="Times New Roman" w:hAnsi="Times New Roman" w:eastAsia="宋体" w:cs="Times New Roman"/>
                      <w:spacing w:val="-1"/>
                      <w:sz w:val="20"/>
                      <w:szCs w:val="20"/>
                      <w:lang w:eastAsia="zh-CN"/>
                    </w:rPr>
                    <w:t>(</w:t>
                  </w:r>
                  <w:r>
                    <w:rPr>
                      <w:rFonts w:ascii="Times New Roman" w:hAnsi="Times New Roman" w:eastAsia="Times New Roman" w:cs="Times New Roman"/>
                      <w:spacing w:val="-1"/>
                      <w:sz w:val="20"/>
                      <w:szCs w:val="20"/>
                    </w:rPr>
                    <w:t>%</w:t>
                  </w:r>
                  <w:r>
                    <w:rPr>
                      <w:rFonts w:hint="eastAsia" w:ascii="Times New Roman" w:hAnsi="Times New Roman" w:eastAsia="宋体" w:cs="Times New Roman"/>
                      <w:spacing w:val="-1"/>
                      <w:sz w:val="20"/>
                      <w:szCs w:val="20"/>
                      <w:lang w:eastAsia="zh-CN"/>
                    </w:rPr>
                    <w:t>)</w:t>
                  </w:r>
                </w:p>
              </w:tc>
            </w:tr>
            <w:tr w14:paraId="131D1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758" w:type="dxa"/>
                  <w:vAlign w:val="top"/>
                </w:tcPr>
                <w:p w14:paraId="5260CC5A">
                  <w:pPr>
                    <w:spacing w:before="66" w:line="196" w:lineRule="auto"/>
                    <w:ind w:left="299"/>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13</w:t>
                  </w:r>
                </w:p>
              </w:tc>
              <w:tc>
                <w:tcPr>
                  <w:tcW w:w="2055" w:type="dxa"/>
                  <w:vMerge w:val="continue"/>
                  <w:tcBorders>
                    <w:top w:val="nil"/>
                  </w:tcBorders>
                  <w:vAlign w:val="top"/>
                </w:tcPr>
                <w:p w14:paraId="1F45F7E1">
                  <w:pPr>
                    <w:rPr>
                      <w:rFonts w:ascii="Arial"/>
                      <w:sz w:val="21"/>
                    </w:rPr>
                  </w:pPr>
                </w:p>
              </w:tc>
              <w:tc>
                <w:tcPr>
                  <w:tcW w:w="2079" w:type="dxa"/>
                  <w:vAlign w:val="top"/>
                </w:tcPr>
                <w:p w14:paraId="5E079E29">
                  <w:pPr>
                    <w:pStyle w:val="6"/>
                    <w:spacing w:before="33" w:line="204" w:lineRule="auto"/>
                    <w:ind w:left="801"/>
                    <w:rPr>
                      <w:rFonts w:ascii="Times New Roman" w:hAnsi="Times New Roman" w:eastAsia="Times New Roman" w:cs="Times New Roman"/>
                      <w:sz w:val="20"/>
                      <w:szCs w:val="20"/>
                    </w:rPr>
                  </w:pPr>
                  <w:r>
                    <w:rPr>
                      <w:spacing w:val="-2"/>
                      <w:sz w:val="20"/>
                      <w:szCs w:val="20"/>
                    </w:rPr>
                    <w:t>钠</w:t>
                  </w:r>
                  <w:r>
                    <w:rPr>
                      <w:spacing w:val="-51"/>
                      <w:sz w:val="20"/>
                      <w:szCs w:val="20"/>
                    </w:rPr>
                    <w:t xml:space="preserve"> </w:t>
                  </w:r>
                  <w:r>
                    <w:rPr>
                      <w:rFonts w:ascii="Times New Roman" w:hAnsi="Times New Roman" w:eastAsia="Times New Roman" w:cs="Times New Roman"/>
                      <w:spacing w:val="-2"/>
                      <w:sz w:val="20"/>
                      <w:szCs w:val="20"/>
                    </w:rPr>
                    <w:t>Na</w:t>
                  </w:r>
                </w:p>
              </w:tc>
              <w:tc>
                <w:tcPr>
                  <w:tcW w:w="2451" w:type="dxa"/>
                  <w:vAlign w:val="top"/>
                </w:tcPr>
                <w:p w14:paraId="5343C4EE">
                  <w:pPr>
                    <w:pStyle w:val="6"/>
                    <w:spacing w:before="33" w:line="204" w:lineRule="auto"/>
                    <w:ind w:left="721"/>
                    <w:rPr>
                      <w:sz w:val="20"/>
                      <w:szCs w:val="20"/>
                    </w:rPr>
                  </w:pPr>
                  <w:r>
                    <w:rPr>
                      <w:rFonts w:ascii="Times New Roman" w:hAnsi="Times New Roman" w:eastAsia="Times New Roman" w:cs="Times New Roman"/>
                      <w:spacing w:val="-1"/>
                      <w:sz w:val="20"/>
                      <w:szCs w:val="20"/>
                    </w:rPr>
                    <w:t>0.069</w:t>
                  </w:r>
                  <w:r>
                    <w:rPr>
                      <w:rFonts w:hint="eastAsia" w:ascii="Times New Roman" w:hAnsi="Times New Roman" w:eastAsia="宋体" w:cs="Times New Roman"/>
                      <w:spacing w:val="-1"/>
                      <w:sz w:val="20"/>
                      <w:szCs w:val="20"/>
                      <w:lang w:eastAsia="zh-CN"/>
                    </w:rPr>
                    <w:t>(</w:t>
                  </w:r>
                  <w:r>
                    <w:rPr>
                      <w:rFonts w:ascii="Times New Roman" w:hAnsi="Times New Roman" w:eastAsia="Times New Roman" w:cs="Times New Roman"/>
                      <w:spacing w:val="-1"/>
                      <w:sz w:val="20"/>
                      <w:szCs w:val="20"/>
                    </w:rPr>
                    <w:t>%</w:t>
                  </w:r>
                  <w:r>
                    <w:rPr>
                      <w:rFonts w:hint="eastAsia" w:ascii="Times New Roman" w:hAnsi="Times New Roman" w:eastAsia="宋体" w:cs="Times New Roman"/>
                      <w:spacing w:val="-1"/>
                      <w:sz w:val="20"/>
                      <w:szCs w:val="20"/>
                      <w:lang w:eastAsia="zh-CN"/>
                    </w:rPr>
                    <w:t>)</w:t>
                  </w:r>
                </w:p>
              </w:tc>
            </w:tr>
            <w:tr w14:paraId="4292B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758" w:type="dxa"/>
                  <w:vAlign w:val="top"/>
                </w:tcPr>
                <w:p w14:paraId="154220D8">
                  <w:pPr>
                    <w:spacing w:before="66" w:line="197" w:lineRule="auto"/>
                    <w:ind w:left="299"/>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14</w:t>
                  </w:r>
                </w:p>
              </w:tc>
              <w:tc>
                <w:tcPr>
                  <w:tcW w:w="2055" w:type="dxa"/>
                  <w:vMerge w:val="restart"/>
                  <w:tcBorders>
                    <w:bottom w:val="nil"/>
                  </w:tcBorders>
                  <w:vAlign w:val="top"/>
                </w:tcPr>
                <w:p w14:paraId="0A75E550">
                  <w:pPr>
                    <w:pStyle w:val="6"/>
                    <w:spacing w:before="302" w:line="220" w:lineRule="auto"/>
                    <w:ind w:left="732"/>
                    <w:rPr>
                      <w:sz w:val="20"/>
                      <w:szCs w:val="20"/>
                    </w:rPr>
                  </w:pPr>
                  <w:r>
                    <w:rPr>
                      <w:spacing w:val="-2"/>
                      <w:sz w:val="20"/>
                      <w:szCs w:val="20"/>
                    </w:rPr>
                    <w:t>灰成分</w:t>
                  </w:r>
                </w:p>
              </w:tc>
              <w:tc>
                <w:tcPr>
                  <w:tcW w:w="2079" w:type="dxa"/>
                  <w:vAlign w:val="top"/>
                </w:tcPr>
                <w:p w14:paraId="72974C36">
                  <w:pPr>
                    <w:pStyle w:val="6"/>
                    <w:spacing w:before="32" w:line="205" w:lineRule="auto"/>
                    <w:ind w:left="828"/>
                    <w:rPr>
                      <w:rFonts w:ascii="Times New Roman" w:hAnsi="Times New Roman" w:eastAsia="Times New Roman" w:cs="Times New Roman"/>
                      <w:sz w:val="20"/>
                      <w:szCs w:val="20"/>
                    </w:rPr>
                  </w:pPr>
                  <w:r>
                    <w:rPr>
                      <w:spacing w:val="-6"/>
                      <w:sz w:val="20"/>
                      <w:szCs w:val="20"/>
                    </w:rPr>
                    <w:t>氯</w:t>
                  </w:r>
                  <w:r>
                    <w:rPr>
                      <w:spacing w:val="-42"/>
                      <w:sz w:val="20"/>
                      <w:szCs w:val="20"/>
                    </w:rPr>
                    <w:t xml:space="preserve"> </w:t>
                  </w:r>
                  <w:r>
                    <w:rPr>
                      <w:rFonts w:ascii="Times New Roman" w:hAnsi="Times New Roman" w:eastAsia="Times New Roman" w:cs="Times New Roman"/>
                      <w:spacing w:val="-6"/>
                      <w:sz w:val="20"/>
                      <w:szCs w:val="20"/>
                    </w:rPr>
                    <w:t>Cl</w:t>
                  </w:r>
                </w:p>
              </w:tc>
              <w:tc>
                <w:tcPr>
                  <w:tcW w:w="2451" w:type="dxa"/>
                  <w:vAlign w:val="top"/>
                </w:tcPr>
                <w:p w14:paraId="7B4C9E45">
                  <w:pPr>
                    <w:pStyle w:val="6"/>
                    <w:spacing w:before="32" w:line="205" w:lineRule="auto"/>
                    <w:ind w:left="772"/>
                    <w:rPr>
                      <w:sz w:val="20"/>
                      <w:szCs w:val="20"/>
                    </w:rPr>
                  </w:pPr>
                  <w:r>
                    <w:rPr>
                      <w:rFonts w:ascii="Times New Roman" w:hAnsi="Times New Roman" w:eastAsia="Times New Roman" w:cs="Times New Roman"/>
                      <w:spacing w:val="-2"/>
                      <w:sz w:val="20"/>
                      <w:szCs w:val="20"/>
                    </w:rPr>
                    <w:t>5.15</w:t>
                  </w:r>
                  <w:r>
                    <w:rPr>
                      <w:rFonts w:hint="eastAsia" w:ascii="Times New Roman" w:hAnsi="Times New Roman" w:eastAsia="宋体" w:cs="Times New Roman"/>
                      <w:spacing w:val="-2"/>
                      <w:sz w:val="20"/>
                      <w:szCs w:val="20"/>
                      <w:lang w:eastAsia="zh-CN"/>
                    </w:rPr>
                    <w:t>(</w:t>
                  </w:r>
                  <w:r>
                    <w:rPr>
                      <w:rFonts w:ascii="Times New Roman" w:hAnsi="Times New Roman" w:eastAsia="Times New Roman" w:cs="Times New Roman"/>
                      <w:spacing w:val="-2"/>
                      <w:sz w:val="20"/>
                      <w:szCs w:val="20"/>
                    </w:rPr>
                    <w:t>%</w:t>
                  </w:r>
                  <w:r>
                    <w:rPr>
                      <w:rFonts w:hint="eastAsia" w:ascii="Times New Roman" w:hAnsi="Times New Roman" w:eastAsia="宋体" w:cs="Times New Roman"/>
                      <w:spacing w:val="-2"/>
                      <w:sz w:val="20"/>
                      <w:szCs w:val="20"/>
                      <w:lang w:eastAsia="zh-CN"/>
                    </w:rPr>
                    <w:t>)</w:t>
                  </w:r>
                </w:p>
              </w:tc>
            </w:tr>
            <w:tr w14:paraId="372C9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758" w:type="dxa"/>
                  <w:vAlign w:val="top"/>
                </w:tcPr>
                <w:p w14:paraId="03FAB7B5">
                  <w:pPr>
                    <w:spacing w:before="66" w:line="195" w:lineRule="auto"/>
                    <w:ind w:left="299"/>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15</w:t>
                  </w:r>
                </w:p>
              </w:tc>
              <w:tc>
                <w:tcPr>
                  <w:tcW w:w="2055" w:type="dxa"/>
                  <w:vMerge w:val="continue"/>
                  <w:tcBorders>
                    <w:top w:val="nil"/>
                    <w:bottom w:val="nil"/>
                  </w:tcBorders>
                  <w:vAlign w:val="top"/>
                </w:tcPr>
                <w:p w14:paraId="1238E1DB">
                  <w:pPr>
                    <w:rPr>
                      <w:rFonts w:ascii="Arial"/>
                      <w:sz w:val="21"/>
                    </w:rPr>
                  </w:pPr>
                </w:p>
              </w:tc>
              <w:tc>
                <w:tcPr>
                  <w:tcW w:w="2079" w:type="dxa"/>
                  <w:vAlign w:val="top"/>
                </w:tcPr>
                <w:p w14:paraId="4F3EDD57">
                  <w:pPr>
                    <w:pStyle w:val="6"/>
                    <w:spacing w:before="33" w:line="203" w:lineRule="auto"/>
                    <w:ind w:left="846"/>
                    <w:rPr>
                      <w:rFonts w:ascii="Times New Roman" w:hAnsi="Times New Roman" w:eastAsia="Times New Roman" w:cs="Times New Roman"/>
                      <w:sz w:val="20"/>
                      <w:szCs w:val="20"/>
                    </w:rPr>
                  </w:pPr>
                  <w:r>
                    <w:rPr>
                      <w:spacing w:val="-4"/>
                      <w:sz w:val="20"/>
                      <w:szCs w:val="20"/>
                    </w:rPr>
                    <w:t>钾</w:t>
                  </w:r>
                  <w:r>
                    <w:rPr>
                      <w:spacing w:val="-47"/>
                      <w:sz w:val="20"/>
                      <w:szCs w:val="20"/>
                    </w:rPr>
                    <w:t xml:space="preserve"> </w:t>
                  </w:r>
                  <w:r>
                    <w:rPr>
                      <w:rFonts w:ascii="Times New Roman" w:hAnsi="Times New Roman" w:eastAsia="Times New Roman" w:cs="Times New Roman"/>
                      <w:spacing w:val="-4"/>
                      <w:sz w:val="20"/>
                      <w:szCs w:val="20"/>
                    </w:rPr>
                    <w:t>K</w:t>
                  </w:r>
                </w:p>
              </w:tc>
              <w:tc>
                <w:tcPr>
                  <w:tcW w:w="2451" w:type="dxa"/>
                  <w:vAlign w:val="top"/>
                </w:tcPr>
                <w:p w14:paraId="1F497AC6">
                  <w:pPr>
                    <w:pStyle w:val="6"/>
                    <w:spacing w:before="33" w:line="203" w:lineRule="auto"/>
                    <w:ind w:left="766"/>
                    <w:rPr>
                      <w:sz w:val="20"/>
                      <w:szCs w:val="20"/>
                    </w:rPr>
                  </w:pPr>
                  <w:r>
                    <w:rPr>
                      <w:rFonts w:ascii="Times New Roman" w:hAnsi="Times New Roman" w:eastAsia="Times New Roman" w:cs="Times New Roman"/>
                      <w:spacing w:val="-1"/>
                      <w:sz w:val="20"/>
                      <w:szCs w:val="20"/>
                    </w:rPr>
                    <w:t>4.09</w:t>
                  </w:r>
                  <w:r>
                    <w:rPr>
                      <w:rFonts w:hint="eastAsia" w:ascii="Times New Roman" w:hAnsi="Times New Roman" w:eastAsia="宋体" w:cs="Times New Roman"/>
                      <w:spacing w:val="-1"/>
                      <w:sz w:val="20"/>
                      <w:szCs w:val="20"/>
                      <w:lang w:eastAsia="zh-CN"/>
                    </w:rPr>
                    <w:t>(</w:t>
                  </w:r>
                  <w:r>
                    <w:rPr>
                      <w:rFonts w:ascii="Times New Roman" w:hAnsi="Times New Roman" w:eastAsia="Times New Roman" w:cs="Times New Roman"/>
                      <w:spacing w:val="-1"/>
                      <w:sz w:val="20"/>
                      <w:szCs w:val="20"/>
                    </w:rPr>
                    <w:t>%</w:t>
                  </w:r>
                  <w:r>
                    <w:rPr>
                      <w:rFonts w:hint="eastAsia" w:ascii="Times New Roman" w:hAnsi="Times New Roman" w:eastAsia="宋体" w:cs="Times New Roman"/>
                      <w:spacing w:val="-1"/>
                      <w:sz w:val="20"/>
                      <w:szCs w:val="20"/>
                      <w:lang w:eastAsia="zh-CN"/>
                    </w:rPr>
                    <w:t>)</w:t>
                  </w:r>
                </w:p>
              </w:tc>
            </w:tr>
            <w:tr w14:paraId="7A0F6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758" w:type="dxa"/>
                  <w:vAlign w:val="top"/>
                </w:tcPr>
                <w:p w14:paraId="38CBB401">
                  <w:pPr>
                    <w:spacing w:before="67" w:line="200" w:lineRule="auto"/>
                    <w:ind w:left="299"/>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16</w:t>
                  </w:r>
                </w:p>
              </w:tc>
              <w:tc>
                <w:tcPr>
                  <w:tcW w:w="2055" w:type="dxa"/>
                  <w:vMerge w:val="continue"/>
                  <w:tcBorders>
                    <w:top w:val="nil"/>
                  </w:tcBorders>
                  <w:vAlign w:val="top"/>
                </w:tcPr>
                <w:p w14:paraId="06139B7C">
                  <w:pPr>
                    <w:rPr>
                      <w:rFonts w:ascii="Arial"/>
                      <w:sz w:val="21"/>
                    </w:rPr>
                  </w:pPr>
                </w:p>
              </w:tc>
              <w:tc>
                <w:tcPr>
                  <w:tcW w:w="2079" w:type="dxa"/>
                  <w:vAlign w:val="top"/>
                </w:tcPr>
                <w:p w14:paraId="75D8CA05">
                  <w:pPr>
                    <w:pStyle w:val="6"/>
                    <w:spacing w:before="33" w:line="208" w:lineRule="auto"/>
                    <w:ind w:left="801"/>
                    <w:rPr>
                      <w:rFonts w:ascii="Times New Roman" w:hAnsi="Times New Roman" w:eastAsia="Times New Roman" w:cs="Times New Roman"/>
                      <w:sz w:val="20"/>
                      <w:szCs w:val="20"/>
                    </w:rPr>
                  </w:pPr>
                  <w:r>
                    <w:rPr>
                      <w:spacing w:val="-2"/>
                      <w:sz w:val="20"/>
                      <w:szCs w:val="20"/>
                    </w:rPr>
                    <w:t>钠</w:t>
                  </w:r>
                  <w:r>
                    <w:rPr>
                      <w:spacing w:val="-51"/>
                      <w:sz w:val="20"/>
                      <w:szCs w:val="20"/>
                    </w:rPr>
                    <w:t xml:space="preserve"> </w:t>
                  </w:r>
                  <w:r>
                    <w:rPr>
                      <w:rFonts w:ascii="Times New Roman" w:hAnsi="Times New Roman" w:eastAsia="Times New Roman" w:cs="Times New Roman"/>
                      <w:spacing w:val="-2"/>
                      <w:sz w:val="20"/>
                      <w:szCs w:val="20"/>
                    </w:rPr>
                    <w:t>Na</w:t>
                  </w:r>
                </w:p>
              </w:tc>
              <w:tc>
                <w:tcPr>
                  <w:tcW w:w="2451" w:type="dxa"/>
                  <w:vAlign w:val="top"/>
                </w:tcPr>
                <w:p w14:paraId="3E4377ED">
                  <w:pPr>
                    <w:pStyle w:val="6"/>
                    <w:spacing w:before="33" w:line="208" w:lineRule="auto"/>
                    <w:ind w:left="767"/>
                    <w:rPr>
                      <w:sz w:val="20"/>
                      <w:szCs w:val="20"/>
                    </w:rPr>
                  </w:pPr>
                  <w:r>
                    <w:rPr>
                      <w:rFonts w:ascii="Times New Roman" w:hAnsi="Times New Roman" w:eastAsia="Times New Roman" w:cs="Times New Roman"/>
                      <w:spacing w:val="-1"/>
                      <w:sz w:val="20"/>
                      <w:szCs w:val="20"/>
                    </w:rPr>
                    <w:t>2.47</w:t>
                  </w:r>
                  <w:r>
                    <w:rPr>
                      <w:rFonts w:hint="eastAsia" w:ascii="Times New Roman" w:hAnsi="Times New Roman" w:eastAsia="宋体" w:cs="Times New Roman"/>
                      <w:spacing w:val="-1"/>
                      <w:sz w:val="20"/>
                      <w:szCs w:val="20"/>
                      <w:lang w:eastAsia="zh-CN"/>
                    </w:rPr>
                    <w:t>(</w:t>
                  </w:r>
                  <w:r>
                    <w:rPr>
                      <w:rFonts w:ascii="Times New Roman" w:hAnsi="Times New Roman" w:eastAsia="Times New Roman" w:cs="Times New Roman"/>
                      <w:spacing w:val="-1"/>
                      <w:sz w:val="20"/>
                      <w:szCs w:val="20"/>
                    </w:rPr>
                    <w:t>%</w:t>
                  </w:r>
                  <w:r>
                    <w:rPr>
                      <w:rFonts w:hint="eastAsia" w:ascii="Times New Roman" w:hAnsi="Times New Roman" w:eastAsia="宋体" w:cs="Times New Roman"/>
                      <w:spacing w:val="-1"/>
                      <w:sz w:val="20"/>
                      <w:szCs w:val="20"/>
                      <w:lang w:eastAsia="zh-CN"/>
                    </w:rPr>
                    <w:t>)</w:t>
                  </w:r>
                </w:p>
              </w:tc>
            </w:tr>
          </w:tbl>
          <w:p w14:paraId="084AE4D8">
            <w:pPr>
              <w:pStyle w:val="6"/>
              <w:spacing w:before="139" w:line="220" w:lineRule="auto"/>
              <w:ind w:left="478"/>
            </w:pPr>
            <w:r>
              <w:rPr>
                <w:b/>
                <w:bCs/>
                <w:spacing w:val="-3"/>
              </w:rPr>
              <w:t>生物质成型燃料的用量计算：</w:t>
            </w:r>
          </w:p>
          <w:p w14:paraId="515EE14A">
            <w:pPr>
              <w:pStyle w:val="6"/>
              <w:spacing w:before="148" w:line="352" w:lineRule="auto"/>
              <w:ind w:left="50" w:right="49" w:firstLine="423"/>
              <w:jc w:val="both"/>
            </w:pPr>
            <w:r>
              <w:t>根据建设单位介绍，项目所采购的原材料具有一定的含水率</w:t>
            </w:r>
            <w:r>
              <w:rPr>
                <w:spacing w:val="-1"/>
              </w:rPr>
              <w:t>，由于来源不同其含水</w:t>
            </w:r>
            <w:r>
              <w:t xml:space="preserve"> 率也不尽相同。结合建设单位以往的生产经营，木业公司的松木边角料含</w:t>
            </w:r>
            <w:r>
              <w:rPr>
                <w:spacing w:val="-1"/>
              </w:rPr>
              <w:t>水率综合约在</w:t>
            </w:r>
            <w:r>
              <w:t xml:space="preserve"> </w:t>
            </w:r>
            <w:r>
              <w:rPr>
                <w:rFonts w:ascii="Times New Roman" w:hAnsi="Times New Roman" w:eastAsia="Times New Roman" w:cs="Times New Roman"/>
                <w:spacing w:val="-1"/>
              </w:rPr>
              <w:t>20%</w:t>
            </w:r>
            <w:r>
              <w:rPr>
                <w:spacing w:val="-1"/>
              </w:rPr>
              <w:t>左右。经破碎粉碎加工并烘干后，出来的干粉料含水率大约在</w:t>
            </w:r>
            <w:r>
              <w:rPr>
                <w:spacing w:val="-18"/>
              </w:rPr>
              <w:t xml:space="preserve"> </w:t>
            </w:r>
            <w:r>
              <w:rPr>
                <w:rFonts w:ascii="Times New Roman" w:hAnsi="Times New Roman" w:eastAsia="Times New Roman" w:cs="Times New Roman"/>
                <w:spacing w:val="-1"/>
              </w:rPr>
              <w:t>10%</w:t>
            </w:r>
            <w:r>
              <w:rPr>
                <w:spacing w:val="-1"/>
              </w:rPr>
              <w:t>左右。因此烘干</w:t>
            </w:r>
            <w:r>
              <w:t xml:space="preserve">  </w:t>
            </w:r>
            <w:r>
              <w:rPr>
                <w:spacing w:val="-7"/>
              </w:rPr>
              <w:t>环节热蒸发的水分约</w:t>
            </w:r>
            <w:r>
              <w:rPr>
                <w:spacing w:val="-13"/>
              </w:rPr>
              <w:t xml:space="preserve"> </w:t>
            </w:r>
            <w:r>
              <w:rPr>
                <w:rFonts w:ascii="Times New Roman" w:hAnsi="Times New Roman" w:eastAsia="Times New Roman" w:cs="Times New Roman"/>
                <w:spacing w:val="-7"/>
              </w:rPr>
              <w:t>10%</w:t>
            </w:r>
            <w:r>
              <w:rPr>
                <w:spacing w:val="-7"/>
              </w:rPr>
              <w:t>。查阅资料，</w:t>
            </w:r>
            <w:r>
              <w:rPr>
                <w:spacing w:val="56"/>
              </w:rPr>
              <w:t xml:space="preserve"> </w:t>
            </w:r>
            <w:r>
              <w:rPr>
                <w:spacing w:val="-7"/>
              </w:rPr>
              <w:t>蒸发</w:t>
            </w:r>
            <w:r>
              <w:rPr>
                <w:spacing w:val="-28"/>
              </w:rPr>
              <w:t xml:space="preserve"> </w:t>
            </w:r>
            <w:r>
              <w:rPr>
                <w:rFonts w:ascii="Times New Roman" w:hAnsi="Times New Roman" w:eastAsia="Times New Roman" w:cs="Times New Roman"/>
                <w:spacing w:val="-7"/>
              </w:rPr>
              <w:t>1m</w:t>
            </w:r>
            <w:r>
              <w:rPr>
                <w:rFonts w:ascii="Times New Roman" w:hAnsi="Times New Roman" w:eastAsia="Times New Roman" w:cs="Times New Roman"/>
                <w:spacing w:val="-7"/>
                <w:position w:val="7"/>
                <w:sz w:val="14"/>
                <w:szCs w:val="14"/>
              </w:rPr>
              <w:t>3</w:t>
            </w:r>
            <w:r>
              <w:rPr>
                <w:rFonts w:ascii="Times New Roman" w:hAnsi="Times New Roman" w:eastAsia="Times New Roman" w:cs="Times New Roman"/>
                <w:spacing w:val="10"/>
                <w:w w:val="102"/>
                <w:position w:val="7"/>
                <w:sz w:val="14"/>
                <w:szCs w:val="14"/>
              </w:rPr>
              <w:t xml:space="preserve"> </w:t>
            </w:r>
            <w:r>
              <w:rPr>
                <w:spacing w:val="-7"/>
              </w:rPr>
              <w:t>水需要热量约</w:t>
            </w:r>
            <w:r>
              <w:rPr>
                <w:spacing w:val="-42"/>
              </w:rPr>
              <w:t xml:space="preserve"> </w:t>
            </w:r>
            <w:r>
              <w:rPr>
                <w:rFonts w:ascii="Times New Roman" w:hAnsi="Times New Roman" w:eastAsia="Times New Roman" w:cs="Times New Roman"/>
                <w:spacing w:val="-7"/>
              </w:rPr>
              <w:t>56</w:t>
            </w:r>
            <w:r>
              <w:rPr>
                <w:rFonts w:ascii="Times New Roman" w:hAnsi="Times New Roman" w:eastAsia="Times New Roman" w:cs="Times New Roman"/>
                <w:spacing w:val="14"/>
              </w:rPr>
              <w:t xml:space="preserve"> </w:t>
            </w:r>
            <w:r>
              <w:rPr>
                <w:spacing w:val="-7"/>
              </w:rPr>
              <w:t>万大卡，</w:t>
            </w:r>
            <w:r>
              <w:rPr>
                <w:rFonts w:ascii="Times New Roman" w:hAnsi="Times New Roman" w:eastAsia="Times New Roman" w:cs="Times New Roman"/>
                <w:spacing w:val="-7"/>
              </w:rPr>
              <w:t>1</w:t>
            </w:r>
            <w:r>
              <w:rPr>
                <w:rFonts w:ascii="Times New Roman" w:hAnsi="Times New Roman" w:eastAsia="Times New Roman" w:cs="Times New Roman"/>
                <w:spacing w:val="16"/>
              </w:rPr>
              <w:t xml:space="preserve"> </w:t>
            </w:r>
            <w:r>
              <w:rPr>
                <w:spacing w:val="-7"/>
              </w:rPr>
              <w:t>公斤生物质</w:t>
            </w:r>
            <w:r>
              <w:t xml:space="preserve"> </w:t>
            </w:r>
            <w:r>
              <w:rPr>
                <w:spacing w:val="-2"/>
              </w:rPr>
              <w:t>成型燃料的热值大约在</w:t>
            </w:r>
            <w:r>
              <w:rPr>
                <w:spacing w:val="-38"/>
              </w:rPr>
              <w:t xml:space="preserve"> </w:t>
            </w:r>
            <w:r>
              <w:rPr>
                <w:rFonts w:ascii="Times New Roman" w:hAnsi="Times New Roman" w:eastAsia="Times New Roman" w:cs="Times New Roman"/>
                <w:spacing w:val="-2"/>
              </w:rPr>
              <w:t xml:space="preserve">4000 </w:t>
            </w:r>
            <w:r>
              <w:rPr>
                <w:spacing w:val="-2"/>
              </w:rPr>
              <w:t>大卡。</w:t>
            </w:r>
          </w:p>
          <w:p w14:paraId="3A56DF53">
            <w:pPr>
              <w:pStyle w:val="6"/>
              <w:spacing w:before="1" w:line="347" w:lineRule="auto"/>
              <w:ind w:left="71" w:right="119" w:firstLine="419"/>
            </w:pPr>
            <w:r>
              <w:rPr>
                <w:spacing w:val="-1"/>
              </w:rPr>
              <w:t>因此，通过上述数据参数可以计算得出，本项目湿粉料烘干过程，理论上所需燃烧</w:t>
            </w:r>
            <w:r>
              <w:rPr>
                <w:spacing w:val="10"/>
              </w:rPr>
              <w:t xml:space="preserve"> </w:t>
            </w:r>
            <w:r>
              <w:rPr>
                <w:spacing w:val="-2"/>
              </w:rPr>
              <w:t>的生物质成型燃料约</w:t>
            </w:r>
            <w:r>
              <w:rPr>
                <w:spacing w:val="-45"/>
              </w:rPr>
              <w:t xml:space="preserve"> </w:t>
            </w:r>
            <w:r>
              <w:rPr>
                <w:rFonts w:ascii="Times New Roman" w:hAnsi="Times New Roman" w:eastAsia="Times New Roman" w:cs="Times New Roman"/>
                <w:spacing w:val="-2"/>
              </w:rPr>
              <w:t>2366t/a</w:t>
            </w:r>
            <w:r>
              <w:rPr>
                <w:spacing w:val="-2"/>
              </w:rPr>
              <w:t>。</w:t>
            </w:r>
          </w:p>
          <w:p w14:paraId="64BD5616">
            <w:pPr>
              <w:spacing w:line="241" w:lineRule="auto"/>
              <w:ind w:left="55"/>
              <w:rPr>
                <w:rFonts w:ascii="黑体" w:hAnsi="黑体" w:eastAsia="黑体" w:cs="黑体"/>
                <w:sz w:val="21"/>
                <w:szCs w:val="21"/>
              </w:rPr>
            </w:pPr>
            <w:r>
              <w:rPr>
                <w:rFonts w:ascii="Times New Roman" w:hAnsi="Times New Roman" w:eastAsia="Times New Roman" w:cs="Times New Roman"/>
                <w:spacing w:val="7"/>
                <w:sz w:val="21"/>
                <w:szCs w:val="21"/>
              </w:rPr>
              <w:t>6</w:t>
            </w:r>
            <w:r>
              <w:rPr>
                <w:rFonts w:ascii="黑体" w:hAnsi="黑体" w:eastAsia="黑体" w:cs="黑体"/>
                <w:spacing w:val="7"/>
                <w:sz w:val="21"/>
                <w:szCs w:val="21"/>
              </w:rPr>
              <w:t>、主要生产设施及参数</w:t>
            </w:r>
          </w:p>
          <w:p w14:paraId="561194A5">
            <w:pPr>
              <w:spacing w:before="78" w:line="209" w:lineRule="auto"/>
              <w:ind w:left="2899"/>
              <w:rPr>
                <w:rFonts w:ascii="黑体" w:hAnsi="黑体" w:eastAsia="黑体" w:cs="黑体"/>
                <w:sz w:val="20"/>
                <w:szCs w:val="20"/>
              </w:rPr>
            </w:pPr>
            <w:r>
              <w:rPr>
                <w:rFonts w:ascii="黑体" w:hAnsi="黑体" w:eastAsia="黑体" w:cs="黑体"/>
                <w:spacing w:val="-1"/>
                <w:sz w:val="20"/>
                <w:szCs w:val="20"/>
              </w:rPr>
              <w:t>表</w:t>
            </w:r>
            <w:r>
              <w:rPr>
                <w:rFonts w:ascii="Times New Roman" w:hAnsi="Times New Roman" w:eastAsia="Times New Roman" w:cs="Times New Roman"/>
                <w:spacing w:val="-1"/>
                <w:sz w:val="20"/>
                <w:szCs w:val="20"/>
              </w:rPr>
              <w:t xml:space="preserve">2-5      </w:t>
            </w:r>
            <w:r>
              <w:rPr>
                <w:rFonts w:ascii="黑体" w:hAnsi="黑体" w:eastAsia="黑体" w:cs="黑体"/>
                <w:spacing w:val="-1"/>
                <w:sz w:val="20"/>
                <w:szCs w:val="20"/>
              </w:rPr>
              <w:t>主要生产设备清单</w:t>
            </w:r>
          </w:p>
        </w:tc>
      </w:tr>
      <w:tr w14:paraId="750B6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32" w:type="dxa"/>
            <w:vMerge w:val="continue"/>
            <w:tcBorders>
              <w:top w:val="nil"/>
              <w:left w:val="single" w:color="000000" w:sz="6" w:space="0"/>
              <w:bottom w:val="nil"/>
            </w:tcBorders>
            <w:vAlign w:val="top"/>
          </w:tcPr>
          <w:p w14:paraId="2D2C3DB1">
            <w:pPr>
              <w:rPr>
                <w:rFonts w:ascii="Arial"/>
                <w:sz w:val="21"/>
              </w:rPr>
            </w:pPr>
          </w:p>
        </w:tc>
        <w:tc>
          <w:tcPr>
            <w:tcW w:w="171" w:type="dxa"/>
            <w:tcBorders>
              <w:top w:val="nil"/>
              <w:bottom w:val="nil"/>
            </w:tcBorders>
            <w:vAlign w:val="top"/>
          </w:tcPr>
          <w:p w14:paraId="59F4B2A6">
            <w:pPr>
              <w:rPr>
                <w:rFonts w:ascii="Arial"/>
                <w:sz w:val="21"/>
              </w:rPr>
            </w:pPr>
          </w:p>
        </w:tc>
        <w:tc>
          <w:tcPr>
            <w:tcW w:w="825" w:type="dxa"/>
            <w:vAlign w:val="top"/>
          </w:tcPr>
          <w:p w14:paraId="2A24CB43">
            <w:pPr>
              <w:pStyle w:val="6"/>
              <w:spacing w:before="35" w:line="203" w:lineRule="auto"/>
              <w:ind w:left="212"/>
              <w:rPr>
                <w:sz w:val="20"/>
                <w:szCs w:val="20"/>
              </w:rPr>
            </w:pPr>
            <w:r>
              <w:rPr>
                <w:spacing w:val="-2"/>
                <w:sz w:val="20"/>
                <w:szCs w:val="20"/>
              </w:rPr>
              <w:t>序号</w:t>
            </w:r>
          </w:p>
        </w:tc>
        <w:tc>
          <w:tcPr>
            <w:tcW w:w="1649" w:type="dxa"/>
            <w:vAlign w:val="top"/>
          </w:tcPr>
          <w:p w14:paraId="42605C3F">
            <w:pPr>
              <w:pStyle w:val="6"/>
              <w:spacing w:before="35" w:line="203" w:lineRule="auto"/>
              <w:ind w:left="430"/>
              <w:rPr>
                <w:sz w:val="20"/>
                <w:szCs w:val="20"/>
              </w:rPr>
            </w:pPr>
            <w:r>
              <w:rPr>
                <w:spacing w:val="-2"/>
                <w:sz w:val="20"/>
                <w:szCs w:val="20"/>
              </w:rPr>
              <w:t>设备名称</w:t>
            </w:r>
          </w:p>
        </w:tc>
        <w:tc>
          <w:tcPr>
            <w:tcW w:w="2010" w:type="dxa"/>
            <w:vAlign w:val="top"/>
          </w:tcPr>
          <w:p w14:paraId="562DC191">
            <w:pPr>
              <w:pStyle w:val="6"/>
              <w:spacing w:before="35" w:line="203" w:lineRule="auto"/>
              <w:ind w:left="583"/>
              <w:rPr>
                <w:sz w:val="20"/>
                <w:szCs w:val="20"/>
              </w:rPr>
            </w:pPr>
            <w:r>
              <w:rPr>
                <w:spacing w:val="-2"/>
                <w:sz w:val="20"/>
                <w:szCs w:val="20"/>
              </w:rPr>
              <w:t>规格</w:t>
            </w:r>
            <w:r>
              <w:rPr>
                <w:rFonts w:ascii="Times New Roman" w:hAnsi="Times New Roman" w:eastAsia="Times New Roman" w:cs="Times New Roman"/>
                <w:spacing w:val="-2"/>
                <w:sz w:val="20"/>
                <w:szCs w:val="20"/>
              </w:rPr>
              <w:t>/</w:t>
            </w:r>
            <w:r>
              <w:rPr>
                <w:spacing w:val="-2"/>
                <w:sz w:val="20"/>
                <w:szCs w:val="20"/>
              </w:rPr>
              <w:t>型号</w:t>
            </w:r>
          </w:p>
        </w:tc>
        <w:tc>
          <w:tcPr>
            <w:tcW w:w="1265" w:type="dxa"/>
            <w:vAlign w:val="top"/>
          </w:tcPr>
          <w:p w14:paraId="0E13811B">
            <w:pPr>
              <w:pStyle w:val="6"/>
              <w:spacing w:before="35" w:line="203" w:lineRule="auto"/>
              <w:ind w:left="442"/>
              <w:rPr>
                <w:sz w:val="20"/>
                <w:szCs w:val="20"/>
              </w:rPr>
            </w:pPr>
            <w:r>
              <w:rPr>
                <w:spacing w:val="-3"/>
                <w:sz w:val="20"/>
                <w:szCs w:val="20"/>
              </w:rPr>
              <w:t>数量</w:t>
            </w:r>
          </w:p>
        </w:tc>
        <w:tc>
          <w:tcPr>
            <w:tcW w:w="2056" w:type="dxa"/>
            <w:vAlign w:val="top"/>
          </w:tcPr>
          <w:p w14:paraId="44E72F41">
            <w:pPr>
              <w:pStyle w:val="6"/>
              <w:spacing w:before="35" w:line="203" w:lineRule="auto"/>
              <w:ind w:left="639"/>
              <w:rPr>
                <w:sz w:val="20"/>
                <w:szCs w:val="20"/>
              </w:rPr>
            </w:pPr>
            <w:r>
              <w:rPr>
                <w:spacing w:val="-2"/>
                <w:sz w:val="20"/>
                <w:szCs w:val="20"/>
              </w:rPr>
              <w:t>使用环节</w:t>
            </w:r>
          </w:p>
        </w:tc>
        <w:tc>
          <w:tcPr>
            <w:tcW w:w="180" w:type="dxa"/>
            <w:tcBorders>
              <w:top w:val="nil"/>
              <w:bottom w:val="nil"/>
              <w:right w:val="single" w:color="000000" w:sz="6" w:space="0"/>
            </w:tcBorders>
            <w:vAlign w:val="top"/>
          </w:tcPr>
          <w:p w14:paraId="11E8CE3F">
            <w:pPr>
              <w:rPr>
                <w:rFonts w:ascii="Arial"/>
                <w:sz w:val="21"/>
              </w:rPr>
            </w:pPr>
          </w:p>
        </w:tc>
      </w:tr>
      <w:tr w14:paraId="3F0CE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832" w:type="dxa"/>
            <w:vMerge w:val="continue"/>
            <w:tcBorders>
              <w:top w:val="nil"/>
              <w:left w:val="single" w:color="000000" w:sz="6" w:space="0"/>
              <w:bottom w:val="nil"/>
            </w:tcBorders>
            <w:vAlign w:val="top"/>
          </w:tcPr>
          <w:p w14:paraId="7FFFA61E">
            <w:pPr>
              <w:rPr>
                <w:rFonts w:ascii="Arial"/>
                <w:sz w:val="21"/>
              </w:rPr>
            </w:pPr>
          </w:p>
        </w:tc>
        <w:tc>
          <w:tcPr>
            <w:tcW w:w="171" w:type="dxa"/>
            <w:tcBorders>
              <w:top w:val="nil"/>
              <w:bottom w:val="nil"/>
            </w:tcBorders>
            <w:vAlign w:val="top"/>
          </w:tcPr>
          <w:p w14:paraId="54F68A5D">
            <w:pPr>
              <w:rPr>
                <w:rFonts w:ascii="Arial"/>
                <w:sz w:val="21"/>
              </w:rPr>
            </w:pPr>
          </w:p>
        </w:tc>
        <w:tc>
          <w:tcPr>
            <w:tcW w:w="825" w:type="dxa"/>
            <w:vAlign w:val="top"/>
          </w:tcPr>
          <w:p w14:paraId="2000925E">
            <w:pPr>
              <w:spacing w:before="67" w:line="195" w:lineRule="auto"/>
              <w:ind w:left="37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649" w:type="dxa"/>
            <w:vAlign w:val="top"/>
          </w:tcPr>
          <w:p w14:paraId="29B3C8AC">
            <w:pPr>
              <w:pStyle w:val="6"/>
              <w:spacing w:before="32" w:line="204" w:lineRule="auto"/>
              <w:ind w:left="539"/>
              <w:rPr>
                <w:sz w:val="20"/>
                <w:szCs w:val="20"/>
              </w:rPr>
            </w:pPr>
            <w:r>
              <w:rPr>
                <w:spacing w:val="-7"/>
                <w:sz w:val="20"/>
                <w:szCs w:val="20"/>
              </w:rPr>
              <w:t>削片机</w:t>
            </w:r>
          </w:p>
        </w:tc>
        <w:tc>
          <w:tcPr>
            <w:tcW w:w="2010" w:type="dxa"/>
            <w:vAlign w:val="top"/>
          </w:tcPr>
          <w:p w14:paraId="0D7B31CA">
            <w:pPr>
              <w:spacing w:before="67" w:line="195" w:lineRule="auto"/>
              <w:ind w:left="43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BX2110-1650</w:t>
            </w:r>
          </w:p>
        </w:tc>
        <w:tc>
          <w:tcPr>
            <w:tcW w:w="1265" w:type="dxa"/>
            <w:vAlign w:val="top"/>
          </w:tcPr>
          <w:p w14:paraId="6DF429A1">
            <w:pPr>
              <w:pStyle w:val="6"/>
              <w:spacing w:before="32" w:line="204" w:lineRule="auto"/>
              <w:ind w:left="462"/>
              <w:rPr>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5"/>
                <w:sz w:val="20"/>
                <w:szCs w:val="20"/>
              </w:rPr>
              <w:t xml:space="preserve"> </w:t>
            </w:r>
            <w:r>
              <w:rPr>
                <w:spacing w:val="-3"/>
                <w:sz w:val="20"/>
                <w:szCs w:val="20"/>
              </w:rPr>
              <w:t>台</w:t>
            </w:r>
          </w:p>
        </w:tc>
        <w:tc>
          <w:tcPr>
            <w:tcW w:w="2056" w:type="dxa"/>
            <w:vAlign w:val="top"/>
          </w:tcPr>
          <w:p w14:paraId="48229C98">
            <w:pPr>
              <w:pStyle w:val="6"/>
              <w:spacing w:before="32" w:line="204" w:lineRule="auto"/>
              <w:ind w:left="852"/>
              <w:rPr>
                <w:sz w:val="20"/>
                <w:szCs w:val="20"/>
              </w:rPr>
            </w:pPr>
            <w:r>
              <w:rPr>
                <w:spacing w:val="-5"/>
                <w:sz w:val="20"/>
                <w:szCs w:val="20"/>
              </w:rPr>
              <w:t>削片</w:t>
            </w:r>
          </w:p>
        </w:tc>
        <w:tc>
          <w:tcPr>
            <w:tcW w:w="180" w:type="dxa"/>
            <w:tcBorders>
              <w:top w:val="nil"/>
              <w:bottom w:val="nil"/>
              <w:right w:val="single" w:color="000000" w:sz="6" w:space="0"/>
            </w:tcBorders>
            <w:vAlign w:val="top"/>
          </w:tcPr>
          <w:p w14:paraId="3239E61B">
            <w:pPr>
              <w:rPr>
                <w:rFonts w:ascii="Arial"/>
                <w:sz w:val="21"/>
              </w:rPr>
            </w:pPr>
          </w:p>
        </w:tc>
      </w:tr>
      <w:tr w14:paraId="498F4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32" w:type="dxa"/>
            <w:vMerge w:val="continue"/>
            <w:tcBorders>
              <w:top w:val="nil"/>
              <w:left w:val="single" w:color="000000" w:sz="6" w:space="0"/>
              <w:bottom w:val="nil"/>
            </w:tcBorders>
            <w:vAlign w:val="top"/>
          </w:tcPr>
          <w:p w14:paraId="57B74E96">
            <w:pPr>
              <w:rPr>
                <w:rFonts w:ascii="Arial"/>
                <w:sz w:val="21"/>
              </w:rPr>
            </w:pPr>
          </w:p>
        </w:tc>
        <w:tc>
          <w:tcPr>
            <w:tcW w:w="171" w:type="dxa"/>
            <w:tcBorders>
              <w:top w:val="nil"/>
              <w:bottom w:val="nil"/>
            </w:tcBorders>
            <w:vAlign w:val="top"/>
          </w:tcPr>
          <w:p w14:paraId="02803B67">
            <w:pPr>
              <w:rPr>
                <w:rFonts w:ascii="Arial"/>
                <w:sz w:val="21"/>
              </w:rPr>
            </w:pPr>
          </w:p>
        </w:tc>
        <w:tc>
          <w:tcPr>
            <w:tcW w:w="825" w:type="dxa"/>
            <w:vAlign w:val="top"/>
          </w:tcPr>
          <w:p w14:paraId="36D26B53">
            <w:pPr>
              <w:spacing w:before="68" w:line="195" w:lineRule="auto"/>
              <w:ind w:left="35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49" w:type="dxa"/>
            <w:vAlign w:val="top"/>
          </w:tcPr>
          <w:p w14:paraId="78196EE9">
            <w:pPr>
              <w:pStyle w:val="6"/>
              <w:spacing w:before="33" w:line="204" w:lineRule="auto"/>
              <w:ind w:left="526"/>
              <w:rPr>
                <w:sz w:val="20"/>
                <w:szCs w:val="20"/>
              </w:rPr>
            </w:pPr>
            <w:r>
              <w:rPr>
                <w:spacing w:val="-2"/>
                <w:sz w:val="20"/>
                <w:szCs w:val="20"/>
              </w:rPr>
              <w:t>粉碎机</w:t>
            </w:r>
          </w:p>
        </w:tc>
        <w:tc>
          <w:tcPr>
            <w:tcW w:w="2010" w:type="dxa"/>
            <w:vAlign w:val="top"/>
          </w:tcPr>
          <w:p w14:paraId="278D0734">
            <w:pPr>
              <w:pStyle w:val="6"/>
              <w:spacing w:before="33" w:line="204" w:lineRule="auto"/>
              <w:ind w:right="2"/>
              <w:jc w:val="right"/>
              <w:rPr>
                <w:sz w:val="20"/>
                <w:szCs w:val="20"/>
              </w:rPr>
            </w:pPr>
            <w:r>
              <w:rPr>
                <w:rFonts w:ascii="Times New Roman" w:hAnsi="Times New Roman" w:eastAsia="Times New Roman" w:cs="Times New Roman"/>
                <w:spacing w:val="-6"/>
                <w:sz w:val="20"/>
                <w:szCs w:val="20"/>
              </w:rPr>
              <w:t>FS2000X</w:t>
            </w:r>
            <w:r>
              <w:rPr>
                <w:spacing w:val="-6"/>
                <w:sz w:val="20"/>
                <w:szCs w:val="20"/>
              </w:rPr>
              <w:t>（配给料机）</w:t>
            </w:r>
          </w:p>
        </w:tc>
        <w:tc>
          <w:tcPr>
            <w:tcW w:w="1265" w:type="dxa"/>
            <w:vAlign w:val="top"/>
          </w:tcPr>
          <w:p w14:paraId="61A2CD5D">
            <w:pPr>
              <w:pStyle w:val="6"/>
              <w:spacing w:before="33" w:line="204" w:lineRule="auto"/>
              <w:ind w:left="462"/>
              <w:rPr>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5"/>
                <w:sz w:val="20"/>
                <w:szCs w:val="20"/>
              </w:rPr>
              <w:t xml:space="preserve"> </w:t>
            </w:r>
            <w:r>
              <w:rPr>
                <w:spacing w:val="-3"/>
                <w:sz w:val="20"/>
                <w:szCs w:val="20"/>
              </w:rPr>
              <w:t>台</w:t>
            </w:r>
          </w:p>
        </w:tc>
        <w:tc>
          <w:tcPr>
            <w:tcW w:w="2056" w:type="dxa"/>
            <w:vAlign w:val="top"/>
          </w:tcPr>
          <w:p w14:paraId="3BE820B8">
            <w:pPr>
              <w:pStyle w:val="6"/>
              <w:spacing w:before="33" w:line="204" w:lineRule="auto"/>
              <w:ind w:left="838"/>
              <w:rPr>
                <w:sz w:val="20"/>
                <w:szCs w:val="20"/>
              </w:rPr>
            </w:pPr>
            <w:r>
              <w:rPr>
                <w:spacing w:val="-2"/>
                <w:sz w:val="20"/>
                <w:szCs w:val="20"/>
              </w:rPr>
              <w:t>粉碎</w:t>
            </w:r>
          </w:p>
        </w:tc>
        <w:tc>
          <w:tcPr>
            <w:tcW w:w="180" w:type="dxa"/>
            <w:tcBorders>
              <w:top w:val="nil"/>
              <w:bottom w:val="nil"/>
              <w:right w:val="single" w:color="000000" w:sz="6" w:space="0"/>
            </w:tcBorders>
            <w:vAlign w:val="top"/>
          </w:tcPr>
          <w:p w14:paraId="352AF281">
            <w:pPr>
              <w:rPr>
                <w:rFonts w:ascii="Arial"/>
                <w:sz w:val="21"/>
              </w:rPr>
            </w:pPr>
          </w:p>
        </w:tc>
      </w:tr>
      <w:tr w14:paraId="54A8B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832" w:type="dxa"/>
            <w:vMerge w:val="continue"/>
            <w:tcBorders>
              <w:top w:val="nil"/>
              <w:left w:val="single" w:color="000000" w:sz="6" w:space="0"/>
              <w:bottom w:val="nil"/>
            </w:tcBorders>
            <w:vAlign w:val="top"/>
          </w:tcPr>
          <w:p w14:paraId="0F1D564A">
            <w:pPr>
              <w:rPr>
                <w:rFonts w:ascii="Arial"/>
                <w:sz w:val="21"/>
              </w:rPr>
            </w:pPr>
          </w:p>
        </w:tc>
        <w:tc>
          <w:tcPr>
            <w:tcW w:w="171" w:type="dxa"/>
            <w:tcBorders>
              <w:top w:val="nil"/>
              <w:bottom w:val="nil"/>
            </w:tcBorders>
            <w:vAlign w:val="top"/>
          </w:tcPr>
          <w:p w14:paraId="50BFFA8D">
            <w:pPr>
              <w:rPr>
                <w:rFonts w:ascii="Arial"/>
                <w:sz w:val="21"/>
              </w:rPr>
            </w:pPr>
          </w:p>
        </w:tc>
        <w:tc>
          <w:tcPr>
            <w:tcW w:w="825" w:type="dxa"/>
            <w:vAlign w:val="top"/>
          </w:tcPr>
          <w:p w14:paraId="7E6BF104">
            <w:pPr>
              <w:spacing w:before="66" w:line="196" w:lineRule="auto"/>
              <w:ind w:left="36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649" w:type="dxa"/>
            <w:vAlign w:val="top"/>
          </w:tcPr>
          <w:p w14:paraId="6D6932CC">
            <w:pPr>
              <w:pStyle w:val="6"/>
              <w:spacing w:before="32" w:line="204" w:lineRule="auto"/>
              <w:ind w:left="327"/>
              <w:rPr>
                <w:sz w:val="20"/>
                <w:szCs w:val="20"/>
              </w:rPr>
            </w:pPr>
            <w:r>
              <w:rPr>
                <w:spacing w:val="-2"/>
                <w:sz w:val="20"/>
                <w:szCs w:val="20"/>
              </w:rPr>
              <w:t>滚筒烘干机</w:t>
            </w:r>
          </w:p>
        </w:tc>
        <w:tc>
          <w:tcPr>
            <w:tcW w:w="2010" w:type="dxa"/>
            <w:vAlign w:val="top"/>
          </w:tcPr>
          <w:p w14:paraId="5F0BFCC2">
            <w:pPr>
              <w:spacing w:before="66" w:line="196" w:lineRule="auto"/>
              <w:ind w:left="64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3.6x20M</w:t>
            </w:r>
          </w:p>
        </w:tc>
        <w:tc>
          <w:tcPr>
            <w:tcW w:w="1265" w:type="dxa"/>
            <w:vAlign w:val="top"/>
          </w:tcPr>
          <w:p w14:paraId="57E37769">
            <w:pPr>
              <w:pStyle w:val="6"/>
              <w:spacing w:before="32" w:line="204" w:lineRule="auto"/>
              <w:ind w:left="481"/>
              <w:rPr>
                <w:sz w:val="20"/>
                <w:szCs w:val="20"/>
              </w:rPr>
            </w:pPr>
            <w:r>
              <w:rPr>
                <w:rFonts w:ascii="Times New Roman" w:hAnsi="Times New Roman" w:eastAsia="Times New Roman" w:cs="Times New Roman"/>
                <w:spacing w:val="-12"/>
                <w:sz w:val="20"/>
                <w:szCs w:val="20"/>
              </w:rPr>
              <w:t>1</w:t>
            </w:r>
            <w:r>
              <w:rPr>
                <w:rFonts w:ascii="Times New Roman" w:hAnsi="Times New Roman" w:eastAsia="Times New Roman" w:cs="Times New Roman"/>
                <w:spacing w:val="24"/>
                <w:sz w:val="20"/>
                <w:szCs w:val="20"/>
              </w:rPr>
              <w:t xml:space="preserve"> </w:t>
            </w:r>
            <w:r>
              <w:rPr>
                <w:spacing w:val="-12"/>
                <w:sz w:val="20"/>
                <w:szCs w:val="20"/>
              </w:rPr>
              <w:t>台</w:t>
            </w:r>
          </w:p>
        </w:tc>
        <w:tc>
          <w:tcPr>
            <w:tcW w:w="2056" w:type="dxa"/>
            <w:vAlign w:val="top"/>
          </w:tcPr>
          <w:p w14:paraId="4361F549">
            <w:pPr>
              <w:pStyle w:val="6"/>
              <w:spacing w:before="32" w:line="204" w:lineRule="auto"/>
              <w:ind w:left="839"/>
              <w:rPr>
                <w:sz w:val="20"/>
                <w:szCs w:val="20"/>
              </w:rPr>
            </w:pPr>
            <w:r>
              <w:rPr>
                <w:spacing w:val="-2"/>
                <w:sz w:val="20"/>
                <w:szCs w:val="20"/>
              </w:rPr>
              <w:t>烘干</w:t>
            </w:r>
          </w:p>
        </w:tc>
        <w:tc>
          <w:tcPr>
            <w:tcW w:w="180" w:type="dxa"/>
            <w:tcBorders>
              <w:top w:val="nil"/>
              <w:bottom w:val="nil"/>
              <w:right w:val="single" w:color="000000" w:sz="6" w:space="0"/>
            </w:tcBorders>
            <w:vAlign w:val="top"/>
          </w:tcPr>
          <w:p w14:paraId="57EC1447">
            <w:pPr>
              <w:rPr>
                <w:rFonts w:ascii="Arial"/>
                <w:sz w:val="21"/>
              </w:rPr>
            </w:pPr>
          </w:p>
        </w:tc>
      </w:tr>
      <w:tr w14:paraId="41AB4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32" w:type="dxa"/>
            <w:vMerge w:val="continue"/>
            <w:tcBorders>
              <w:top w:val="nil"/>
              <w:left w:val="single" w:color="000000" w:sz="6" w:space="0"/>
              <w:bottom w:val="nil"/>
            </w:tcBorders>
            <w:vAlign w:val="top"/>
          </w:tcPr>
          <w:p w14:paraId="04AB78BB">
            <w:pPr>
              <w:rPr>
                <w:rFonts w:ascii="Arial"/>
                <w:sz w:val="21"/>
              </w:rPr>
            </w:pPr>
          </w:p>
        </w:tc>
        <w:tc>
          <w:tcPr>
            <w:tcW w:w="171" w:type="dxa"/>
            <w:tcBorders>
              <w:top w:val="nil"/>
              <w:bottom w:val="nil"/>
            </w:tcBorders>
            <w:vAlign w:val="top"/>
          </w:tcPr>
          <w:p w14:paraId="1D812EE9">
            <w:pPr>
              <w:rPr>
                <w:rFonts w:ascii="Arial"/>
                <w:sz w:val="21"/>
              </w:rPr>
            </w:pPr>
          </w:p>
        </w:tc>
        <w:tc>
          <w:tcPr>
            <w:tcW w:w="825" w:type="dxa"/>
            <w:vAlign w:val="top"/>
          </w:tcPr>
          <w:p w14:paraId="07C1AAC3">
            <w:pPr>
              <w:spacing w:before="67" w:line="196" w:lineRule="auto"/>
              <w:ind w:left="358"/>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tc>
        <w:tc>
          <w:tcPr>
            <w:tcW w:w="1649" w:type="dxa"/>
            <w:vAlign w:val="top"/>
          </w:tcPr>
          <w:p w14:paraId="36C504CE">
            <w:pPr>
              <w:pStyle w:val="6"/>
              <w:spacing w:before="33" w:line="204" w:lineRule="auto"/>
              <w:ind w:left="526"/>
              <w:rPr>
                <w:sz w:val="20"/>
                <w:szCs w:val="20"/>
              </w:rPr>
            </w:pPr>
            <w:r>
              <w:rPr>
                <w:spacing w:val="-2"/>
                <w:sz w:val="20"/>
                <w:szCs w:val="20"/>
              </w:rPr>
              <w:t>颗粒机</w:t>
            </w:r>
          </w:p>
        </w:tc>
        <w:tc>
          <w:tcPr>
            <w:tcW w:w="2010" w:type="dxa"/>
            <w:vAlign w:val="top"/>
          </w:tcPr>
          <w:p w14:paraId="16BA4749">
            <w:pPr>
              <w:spacing w:before="67" w:line="196" w:lineRule="auto"/>
              <w:ind w:left="86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850</w:t>
            </w:r>
          </w:p>
        </w:tc>
        <w:tc>
          <w:tcPr>
            <w:tcW w:w="1265" w:type="dxa"/>
            <w:vAlign w:val="top"/>
          </w:tcPr>
          <w:p w14:paraId="09168D9D">
            <w:pPr>
              <w:pStyle w:val="6"/>
              <w:spacing w:before="33" w:line="204" w:lineRule="auto"/>
              <w:ind w:left="431"/>
              <w:rPr>
                <w:sz w:val="20"/>
                <w:szCs w:val="20"/>
              </w:rPr>
            </w:pPr>
            <w:r>
              <w:rPr>
                <w:rFonts w:ascii="Times New Roman" w:hAnsi="Times New Roman" w:eastAsia="Times New Roman" w:cs="Times New Roman"/>
                <w:spacing w:val="-8"/>
                <w:sz w:val="20"/>
                <w:szCs w:val="20"/>
              </w:rPr>
              <w:t>10</w:t>
            </w:r>
            <w:r>
              <w:rPr>
                <w:rFonts w:ascii="Times New Roman" w:hAnsi="Times New Roman" w:eastAsia="Times New Roman" w:cs="Times New Roman"/>
                <w:spacing w:val="24"/>
                <w:sz w:val="20"/>
                <w:szCs w:val="20"/>
              </w:rPr>
              <w:t xml:space="preserve"> </w:t>
            </w:r>
            <w:r>
              <w:rPr>
                <w:spacing w:val="-8"/>
                <w:sz w:val="20"/>
                <w:szCs w:val="20"/>
              </w:rPr>
              <w:t>台</w:t>
            </w:r>
          </w:p>
        </w:tc>
        <w:tc>
          <w:tcPr>
            <w:tcW w:w="2056" w:type="dxa"/>
            <w:vAlign w:val="top"/>
          </w:tcPr>
          <w:p w14:paraId="59137814">
            <w:pPr>
              <w:pStyle w:val="6"/>
              <w:spacing w:before="33" w:line="204" w:lineRule="auto"/>
              <w:ind w:left="838"/>
              <w:rPr>
                <w:sz w:val="20"/>
                <w:szCs w:val="20"/>
              </w:rPr>
            </w:pPr>
            <w:r>
              <w:rPr>
                <w:spacing w:val="-2"/>
                <w:sz w:val="20"/>
                <w:szCs w:val="20"/>
              </w:rPr>
              <w:t>造粒</w:t>
            </w:r>
          </w:p>
        </w:tc>
        <w:tc>
          <w:tcPr>
            <w:tcW w:w="180" w:type="dxa"/>
            <w:tcBorders>
              <w:top w:val="nil"/>
              <w:bottom w:val="nil"/>
              <w:right w:val="single" w:color="000000" w:sz="6" w:space="0"/>
            </w:tcBorders>
            <w:vAlign w:val="top"/>
          </w:tcPr>
          <w:p w14:paraId="36364F0A">
            <w:pPr>
              <w:rPr>
                <w:rFonts w:ascii="Arial"/>
                <w:sz w:val="21"/>
              </w:rPr>
            </w:pPr>
          </w:p>
        </w:tc>
      </w:tr>
      <w:tr w14:paraId="67DAA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832" w:type="dxa"/>
            <w:vMerge w:val="continue"/>
            <w:tcBorders>
              <w:top w:val="nil"/>
              <w:left w:val="single" w:color="000000" w:sz="6" w:space="0"/>
              <w:bottom w:val="nil"/>
            </w:tcBorders>
            <w:vAlign w:val="top"/>
          </w:tcPr>
          <w:p w14:paraId="20A995E5">
            <w:pPr>
              <w:rPr>
                <w:rFonts w:ascii="Arial"/>
                <w:sz w:val="21"/>
              </w:rPr>
            </w:pPr>
          </w:p>
        </w:tc>
        <w:tc>
          <w:tcPr>
            <w:tcW w:w="171" w:type="dxa"/>
            <w:tcBorders>
              <w:top w:val="nil"/>
              <w:bottom w:val="nil"/>
            </w:tcBorders>
            <w:vAlign w:val="top"/>
          </w:tcPr>
          <w:p w14:paraId="766C9DA6">
            <w:pPr>
              <w:rPr>
                <w:rFonts w:ascii="Arial"/>
                <w:sz w:val="21"/>
              </w:rPr>
            </w:pPr>
          </w:p>
        </w:tc>
        <w:tc>
          <w:tcPr>
            <w:tcW w:w="825" w:type="dxa"/>
            <w:vAlign w:val="top"/>
          </w:tcPr>
          <w:p w14:paraId="7CC0B90C">
            <w:pPr>
              <w:spacing w:before="66" w:line="195" w:lineRule="auto"/>
              <w:ind w:left="365"/>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649" w:type="dxa"/>
            <w:vAlign w:val="top"/>
          </w:tcPr>
          <w:p w14:paraId="349E4A8C">
            <w:pPr>
              <w:pStyle w:val="6"/>
              <w:spacing w:before="33" w:line="203" w:lineRule="auto"/>
              <w:ind w:left="329"/>
              <w:rPr>
                <w:sz w:val="20"/>
                <w:szCs w:val="20"/>
              </w:rPr>
            </w:pPr>
            <w:r>
              <w:rPr>
                <w:spacing w:val="-2"/>
                <w:sz w:val="20"/>
                <w:szCs w:val="20"/>
              </w:rPr>
              <w:t>旋风除尘器</w:t>
            </w:r>
          </w:p>
        </w:tc>
        <w:tc>
          <w:tcPr>
            <w:tcW w:w="2010" w:type="dxa"/>
            <w:vAlign w:val="top"/>
          </w:tcPr>
          <w:p w14:paraId="0B807A04">
            <w:pPr>
              <w:pStyle w:val="6"/>
              <w:spacing w:before="33" w:line="203" w:lineRule="auto"/>
              <w:ind w:left="815"/>
              <w:rPr>
                <w:sz w:val="20"/>
                <w:szCs w:val="20"/>
              </w:rPr>
            </w:pPr>
            <w:r>
              <w:rPr>
                <w:spacing w:val="-3"/>
                <w:sz w:val="20"/>
                <w:szCs w:val="20"/>
              </w:rPr>
              <w:t>定制</w:t>
            </w:r>
          </w:p>
        </w:tc>
        <w:tc>
          <w:tcPr>
            <w:tcW w:w="1265" w:type="dxa"/>
            <w:vAlign w:val="top"/>
          </w:tcPr>
          <w:p w14:paraId="0DE1D8D8">
            <w:pPr>
              <w:pStyle w:val="6"/>
              <w:spacing w:before="33" w:line="203" w:lineRule="auto"/>
              <w:ind w:left="481"/>
              <w:rPr>
                <w:sz w:val="20"/>
                <w:szCs w:val="20"/>
              </w:rPr>
            </w:pPr>
            <w:r>
              <w:rPr>
                <w:rFonts w:ascii="Times New Roman" w:hAnsi="Times New Roman" w:eastAsia="Times New Roman" w:cs="Times New Roman"/>
                <w:spacing w:val="-12"/>
                <w:sz w:val="20"/>
                <w:szCs w:val="20"/>
              </w:rPr>
              <w:t>1</w:t>
            </w:r>
            <w:r>
              <w:rPr>
                <w:rFonts w:ascii="Times New Roman" w:hAnsi="Times New Roman" w:eastAsia="Times New Roman" w:cs="Times New Roman"/>
                <w:spacing w:val="24"/>
                <w:sz w:val="20"/>
                <w:szCs w:val="20"/>
              </w:rPr>
              <w:t xml:space="preserve"> </w:t>
            </w:r>
            <w:r>
              <w:rPr>
                <w:spacing w:val="-12"/>
                <w:sz w:val="20"/>
                <w:szCs w:val="20"/>
              </w:rPr>
              <w:t>台</w:t>
            </w:r>
          </w:p>
        </w:tc>
        <w:tc>
          <w:tcPr>
            <w:tcW w:w="2056" w:type="dxa"/>
            <w:vAlign w:val="top"/>
          </w:tcPr>
          <w:p w14:paraId="34BB68BF">
            <w:pPr>
              <w:pStyle w:val="6"/>
              <w:spacing w:before="33" w:line="203" w:lineRule="auto"/>
              <w:ind w:left="839"/>
              <w:rPr>
                <w:sz w:val="20"/>
                <w:szCs w:val="20"/>
              </w:rPr>
            </w:pPr>
            <w:r>
              <w:rPr>
                <w:spacing w:val="-2"/>
                <w:sz w:val="20"/>
                <w:szCs w:val="20"/>
              </w:rPr>
              <w:t>烘干</w:t>
            </w:r>
          </w:p>
        </w:tc>
        <w:tc>
          <w:tcPr>
            <w:tcW w:w="180" w:type="dxa"/>
            <w:tcBorders>
              <w:top w:val="nil"/>
              <w:bottom w:val="nil"/>
              <w:right w:val="single" w:color="000000" w:sz="6" w:space="0"/>
            </w:tcBorders>
            <w:vAlign w:val="top"/>
          </w:tcPr>
          <w:p w14:paraId="03769CD4">
            <w:pPr>
              <w:rPr>
                <w:rFonts w:ascii="Arial"/>
                <w:sz w:val="21"/>
              </w:rPr>
            </w:pPr>
          </w:p>
        </w:tc>
      </w:tr>
      <w:tr w14:paraId="3B1CB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832" w:type="dxa"/>
            <w:vMerge w:val="continue"/>
            <w:tcBorders>
              <w:top w:val="nil"/>
              <w:left w:val="single" w:color="000000" w:sz="6" w:space="0"/>
              <w:bottom w:val="nil"/>
            </w:tcBorders>
            <w:vAlign w:val="top"/>
          </w:tcPr>
          <w:p w14:paraId="4C70AD6F">
            <w:pPr>
              <w:rPr>
                <w:rFonts w:ascii="Arial"/>
                <w:sz w:val="21"/>
              </w:rPr>
            </w:pPr>
          </w:p>
        </w:tc>
        <w:tc>
          <w:tcPr>
            <w:tcW w:w="171" w:type="dxa"/>
            <w:tcBorders>
              <w:top w:val="nil"/>
              <w:bottom w:val="nil"/>
            </w:tcBorders>
            <w:vAlign w:val="top"/>
          </w:tcPr>
          <w:p w14:paraId="2A4D7EF8">
            <w:pPr>
              <w:rPr>
                <w:rFonts w:ascii="Arial"/>
                <w:sz w:val="21"/>
              </w:rPr>
            </w:pPr>
          </w:p>
        </w:tc>
        <w:tc>
          <w:tcPr>
            <w:tcW w:w="825" w:type="dxa"/>
            <w:vAlign w:val="top"/>
          </w:tcPr>
          <w:p w14:paraId="4B538FE1">
            <w:pPr>
              <w:spacing w:before="68" w:line="183" w:lineRule="auto"/>
              <w:ind w:left="364"/>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649" w:type="dxa"/>
            <w:vAlign w:val="top"/>
          </w:tcPr>
          <w:p w14:paraId="3E6C689E">
            <w:pPr>
              <w:pStyle w:val="6"/>
              <w:spacing w:before="34" w:line="193" w:lineRule="auto"/>
              <w:ind w:left="329"/>
              <w:rPr>
                <w:sz w:val="20"/>
                <w:szCs w:val="20"/>
              </w:rPr>
            </w:pPr>
            <w:r>
              <w:rPr>
                <w:spacing w:val="-2"/>
                <w:sz w:val="20"/>
                <w:szCs w:val="20"/>
              </w:rPr>
              <w:t>旋风除尘器</w:t>
            </w:r>
          </w:p>
        </w:tc>
        <w:tc>
          <w:tcPr>
            <w:tcW w:w="2010" w:type="dxa"/>
            <w:vAlign w:val="top"/>
          </w:tcPr>
          <w:p w14:paraId="20F6B1DA">
            <w:pPr>
              <w:pStyle w:val="6"/>
              <w:spacing w:before="67" w:line="163" w:lineRule="auto"/>
              <w:ind w:left="708"/>
              <w:rPr>
                <w:sz w:val="20"/>
                <w:szCs w:val="20"/>
              </w:rPr>
            </w:pPr>
            <w:r>
              <w:rPr>
                <w:spacing w:val="-1"/>
                <w:sz w:val="20"/>
                <w:szCs w:val="20"/>
              </w:rPr>
              <w:t>XF1200</w:t>
            </w:r>
          </w:p>
        </w:tc>
        <w:tc>
          <w:tcPr>
            <w:tcW w:w="1265" w:type="dxa"/>
            <w:vAlign w:val="top"/>
          </w:tcPr>
          <w:p w14:paraId="18E6F04B">
            <w:pPr>
              <w:pStyle w:val="6"/>
              <w:spacing w:before="34" w:line="193" w:lineRule="auto"/>
              <w:ind w:left="481"/>
              <w:rPr>
                <w:sz w:val="20"/>
                <w:szCs w:val="20"/>
              </w:rPr>
            </w:pPr>
            <w:r>
              <w:rPr>
                <w:rFonts w:ascii="Times New Roman" w:hAnsi="Times New Roman" w:eastAsia="Times New Roman" w:cs="Times New Roman"/>
                <w:spacing w:val="-12"/>
                <w:sz w:val="20"/>
                <w:szCs w:val="20"/>
              </w:rPr>
              <w:t>1</w:t>
            </w:r>
            <w:r>
              <w:rPr>
                <w:rFonts w:ascii="Times New Roman" w:hAnsi="Times New Roman" w:eastAsia="Times New Roman" w:cs="Times New Roman"/>
                <w:spacing w:val="24"/>
                <w:sz w:val="20"/>
                <w:szCs w:val="20"/>
              </w:rPr>
              <w:t xml:space="preserve"> </w:t>
            </w:r>
            <w:r>
              <w:rPr>
                <w:spacing w:val="-12"/>
                <w:sz w:val="20"/>
                <w:szCs w:val="20"/>
              </w:rPr>
              <w:t>台</w:t>
            </w:r>
          </w:p>
        </w:tc>
        <w:tc>
          <w:tcPr>
            <w:tcW w:w="2056" w:type="dxa"/>
            <w:vMerge w:val="restart"/>
            <w:tcBorders>
              <w:bottom w:val="nil"/>
            </w:tcBorders>
            <w:vAlign w:val="top"/>
          </w:tcPr>
          <w:p w14:paraId="661EBBDF">
            <w:pPr>
              <w:pStyle w:val="6"/>
              <w:spacing w:before="169" w:line="220" w:lineRule="auto"/>
              <w:ind w:left="838"/>
              <w:rPr>
                <w:sz w:val="20"/>
                <w:szCs w:val="20"/>
              </w:rPr>
            </w:pPr>
            <w:r>
              <w:rPr>
                <w:spacing w:val="-2"/>
                <w:sz w:val="20"/>
                <w:szCs w:val="20"/>
              </w:rPr>
              <w:t>粉碎</w:t>
            </w:r>
          </w:p>
        </w:tc>
        <w:tc>
          <w:tcPr>
            <w:tcW w:w="180" w:type="dxa"/>
            <w:tcBorders>
              <w:top w:val="nil"/>
              <w:bottom w:val="nil"/>
              <w:right w:val="single" w:color="000000" w:sz="6" w:space="0"/>
            </w:tcBorders>
            <w:vAlign w:val="top"/>
          </w:tcPr>
          <w:p w14:paraId="2FAADC9B">
            <w:pPr>
              <w:rPr>
                <w:rFonts w:ascii="Arial"/>
                <w:sz w:val="21"/>
              </w:rPr>
            </w:pPr>
          </w:p>
        </w:tc>
      </w:tr>
      <w:tr w14:paraId="6AAC1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832" w:type="dxa"/>
            <w:vMerge w:val="continue"/>
            <w:tcBorders>
              <w:top w:val="nil"/>
              <w:left w:val="single" w:color="000000" w:sz="6" w:space="0"/>
              <w:bottom w:val="nil"/>
            </w:tcBorders>
            <w:vAlign w:val="top"/>
          </w:tcPr>
          <w:p w14:paraId="4A249D4A">
            <w:pPr>
              <w:rPr>
                <w:rFonts w:ascii="Arial"/>
                <w:sz w:val="21"/>
              </w:rPr>
            </w:pPr>
          </w:p>
        </w:tc>
        <w:tc>
          <w:tcPr>
            <w:tcW w:w="171" w:type="dxa"/>
            <w:tcBorders>
              <w:top w:val="nil"/>
              <w:bottom w:val="nil"/>
            </w:tcBorders>
            <w:vAlign w:val="top"/>
          </w:tcPr>
          <w:p w14:paraId="62CFFFAB">
            <w:pPr>
              <w:rPr>
                <w:rFonts w:ascii="Arial"/>
                <w:sz w:val="21"/>
              </w:rPr>
            </w:pPr>
          </w:p>
        </w:tc>
        <w:tc>
          <w:tcPr>
            <w:tcW w:w="825" w:type="dxa"/>
            <w:vAlign w:val="top"/>
          </w:tcPr>
          <w:p w14:paraId="09376338">
            <w:pPr>
              <w:spacing w:before="78" w:line="195" w:lineRule="auto"/>
              <w:ind w:left="362"/>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649" w:type="dxa"/>
            <w:vAlign w:val="top"/>
          </w:tcPr>
          <w:p w14:paraId="500DAFCC">
            <w:pPr>
              <w:pStyle w:val="6"/>
              <w:spacing w:before="45" w:line="203" w:lineRule="auto"/>
              <w:ind w:left="129"/>
              <w:rPr>
                <w:sz w:val="20"/>
                <w:szCs w:val="20"/>
              </w:rPr>
            </w:pPr>
            <w:r>
              <w:rPr>
                <w:spacing w:val="-2"/>
                <w:sz w:val="20"/>
                <w:szCs w:val="20"/>
              </w:rPr>
              <w:t>脉冲布袋除尘器</w:t>
            </w:r>
          </w:p>
        </w:tc>
        <w:tc>
          <w:tcPr>
            <w:tcW w:w="2010" w:type="dxa"/>
            <w:vAlign w:val="top"/>
          </w:tcPr>
          <w:p w14:paraId="74361DAF">
            <w:pPr>
              <w:pStyle w:val="6"/>
              <w:spacing w:before="45" w:line="203" w:lineRule="auto"/>
              <w:ind w:left="656"/>
              <w:rPr>
                <w:sz w:val="20"/>
                <w:szCs w:val="20"/>
              </w:rPr>
            </w:pPr>
            <w:r>
              <w:rPr>
                <w:spacing w:val="-1"/>
                <w:sz w:val="20"/>
                <w:szCs w:val="20"/>
              </w:rPr>
              <w:t>DMC-160</w:t>
            </w:r>
          </w:p>
        </w:tc>
        <w:tc>
          <w:tcPr>
            <w:tcW w:w="1265" w:type="dxa"/>
            <w:vAlign w:val="top"/>
          </w:tcPr>
          <w:p w14:paraId="572B355E">
            <w:pPr>
              <w:pStyle w:val="6"/>
              <w:spacing w:before="45" w:line="203" w:lineRule="auto"/>
              <w:ind w:left="481"/>
              <w:rPr>
                <w:sz w:val="20"/>
                <w:szCs w:val="20"/>
              </w:rPr>
            </w:pPr>
            <w:r>
              <w:rPr>
                <w:rFonts w:ascii="Times New Roman" w:hAnsi="Times New Roman" w:eastAsia="Times New Roman" w:cs="Times New Roman"/>
                <w:spacing w:val="-12"/>
                <w:sz w:val="20"/>
                <w:szCs w:val="20"/>
              </w:rPr>
              <w:t>1</w:t>
            </w:r>
            <w:r>
              <w:rPr>
                <w:rFonts w:ascii="Times New Roman" w:hAnsi="Times New Roman" w:eastAsia="Times New Roman" w:cs="Times New Roman"/>
                <w:spacing w:val="24"/>
                <w:sz w:val="20"/>
                <w:szCs w:val="20"/>
              </w:rPr>
              <w:t xml:space="preserve"> </w:t>
            </w:r>
            <w:r>
              <w:rPr>
                <w:spacing w:val="-12"/>
                <w:sz w:val="20"/>
                <w:szCs w:val="20"/>
              </w:rPr>
              <w:t>台</w:t>
            </w:r>
          </w:p>
        </w:tc>
        <w:tc>
          <w:tcPr>
            <w:tcW w:w="2056" w:type="dxa"/>
            <w:vMerge w:val="continue"/>
            <w:tcBorders>
              <w:top w:val="nil"/>
            </w:tcBorders>
            <w:vAlign w:val="top"/>
          </w:tcPr>
          <w:p w14:paraId="2CFD7A31">
            <w:pPr>
              <w:rPr>
                <w:rFonts w:ascii="Arial"/>
                <w:sz w:val="21"/>
              </w:rPr>
            </w:pPr>
          </w:p>
        </w:tc>
        <w:tc>
          <w:tcPr>
            <w:tcW w:w="180" w:type="dxa"/>
            <w:tcBorders>
              <w:top w:val="nil"/>
              <w:bottom w:val="nil"/>
              <w:right w:val="single" w:color="000000" w:sz="6" w:space="0"/>
            </w:tcBorders>
            <w:vAlign w:val="top"/>
          </w:tcPr>
          <w:p w14:paraId="5D064B95">
            <w:pPr>
              <w:rPr>
                <w:rFonts w:ascii="Arial"/>
                <w:sz w:val="21"/>
              </w:rPr>
            </w:pPr>
          </w:p>
        </w:tc>
      </w:tr>
      <w:tr w14:paraId="7EE46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832" w:type="dxa"/>
            <w:vMerge w:val="continue"/>
            <w:tcBorders>
              <w:top w:val="nil"/>
              <w:left w:val="single" w:color="000000" w:sz="6" w:space="0"/>
              <w:bottom w:val="nil"/>
            </w:tcBorders>
            <w:vAlign w:val="top"/>
          </w:tcPr>
          <w:p w14:paraId="1CDF842A">
            <w:pPr>
              <w:rPr>
                <w:rFonts w:ascii="Arial"/>
                <w:sz w:val="21"/>
              </w:rPr>
            </w:pPr>
          </w:p>
        </w:tc>
        <w:tc>
          <w:tcPr>
            <w:tcW w:w="171" w:type="dxa"/>
            <w:tcBorders>
              <w:top w:val="nil"/>
              <w:bottom w:val="nil"/>
            </w:tcBorders>
            <w:vAlign w:val="top"/>
          </w:tcPr>
          <w:p w14:paraId="7E12CBA3">
            <w:pPr>
              <w:rPr>
                <w:rFonts w:ascii="Arial"/>
                <w:sz w:val="21"/>
              </w:rPr>
            </w:pPr>
          </w:p>
        </w:tc>
        <w:tc>
          <w:tcPr>
            <w:tcW w:w="825" w:type="dxa"/>
            <w:vAlign w:val="top"/>
          </w:tcPr>
          <w:p w14:paraId="23A756CF">
            <w:pPr>
              <w:spacing w:before="181" w:line="233" w:lineRule="auto"/>
              <w:ind w:left="364"/>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649" w:type="dxa"/>
            <w:vAlign w:val="top"/>
          </w:tcPr>
          <w:p w14:paraId="60987683">
            <w:pPr>
              <w:pStyle w:val="6"/>
              <w:spacing w:before="148" w:line="221" w:lineRule="auto"/>
              <w:ind w:left="429"/>
              <w:rPr>
                <w:sz w:val="20"/>
                <w:szCs w:val="20"/>
              </w:rPr>
            </w:pPr>
            <w:r>
              <w:rPr>
                <w:spacing w:val="-2"/>
                <w:sz w:val="20"/>
                <w:szCs w:val="20"/>
              </w:rPr>
              <w:t>成品料仓</w:t>
            </w:r>
          </w:p>
        </w:tc>
        <w:tc>
          <w:tcPr>
            <w:tcW w:w="2010" w:type="dxa"/>
            <w:vAlign w:val="top"/>
          </w:tcPr>
          <w:p w14:paraId="7DDFDFCC">
            <w:pPr>
              <w:pStyle w:val="6"/>
              <w:spacing w:before="34" w:line="220" w:lineRule="auto"/>
              <w:ind w:left="750" w:right="115" w:hanging="638"/>
              <w:rPr>
                <w:rFonts w:ascii="Times New Roman" w:hAnsi="Times New Roman" w:eastAsia="Times New Roman" w:cs="Times New Roman"/>
                <w:sz w:val="12"/>
                <w:szCs w:val="12"/>
              </w:rPr>
            </w:pPr>
            <w:r>
              <w:rPr>
                <w:rFonts w:ascii="Times New Roman" w:hAnsi="Times New Roman" w:eastAsia="Times New Roman" w:cs="Times New Roman"/>
                <w:spacing w:val="-3"/>
                <w:sz w:val="20"/>
                <w:szCs w:val="20"/>
              </w:rPr>
              <w:t>6m*24m*4.5m</w:t>
            </w:r>
            <w:r>
              <w:rPr>
                <w:spacing w:val="-3"/>
                <w:sz w:val="20"/>
                <w:szCs w:val="20"/>
              </w:rPr>
              <w:t>、容积</w:t>
            </w:r>
            <w:r>
              <w:rPr>
                <w:spacing w:val="1"/>
                <w:sz w:val="20"/>
                <w:szCs w:val="20"/>
              </w:rPr>
              <w:t xml:space="preserve"> </w:t>
            </w:r>
            <w:r>
              <w:rPr>
                <w:rFonts w:ascii="Times New Roman" w:hAnsi="Times New Roman" w:eastAsia="Times New Roman" w:cs="Times New Roman"/>
                <w:spacing w:val="-1"/>
                <w:sz w:val="20"/>
                <w:szCs w:val="20"/>
              </w:rPr>
              <w:t>648m</w:t>
            </w:r>
            <w:r>
              <w:rPr>
                <w:rFonts w:ascii="Times New Roman" w:hAnsi="Times New Roman" w:eastAsia="Times New Roman" w:cs="Times New Roman"/>
                <w:spacing w:val="-1"/>
                <w:position w:val="6"/>
                <w:sz w:val="12"/>
                <w:szCs w:val="12"/>
              </w:rPr>
              <w:t>3</w:t>
            </w:r>
          </w:p>
        </w:tc>
        <w:tc>
          <w:tcPr>
            <w:tcW w:w="1265" w:type="dxa"/>
            <w:vAlign w:val="top"/>
          </w:tcPr>
          <w:p w14:paraId="0450750B">
            <w:pPr>
              <w:pStyle w:val="6"/>
              <w:spacing w:before="149" w:line="234" w:lineRule="auto"/>
              <w:ind w:left="481"/>
              <w:rPr>
                <w:sz w:val="20"/>
                <w:szCs w:val="20"/>
              </w:rPr>
            </w:pPr>
            <w:r>
              <w:rPr>
                <w:rFonts w:ascii="Times New Roman" w:hAnsi="Times New Roman" w:eastAsia="Times New Roman" w:cs="Times New Roman"/>
                <w:spacing w:val="-12"/>
                <w:sz w:val="20"/>
                <w:szCs w:val="20"/>
              </w:rPr>
              <w:t>1</w:t>
            </w:r>
            <w:r>
              <w:rPr>
                <w:rFonts w:ascii="Times New Roman" w:hAnsi="Times New Roman" w:eastAsia="Times New Roman" w:cs="Times New Roman"/>
                <w:spacing w:val="9"/>
                <w:sz w:val="20"/>
                <w:szCs w:val="20"/>
              </w:rPr>
              <w:t xml:space="preserve"> </w:t>
            </w:r>
            <w:r>
              <w:rPr>
                <w:spacing w:val="-12"/>
                <w:sz w:val="20"/>
                <w:szCs w:val="20"/>
              </w:rPr>
              <w:t>套</w:t>
            </w:r>
          </w:p>
        </w:tc>
        <w:tc>
          <w:tcPr>
            <w:tcW w:w="2056" w:type="dxa"/>
            <w:vAlign w:val="top"/>
          </w:tcPr>
          <w:p w14:paraId="25D40B74">
            <w:pPr>
              <w:spacing w:before="182" w:line="232" w:lineRule="auto"/>
              <w:ind w:left="1004"/>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180" w:type="dxa"/>
            <w:tcBorders>
              <w:top w:val="nil"/>
              <w:bottom w:val="nil"/>
              <w:right w:val="single" w:color="000000" w:sz="6" w:space="0"/>
            </w:tcBorders>
            <w:vAlign w:val="top"/>
          </w:tcPr>
          <w:p w14:paraId="3DC51FB9">
            <w:pPr>
              <w:rPr>
                <w:rFonts w:ascii="Arial"/>
                <w:sz w:val="21"/>
              </w:rPr>
            </w:pPr>
          </w:p>
        </w:tc>
      </w:tr>
      <w:tr w14:paraId="03194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32" w:type="dxa"/>
            <w:vMerge w:val="continue"/>
            <w:tcBorders>
              <w:top w:val="nil"/>
              <w:left w:val="single" w:color="000000" w:sz="6" w:space="0"/>
              <w:bottom w:val="nil"/>
            </w:tcBorders>
            <w:vAlign w:val="top"/>
          </w:tcPr>
          <w:p w14:paraId="23F99151">
            <w:pPr>
              <w:rPr>
                <w:rFonts w:ascii="Arial"/>
                <w:sz w:val="21"/>
              </w:rPr>
            </w:pPr>
          </w:p>
        </w:tc>
        <w:tc>
          <w:tcPr>
            <w:tcW w:w="171" w:type="dxa"/>
            <w:tcBorders>
              <w:top w:val="nil"/>
              <w:bottom w:val="nil"/>
            </w:tcBorders>
            <w:vAlign w:val="top"/>
          </w:tcPr>
          <w:p w14:paraId="552E25E0">
            <w:pPr>
              <w:rPr>
                <w:rFonts w:ascii="Arial"/>
                <w:sz w:val="21"/>
              </w:rPr>
            </w:pPr>
          </w:p>
        </w:tc>
        <w:tc>
          <w:tcPr>
            <w:tcW w:w="825" w:type="dxa"/>
            <w:vAlign w:val="top"/>
          </w:tcPr>
          <w:p w14:paraId="3B030E06">
            <w:pPr>
              <w:spacing w:before="69" w:line="194" w:lineRule="auto"/>
              <w:ind w:left="362"/>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649" w:type="dxa"/>
            <w:vAlign w:val="top"/>
          </w:tcPr>
          <w:p w14:paraId="6570DB76">
            <w:pPr>
              <w:pStyle w:val="6"/>
              <w:spacing w:before="35" w:line="203" w:lineRule="auto"/>
              <w:ind w:left="426"/>
              <w:rPr>
                <w:sz w:val="20"/>
                <w:szCs w:val="20"/>
              </w:rPr>
            </w:pPr>
            <w:r>
              <w:rPr>
                <w:spacing w:val="-2"/>
                <w:sz w:val="20"/>
                <w:szCs w:val="20"/>
              </w:rPr>
              <w:t>输送绞龙</w:t>
            </w:r>
          </w:p>
        </w:tc>
        <w:tc>
          <w:tcPr>
            <w:tcW w:w="2010" w:type="dxa"/>
            <w:vAlign w:val="top"/>
          </w:tcPr>
          <w:p w14:paraId="7EBEA8C1">
            <w:pPr>
              <w:spacing w:before="69" w:line="194" w:lineRule="auto"/>
              <w:ind w:left="975"/>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1265" w:type="dxa"/>
            <w:vAlign w:val="top"/>
          </w:tcPr>
          <w:p w14:paraId="3158C6FC">
            <w:pPr>
              <w:pStyle w:val="6"/>
              <w:spacing w:before="35" w:line="203" w:lineRule="auto"/>
              <w:ind w:left="466"/>
              <w:rPr>
                <w:sz w:val="20"/>
                <w:szCs w:val="20"/>
              </w:rPr>
            </w:pPr>
            <w:r>
              <w:rPr>
                <w:rFonts w:ascii="Times New Roman" w:hAnsi="Times New Roman" w:eastAsia="Times New Roman" w:cs="Times New Roman"/>
                <w:spacing w:val="-5"/>
                <w:sz w:val="20"/>
                <w:szCs w:val="20"/>
              </w:rPr>
              <w:t>6</w:t>
            </w:r>
            <w:r>
              <w:rPr>
                <w:rFonts w:ascii="Times New Roman" w:hAnsi="Times New Roman" w:eastAsia="Times New Roman" w:cs="Times New Roman"/>
                <w:spacing w:val="10"/>
                <w:sz w:val="20"/>
                <w:szCs w:val="20"/>
              </w:rPr>
              <w:t xml:space="preserve"> </w:t>
            </w:r>
            <w:r>
              <w:rPr>
                <w:spacing w:val="-5"/>
                <w:sz w:val="20"/>
                <w:szCs w:val="20"/>
              </w:rPr>
              <w:t>套</w:t>
            </w:r>
          </w:p>
        </w:tc>
        <w:tc>
          <w:tcPr>
            <w:tcW w:w="2056" w:type="dxa"/>
            <w:vAlign w:val="top"/>
          </w:tcPr>
          <w:p w14:paraId="156BA0E9">
            <w:pPr>
              <w:pStyle w:val="6"/>
              <w:spacing w:before="35" w:line="203" w:lineRule="auto"/>
              <w:ind w:left="639"/>
              <w:rPr>
                <w:sz w:val="20"/>
                <w:szCs w:val="20"/>
              </w:rPr>
            </w:pPr>
            <w:r>
              <w:rPr>
                <w:spacing w:val="-2"/>
                <w:sz w:val="20"/>
                <w:szCs w:val="20"/>
              </w:rPr>
              <w:t>物料输送</w:t>
            </w:r>
          </w:p>
        </w:tc>
        <w:tc>
          <w:tcPr>
            <w:tcW w:w="180" w:type="dxa"/>
            <w:tcBorders>
              <w:top w:val="nil"/>
              <w:bottom w:val="nil"/>
              <w:right w:val="single" w:color="000000" w:sz="6" w:space="0"/>
            </w:tcBorders>
            <w:vAlign w:val="top"/>
          </w:tcPr>
          <w:p w14:paraId="410E690E">
            <w:pPr>
              <w:rPr>
                <w:rFonts w:ascii="Arial"/>
                <w:sz w:val="21"/>
              </w:rPr>
            </w:pPr>
          </w:p>
        </w:tc>
      </w:tr>
      <w:tr w14:paraId="3290B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832" w:type="dxa"/>
            <w:vMerge w:val="continue"/>
            <w:tcBorders>
              <w:top w:val="nil"/>
              <w:left w:val="single" w:color="000000" w:sz="6" w:space="0"/>
              <w:bottom w:val="nil"/>
            </w:tcBorders>
            <w:vAlign w:val="top"/>
          </w:tcPr>
          <w:p w14:paraId="60AC9D84">
            <w:pPr>
              <w:rPr>
                <w:rFonts w:ascii="Arial"/>
                <w:sz w:val="21"/>
              </w:rPr>
            </w:pPr>
          </w:p>
        </w:tc>
        <w:tc>
          <w:tcPr>
            <w:tcW w:w="171" w:type="dxa"/>
            <w:tcBorders>
              <w:top w:val="nil"/>
              <w:bottom w:val="nil"/>
            </w:tcBorders>
            <w:vAlign w:val="top"/>
          </w:tcPr>
          <w:p w14:paraId="7028BBA1">
            <w:pPr>
              <w:rPr>
                <w:rFonts w:ascii="Arial"/>
                <w:sz w:val="21"/>
              </w:rPr>
            </w:pPr>
          </w:p>
        </w:tc>
        <w:tc>
          <w:tcPr>
            <w:tcW w:w="825" w:type="dxa"/>
            <w:vAlign w:val="top"/>
          </w:tcPr>
          <w:p w14:paraId="15CC1B64">
            <w:pPr>
              <w:spacing w:before="67" w:line="195" w:lineRule="auto"/>
              <w:ind w:left="367"/>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649" w:type="dxa"/>
            <w:vAlign w:val="top"/>
          </w:tcPr>
          <w:p w14:paraId="1E379FD0">
            <w:pPr>
              <w:pStyle w:val="6"/>
              <w:spacing w:before="34" w:line="203" w:lineRule="auto"/>
              <w:ind w:left="534"/>
              <w:rPr>
                <w:sz w:val="20"/>
                <w:szCs w:val="20"/>
              </w:rPr>
            </w:pPr>
            <w:r>
              <w:rPr>
                <w:spacing w:val="-4"/>
                <w:sz w:val="20"/>
                <w:szCs w:val="20"/>
              </w:rPr>
              <w:t>喷淋塔</w:t>
            </w:r>
          </w:p>
        </w:tc>
        <w:tc>
          <w:tcPr>
            <w:tcW w:w="2010" w:type="dxa"/>
            <w:vAlign w:val="top"/>
          </w:tcPr>
          <w:p w14:paraId="530E76DC">
            <w:pPr>
              <w:spacing w:before="67" w:line="195" w:lineRule="auto"/>
              <w:ind w:left="975"/>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1265" w:type="dxa"/>
            <w:vAlign w:val="top"/>
          </w:tcPr>
          <w:p w14:paraId="54273DEE">
            <w:pPr>
              <w:pStyle w:val="6"/>
              <w:spacing w:before="34" w:line="203" w:lineRule="auto"/>
              <w:ind w:left="462"/>
              <w:rPr>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10"/>
                <w:sz w:val="20"/>
                <w:szCs w:val="20"/>
              </w:rPr>
              <w:t xml:space="preserve"> </w:t>
            </w:r>
            <w:r>
              <w:rPr>
                <w:spacing w:val="-3"/>
                <w:sz w:val="20"/>
                <w:szCs w:val="20"/>
              </w:rPr>
              <w:t>套</w:t>
            </w:r>
          </w:p>
        </w:tc>
        <w:tc>
          <w:tcPr>
            <w:tcW w:w="2056" w:type="dxa"/>
            <w:vAlign w:val="top"/>
          </w:tcPr>
          <w:p w14:paraId="4D799503">
            <w:pPr>
              <w:pStyle w:val="6"/>
              <w:spacing w:before="34" w:line="203" w:lineRule="auto"/>
              <w:ind w:left="538"/>
              <w:rPr>
                <w:sz w:val="20"/>
                <w:szCs w:val="20"/>
              </w:rPr>
            </w:pPr>
            <w:r>
              <w:rPr>
                <w:spacing w:val="-1"/>
                <w:sz w:val="20"/>
                <w:szCs w:val="20"/>
              </w:rPr>
              <w:t>造粒、烘干</w:t>
            </w:r>
          </w:p>
        </w:tc>
        <w:tc>
          <w:tcPr>
            <w:tcW w:w="180" w:type="dxa"/>
            <w:tcBorders>
              <w:top w:val="nil"/>
              <w:bottom w:val="nil"/>
              <w:right w:val="single" w:color="000000" w:sz="6" w:space="0"/>
            </w:tcBorders>
            <w:vAlign w:val="top"/>
          </w:tcPr>
          <w:p w14:paraId="73316E4C">
            <w:pPr>
              <w:rPr>
                <w:rFonts w:ascii="Arial"/>
                <w:sz w:val="21"/>
              </w:rPr>
            </w:pPr>
          </w:p>
        </w:tc>
      </w:tr>
      <w:tr w14:paraId="38054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32" w:type="dxa"/>
            <w:vMerge w:val="continue"/>
            <w:tcBorders>
              <w:top w:val="nil"/>
              <w:left w:val="single" w:color="000000" w:sz="6" w:space="0"/>
              <w:bottom w:val="nil"/>
            </w:tcBorders>
            <w:vAlign w:val="top"/>
          </w:tcPr>
          <w:p w14:paraId="6AC6C23E">
            <w:pPr>
              <w:rPr>
                <w:rFonts w:ascii="Arial"/>
                <w:sz w:val="21"/>
              </w:rPr>
            </w:pPr>
          </w:p>
        </w:tc>
        <w:tc>
          <w:tcPr>
            <w:tcW w:w="171" w:type="dxa"/>
            <w:tcBorders>
              <w:top w:val="nil"/>
              <w:bottom w:val="nil"/>
            </w:tcBorders>
            <w:vAlign w:val="top"/>
          </w:tcPr>
          <w:p w14:paraId="3E9825FB">
            <w:pPr>
              <w:rPr>
                <w:rFonts w:ascii="Arial"/>
                <w:sz w:val="21"/>
              </w:rPr>
            </w:pPr>
          </w:p>
        </w:tc>
        <w:tc>
          <w:tcPr>
            <w:tcW w:w="825" w:type="dxa"/>
            <w:vAlign w:val="top"/>
          </w:tcPr>
          <w:p w14:paraId="13C352C0">
            <w:pPr>
              <w:spacing w:before="68" w:line="195" w:lineRule="auto"/>
              <w:ind w:left="363"/>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649" w:type="dxa"/>
            <w:vAlign w:val="top"/>
          </w:tcPr>
          <w:p w14:paraId="140E52DC">
            <w:pPr>
              <w:pStyle w:val="6"/>
              <w:spacing w:before="35" w:line="203" w:lineRule="auto"/>
              <w:ind w:left="533"/>
              <w:rPr>
                <w:sz w:val="20"/>
                <w:szCs w:val="20"/>
              </w:rPr>
            </w:pPr>
            <w:r>
              <w:rPr>
                <w:spacing w:val="-3"/>
                <w:sz w:val="20"/>
                <w:szCs w:val="20"/>
              </w:rPr>
              <w:t>空压机</w:t>
            </w:r>
          </w:p>
        </w:tc>
        <w:tc>
          <w:tcPr>
            <w:tcW w:w="2010" w:type="dxa"/>
            <w:vAlign w:val="top"/>
          </w:tcPr>
          <w:p w14:paraId="27F6ED5D">
            <w:pPr>
              <w:spacing w:before="68" w:line="195" w:lineRule="auto"/>
              <w:ind w:left="975"/>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1265" w:type="dxa"/>
            <w:vAlign w:val="top"/>
          </w:tcPr>
          <w:p w14:paraId="51D4B404">
            <w:pPr>
              <w:pStyle w:val="6"/>
              <w:spacing w:before="35" w:line="203" w:lineRule="auto"/>
              <w:ind w:left="481"/>
              <w:rPr>
                <w:sz w:val="20"/>
                <w:szCs w:val="20"/>
              </w:rPr>
            </w:pPr>
            <w:r>
              <w:rPr>
                <w:rFonts w:ascii="Times New Roman" w:hAnsi="Times New Roman" w:eastAsia="Times New Roman" w:cs="Times New Roman"/>
                <w:spacing w:val="-12"/>
                <w:sz w:val="20"/>
                <w:szCs w:val="20"/>
              </w:rPr>
              <w:t>1</w:t>
            </w:r>
            <w:r>
              <w:rPr>
                <w:rFonts w:ascii="Times New Roman" w:hAnsi="Times New Roman" w:eastAsia="Times New Roman" w:cs="Times New Roman"/>
                <w:spacing w:val="24"/>
                <w:sz w:val="20"/>
                <w:szCs w:val="20"/>
              </w:rPr>
              <w:t xml:space="preserve"> </w:t>
            </w:r>
            <w:r>
              <w:rPr>
                <w:spacing w:val="-12"/>
                <w:sz w:val="20"/>
                <w:szCs w:val="20"/>
              </w:rPr>
              <w:t>台</w:t>
            </w:r>
          </w:p>
        </w:tc>
        <w:tc>
          <w:tcPr>
            <w:tcW w:w="2056" w:type="dxa"/>
            <w:vAlign w:val="top"/>
          </w:tcPr>
          <w:p w14:paraId="0401C00D">
            <w:pPr>
              <w:rPr>
                <w:rFonts w:ascii="Arial"/>
                <w:sz w:val="21"/>
              </w:rPr>
            </w:pPr>
          </w:p>
        </w:tc>
        <w:tc>
          <w:tcPr>
            <w:tcW w:w="180" w:type="dxa"/>
            <w:tcBorders>
              <w:top w:val="nil"/>
              <w:bottom w:val="nil"/>
              <w:right w:val="single" w:color="000000" w:sz="6" w:space="0"/>
            </w:tcBorders>
            <w:vAlign w:val="top"/>
          </w:tcPr>
          <w:p w14:paraId="685B054F">
            <w:pPr>
              <w:rPr>
                <w:rFonts w:ascii="Arial"/>
                <w:sz w:val="21"/>
              </w:rPr>
            </w:pPr>
          </w:p>
        </w:tc>
      </w:tr>
      <w:tr w14:paraId="5FFDD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832" w:type="dxa"/>
            <w:vMerge w:val="continue"/>
            <w:tcBorders>
              <w:top w:val="nil"/>
              <w:left w:val="single" w:color="000000" w:sz="6" w:space="0"/>
            </w:tcBorders>
            <w:vAlign w:val="top"/>
          </w:tcPr>
          <w:p w14:paraId="13114828">
            <w:pPr>
              <w:rPr>
                <w:rFonts w:ascii="Arial"/>
                <w:sz w:val="21"/>
              </w:rPr>
            </w:pPr>
          </w:p>
        </w:tc>
        <w:tc>
          <w:tcPr>
            <w:tcW w:w="171" w:type="dxa"/>
            <w:tcBorders>
              <w:top w:val="nil"/>
            </w:tcBorders>
            <w:vAlign w:val="top"/>
          </w:tcPr>
          <w:p w14:paraId="19E6606F">
            <w:pPr>
              <w:rPr>
                <w:rFonts w:ascii="Arial"/>
                <w:sz w:val="21"/>
              </w:rPr>
            </w:pPr>
          </w:p>
        </w:tc>
        <w:tc>
          <w:tcPr>
            <w:tcW w:w="825" w:type="dxa"/>
            <w:vAlign w:val="top"/>
          </w:tcPr>
          <w:p w14:paraId="341E9195">
            <w:pPr>
              <w:spacing w:before="67" w:line="210" w:lineRule="auto"/>
              <w:ind w:left="328"/>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10</w:t>
            </w:r>
          </w:p>
        </w:tc>
        <w:tc>
          <w:tcPr>
            <w:tcW w:w="1649" w:type="dxa"/>
            <w:vAlign w:val="top"/>
          </w:tcPr>
          <w:p w14:paraId="35A57047">
            <w:pPr>
              <w:pStyle w:val="6"/>
              <w:spacing w:before="33" w:line="217" w:lineRule="auto"/>
              <w:ind w:left="328"/>
              <w:rPr>
                <w:sz w:val="20"/>
                <w:szCs w:val="20"/>
              </w:rPr>
            </w:pPr>
            <w:r>
              <w:rPr>
                <w:spacing w:val="-4"/>
                <w:sz w:val="20"/>
                <w:szCs w:val="20"/>
              </w:rPr>
              <w:t>铲车、叉车</w:t>
            </w:r>
          </w:p>
        </w:tc>
        <w:tc>
          <w:tcPr>
            <w:tcW w:w="2010" w:type="dxa"/>
            <w:vAlign w:val="top"/>
          </w:tcPr>
          <w:p w14:paraId="6C42905F">
            <w:pPr>
              <w:spacing w:before="67" w:line="210" w:lineRule="auto"/>
              <w:ind w:left="975"/>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1265" w:type="dxa"/>
            <w:vAlign w:val="top"/>
          </w:tcPr>
          <w:p w14:paraId="36AFA6C3">
            <w:pPr>
              <w:pStyle w:val="6"/>
              <w:spacing w:before="33" w:line="217" w:lineRule="auto"/>
              <w:ind w:left="466"/>
              <w:rPr>
                <w:sz w:val="20"/>
                <w:szCs w:val="20"/>
              </w:rPr>
            </w:pPr>
            <w:r>
              <w:rPr>
                <w:rFonts w:ascii="Times New Roman" w:hAnsi="Times New Roman" w:eastAsia="Times New Roman" w:cs="Times New Roman"/>
                <w:spacing w:val="-5"/>
                <w:sz w:val="20"/>
                <w:szCs w:val="20"/>
              </w:rPr>
              <w:t>3</w:t>
            </w:r>
            <w:r>
              <w:rPr>
                <w:rFonts w:ascii="Times New Roman" w:hAnsi="Times New Roman" w:eastAsia="Times New Roman" w:cs="Times New Roman"/>
                <w:spacing w:val="25"/>
                <w:sz w:val="20"/>
                <w:szCs w:val="20"/>
              </w:rPr>
              <w:t xml:space="preserve"> </w:t>
            </w:r>
            <w:r>
              <w:rPr>
                <w:spacing w:val="-5"/>
                <w:sz w:val="20"/>
                <w:szCs w:val="20"/>
              </w:rPr>
              <w:t>台</w:t>
            </w:r>
          </w:p>
        </w:tc>
        <w:tc>
          <w:tcPr>
            <w:tcW w:w="2056" w:type="dxa"/>
            <w:vAlign w:val="top"/>
          </w:tcPr>
          <w:p w14:paraId="6ABF56C5">
            <w:pPr>
              <w:rPr>
                <w:rFonts w:ascii="Arial"/>
                <w:sz w:val="21"/>
              </w:rPr>
            </w:pPr>
          </w:p>
        </w:tc>
        <w:tc>
          <w:tcPr>
            <w:tcW w:w="180" w:type="dxa"/>
            <w:tcBorders>
              <w:top w:val="nil"/>
              <w:right w:val="single" w:color="000000" w:sz="6" w:space="0"/>
            </w:tcBorders>
            <w:vAlign w:val="top"/>
          </w:tcPr>
          <w:p w14:paraId="295238D7">
            <w:pPr>
              <w:rPr>
                <w:rFonts w:ascii="Arial"/>
                <w:sz w:val="21"/>
              </w:rPr>
            </w:pPr>
          </w:p>
        </w:tc>
      </w:tr>
    </w:tbl>
    <w:p w14:paraId="358B9CF4">
      <w:pPr>
        <w:rPr>
          <w:rFonts w:ascii="Arial"/>
          <w:sz w:val="21"/>
        </w:rPr>
      </w:pPr>
    </w:p>
    <w:p w14:paraId="3CAE819B">
      <w:pPr>
        <w:rPr>
          <w:rFonts w:ascii="Arial" w:hAnsi="Arial" w:eastAsia="Arial" w:cs="Arial"/>
          <w:sz w:val="21"/>
          <w:szCs w:val="21"/>
        </w:rPr>
        <w:sectPr>
          <w:footerReference r:id="rId42" w:type="default"/>
          <w:pgSz w:w="11907" w:h="16839"/>
          <w:pgMar w:top="1431" w:right="1450" w:bottom="1055" w:left="1451" w:header="0" w:footer="802" w:gutter="0"/>
          <w:cols w:space="720" w:num="1"/>
        </w:sectPr>
      </w:pPr>
    </w:p>
    <w:p w14:paraId="29421EA3">
      <w:pPr>
        <w:spacing w:before="28"/>
      </w:pPr>
    </w:p>
    <w:tbl>
      <w:tblPr>
        <w:tblStyle w:val="5"/>
        <w:tblW w:w="898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71"/>
        <w:gridCol w:w="825"/>
        <w:gridCol w:w="1649"/>
        <w:gridCol w:w="2010"/>
        <w:gridCol w:w="1265"/>
        <w:gridCol w:w="2056"/>
        <w:gridCol w:w="180"/>
      </w:tblGrid>
      <w:tr w14:paraId="13F49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832" w:type="dxa"/>
            <w:vMerge w:val="restart"/>
            <w:tcBorders>
              <w:top w:val="single" w:color="000000" w:sz="6" w:space="0"/>
              <w:left w:val="single" w:color="000000" w:sz="6" w:space="0"/>
              <w:bottom w:val="nil"/>
            </w:tcBorders>
            <w:vAlign w:val="top"/>
          </w:tcPr>
          <w:p w14:paraId="6304FE12">
            <w:pPr>
              <w:rPr>
                <w:rFonts w:ascii="Arial"/>
                <w:sz w:val="21"/>
              </w:rPr>
            </w:pPr>
          </w:p>
        </w:tc>
        <w:tc>
          <w:tcPr>
            <w:tcW w:w="171" w:type="dxa"/>
            <w:tcBorders>
              <w:top w:val="single" w:color="000000" w:sz="6" w:space="0"/>
              <w:right w:val="single" w:color="000000" w:sz="8" w:space="0"/>
            </w:tcBorders>
            <w:vAlign w:val="top"/>
          </w:tcPr>
          <w:p w14:paraId="134D0A9E">
            <w:pPr>
              <w:rPr>
                <w:rFonts w:ascii="Arial"/>
                <w:sz w:val="21"/>
              </w:rPr>
            </w:pPr>
          </w:p>
        </w:tc>
        <w:tc>
          <w:tcPr>
            <w:tcW w:w="825" w:type="dxa"/>
            <w:tcBorders>
              <w:top w:val="single" w:color="000000" w:sz="6" w:space="0"/>
              <w:left w:val="single" w:color="000000" w:sz="8" w:space="0"/>
            </w:tcBorders>
            <w:vAlign w:val="top"/>
          </w:tcPr>
          <w:p w14:paraId="2F88F200">
            <w:pPr>
              <w:spacing w:before="76" w:line="201" w:lineRule="auto"/>
              <w:ind w:left="32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11</w:t>
            </w:r>
          </w:p>
        </w:tc>
        <w:tc>
          <w:tcPr>
            <w:tcW w:w="1649" w:type="dxa"/>
            <w:vAlign w:val="top"/>
          </w:tcPr>
          <w:p w14:paraId="525ED201">
            <w:pPr>
              <w:pStyle w:val="6"/>
              <w:spacing w:before="44" w:line="207" w:lineRule="auto"/>
              <w:ind w:left="526"/>
              <w:rPr>
                <w:sz w:val="20"/>
                <w:szCs w:val="20"/>
              </w:rPr>
            </w:pPr>
            <w:r>
              <w:rPr>
                <w:spacing w:val="-2"/>
                <w:sz w:val="20"/>
                <w:szCs w:val="20"/>
              </w:rPr>
              <w:t>输送带</w:t>
            </w:r>
          </w:p>
        </w:tc>
        <w:tc>
          <w:tcPr>
            <w:tcW w:w="2010" w:type="dxa"/>
            <w:vAlign w:val="top"/>
          </w:tcPr>
          <w:p w14:paraId="5D5E5C84">
            <w:pPr>
              <w:rPr>
                <w:rFonts w:ascii="Arial"/>
                <w:sz w:val="21"/>
              </w:rPr>
            </w:pPr>
          </w:p>
        </w:tc>
        <w:tc>
          <w:tcPr>
            <w:tcW w:w="1265" w:type="dxa"/>
            <w:vAlign w:val="top"/>
          </w:tcPr>
          <w:p w14:paraId="35D4520D">
            <w:pPr>
              <w:pStyle w:val="6"/>
              <w:spacing w:before="44" w:line="207" w:lineRule="auto"/>
              <w:ind w:left="467"/>
              <w:rPr>
                <w:sz w:val="20"/>
                <w:szCs w:val="20"/>
              </w:rPr>
            </w:pPr>
            <w:r>
              <w:rPr>
                <w:rFonts w:ascii="Times New Roman" w:hAnsi="Times New Roman" w:eastAsia="Times New Roman" w:cs="Times New Roman"/>
                <w:spacing w:val="-5"/>
                <w:sz w:val="20"/>
                <w:szCs w:val="20"/>
              </w:rPr>
              <w:t>5</w:t>
            </w:r>
            <w:r>
              <w:rPr>
                <w:rFonts w:ascii="Times New Roman" w:hAnsi="Times New Roman" w:eastAsia="Times New Roman" w:cs="Times New Roman"/>
                <w:spacing w:val="10"/>
                <w:sz w:val="20"/>
                <w:szCs w:val="20"/>
              </w:rPr>
              <w:t xml:space="preserve"> </w:t>
            </w:r>
            <w:r>
              <w:rPr>
                <w:spacing w:val="-5"/>
                <w:sz w:val="20"/>
                <w:szCs w:val="20"/>
              </w:rPr>
              <w:t>条</w:t>
            </w:r>
          </w:p>
        </w:tc>
        <w:tc>
          <w:tcPr>
            <w:tcW w:w="2056" w:type="dxa"/>
            <w:vAlign w:val="top"/>
          </w:tcPr>
          <w:p w14:paraId="425782F7">
            <w:pPr>
              <w:rPr>
                <w:rFonts w:ascii="Arial"/>
                <w:sz w:val="21"/>
              </w:rPr>
            </w:pPr>
          </w:p>
        </w:tc>
        <w:tc>
          <w:tcPr>
            <w:tcW w:w="180" w:type="dxa"/>
            <w:tcBorders>
              <w:top w:val="single" w:color="000000" w:sz="6" w:space="0"/>
              <w:bottom w:val="nil"/>
              <w:right w:val="single" w:color="000000" w:sz="6" w:space="0"/>
            </w:tcBorders>
            <w:vAlign w:val="top"/>
          </w:tcPr>
          <w:p w14:paraId="2E5E1643">
            <w:pPr>
              <w:rPr>
                <w:rFonts w:ascii="Arial"/>
                <w:sz w:val="21"/>
              </w:rPr>
            </w:pPr>
          </w:p>
        </w:tc>
      </w:tr>
      <w:tr w14:paraId="35D83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9" w:hRule="atLeast"/>
        </w:trPr>
        <w:tc>
          <w:tcPr>
            <w:tcW w:w="832" w:type="dxa"/>
            <w:vMerge w:val="continue"/>
            <w:tcBorders>
              <w:top w:val="nil"/>
              <w:left w:val="single" w:color="000000" w:sz="6" w:space="0"/>
              <w:bottom w:val="nil"/>
            </w:tcBorders>
            <w:vAlign w:val="top"/>
          </w:tcPr>
          <w:p w14:paraId="1204358F">
            <w:pPr>
              <w:rPr>
                <w:rFonts w:ascii="Arial"/>
                <w:sz w:val="21"/>
              </w:rPr>
            </w:pPr>
          </w:p>
        </w:tc>
        <w:tc>
          <w:tcPr>
            <w:tcW w:w="8156" w:type="dxa"/>
            <w:gridSpan w:val="7"/>
            <w:tcBorders>
              <w:bottom w:val="nil"/>
              <w:right w:val="single" w:color="000000" w:sz="6" w:space="0"/>
            </w:tcBorders>
            <w:vAlign w:val="top"/>
          </w:tcPr>
          <w:p w14:paraId="1ED0608F">
            <w:pPr>
              <w:spacing w:before="132" w:line="242" w:lineRule="auto"/>
              <w:ind w:left="54"/>
              <w:rPr>
                <w:rFonts w:ascii="黑体" w:hAnsi="黑体" w:eastAsia="黑体" w:cs="黑体"/>
                <w:sz w:val="21"/>
                <w:szCs w:val="21"/>
              </w:rPr>
            </w:pPr>
            <w:r>
              <w:rPr>
                <w:rFonts w:ascii="Times New Roman" w:hAnsi="Times New Roman" w:eastAsia="Times New Roman" w:cs="Times New Roman"/>
                <w:spacing w:val="7"/>
                <w:sz w:val="21"/>
                <w:szCs w:val="21"/>
              </w:rPr>
              <w:t>7</w:t>
            </w:r>
            <w:r>
              <w:rPr>
                <w:rFonts w:ascii="黑体" w:hAnsi="黑体" w:eastAsia="黑体" w:cs="黑体"/>
                <w:spacing w:val="7"/>
                <w:sz w:val="21"/>
                <w:szCs w:val="21"/>
              </w:rPr>
              <w:t>、物料平衡分析</w:t>
            </w:r>
          </w:p>
          <w:p w14:paraId="3EE85547">
            <w:pPr>
              <w:spacing w:before="76" w:line="218" w:lineRule="auto"/>
              <w:ind w:left="2899"/>
              <w:rPr>
                <w:rFonts w:ascii="黑体" w:hAnsi="黑体" w:eastAsia="黑体" w:cs="黑体"/>
                <w:sz w:val="20"/>
                <w:szCs w:val="20"/>
              </w:rPr>
            </w:pPr>
            <w:r>
              <w:rPr>
                <w:rFonts w:ascii="黑体" w:hAnsi="黑体" w:eastAsia="黑体" w:cs="黑体"/>
                <w:spacing w:val="-1"/>
                <w:sz w:val="20"/>
                <w:szCs w:val="20"/>
              </w:rPr>
              <w:t>表</w:t>
            </w:r>
            <w:r>
              <w:rPr>
                <w:rFonts w:ascii="Times New Roman" w:hAnsi="Times New Roman" w:eastAsia="Times New Roman" w:cs="Times New Roman"/>
                <w:spacing w:val="-1"/>
                <w:sz w:val="20"/>
                <w:szCs w:val="20"/>
              </w:rPr>
              <w:t xml:space="preserve">2-6      </w:t>
            </w:r>
            <w:r>
              <w:rPr>
                <w:rFonts w:ascii="黑体" w:hAnsi="黑体" w:eastAsia="黑体" w:cs="黑体"/>
                <w:spacing w:val="-1"/>
                <w:sz w:val="20"/>
                <w:szCs w:val="20"/>
              </w:rPr>
              <w:t>营运期物料平衡表</w:t>
            </w:r>
          </w:p>
          <w:tbl>
            <w:tblPr>
              <w:tblStyle w:val="5"/>
              <w:tblW w:w="7975" w:type="dxa"/>
              <w:tblInd w:w="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36"/>
              <w:gridCol w:w="1543"/>
              <w:gridCol w:w="1800"/>
              <w:gridCol w:w="1696"/>
            </w:tblGrid>
            <w:tr w14:paraId="163A2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4479" w:type="dxa"/>
                  <w:gridSpan w:val="2"/>
                  <w:vAlign w:val="top"/>
                </w:tcPr>
                <w:p w14:paraId="5CAE037E">
                  <w:pPr>
                    <w:pStyle w:val="6"/>
                    <w:spacing w:before="122" w:line="220" w:lineRule="auto"/>
                    <w:ind w:left="2021"/>
                    <w:rPr>
                      <w:sz w:val="18"/>
                      <w:szCs w:val="18"/>
                    </w:rPr>
                  </w:pPr>
                  <w:r>
                    <w:rPr>
                      <w:b/>
                      <w:bCs/>
                      <w:spacing w:val="-7"/>
                      <w:sz w:val="18"/>
                      <w:szCs w:val="18"/>
                    </w:rPr>
                    <w:t>投</w:t>
                  </w:r>
                  <w:r>
                    <w:rPr>
                      <w:spacing w:val="7"/>
                      <w:sz w:val="18"/>
                      <w:szCs w:val="18"/>
                    </w:rPr>
                    <w:t xml:space="preserve"> </w:t>
                  </w:r>
                  <w:r>
                    <w:rPr>
                      <w:b/>
                      <w:bCs/>
                      <w:spacing w:val="-7"/>
                      <w:sz w:val="18"/>
                      <w:szCs w:val="18"/>
                    </w:rPr>
                    <w:t>入</w:t>
                  </w:r>
                </w:p>
              </w:tc>
              <w:tc>
                <w:tcPr>
                  <w:tcW w:w="3496" w:type="dxa"/>
                  <w:gridSpan w:val="2"/>
                  <w:vAlign w:val="top"/>
                </w:tcPr>
                <w:p w14:paraId="0781A69B">
                  <w:pPr>
                    <w:pStyle w:val="6"/>
                    <w:spacing w:before="121" w:line="220" w:lineRule="auto"/>
                    <w:ind w:left="1526"/>
                    <w:rPr>
                      <w:sz w:val="18"/>
                      <w:szCs w:val="18"/>
                    </w:rPr>
                  </w:pPr>
                  <w:r>
                    <w:rPr>
                      <w:b/>
                      <w:bCs/>
                      <w:spacing w:val="-6"/>
                      <w:sz w:val="18"/>
                      <w:szCs w:val="18"/>
                    </w:rPr>
                    <w:t>产</w:t>
                  </w:r>
                  <w:r>
                    <w:rPr>
                      <w:spacing w:val="23"/>
                      <w:sz w:val="18"/>
                      <w:szCs w:val="18"/>
                    </w:rPr>
                    <w:t xml:space="preserve"> </w:t>
                  </w:r>
                  <w:r>
                    <w:rPr>
                      <w:b/>
                      <w:bCs/>
                      <w:spacing w:val="-6"/>
                      <w:sz w:val="18"/>
                      <w:szCs w:val="18"/>
                    </w:rPr>
                    <w:t>出</w:t>
                  </w:r>
                </w:p>
              </w:tc>
            </w:tr>
            <w:tr w14:paraId="22504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936" w:type="dxa"/>
                  <w:vAlign w:val="top"/>
                </w:tcPr>
                <w:p w14:paraId="2B262AA5">
                  <w:pPr>
                    <w:pStyle w:val="6"/>
                    <w:spacing w:before="118" w:line="221" w:lineRule="auto"/>
                    <w:ind w:left="1294"/>
                    <w:rPr>
                      <w:sz w:val="18"/>
                      <w:szCs w:val="18"/>
                    </w:rPr>
                  </w:pPr>
                  <w:r>
                    <w:rPr>
                      <w:b/>
                      <w:bCs/>
                      <w:spacing w:val="-4"/>
                      <w:sz w:val="18"/>
                      <w:szCs w:val="18"/>
                    </w:rPr>
                    <w:t>名称</w:t>
                  </w:r>
                </w:p>
              </w:tc>
              <w:tc>
                <w:tcPr>
                  <w:tcW w:w="1543" w:type="dxa"/>
                  <w:vAlign w:val="top"/>
                </w:tcPr>
                <w:p w14:paraId="2E9B3084">
                  <w:pPr>
                    <w:pStyle w:val="6"/>
                    <w:spacing w:before="118" w:line="221" w:lineRule="auto"/>
                    <w:ind w:left="295"/>
                    <w:rPr>
                      <w:sz w:val="18"/>
                      <w:szCs w:val="18"/>
                    </w:rPr>
                  </w:pPr>
                  <w:r>
                    <w:rPr>
                      <w:b/>
                      <w:bCs/>
                      <w:spacing w:val="-3"/>
                      <w:sz w:val="18"/>
                      <w:szCs w:val="18"/>
                    </w:rPr>
                    <w:t>年用量（</w:t>
                  </w:r>
                  <w:r>
                    <w:rPr>
                      <w:rFonts w:ascii="Times New Roman" w:hAnsi="Times New Roman" w:eastAsia="Times New Roman" w:cs="Times New Roman"/>
                      <w:b/>
                      <w:bCs/>
                      <w:spacing w:val="-3"/>
                      <w:sz w:val="18"/>
                      <w:szCs w:val="18"/>
                    </w:rPr>
                    <w:t>t</w:t>
                  </w:r>
                  <w:r>
                    <w:rPr>
                      <w:b/>
                      <w:bCs/>
                      <w:spacing w:val="-3"/>
                      <w:sz w:val="18"/>
                      <w:szCs w:val="18"/>
                    </w:rPr>
                    <w:t>）</w:t>
                  </w:r>
                </w:p>
              </w:tc>
              <w:tc>
                <w:tcPr>
                  <w:tcW w:w="1800" w:type="dxa"/>
                  <w:vAlign w:val="top"/>
                </w:tcPr>
                <w:p w14:paraId="63F69E69">
                  <w:pPr>
                    <w:pStyle w:val="6"/>
                    <w:spacing w:before="118" w:line="221" w:lineRule="auto"/>
                    <w:ind w:left="727"/>
                    <w:rPr>
                      <w:sz w:val="18"/>
                      <w:szCs w:val="18"/>
                    </w:rPr>
                  </w:pPr>
                  <w:r>
                    <w:rPr>
                      <w:b/>
                      <w:bCs/>
                      <w:spacing w:val="-4"/>
                      <w:sz w:val="18"/>
                      <w:szCs w:val="18"/>
                    </w:rPr>
                    <w:t>名称</w:t>
                  </w:r>
                </w:p>
              </w:tc>
              <w:tc>
                <w:tcPr>
                  <w:tcW w:w="1696" w:type="dxa"/>
                  <w:vAlign w:val="top"/>
                </w:tcPr>
                <w:p w14:paraId="4E5D723B">
                  <w:pPr>
                    <w:pStyle w:val="6"/>
                    <w:spacing w:before="118" w:line="221" w:lineRule="auto"/>
                    <w:ind w:left="281"/>
                    <w:rPr>
                      <w:sz w:val="18"/>
                      <w:szCs w:val="18"/>
                    </w:rPr>
                  </w:pPr>
                  <w:r>
                    <w:rPr>
                      <w:b/>
                      <w:bCs/>
                      <w:spacing w:val="-3"/>
                      <w:sz w:val="18"/>
                      <w:szCs w:val="18"/>
                    </w:rPr>
                    <w:t>年产生量（</w:t>
                  </w:r>
                  <w:r>
                    <w:rPr>
                      <w:rFonts w:ascii="Times New Roman" w:hAnsi="Times New Roman" w:eastAsia="Times New Roman" w:cs="Times New Roman"/>
                      <w:b/>
                      <w:bCs/>
                      <w:spacing w:val="-3"/>
                      <w:sz w:val="18"/>
                      <w:szCs w:val="18"/>
                    </w:rPr>
                    <w:t>t</w:t>
                  </w:r>
                  <w:r>
                    <w:rPr>
                      <w:b/>
                      <w:bCs/>
                      <w:spacing w:val="-3"/>
                      <w:sz w:val="18"/>
                      <w:szCs w:val="18"/>
                    </w:rPr>
                    <w:t>）</w:t>
                  </w:r>
                </w:p>
              </w:tc>
            </w:tr>
            <w:tr w14:paraId="12C56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2936" w:type="dxa"/>
                  <w:vAlign w:val="top"/>
                </w:tcPr>
                <w:p w14:paraId="72C7EBB8">
                  <w:pPr>
                    <w:pStyle w:val="6"/>
                    <w:spacing w:before="55" w:line="204" w:lineRule="auto"/>
                    <w:ind w:left="1023"/>
                    <w:rPr>
                      <w:sz w:val="18"/>
                      <w:szCs w:val="18"/>
                    </w:rPr>
                  </w:pPr>
                  <w:r>
                    <w:rPr>
                      <w:spacing w:val="-2"/>
                      <w:sz w:val="18"/>
                      <w:szCs w:val="18"/>
                    </w:rPr>
                    <w:t>松木边角料</w:t>
                  </w:r>
                </w:p>
              </w:tc>
              <w:tc>
                <w:tcPr>
                  <w:tcW w:w="1543" w:type="dxa"/>
                  <w:vAlign w:val="top"/>
                </w:tcPr>
                <w:p w14:paraId="3B6D24BB">
                  <w:pPr>
                    <w:spacing w:before="89" w:line="191" w:lineRule="auto"/>
                    <w:ind w:left="51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155000</w:t>
                  </w:r>
                </w:p>
              </w:tc>
              <w:tc>
                <w:tcPr>
                  <w:tcW w:w="1800" w:type="dxa"/>
                  <w:vAlign w:val="top"/>
                </w:tcPr>
                <w:p w14:paraId="2D130A71">
                  <w:pPr>
                    <w:pStyle w:val="6"/>
                    <w:spacing w:before="41" w:line="218" w:lineRule="auto"/>
                    <w:ind w:left="276"/>
                    <w:rPr>
                      <w:sz w:val="18"/>
                      <w:szCs w:val="18"/>
                    </w:rPr>
                  </w:pPr>
                  <w:r>
                    <w:rPr>
                      <w:spacing w:val="-2"/>
                      <w:sz w:val="18"/>
                      <w:szCs w:val="18"/>
                    </w:rPr>
                    <w:t>生物质成型燃料</w:t>
                  </w:r>
                </w:p>
              </w:tc>
              <w:tc>
                <w:tcPr>
                  <w:tcW w:w="1696" w:type="dxa"/>
                  <w:vAlign w:val="top"/>
                </w:tcPr>
                <w:p w14:paraId="104363B6">
                  <w:pPr>
                    <w:spacing w:before="71" w:line="212" w:lineRule="auto"/>
                    <w:ind w:left="59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150000</w:t>
                  </w:r>
                </w:p>
              </w:tc>
            </w:tr>
            <w:tr w14:paraId="41627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2936" w:type="dxa"/>
                  <w:vAlign w:val="top"/>
                </w:tcPr>
                <w:p w14:paraId="6B3667B1">
                  <w:pPr>
                    <w:pStyle w:val="6"/>
                    <w:spacing w:before="56" w:line="203" w:lineRule="auto"/>
                    <w:ind w:left="754"/>
                    <w:rPr>
                      <w:sz w:val="18"/>
                      <w:szCs w:val="18"/>
                    </w:rPr>
                  </w:pPr>
                  <w:r>
                    <w:rPr>
                      <w:spacing w:val="-1"/>
                      <w:sz w:val="18"/>
                      <w:szCs w:val="18"/>
                    </w:rPr>
                    <w:t>家具厂木材边角料</w:t>
                  </w:r>
                </w:p>
              </w:tc>
              <w:tc>
                <w:tcPr>
                  <w:tcW w:w="1543" w:type="dxa"/>
                  <w:vAlign w:val="top"/>
                </w:tcPr>
                <w:p w14:paraId="02984806">
                  <w:pPr>
                    <w:spacing w:before="90" w:line="190" w:lineRule="auto"/>
                    <w:ind w:left="40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13765.571</w:t>
                  </w:r>
                </w:p>
              </w:tc>
              <w:tc>
                <w:tcPr>
                  <w:tcW w:w="1800" w:type="dxa"/>
                  <w:vAlign w:val="top"/>
                </w:tcPr>
                <w:p w14:paraId="516A8252">
                  <w:pPr>
                    <w:pStyle w:val="6"/>
                    <w:spacing w:before="42" w:line="217" w:lineRule="auto"/>
                    <w:ind w:left="724"/>
                    <w:rPr>
                      <w:sz w:val="18"/>
                      <w:szCs w:val="18"/>
                    </w:rPr>
                  </w:pPr>
                  <w:r>
                    <w:rPr>
                      <w:spacing w:val="-2"/>
                      <w:sz w:val="18"/>
                      <w:szCs w:val="18"/>
                    </w:rPr>
                    <w:t>粉尘</w:t>
                  </w:r>
                </w:p>
              </w:tc>
              <w:tc>
                <w:tcPr>
                  <w:tcW w:w="1696" w:type="dxa"/>
                  <w:vAlign w:val="top"/>
                </w:tcPr>
                <w:p w14:paraId="2254B4A7">
                  <w:pPr>
                    <w:spacing w:before="72" w:line="211" w:lineRule="auto"/>
                    <w:ind w:left="61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15.071</w:t>
                  </w:r>
                </w:p>
              </w:tc>
            </w:tr>
            <w:tr w14:paraId="39AE2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936" w:type="dxa"/>
                  <w:vAlign w:val="top"/>
                </w:tcPr>
                <w:p w14:paraId="60F7F022">
                  <w:pPr>
                    <w:rPr>
                      <w:rFonts w:ascii="Arial"/>
                      <w:sz w:val="21"/>
                    </w:rPr>
                  </w:pPr>
                </w:p>
              </w:tc>
              <w:tc>
                <w:tcPr>
                  <w:tcW w:w="1543" w:type="dxa"/>
                  <w:vAlign w:val="top"/>
                </w:tcPr>
                <w:p w14:paraId="10A767D0">
                  <w:pPr>
                    <w:rPr>
                      <w:rFonts w:ascii="Arial"/>
                      <w:sz w:val="21"/>
                    </w:rPr>
                  </w:pPr>
                </w:p>
              </w:tc>
              <w:tc>
                <w:tcPr>
                  <w:tcW w:w="1800" w:type="dxa"/>
                  <w:vAlign w:val="top"/>
                </w:tcPr>
                <w:p w14:paraId="231885CF">
                  <w:pPr>
                    <w:pStyle w:val="6"/>
                    <w:spacing w:before="29" w:line="222" w:lineRule="auto"/>
                    <w:ind w:left="635" w:right="103" w:hanging="523"/>
                    <w:rPr>
                      <w:sz w:val="18"/>
                      <w:szCs w:val="18"/>
                    </w:rPr>
                  </w:pPr>
                  <w:r>
                    <w:rPr>
                      <w:spacing w:val="-5"/>
                      <w:sz w:val="18"/>
                      <w:szCs w:val="18"/>
                    </w:rPr>
                    <w:t>废塑料、废纸、废铁</w:t>
                  </w:r>
                  <w:r>
                    <w:rPr>
                      <w:spacing w:val="2"/>
                      <w:sz w:val="18"/>
                      <w:szCs w:val="18"/>
                    </w:rPr>
                    <w:t xml:space="preserve"> </w:t>
                  </w:r>
                  <w:r>
                    <w:rPr>
                      <w:spacing w:val="-2"/>
                      <w:sz w:val="18"/>
                      <w:szCs w:val="18"/>
                    </w:rPr>
                    <w:t>质杂物</w:t>
                  </w:r>
                </w:p>
              </w:tc>
              <w:tc>
                <w:tcPr>
                  <w:tcW w:w="1696" w:type="dxa"/>
                  <w:vAlign w:val="top"/>
                </w:tcPr>
                <w:p w14:paraId="24CF7F4E">
                  <w:pPr>
                    <w:spacing w:before="176" w:line="232" w:lineRule="auto"/>
                    <w:ind w:left="73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0.5</w:t>
                  </w:r>
                </w:p>
              </w:tc>
            </w:tr>
            <w:tr w14:paraId="6496C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2936" w:type="dxa"/>
                  <w:vAlign w:val="top"/>
                </w:tcPr>
                <w:p w14:paraId="028BCB72">
                  <w:pPr>
                    <w:rPr>
                      <w:rFonts w:ascii="Arial"/>
                      <w:sz w:val="21"/>
                    </w:rPr>
                  </w:pPr>
                </w:p>
              </w:tc>
              <w:tc>
                <w:tcPr>
                  <w:tcW w:w="1543" w:type="dxa"/>
                  <w:vAlign w:val="top"/>
                </w:tcPr>
                <w:p w14:paraId="3CAA0618">
                  <w:pPr>
                    <w:rPr>
                      <w:rFonts w:ascii="Arial"/>
                      <w:sz w:val="21"/>
                    </w:rPr>
                  </w:pPr>
                </w:p>
              </w:tc>
              <w:tc>
                <w:tcPr>
                  <w:tcW w:w="1800" w:type="dxa"/>
                  <w:vAlign w:val="top"/>
                </w:tcPr>
                <w:p w14:paraId="61E8FEC8">
                  <w:pPr>
                    <w:pStyle w:val="6"/>
                    <w:spacing w:before="43" w:line="216" w:lineRule="auto"/>
                    <w:ind w:left="365"/>
                    <w:rPr>
                      <w:sz w:val="18"/>
                      <w:szCs w:val="18"/>
                    </w:rPr>
                  </w:pPr>
                  <w:r>
                    <w:rPr>
                      <w:spacing w:val="-1"/>
                      <w:sz w:val="18"/>
                      <w:szCs w:val="18"/>
                    </w:rPr>
                    <w:t>烘干的水蒸气</w:t>
                  </w:r>
                </w:p>
              </w:tc>
              <w:tc>
                <w:tcPr>
                  <w:tcW w:w="1696" w:type="dxa"/>
                  <w:vAlign w:val="top"/>
                </w:tcPr>
                <w:p w14:paraId="41F99BDC">
                  <w:pPr>
                    <w:spacing w:before="72" w:line="211" w:lineRule="auto"/>
                    <w:ind w:left="6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18750</w:t>
                  </w:r>
                </w:p>
              </w:tc>
            </w:tr>
            <w:tr w14:paraId="7E3CA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936" w:type="dxa"/>
                  <w:vAlign w:val="top"/>
                </w:tcPr>
                <w:p w14:paraId="411719BC">
                  <w:pPr>
                    <w:pStyle w:val="6"/>
                    <w:spacing w:before="31" w:line="207" w:lineRule="auto"/>
                    <w:ind w:left="1203"/>
                    <w:rPr>
                      <w:sz w:val="18"/>
                      <w:szCs w:val="18"/>
                    </w:rPr>
                  </w:pPr>
                  <w:r>
                    <w:rPr>
                      <w:spacing w:val="-4"/>
                      <w:sz w:val="18"/>
                      <w:szCs w:val="18"/>
                    </w:rPr>
                    <w:t>合</w:t>
                  </w:r>
                  <w:r>
                    <w:rPr>
                      <w:spacing w:val="3"/>
                      <w:sz w:val="18"/>
                      <w:szCs w:val="18"/>
                    </w:rPr>
                    <w:t xml:space="preserve">  </w:t>
                  </w:r>
                  <w:r>
                    <w:rPr>
                      <w:spacing w:val="-4"/>
                      <w:sz w:val="18"/>
                      <w:szCs w:val="18"/>
                    </w:rPr>
                    <w:t>计</w:t>
                  </w:r>
                </w:p>
              </w:tc>
              <w:tc>
                <w:tcPr>
                  <w:tcW w:w="1543" w:type="dxa"/>
                  <w:vAlign w:val="top"/>
                </w:tcPr>
                <w:p w14:paraId="217EBD0D">
                  <w:pPr>
                    <w:spacing w:before="59" w:line="201" w:lineRule="auto"/>
                    <w:ind w:left="36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168765.571</w:t>
                  </w:r>
                </w:p>
              </w:tc>
              <w:tc>
                <w:tcPr>
                  <w:tcW w:w="1800" w:type="dxa"/>
                  <w:vAlign w:val="top"/>
                </w:tcPr>
                <w:p w14:paraId="487D3F54">
                  <w:pPr>
                    <w:pStyle w:val="6"/>
                    <w:spacing w:before="31" w:line="207" w:lineRule="auto"/>
                    <w:ind w:left="636"/>
                    <w:rPr>
                      <w:sz w:val="18"/>
                      <w:szCs w:val="18"/>
                    </w:rPr>
                  </w:pPr>
                  <w:r>
                    <w:rPr>
                      <w:spacing w:val="-4"/>
                      <w:sz w:val="18"/>
                      <w:szCs w:val="18"/>
                    </w:rPr>
                    <w:t>合</w:t>
                  </w:r>
                  <w:r>
                    <w:rPr>
                      <w:spacing w:val="3"/>
                      <w:sz w:val="18"/>
                      <w:szCs w:val="18"/>
                    </w:rPr>
                    <w:t xml:space="preserve">  </w:t>
                  </w:r>
                  <w:r>
                    <w:rPr>
                      <w:spacing w:val="-4"/>
                      <w:sz w:val="18"/>
                      <w:szCs w:val="18"/>
                    </w:rPr>
                    <w:t>计</w:t>
                  </w:r>
                </w:p>
              </w:tc>
              <w:tc>
                <w:tcPr>
                  <w:tcW w:w="1696" w:type="dxa"/>
                  <w:vAlign w:val="top"/>
                </w:tcPr>
                <w:p w14:paraId="60433122">
                  <w:pPr>
                    <w:spacing w:before="59" w:line="201" w:lineRule="auto"/>
                    <w:ind w:left="43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168765.571</w:t>
                  </w:r>
                </w:p>
              </w:tc>
            </w:tr>
          </w:tbl>
          <w:p w14:paraId="4B917C16">
            <w:pPr>
              <w:spacing w:before="131" w:line="242" w:lineRule="auto"/>
              <w:ind w:left="112"/>
              <w:rPr>
                <w:rFonts w:ascii="黑体" w:hAnsi="黑体" w:eastAsia="黑体" w:cs="黑体"/>
                <w:sz w:val="21"/>
                <w:szCs w:val="21"/>
              </w:rPr>
            </w:pPr>
            <w:r>
              <w:rPr>
                <w:rFonts w:ascii="Times New Roman" w:hAnsi="Times New Roman" w:eastAsia="Times New Roman" w:cs="Times New Roman"/>
                <w:spacing w:val="5"/>
                <w:sz w:val="21"/>
                <w:szCs w:val="21"/>
              </w:rPr>
              <w:t>8</w:t>
            </w:r>
            <w:r>
              <w:rPr>
                <w:rFonts w:ascii="黑体" w:hAnsi="黑体" w:eastAsia="黑体" w:cs="黑体"/>
                <w:spacing w:val="5"/>
                <w:sz w:val="21"/>
                <w:szCs w:val="21"/>
              </w:rPr>
              <w:t>、水平衡分析</w:t>
            </w:r>
          </w:p>
          <w:p w14:paraId="67748F4B">
            <w:pPr>
              <w:pStyle w:val="6"/>
              <w:spacing w:before="132" w:line="218" w:lineRule="auto"/>
              <w:ind w:left="528"/>
            </w:pPr>
            <w:r>
              <w:rPr>
                <w:spacing w:val="-2"/>
              </w:rPr>
              <w:t>本项目营运期用水环节主要有喷淋塔用水和员工生活用水。</w:t>
            </w:r>
          </w:p>
          <w:p w14:paraId="6DFFB538">
            <w:pPr>
              <w:pStyle w:val="6"/>
              <w:spacing w:before="152" w:line="232" w:lineRule="auto"/>
              <w:ind w:left="533"/>
            </w:pPr>
            <w:r>
              <w:rPr>
                <w:spacing w:val="-3"/>
              </w:rPr>
              <w:t>（</w:t>
            </w:r>
            <w:r>
              <w:rPr>
                <w:rFonts w:ascii="Times New Roman" w:hAnsi="Times New Roman" w:eastAsia="Times New Roman" w:cs="Times New Roman"/>
                <w:spacing w:val="-3"/>
              </w:rPr>
              <w:t>1</w:t>
            </w:r>
            <w:r>
              <w:rPr>
                <w:spacing w:val="-3"/>
              </w:rPr>
              <w:t>）喷淋塔用水</w:t>
            </w:r>
          </w:p>
          <w:p w14:paraId="74E636CD">
            <w:pPr>
              <w:pStyle w:val="6"/>
              <w:spacing w:before="133" w:line="350" w:lineRule="auto"/>
              <w:ind w:left="107" w:right="101" w:firstLine="420"/>
            </w:pPr>
            <w:r>
              <w:t>本项目共设置有</w:t>
            </w:r>
            <w:r>
              <w:rPr>
                <w:rFonts w:ascii="Times New Roman" w:hAnsi="Times New Roman" w:eastAsia="Times New Roman" w:cs="Times New Roman"/>
              </w:rPr>
              <w:t>2</w:t>
            </w:r>
            <w:r>
              <w:t>套喷淋塔除尘设施，即烘干粉尘和热风炉</w:t>
            </w:r>
            <w:r>
              <w:rPr>
                <w:spacing w:val="-1"/>
              </w:rPr>
              <w:t>烟气、造粒机粉尘。喷</w:t>
            </w:r>
            <w:r>
              <w:t xml:space="preserve"> </w:t>
            </w:r>
            <w:r>
              <w:rPr>
                <w:spacing w:val="-1"/>
              </w:rPr>
              <w:t>淋水由喷淋塔底部的水槽收集后循环使用，考虑到循环过程中的蒸发损</w:t>
            </w:r>
            <w:r>
              <w:rPr>
                <w:spacing w:val="-2"/>
              </w:rPr>
              <w:t>耗，还需要定期</w:t>
            </w:r>
            <w:r>
              <w:t xml:space="preserve"> </w:t>
            </w:r>
            <w:r>
              <w:rPr>
                <w:spacing w:val="-4"/>
              </w:rPr>
              <w:t>补充新鲜水。根据建设单位提供资料， 项目采用的单套喷淋塔</w:t>
            </w:r>
            <w:r>
              <w:rPr>
                <w:spacing w:val="-5"/>
              </w:rPr>
              <w:t>喷淋水量约</w:t>
            </w:r>
            <w:r>
              <w:rPr>
                <w:rFonts w:ascii="Times New Roman" w:hAnsi="Times New Roman" w:eastAsia="Times New Roman" w:cs="Times New Roman"/>
                <w:spacing w:val="-5"/>
              </w:rPr>
              <w:t>1.5m</w:t>
            </w:r>
            <w:r>
              <w:rPr>
                <w:rFonts w:ascii="Times New Roman" w:hAnsi="Times New Roman" w:eastAsia="Times New Roman" w:cs="Times New Roman"/>
                <w:spacing w:val="-5"/>
                <w:position w:val="7"/>
                <w:sz w:val="14"/>
                <w:szCs w:val="14"/>
              </w:rPr>
              <w:t>3</w:t>
            </w:r>
            <w:r>
              <w:rPr>
                <w:rFonts w:ascii="Times New Roman" w:hAnsi="Times New Roman" w:eastAsia="Times New Roman" w:cs="Times New Roman"/>
                <w:spacing w:val="-5"/>
              </w:rPr>
              <w:t>/h</w:t>
            </w:r>
            <w:r>
              <w:rPr>
                <w:spacing w:val="-5"/>
              </w:rPr>
              <w:t>（喷淋</w:t>
            </w:r>
            <w:r>
              <w:t xml:space="preserve"> </w:t>
            </w:r>
            <w:r>
              <w:rPr>
                <w:spacing w:val="-1"/>
              </w:rPr>
              <w:t>塔内部循环水量</w:t>
            </w:r>
            <w:r>
              <w:rPr>
                <w:rFonts w:ascii="Times New Roman" w:hAnsi="Times New Roman" w:eastAsia="Times New Roman" w:cs="Times New Roman"/>
                <w:spacing w:val="-1"/>
              </w:rPr>
              <w:t>1.5m</w:t>
            </w:r>
            <w:r>
              <w:rPr>
                <w:rFonts w:ascii="Times New Roman" w:hAnsi="Times New Roman" w:eastAsia="Times New Roman" w:cs="Times New Roman"/>
                <w:spacing w:val="-1"/>
                <w:position w:val="7"/>
                <w:sz w:val="14"/>
                <w:szCs w:val="14"/>
              </w:rPr>
              <w:t>3</w:t>
            </w:r>
            <w:r>
              <w:rPr>
                <w:spacing w:val="-24"/>
              </w:rPr>
              <w:t>），</w:t>
            </w:r>
            <w:r>
              <w:rPr>
                <w:spacing w:val="-1"/>
              </w:rPr>
              <w:t>则单套喷淋塔每日喷淋水量约</w:t>
            </w:r>
            <w:r>
              <w:rPr>
                <w:rFonts w:ascii="Times New Roman" w:hAnsi="Times New Roman" w:eastAsia="Times New Roman" w:cs="Times New Roman"/>
                <w:spacing w:val="-1"/>
              </w:rPr>
              <w:t>15m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/d</w:t>
            </w:r>
            <w:r>
              <w:rPr>
                <w:spacing w:val="-1"/>
              </w:rPr>
              <w:t>，喷淋</w:t>
            </w:r>
            <w:r>
              <w:rPr>
                <w:spacing w:val="-2"/>
              </w:rPr>
              <w:t>水的损耗主要为热</w:t>
            </w:r>
            <w:r>
              <w:rPr>
                <w:spacing w:val="1"/>
              </w:rPr>
              <w:t xml:space="preserve"> </w:t>
            </w:r>
            <w:r>
              <w:t>烟气蒸发损耗，损耗量按照</w:t>
            </w:r>
            <w:r>
              <w:rPr>
                <w:rFonts w:ascii="Times New Roman" w:hAnsi="Times New Roman" w:eastAsia="Times New Roman" w:cs="Times New Roman"/>
              </w:rPr>
              <w:t>10%</w:t>
            </w:r>
            <w:r>
              <w:t>计，则喷淋补充水约</w:t>
            </w:r>
            <w:r>
              <w:rPr>
                <w:rFonts w:ascii="Times New Roman" w:hAnsi="Times New Roman" w:eastAsia="Times New Roman" w:cs="Times New Roman"/>
              </w:rPr>
              <w:t>0.</w:t>
            </w:r>
            <w:r>
              <w:rPr>
                <w:rFonts w:ascii="Times New Roman" w:hAnsi="Times New Roman" w:eastAsia="Times New Roman" w:cs="Times New Roman"/>
                <w:spacing w:val="-1"/>
              </w:rPr>
              <w:t>15m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/h</w:t>
            </w:r>
            <w:r>
              <w:rPr>
                <w:spacing w:val="-1"/>
              </w:rPr>
              <w:t>（</w:t>
            </w:r>
            <w:r>
              <w:rPr>
                <w:rFonts w:ascii="Times New Roman" w:hAnsi="Times New Roman" w:eastAsia="Times New Roman" w:cs="Times New Roman"/>
                <w:spacing w:val="-1"/>
              </w:rPr>
              <w:t>1.5m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/d</w:t>
            </w:r>
            <w:r>
              <w:rPr>
                <w:spacing w:val="-2"/>
              </w:rPr>
              <w:t>），</w:t>
            </w:r>
            <w:r>
              <w:rPr>
                <w:spacing w:val="-1"/>
              </w:rPr>
              <w:t>喷淋废水产</w:t>
            </w:r>
            <w:r>
              <w:rPr>
                <w:spacing w:val="1"/>
              </w:rPr>
              <w:t xml:space="preserve"> </w:t>
            </w:r>
            <w:r>
              <w:rPr>
                <w:spacing w:val="-1"/>
              </w:rPr>
              <w:t>生量约</w:t>
            </w:r>
            <w:r>
              <w:rPr>
                <w:rFonts w:ascii="Times New Roman" w:hAnsi="Times New Roman" w:eastAsia="Times New Roman" w:cs="Times New Roman"/>
                <w:spacing w:val="-1"/>
              </w:rPr>
              <w:t>1.35m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/h</w:t>
            </w:r>
            <w:r>
              <w:rPr>
                <w:spacing w:val="-1"/>
              </w:rPr>
              <w:t>（</w:t>
            </w:r>
            <w:r>
              <w:rPr>
                <w:rFonts w:ascii="Times New Roman" w:hAnsi="Times New Roman" w:eastAsia="Times New Roman" w:cs="Times New Roman"/>
                <w:spacing w:val="-1"/>
              </w:rPr>
              <w:t>13.5m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/d</w:t>
            </w:r>
            <w:r>
              <w:rPr>
                <w:spacing w:val="-1"/>
              </w:rPr>
              <w:t>）。喷淋塔底部有水槽（容积约</w:t>
            </w:r>
            <w:r>
              <w:rPr>
                <w:rFonts w:ascii="Times New Roman" w:hAnsi="Times New Roman" w:eastAsia="Times New Roman" w:cs="Times New Roman"/>
                <w:spacing w:val="-1"/>
              </w:rPr>
              <w:t>2m</w:t>
            </w:r>
            <w:r>
              <w:rPr>
                <w:rFonts w:ascii="Times New Roman" w:hAnsi="Times New Roman" w:eastAsia="Times New Roman" w:cs="Times New Roman"/>
                <w:spacing w:val="-1"/>
                <w:position w:val="7"/>
                <w:sz w:val="14"/>
                <w:szCs w:val="14"/>
              </w:rPr>
              <w:t xml:space="preserve">3 </w:t>
            </w:r>
            <w:r>
              <w:rPr>
                <w:spacing w:val="-6"/>
              </w:rPr>
              <w:t>），</w:t>
            </w:r>
            <w:r>
              <w:rPr>
                <w:spacing w:val="-1"/>
              </w:rPr>
              <w:t>收集喷淋废水过滤处</w:t>
            </w:r>
            <w:r>
              <w:rPr>
                <w:spacing w:val="1"/>
              </w:rPr>
              <w:t xml:space="preserve"> </w:t>
            </w:r>
            <w:r>
              <w:rPr>
                <w:spacing w:val="-1"/>
              </w:rPr>
              <w:t>理后直接由循环水泵泵至塔顶作为喷淋水循环使用。</w:t>
            </w:r>
          </w:p>
          <w:p w14:paraId="67661BAF">
            <w:pPr>
              <w:pStyle w:val="6"/>
              <w:spacing w:before="17" w:line="344" w:lineRule="auto"/>
              <w:ind w:left="109" w:right="109" w:firstLine="420"/>
            </w:pPr>
            <w:r>
              <w:rPr>
                <w:spacing w:val="-1"/>
              </w:rPr>
              <w:t>综上，本项目两套喷淋塔每日共需补充水</w:t>
            </w:r>
            <w:r>
              <w:rPr>
                <w:rFonts w:ascii="Times New Roman" w:hAnsi="Times New Roman" w:eastAsia="Times New Roman" w:cs="Times New Roman"/>
                <w:spacing w:val="-1"/>
              </w:rPr>
              <w:t>3.0m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/d</w:t>
            </w:r>
            <w:r>
              <w:rPr>
                <w:spacing w:val="-2"/>
              </w:rPr>
              <w:t>，喷淋废水总产生量</w:t>
            </w:r>
            <w:r>
              <w:rPr>
                <w:rFonts w:ascii="Times New Roman" w:hAnsi="Times New Roman" w:eastAsia="Times New Roman" w:cs="Times New Roman"/>
                <w:spacing w:val="-2"/>
              </w:rPr>
              <w:t>27m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/d</w:t>
            </w:r>
            <w:r>
              <w:rPr>
                <w:spacing w:val="-2"/>
              </w:rPr>
              <w:t>，处理</w:t>
            </w:r>
            <w:r>
              <w:t xml:space="preserve"> </w:t>
            </w:r>
            <w:r>
              <w:rPr>
                <w:spacing w:val="-2"/>
              </w:rPr>
              <w:t>后循环回用。</w:t>
            </w:r>
          </w:p>
          <w:p w14:paraId="36C14820">
            <w:pPr>
              <w:pStyle w:val="6"/>
              <w:spacing w:before="17" w:line="233" w:lineRule="auto"/>
              <w:ind w:left="533"/>
            </w:pPr>
            <w:r>
              <w:rPr>
                <w:spacing w:val="-4"/>
              </w:rPr>
              <w:t>（</w:t>
            </w:r>
            <w:r>
              <w:rPr>
                <w:rFonts w:ascii="Times New Roman" w:hAnsi="Times New Roman" w:eastAsia="Times New Roman" w:cs="Times New Roman"/>
                <w:spacing w:val="-4"/>
              </w:rPr>
              <w:t>2</w:t>
            </w:r>
            <w:r>
              <w:rPr>
                <w:spacing w:val="-4"/>
              </w:rPr>
              <w:t>）生活污水</w:t>
            </w:r>
          </w:p>
          <w:p w14:paraId="70BABE22">
            <w:pPr>
              <w:pStyle w:val="6"/>
              <w:spacing w:before="134" w:line="352" w:lineRule="auto"/>
              <w:ind w:left="106" w:right="101" w:firstLine="424"/>
            </w:pPr>
            <w:r>
              <w:rPr>
                <w:spacing w:val="-1"/>
              </w:rPr>
              <w:t>项目区仅设有办公室和会议室，不设职工食堂和宿舍。项目</w:t>
            </w:r>
            <w:r>
              <w:rPr>
                <w:spacing w:val="-2"/>
              </w:rPr>
              <w:t>劳动定员</w:t>
            </w:r>
            <w:r>
              <w:rPr>
                <w:rFonts w:ascii="Times New Roman" w:hAnsi="Times New Roman" w:eastAsia="Times New Roman" w:cs="Times New Roman"/>
                <w:spacing w:val="-2"/>
              </w:rPr>
              <w:t>12</w:t>
            </w:r>
            <w:r>
              <w:rPr>
                <w:spacing w:val="-2"/>
              </w:rPr>
              <w:t>人，职工不</w:t>
            </w:r>
            <w:r>
              <w:t xml:space="preserve"> </w:t>
            </w:r>
            <w:r>
              <w:rPr>
                <w:spacing w:val="-6"/>
              </w:rPr>
              <w:t>在厂内食宿，职工用水主要是洗手、如厕用水，</w:t>
            </w:r>
            <w:r>
              <w:rPr>
                <w:spacing w:val="54"/>
              </w:rPr>
              <w:t xml:space="preserve"> </w:t>
            </w:r>
            <w:r>
              <w:rPr>
                <w:spacing w:val="-6"/>
              </w:rPr>
              <w:t>参考四川省地方标准《用水定额》（川</w:t>
            </w:r>
            <w:r>
              <w:t xml:space="preserve"> </w:t>
            </w:r>
            <w:r>
              <w:rPr>
                <w:spacing w:val="-1"/>
              </w:rPr>
              <w:t>府函〔</w:t>
            </w:r>
            <w:r>
              <w:rPr>
                <w:rFonts w:ascii="Times New Roman" w:hAnsi="Times New Roman" w:eastAsia="Times New Roman" w:cs="Times New Roman"/>
                <w:spacing w:val="-1"/>
              </w:rPr>
              <w:t>2021</w:t>
            </w:r>
            <w:r>
              <w:rPr>
                <w:spacing w:val="-1"/>
              </w:rPr>
              <w:t>〕</w:t>
            </w:r>
            <w:r>
              <w:rPr>
                <w:rFonts w:ascii="Times New Roman" w:hAnsi="Times New Roman" w:eastAsia="Times New Roman" w:cs="Times New Roman"/>
                <w:spacing w:val="-1"/>
              </w:rPr>
              <w:t>8</w:t>
            </w:r>
            <w:r>
              <w:rPr>
                <w:spacing w:val="-1"/>
              </w:rPr>
              <w:t>号</w:t>
            </w:r>
            <w:r>
              <w:t>），</w:t>
            </w:r>
            <w:r>
              <w:rPr>
                <w:spacing w:val="-1"/>
              </w:rPr>
              <w:t>不食宿员工生活用水取</w:t>
            </w:r>
            <w:r>
              <w:rPr>
                <w:rFonts w:ascii="Times New Roman" w:hAnsi="Times New Roman" w:eastAsia="Times New Roman" w:cs="Times New Roman"/>
                <w:spacing w:val="-1"/>
              </w:rPr>
              <w:t>60L/</w:t>
            </w:r>
            <w:r>
              <w:rPr>
                <w:spacing w:val="-1"/>
              </w:rPr>
              <w:t>人</w:t>
            </w:r>
            <w:r>
              <w:rPr>
                <w:rFonts w:ascii="Times New Roman" w:hAnsi="Times New Roman" w:eastAsia="Times New Roman" w:cs="Times New Roman"/>
                <w:spacing w:val="-1"/>
              </w:rPr>
              <w:t>·d</w:t>
            </w:r>
            <w:r>
              <w:rPr>
                <w:rFonts w:ascii="Times New Roman" w:hAnsi="Times New Roman" w:eastAsia="Times New Roman" w:cs="Times New Roman"/>
                <w:spacing w:val="-27"/>
              </w:rPr>
              <w:t xml:space="preserve"> </w:t>
            </w:r>
            <w:r>
              <w:rPr>
                <w:spacing w:val="-2"/>
              </w:rPr>
              <w:t>，则项目生活用水量为</w:t>
            </w:r>
            <w:r>
              <w:rPr>
                <w:rFonts w:ascii="Times New Roman" w:hAnsi="Times New Roman" w:eastAsia="Times New Roman" w:cs="Times New Roman"/>
                <w:spacing w:val="-2"/>
              </w:rPr>
              <w:t>0.72m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/d</w:t>
            </w:r>
            <w:r>
              <w:rPr>
                <w:rFonts w:ascii="Times New Roman" w:hAnsi="Times New Roman" w:eastAsia="Times New Roman" w:cs="Times New Roman"/>
                <w:spacing w:val="-28"/>
              </w:rPr>
              <w:t xml:space="preserve"> </w:t>
            </w:r>
            <w:r>
              <w:rPr>
                <w:spacing w:val="-2"/>
              </w:rPr>
              <w:t>，</w:t>
            </w:r>
            <w:r>
              <w:t xml:space="preserve"> 产污系数按</w:t>
            </w:r>
            <w:r>
              <w:rPr>
                <w:rFonts w:ascii="Times New Roman" w:hAnsi="Times New Roman" w:eastAsia="Times New Roman" w:cs="Times New Roman"/>
              </w:rPr>
              <w:t>0.9</w:t>
            </w:r>
            <w:r>
              <w:t>计，则生活污水产生量约</w:t>
            </w:r>
            <w:r>
              <w:rPr>
                <w:rFonts w:ascii="Times New Roman" w:hAnsi="Times New Roman" w:eastAsia="Times New Roman" w:cs="Times New Roman"/>
              </w:rPr>
              <w:t>0</w:t>
            </w:r>
            <w:r>
              <w:rPr>
                <w:rFonts w:ascii="Times New Roman" w:hAnsi="Times New Roman" w:eastAsia="Times New Roman" w:cs="Times New Roman"/>
                <w:spacing w:val="-1"/>
              </w:rPr>
              <w:t>.65m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/d</w:t>
            </w:r>
            <w:r>
              <w:rPr>
                <w:spacing w:val="-1"/>
              </w:rPr>
              <w:t>。</w:t>
            </w:r>
          </w:p>
          <w:p w14:paraId="38930731">
            <w:pPr>
              <w:pStyle w:val="6"/>
              <w:spacing w:line="219" w:lineRule="auto"/>
              <w:ind w:left="533"/>
            </w:pPr>
            <w:r>
              <w:rPr>
                <w:spacing w:val="-4"/>
              </w:rPr>
              <w:t>营运期的水平衡见下图所示。</w:t>
            </w:r>
          </w:p>
        </w:tc>
      </w:tr>
      <w:tr w14:paraId="7BC68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5" w:hRule="atLeast"/>
        </w:trPr>
        <w:tc>
          <w:tcPr>
            <w:tcW w:w="832" w:type="dxa"/>
            <w:vMerge w:val="continue"/>
            <w:tcBorders>
              <w:top w:val="nil"/>
              <w:left w:val="single" w:color="000000" w:sz="6" w:space="0"/>
              <w:bottom w:val="nil"/>
            </w:tcBorders>
            <w:vAlign w:val="top"/>
          </w:tcPr>
          <w:p w14:paraId="7102241B">
            <w:pPr>
              <w:rPr>
                <w:rFonts w:ascii="Arial"/>
                <w:sz w:val="21"/>
              </w:rPr>
            </w:pPr>
          </w:p>
        </w:tc>
        <w:tc>
          <w:tcPr>
            <w:tcW w:w="8156" w:type="dxa"/>
            <w:gridSpan w:val="7"/>
            <w:tcBorders>
              <w:top w:val="nil"/>
              <w:bottom w:val="nil"/>
              <w:right w:val="single" w:color="000000" w:sz="6" w:space="0"/>
            </w:tcBorders>
            <w:vAlign w:val="top"/>
          </w:tcPr>
          <w:p w14:paraId="32E6D97F">
            <w:pPr>
              <w:spacing w:line="241" w:lineRule="auto"/>
              <w:rPr>
                <w:rFonts w:ascii="Arial"/>
                <w:sz w:val="21"/>
              </w:rPr>
            </w:pPr>
            <w:r>
              <w:pict>
                <v:shape id="_x0000_s1039" o:spid="_x0000_s1039" o:spt="202" type="#_x0000_t202" style="position:absolute;left:0pt;margin-left:143.95pt;margin-top:70.05pt;height:13.4pt;width:37.65pt;mso-position-horizontal-relative:page;mso-position-vertical-relative:page;z-index:251678720;mso-width-relative:page;mso-height-relative:page;" filled="f" stroked="f" coordsize="21600,21600">
                  <v:path/>
                  <v:fill on="f" focussize="0,0"/>
                  <v:stroke on="f"/>
                  <v:imagedata o:title=""/>
                  <o:lock v:ext="edit" aspectratio="f"/>
                  <v:textbox inset="0mm,0mm,0mm,0mm">
                    <w:txbxContent>
                      <w:p w14:paraId="29FC894D">
                        <w:pPr>
                          <w:pStyle w:val="6"/>
                          <w:spacing w:before="20" w:line="233" w:lineRule="auto"/>
                          <w:ind w:left="20"/>
                          <w:rPr>
                            <w:rFonts w:ascii="Times New Roman" w:hAnsi="Times New Roman" w:eastAsia="Times New Roman" w:cs="Times New Roman"/>
                            <w:sz w:val="18"/>
                            <w:szCs w:val="18"/>
                          </w:rPr>
                        </w:pPr>
                        <w:r>
                          <w:rPr>
                            <w:spacing w:val="-3"/>
                            <w:sz w:val="18"/>
                            <w:szCs w:val="18"/>
                          </w:rPr>
                          <w:t>损耗</w:t>
                        </w:r>
                        <w:r>
                          <w:rPr>
                            <w:spacing w:val="-36"/>
                            <w:sz w:val="18"/>
                            <w:szCs w:val="18"/>
                          </w:rPr>
                          <w:t xml:space="preserve"> </w:t>
                        </w:r>
                        <w:r>
                          <w:rPr>
                            <w:rFonts w:ascii="Times New Roman" w:hAnsi="Times New Roman" w:eastAsia="Times New Roman" w:cs="Times New Roman"/>
                            <w:spacing w:val="-3"/>
                            <w:sz w:val="18"/>
                            <w:szCs w:val="18"/>
                          </w:rPr>
                          <w:t>0.07</w:t>
                        </w:r>
                      </w:p>
                    </w:txbxContent>
                  </v:textbox>
                </v:shape>
              </w:pict>
            </w:r>
            <w:r>
              <w:pict>
                <v:shape id="_x0000_s1040" o:spid="_x0000_s1040" o:spt="202" type="#_x0000_t202" style="position:absolute;left:0pt;margin-left:254.6pt;margin-top:89.5pt;height:24.45pt;width:111.2pt;mso-position-horizontal-relative:page;mso-position-vertical-relative:page;z-index:251676672;mso-width-relative:page;mso-height-relative:page;" filled="f" stroked="f" coordsize="21600,21600">
                  <v:path/>
                  <v:fill on="f" focussize="0,0"/>
                  <v:stroke on="f"/>
                  <v:imagedata o:title=""/>
                  <o:lock v:ext="edit" aspectratio="f"/>
                  <v:textbox inset="0mm,0mm,0mm,0mm">
                    <w:txbxContent>
                      <w:p w14:paraId="2544F4E4">
                        <w:pPr>
                          <w:pStyle w:val="6"/>
                          <w:spacing w:before="19" w:line="230" w:lineRule="auto"/>
                          <w:ind w:left="500" w:right="20" w:hanging="480"/>
                          <w:rPr>
                            <w:sz w:val="18"/>
                            <w:szCs w:val="18"/>
                          </w:rPr>
                        </w:pPr>
                        <w:r>
                          <w:rPr>
                            <w:rFonts w:ascii="Times New Roman" w:hAnsi="Times New Roman" w:eastAsia="Times New Roman" w:cs="Times New Roman"/>
                            <w:spacing w:val="6"/>
                            <w:position w:val="-1"/>
                            <w:sz w:val="18"/>
                            <w:szCs w:val="18"/>
                          </w:rPr>
                          <w:t>0.65</w:t>
                        </w:r>
                        <w:r>
                          <w:rPr>
                            <w:rFonts w:ascii="Times New Roman" w:hAnsi="Times New Roman" w:eastAsia="Times New Roman" w:cs="Times New Roman"/>
                            <w:spacing w:val="11"/>
                            <w:w w:val="101"/>
                            <w:position w:val="-1"/>
                            <w:sz w:val="18"/>
                            <w:szCs w:val="18"/>
                          </w:rPr>
                          <w:t xml:space="preserve">   </w:t>
                        </w:r>
                        <w:r>
                          <w:rPr>
                            <w:spacing w:val="6"/>
                            <w:sz w:val="18"/>
                            <w:szCs w:val="18"/>
                          </w:rPr>
                          <w:t>经市政污水管网进入</w:t>
                        </w:r>
                        <w:r>
                          <w:rPr>
                            <w:sz w:val="18"/>
                            <w:szCs w:val="18"/>
                          </w:rPr>
                          <w:t xml:space="preserve"> </w:t>
                        </w:r>
                        <w:r>
                          <w:rPr>
                            <w:spacing w:val="9"/>
                            <w:sz w:val="18"/>
                            <w:szCs w:val="18"/>
                          </w:rPr>
                          <w:t>东岳场镇污水处理厂</w:t>
                        </w:r>
                      </w:p>
                    </w:txbxContent>
                  </v:textbox>
                </v:shape>
              </w:pict>
            </w:r>
            <w:r>
              <w:pict>
                <v:shape id="_x0000_s1041" o:spid="_x0000_s1041" o:spt="202" type="#_x0000_t202" style="position:absolute;left:0pt;margin-left:174.5pt;margin-top:92.5pt;height:12.05pt;width:17.5pt;mso-position-horizontal-relative:page;mso-position-vertical-relative:page;z-index:251680768;mso-width-relative:page;mso-height-relative:page;" filled="f" stroked="f" coordsize="21600,21600">
                  <v:path/>
                  <v:fill on="f" focussize="0,0"/>
                  <v:stroke on="f"/>
                  <v:imagedata o:title=""/>
                  <o:lock v:ext="edit" aspectratio="f"/>
                  <v:textbox inset="0mm,0mm,0mm,0mm">
                    <w:txbxContent>
                      <w:p w14:paraId="45724C8B">
                        <w:pPr>
                          <w:spacing w:before="20" w:line="232"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0.65</w:t>
                        </w:r>
                      </w:p>
                    </w:txbxContent>
                  </v:textbox>
                </v:shape>
              </w:pict>
            </w:r>
            <w:r>
              <w:pict>
                <v:shape id="_x0000_s1042" o:spid="_x0000_s1042" o:spt="202" type="#_x0000_t202" style="position:absolute;left:0pt;margin-left:213pt;margin-top:96.4pt;height:12.75pt;width:28.65pt;mso-position-horizontal-relative:page;mso-position-vertical-relative:page;z-index:251673600;mso-width-relative:page;mso-height-relative:page;" filled="f" stroked="f" coordsize="21600,21600">
                  <v:path/>
                  <v:fill on="f" focussize="0,0"/>
                  <v:stroke on="f"/>
                  <v:imagedata o:title=""/>
                  <o:lock v:ext="edit" aspectratio="f"/>
                  <v:textbox inset="0mm,0mm,0mm,0mm">
                    <w:txbxContent>
                      <w:p w14:paraId="5092ED4E">
                        <w:pPr>
                          <w:pStyle w:val="6"/>
                          <w:spacing w:before="19" w:line="220" w:lineRule="auto"/>
                          <w:ind w:left="20"/>
                          <w:rPr>
                            <w:sz w:val="18"/>
                            <w:szCs w:val="18"/>
                          </w:rPr>
                        </w:pPr>
                        <w:r>
                          <w:rPr>
                            <w:spacing w:val="-2"/>
                            <w:sz w:val="18"/>
                            <w:szCs w:val="18"/>
                          </w:rPr>
                          <w:t>化粪池</w:t>
                        </w:r>
                      </w:p>
                    </w:txbxContent>
                  </v:textbox>
                </v:shape>
              </w:pict>
            </w:r>
            <w:r>
              <w:pict>
                <v:shape id="_x0000_s1043" o:spid="_x0000_s1043" o:spt="202" type="#_x0000_t202" style="position:absolute;left:0pt;margin-left:124.3pt;margin-top:97.05pt;height:12.75pt;width:37.6pt;mso-position-horizontal-relative:page;mso-position-vertical-relative:page;z-index:251675648;mso-width-relative:page;mso-height-relative:page;" filled="f" stroked="f" coordsize="21600,21600">
                  <v:path/>
                  <v:fill on="f" focussize="0,0"/>
                  <v:stroke on="f"/>
                  <v:imagedata o:title=""/>
                  <o:lock v:ext="edit" aspectratio="f"/>
                  <v:textbox inset="0mm,0mm,0mm,0mm">
                    <w:txbxContent>
                      <w:p w14:paraId="6CC516AB">
                        <w:pPr>
                          <w:pStyle w:val="6"/>
                          <w:spacing w:before="19" w:line="220" w:lineRule="auto"/>
                          <w:ind w:left="20"/>
                          <w:rPr>
                            <w:sz w:val="18"/>
                            <w:szCs w:val="18"/>
                          </w:rPr>
                        </w:pPr>
                        <w:r>
                          <w:rPr>
                            <w:spacing w:val="-2"/>
                            <w:sz w:val="18"/>
                            <w:szCs w:val="18"/>
                          </w:rPr>
                          <w:t>生活用水</w:t>
                        </w:r>
                      </w:p>
                    </w:txbxContent>
                  </v:textbox>
                </v:shape>
              </w:pict>
            </w:r>
          </w:p>
          <w:p w14:paraId="139D8468">
            <w:pPr>
              <w:spacing w:line="241" w:lineRule="auto"/>
              <w:rPr>
                <w:rFonts w:ascii="Arial"/>
                <w:sz w:val="21"/>
              </w:rPr>
            </w:pPr>
          </w:p>
          <w:p w14:paraId="7BC9470B">
            <w:pPr>
              <w:spacing w:before="51" w:line="232" w:lineRule="auto"/>
              <w:ind w:left="1797"/>
              <w:rPr>
                <w:rFonts w:ascii="Times New Roman" w:hAnsi="Times New Roman" w:eastAsia="Times New Roman" w:cs="Times New Roman"/>
                <w:sz w:val="18"/>
                <w:szCs w:val="18"/>
              </w:rPr>
            </w:pPr>
            <w:r>
              <w:pict>
                <v:shape id="_x0000_s1044" o:spid="_x0000_s1044" o:spt="202" type="#_x0000_t202" style="position:absolute;left:0pt;margin-left:195.8pt;margin-top:0.05pt;height:10.2pt;width:10.85pt;z-index:251677696;mso-width-relative:page;mso-height-relative:page;" filled="f" stroked="f" coordsize="21600,21600">
                  <v:path/>
                  <v:fill on="f" focussize="0,0"/>
                  <v:stroke on="f"/>
                  <v:imagedata o:title=""/>
                  <o:lock v:ext="edit" aspectratio="f"/>
                  <v:textbox inset="0mm,0mm,0mm,0mm">
                    <w:txbxContent>
                      <w:p w14:paraId="20346AA8">
                        <w:pPr>
                          <w:spacing w:before="19" w:line="190"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w:t>
                        </w:r>
                      </w:p>
                    </w:txbxContent>
                  </v:textbox>
                </v:shape>
              </w:pict>
            </w:r>
            <w:r>
              <w:pict>
                <v:shape id="_x0000_s1045" o:spid="_x0000_s1045" o:spt="202" type="#_x0000_t202" style="position:absolute;left:0pt;margin-left:120.75pt;margin-top:-18.9pt;height:37.5pt;width:63.4pt;z-index:251674624;mso-width-relative:page;mso-height-relative:page;" filled="f" stroked="f" coordsize="21600,21600">
                  <v:path/>
                  <v:fill on="f" focussize="0,0"/>
                  <v:stroke on="f"/>
                  <v:imagedata o:title=""/>
                  <o:lock v:ext="edit" aspectratio="f"/>
                  <v:textbox inset="0mm,0mm,0mm,0mm">
                    <w:txbxContent>
                      <w:p w14:paraId="4F9161DE">
                        <w:pPr>
                          <w:pStyle w:val="6"/>
                          <w:spacing w:before="20" w:line="374" w:lineRule="auto"/>
                          <w:ind w:left="20" w:right="20" w:firstLine="604"/>
                          <w:rPr>
                            <w:sz w:val="18"/>
                            <w:szCs w:val="18"/>
                          </w:rPr>
                        </w:pPr>
                        <w:r>
                          <w:rPr>
                            <w:spacing w:val="-3"/>
                            <w:sz w:val="18"/>
                            <w:szCs w:val="18"/>
                          </w:rPr>
                          <w:t>损耗</w:t>
                        </w:r>
                        <w:r>
                          <w:rPr>
                            <w:spacing w:val="-39"/>
                            <w:sz w:val="18"/>
                            <w:szCs w:val="18"/>
                          </w:rPr>
                          <w:t xml:space="preserve"> </w:t>
                        </w:r>
                        <w:r>
                          <w:rPr>
                            <w:rFonts w:ascii="Times New Roman" w:hAnsi="Times New Roman" w:eastAsia="Times New Roman" w:cs="Times New Roman"/>
                            <w:spacing w:val="-3"/>
                            <w:sz w:val="18"/>
                            <w:szCs w:val="18"/>
                          </w:rPr>
                          <w:t>3.0</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1"/>
                            <w:sz w:val="18"/>
                            <w:szCs w:val="18"/>
                          </w:rPr>
                          <w:t xml:space="preserve">2 </w:t>
                        </w:r>
                        <w:r>
                          <w:rPr>
                            <w:spacing w:val="-1"/>
                            <w:sz w:val="18"/>
                            <w:szCs w:val="18"/>
                          </w:rPr>
                          <w:t>个喷淋塔用水</w:t>
                        </w:r>
                      </w:p>
                    </w:txbxContent>
                  </v:textbox>
                </v:shape>
              </w:pict>
            </w:r>
            <w:r>
              <w:pict>
                <v:shape id="_x0000_s1046" o:spid="_x0000_s1046" o:spt="202" type="#_x0000_t202" style="position:absolute;left:0pt;margin-left:235.55pt;margin-top:5.25pt;height:12.65pt;width:46.3pt;z-index:251679744;mso-width-relative:page;mso-height-relative:page;" filled="f" stroked="f" coordsize="21600,21600">
                  <v:path/>
                  <v:fill on="f" focussize="0,0"/>
                  <v:stroke on="f"/>
                  <v:imagedata o:title=""/>
                  <o:lock v:ext="edit" aspectratio="f"/>
                  <v:textbox inset="0mm,0mm,0mm,0mm">
                    <w:txbxContent>
                      <w:p w14:paraId="6720E90F">
                        <w:pPr>
                          <w:pStyle w:val="6"/>
                          <w:spacing w:before="20" w:line="218" w:lineRule="auto"/>
                          <w:ind w:left="20"/>
                          <w:rPr>
                            <w:sz w:val="18"/>
                            <w:szCs w:val="18"/>
                          </w:rPr>
                        </w:pPr>
                        <w:r>
                          <w:rPr>
                            <w:spacing w:val="-3"/>
                            <w:sz w:val="18"/>
                            <w:szCs w:val="18"/>
                          </w:rPr>
                          <w:t>喷淋塔水槽</w:t>
                        </w:r>
                      </w:p>
                    </w:txbxContent>
                  </v:textbox>
                </v:shape>
              </w:pict>
            </w:r>
            <w:r>
              <w:drawing>
                <wp:anchor distT="0" distB="0" distL="0" distR="0" simplePos="0" relativeHeight="251672576" behindDoc="1" locked="0" layoutInCell="1" allowOverlap="1">
                  <wp:simplePos x="0" y="0"/>
                  <wp:positionH relativeFrom="column">
                    <wp:posOffset>241935</wp:posOffset>
                  </wp:positionH>
                  <wp:positionV relativeFrom="paragraph">
                    <wp:posOffset>-133350</wp:posOffset>
                  </wp:positionV>
                  <wp:extent cx="4398010" cy="127762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6"/>
                          <a:stretch>
                            <a:fillRect/>
                          </a:stretch>
                        </pic:blipFill>
                        <pic:spPr>
                          <a:xfrm>
                            <a:off x="0" y="0"/>
                            <a:ext cx="4398327" cy="1277937"/>
                          </a:xfrm>
                          <a:prstGeom prst="rect">
                            <a:avLst/>
                          </a:prstGeom>
                        </pic:spPr>
                      </pic:pic>
                    </a:graphicData>
                  </a:graphic>
                </wp:anchor>
              </w:drawing>
            </w:r>
            <w:r>
              <w:rPr>
                <w:rFonts w:ascii="Times New Roman" w:hAnsi="Times New Roman" w:eastAsia="Times New Roman" w:cs="Times New Roman"/>
                <w:spacing w:val="-3"/>
                <w:sz w:val="18"/>
                <w:szCs w:val="18"/>
              </w:rPr>
              <w:t>3.0</w:t>
            </w:r>
          </w:p>
          <w:p w14:paraId="4225518B">
            <w:pPr>
              <w:spacing w:line="254" w:lineRule="auto"/>
              <w:rPr>
                <w:rFonts w:ascii="Arial"/>
                <w:sz w:val="21"/>
              </w:rPr>
            </w:pPr>
          </w:p>
          <w:p w14:paraId="2036ADBD">
            <w:pPr>
              <w:spacing w:before="51" w:line="173" w:lineRule="auto"/>
              <w:ind w:left="38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w:t>
            </w:r>
          </w:p>
          <w:p w14:paraId="45F66790">
            <w:pPr>
              <w:pStyle w:val="6"/>
              <w:spacing w:line="250" w:lineRule="auto"/>
              <w:ind w:left="656" w:right="6985" w:firstLine="68"/>
              <w:rPr>
                <w:sz w:val="18"/>
                <w:szCs w:val="18"/>
              </w:rPr>
            </w:pPr>
            <w:r>
              <w:rPr>
                <w:rFonts w:ascii="Times New Roman" w:hAnsi="Times New Roman" w:eastAsia="Times New Roman" w:cs="Times New Roman"/>
                <w:spacing w:val="-2"/>
                <w:sz w:val="18"/>
                <w:szCs w:val="18"/>
              </w:rPr>
              <w:t>3.72</w:t>
            </w:r>
            <w:r>
              <w:rPr>
                <w:rFonts w:ascii="Times New Roman" w:hAnsi="Times New Roman" w:eastAsia="Times New Roman" w:cs="Times New Roman"/>
                <w:sz w:val="18"/>
                <w:szCs w:val="18"/>
              </w:rPr>
              <w:t xml:space="preserve">    </w:t>
            </w:r>
            <w:r>
              <w:rPr>
                <w:spacing w:val="-13"/>
                <w:sz w:val="18"/>
                <w:szCs w:val="18"/>
              </w:rPr>
              <w:t>自来水</w:t>
            </w:r>
          </w:p>
          <w:p w14:paraId="6EFA8391">
            <w:pPr>
              <w:spacing w:before="237" w:line="232" w:lineRule="auto"/>
              <w:ind w:left="178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0.72</w:t>
            </w:r>
          </w:p>
        </w:tc>
      </w:tr>
      <w:tr w14:paraId="0559E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832" w:type="dxa"/>
            <w:vMerge w:val="continue"/>
            <w:tcBorders>
              <w:top w:val="nil"/>
              <w:left w:val="single" w:color="000000" w:sz="6" w:space="0"/>
            </w:tcBorders>
            <w:vAlign w:val="top"/>
          </w:tcPr>
          <w:p w14:paraId="5B73660E">
            <w:pPr>
              <w:rPr>
                <w:rFonts w:ascii="Arial"/>
                <w:sz w:val="21"/>
              </w:rPr>
            </w:pPr>
          </w:p>
        </w:tc>
        <w:tc>
          <w:tcPr>
            <w:tcW w:w="8156" w:type="dxa"/>
            <w:gridSpan w:val="7"/>
            <w:tcBorders>
              <w:top w:val="nil"/>
              <w:right w:val="single" w:color="000000" w:sz="6" w:space="0"/>
            </w:tcBorders>
            <w:vAlign w:val="top"/>
          </w:tcPr>
          <w:p w14:paraId="54E6918D">
            <w:pPr>
              <w:spacing w:before="89" w:line="233" w:lineRule="auto"/>
              <w:ind w:left="2579"/>
              <w:rPr>
                <w:rFonts w:ascii="黑体" w:hAnsi="黑体" w:eastAsia="黑体" w:cs="黑体"/>
                <w:sz w:val="20"/>
                <w:szCs w:val="20"/>
              </w:rPr>
            </w:pPr>
            <w:r>
              <w:rPr>
                <w:rFonts w:ascii="黑体" w:hAnsi="黑体" w:eastAsia="黑体" w:cs="黑体"/>
                <w:spacing w:val="-1"/>
                <w:sz w:val="20"/>
                <w:szCs w:val="20"/>
              </w:rPr>
              <w:t>图</w:t>
            </w:r>
            <w:r>
              <w:rPr>
                <w:rFonts w:ascii="Times New Roman" w:hAnsi="Times New Roman" w:eastAsia="Times New Roman" w:cs="Times New Roman"/>
                <w:spacing w:val="-1"/>
                <w:sz w:val="20"/>
                <w:szCs w:val="20"/>
              </w:rPr>
              <w:t>2-1</w:t>
            </w:r>
            <w:r>
              <w:rPr>
                <w:rFonts w:ascii="黑体" w:hAnsi="黑体" w:eastAsia="黑体" w:cs="黑体"/>
                <w:spacing w:val="-1"/>
                <w:sz w:val="20"/>
                <w:szCs w:val="20"/>
              </w:rPr>
              <w:t>：项目水平衡图（单位：</w:t>
            </w:r>
            <w:r>
              <w:rPr>
                <w:rFonts w:ascii="Times New Roman" w:hAnsi="Times New Roman" w:eastAsia="Times New Roman" w:cs="Times New Roman"/>
                <w:spacing w:val="-1"/>
                <w:sz w:val="20"/>
                <w:szCs w:val="20"/>
              </w:rPr>
              <w:t>m</w:t>
            </w:r>
            <w:r>
              <w:rPr>
                <w:rFonts w:ascii="Times New Roman" w:hAnsi="Times New Roman" w:eastAsia="Times New Roman" w:cs="Times New Roman"/>
                <w:spacing w:val="-1"/>
                <w:position w:val="6"/>
                <w:sz w:val="12"/>
                <w:szCs w:val="12"/>
              </w:rPr>
              <w:t>3</w:t>
            </w:r>
            <w:r>
              <w:rPr>
                <w:rFonts w:ascii="Times New Roman" w:hAnsi="Times New Roman" w:eastAsia="Times New Roman" w:cs="Times New Roman"/>
                <w:spacing w:val="-1"/>
                <w:sz w:val="20"/>
                <w:szCs w:val="20"/>
              </w:rPr>
              <w:t>/d</w:t>
            </w:r>
            <w:r>
              <w:rPr>
                <w:rFonts w:ascii="黑体" w:hAnsi="黑体" w:eastAsia="黑体" w:cs="黑体"/>
                <w:spacing w:val="-1"/>
                <w:sz w:val="20"/>
                <w:szCs w:val="20"/>
              </w:rPr>
              <w:t>）</w:t>
            </w:r>
          </w:p>
        </w:tc>
      </w:tr>
    </w:tbl>
    <w:p w14:paraId="3CC2FBB8">
      <w:pPr>
        <w:rPr>
          <w:rFonts w:ascii="Arial"/>
          <w:sz w:val="21"/>
        </w:rPr>
      </w:pPr>
    </w:p>
    <w:p w14:paraId="0CBF7547">
      <w:pPr>
        <w:rPr>
          <w:rFonts w:ascii="Arial" w:hAnsi="Arial" w:eastAsia="Arial" w:cs="Arial"/>
          <w:sz w:val="21"/>
          <w:szCs w:val="21"/>
        </w:rPr>
        <w:sectPr>
          <w:footerReference r:id="rId43" w:type="default"/>
          <w:pgSz w:w="11907" w:h="16839"/>
          <w:pgMar w:top="1431" w:right="1450" w:bottom="1055" w:left="1451" w:header="0" w:footer="802" w:gutter="0"/>
          <w:cols w:space="720" w:num="1"/>
        </w:sectPr>
      </w:pPr>
    </w:p>
    <w:p w14:paraId="2DB5259B">
      <w:pPr>
        <w:spacing w:before="28"/>
      </w:pPr>
    </w:p>
    <w:tbl>
      <w:tblPr>
        <w:tblStyle w:val="5"/>
        <w:tblW w:w="898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8156"/>
      </w:tblGrid>
      <w:tr w14:paraId="0A710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6" w:hRule="atLeast"/>
        </w:trPr>
        <w:tc>
          <w:tcPr>
            <w:tcW w:w="832" w:type="dxa"/>
            <w:tcBorders>
              <w:top w:val="single" w:color="000000" w:sz="6" w:space="0"/>
              <w:left w:val="single" w:color="000000" w:sz="6" w:space="0"/>
            </w:tcBorders>
            <w:vAlign w:val="top"/>
          </w:tcPr>
          <w:p w14:paraId="447A4791">
            <w:pPr>
              <w:rPr>
                <w:rFonts w:ascii="Arial"/>
                <w:sz w:val="21"/>
              </w:rPr>
            </w:pPr>
          </w:p>
        </w:tc>
        <w:tc>
          <w:tcPr>
            <w:tcW w:w="8156" w:type="dxa"/>
            <w:tcBorders>
              <w:top w:val="single" w:color="000000" w:sz="6" w:space="0"/>
              <w:right w:val="single" w:color="000000" w:sz="6" w:space="0"/>
            </w:tcBorders>
            <w:vAlign w:val="top"/>
          </w:tcPr>
          <w:p w14:paraId="328C5FDD">
            <w:pPr>
              <w:spacing w:before="135" w:line="241" w:lineRule="auto"/>
              <w:ind w:left="107"/>
              <w:rPr>
                <w:rFonts w:ascii="黑体" w:hAnsi="黑体" w:eastAsia="黑体" w:cs="黑体"/>
                <w:sz w:val="21"/>
                <w:szCs w:val="21"/>
              </w:rPr>
            </w:pPr>
            <w:r>
              <w:rPr>
                <w:rFonts w:ascii="Times New Roman" w:hAnsi="Times New Roman" w:eastAsia="Times New Roman" w:cs="Times New Roman"/>
                <w:spacing w:val="7"/>
                <w:sz w:val="21"/>
                <w:szCs w:val="21"/>
              </w:rPr>
              <w:t>9</w:t>
            </w:r>
            <w:r>
              <w:rPr>
                <w:rFonts w:ascii="黑体" w:hAnsi="黑体" w:eastAsia="黑体" w:cs="黑体"/>
                <w:spacing w:val="7"/>
                <w:sz w:val="21"/>
                <w:szCs w:val="21"/>
              </w:rPr>
              <w:t>、劳动定员及工作制度</w:t>
            </w:r>
          </w:p>
          <w:p w14:paraId="5130277E">
            <w:pPr>
              <w:pStyle w:val="6"/>
              <w:spacing w:before="134" w:line="233" w:lineRule="auto"/>
              <w:ind w:left="532"/>
            </w:pPr>
            <w:r>
              <w:rPr>
                <w:spacing w:val="-1"/>
              </w:rPr>
              <w:t>劳动定员：本项目劳动定员</w:t>
            </w:r>
            <w:r>
              <w:rPr>
                <w:rFonts w:ascii="Times New Roman" w:hAnsi="Times New Roman" w:eastAsia="Times New Roman" w:cs="Times New Roman"/>
                <w:spacing w:val="-1"/>
              </w:rPr>
              <w:t>12</w:t>
            </w:r>
            <w:r>
              <w:rPr>
                <w:spacing w:val="-1"/>
              </w:rPr>
              <w:t>人，其中生产工</w:t>
            </w:r>
            <w:r>
              <w:rPr>
                <w:spacing w:val="-2"/>
              </w:rPr>
              <w:t>人</w:t>
            </w:r>
            <w:r>
              <w:rPr>
                <w:rFonts w:ascii="Times New Roman" w:hAnsi="Times New Roman" w:eastAsia="Times New Roman" w:cs="Times New Roman"/>
                <w:spacing w:val="-2"/>
              </w:rPr>
              <w:t>9</w:t>
            </w:r>
            <w:r>
              <w:rPr>
                <w:spacing w:val="-2"/>
              </w:rPr>
              <w:t>人。</w:t>
            </w:r>
          </w:p>
          <w:p w14:paraId="4B1CDB8C">
            <w:pPr>
              <w:pStyle w:val="6"/>
              <w:spacing w:before="136" w:line="344" w:lineRule="auto"/>
              <w:ind w:left="117" w:right="170" w:firstLine="412"/>
            </w:pPr>
            <w:r>
              <w:t>工作制度：项目投产后，实行</w:t>
            </w:r>
            <w:r>
              <w:rPr>
                <w:rFonts w:ascii="Times New Roman" w:hAnsi="Times New Roman" w:eastAsia="Times New Roman" w:cs="Times New Roman"/>
              </w:rPr>
              <w:t>10</w:t>
            </w:r>
            <w:r>
              <w:t>小时工作制，年工作日约</w:t>
            </w:r>
            <w:r>
              <w:rPr>
                <w:rFonts w:ascii="Times New Roman" w:hAnsi="Times New Roman" w:eastAsia="Times New Roman" w:cs="Times New Roman"/>
              </w:rPr>
              <w:t>330</w:t>
            </w:r>
            <w:r>
              <w:rPr>
                <w:spacing w:val="-1"/>
              </w:rPr>
              <w:t>天，年工作约</w:t>
            </w:r>
            <w:r>
              <w:rPr>
                <w:rFonts w:ascii="Times New Roman" w:hAnsi="Times New Roman" w:eastAsia="Times New Roman" w:cs="Times New Roman"/>
                <w:spacing w:val="-1"/>
              </w:rPr>
              <w:t>3300</w:t>
            </w:r>
            <w:r>
              <w:rPr>
                <w:spacing w:val="-1"/>
              </w:rPr>
              <w:t>小</w:t>
            </w:r>
            <w:r>
              <w:t xml:space="preserve"> </w:t>
            </w:r>
            <w:r>
              <w:rPr>
                <w:spacing w:val="-13"/>
              </w:rPr>
              <w:t>时。</w:t>
            </w:r>
          </w:p>
          <w:p w14:paraId="45F74DE2">
            <w:pPr>
              <w:spacing w:before="9" w:line="242" w:lineRule="auto"/>
              <w:ind w:left="124"/>
              <w:rPr>
                <w:rFonts w:ascii="黑体" w:hAnsi="黑体" w:eastAsia="黑体" w:cs="黑体"/>
                <w:sz w:val="21"/>
                <w:szCs w:val="21"/>
              </w:rPr>
            </w:pPr>
            <w:r>
              <w:rPr>
                <w:rFonts w:ascii="Times New Roman" w:hAnsi="Times New Roman" w:eastAsia="Times New Roman" w:cs="Times New Roman"/>
                <w:spacing w:val="7"/>
                <w:sz w:val="21"/>
                <w:szCs w:val="21"/>
              </w:rPr>
              <w:t>10</w:t>
            </w:r>
            <w:r>
              <w:rPr>
                <w:rFonts w:ascii="黑体" w:hAnsi="黑体" w:eastAsia="黑体" w:cs="黑体"/>
                <w:spacing w:val="7"/>
                <w:sz w:val="21"/>
                <w:szCs w:val="21"/>
              </w:rPr>
              <w:t>、平面布置情况及合理性分析</w:t>
            </w:r>
          </w:p>
          <w:p w14:paraId="2C6BC409">
            <w:pPr>
              <w:pStyle w:val="6"/>
              <w:spacing w:before="131" w:line="352" w:lineRule="auto"/>
              <w:ind w:left="114" w:right="26" w:firstLine="412"/>
            </w:pPr>
            <w:r>
              <w:rPr>
                <w:spacing w:val="-6"/>
              </w:rPr>
              <w:t>根据现场踏勘，本项目租用的厂房大致呈南北走向的长方形，南北走向最长约</w:t>
            </w:r>
            <w:r>
              <w:rPr>
                <w:rFonts w:ascii="Times New Roman" w:hAnsi="Times New Roman" w:eastAsia="Times New Roman" w:cs="Times New Roman"/>
                <w:spacing w:val="-6"/>
              </w:rPr>
              <w:t>1</w:t>
            </w:r>
            <w:r>
              <w:rPr>
                <w:rFonts w:ascii="Times New Roman" w:hAnsi="Times New Roman" w:eastAsia="Times New Roman" w:cs="Times New Roman"/>
                <w:spacing w:val="-7"/>
              </w:rPr>
              <w:t>70m</w:t>
            </w:r>
            <w:r>
              <w:rPr>
                <w:spacing w:val="-7"/>
              </w:rPr>
              <w:t>、</w:t>
            </w:r>
            <w:r>
              <w:t xml:space="preserve"> </w:t>
            </w:r>
            <w:r>
              <w:rPr>
                <w:spacing w:val="-1"/>
              </w:rPr>
              <w:t>东西走向最长约</w:t>
            </w:r>
            <w:r>
              <w:rPr>
                <w:rFonts w:ascii="Times New Roman" w:hAnsi="Times New Roman" w:eastAsia="Times New Roman" w:cs="Times New Roman"/>
                <w:spacing w:val="-1"/>
              </w:rPr>
              <w:t>63m</w:t>
            </w:r>
            <w:r>
              <w:rPr>
                <w:spacing w:val="-1"/>
              </w:rPr>
              <w:t>，厂房高约</w:t>
            </w:r>
            <w:r>
              <w:rPr>
                <w:rFonts w:ascii="Times New Roman" w:hAnsi="Times New Roman" w:eastAsia="Times New Roman" w:cs="Times New Roman"/>
                <w:spacing w:val="-1"/>
              </w:rPr>
              <w:t>12m</w:t>
            </w:r>
            <w:r>
              <w:rPr>
                <w:spacing w:val="-1"/>
              </w:rPr>
              <w:t>。</w:t>
            </w:r>
          </w:p>
          <w:p w14:paraId="4E2C071F">
            <w:pPr>
              <w:pStyle w:val="6"/>
              <w:spacing w:before="9" w:line="351" w:lineRule="auto"/>
              <w:ind w:left="106" w:right="27" w:firstLine="420"/>
              <w:jc w:val="both"/>
            </w:pPr>
            <w:r>
              <w:t>根据设计资料，本项目厂房布置有两个进出大门，其中原料运</w:t>
            </w:r>
            <w:r>
              <w:rPr>
                <w:spacing w:val="-1"/>
              </w:rPr>
              <w:t>输大门位于西南角，</w:t>
            </w:r>
            <w:r>
              <w:t xml:space="preserve"> </w:t>
            </w:r>
            <w:r>
              <w:rPr>
                <w:spacing w:val="-4"/>
              </w:rPr>
              <w:t>产品运输及人员通道位于东南角。在生产车间内按照本项目工艺流程， 各生产设备从南</w:t>
            </w:r>
            <w:r>
              <w:rPr>
                <w:spacing w:val="6"/>
              </w:rPr>
              <w:t xml:space="preserve"> </w:t>
            </w:r>
            <w:r>
              <w:rPr>
                <w:spacing w:val="-1"/>
              </w:rPr>
              <w:t>向北再迂回向南布置。厂房内靠西面自南向北的生产设备主要有原料堆放区、削片机、</w:t>
            </w:r>
            <w:r>
              <w:t xml:space="preserve"> </w:t>
            </w:r>
            <w:r>
              <w:rPr>
                <w:spacing w:val="-5"/>
              </w:rPr>
              <w:t>粉碎机（有配套的给料机）、湿粉料堆放间。车间最北面为烘干机和热风炉。</w:t>
            </w:r>
            <w:r>
              <w:rPr>
                <w:spacing w:val="41"/>
              </w:rPr>
              <w:t xml:space="preserve"> </w:t>
            </w:r>
            <w:r>
              <w:rPr>
                <w:spacing w:val="-5"/>
              </w:rPr>
              <w:t>厂房内靠</w:t>
            </w:r>
            <w:r>
              <w:t xml:space="preserve"> </w:t>
            </w:r>
            <w:r>
              <w:rPr>
                <w:spacing w:val="-5"/>
              </w:rPr>
              <w:t>东侧从北向南依次布置有干粉料堆放间、造粒机、成品冷却料仓、包装机和成品堆放处。</w:t>
            </w:r>
            <w:r>
              <w:rPr>
                <w:spacing w:val="15"/>
              </w:rPr>
              <w:t xml:space="preserve"> </w:t>
            </w:r>
            <w:r>
              <w:rPr>
                <w:spacing w:val="-1"/>
              </w:rPr>
              <w:t>从车间整体布局上看，主要的生产设备布置区都位于车间中部，车间最</w:t>
            </w:r>
            <w:r>
              <w:rPr>
                <w:spacing w:val="-2"/>
              </w:rPr>
              <w:t>北侧为烘干机和</w:t>
            </w:r>
            <w:r>
              <w:t xml:space="preserve"> </w:t>
            </w:r>
            <w:r>
              <w:rPr>
                <w:spacing w:val="-5"/>
              </w:rPr>
              <w:t>热风炉，最南侧为原料和成品料堆放区，南北两侧都相对独立，烘干机涉及高温、明火，</w:t>
            </w:r>
            <w:r>
              <w:t xml:space="preserve"> </w:t>
            </w:r>
            <w:r>
              <w:rPr>
                <w:spacing w:val="1"/>
              </w:rPr>
              <w:t>而成品料又属于易燃燃料，因此在布置时将二者</w:t>
            </w:r>
            <w:r>
              <w:t>分居车间南北两端，有利于车间防火。 项目车间内设有废气处理设施和一根</w:t>
            </w:r>
            <w:r>
              <w:rPr>
                <w:rFonts w:ascii="Times New Roman" w:hAnsi="Times New Roman" w:eastAsia="Times New Roman" w:cs="Times New Roman"/>
              </w:rPr>
              <w:t>15m</w:t>
            </w:r>
            <w:r>
              <w:t>高排气筒，排气筒布置在</w:t>
            </w:r>
            <w:r>
              <w:rPr>
                <w:spacing w:val="-1"/>
              </w:rPr>
              <w:t>烘干机旁边，通过管</w:t>
            </w:r>
            <w:r>
              <w:t xml:space="preserve">  </w:t>
            </w:r>
            <w:r>
              <w:rPr>
                <w:spacing w:val="-1"/>
              </w:rPr>
              <w:t>道可将造粒机的粉尘引入一起排放，造粒机距离排气筒相对距离较近，</w:t>
            </w:r>
            <w:r>
              <w:rPr>
                <w:spacing w:val="-2"/>
              </w:rPr>
              <w:t>便于排气管道的</w:t>
            </w:r>
            <w:r>
              <w:t xml:space="preserve"> </w:t>
            </w:r>
            <w:r>
              <w:rPr>
                <w:spacing w:val="-1"/>
              </w:rPr>
              <w:t>布局避免长距离输送废气增高能耗。在车间内的成品堆放区旁边设置一</w:t>
            </w:r>
            <w:r>
              <w:rPr>
                <w:spacing w:val="-2"/>
              </w:rPr>
              <w:t>个危废间，暂存</w:t>
            </w:r>
            <w:r>
              <w:t xml:space="preserve"> </w:t>
            </w:r>
            <w:r>
              <w:rPr>
                <w:spacing w:val="-1"/>
              </w:rPr>
              <w:t>营运过程产生的危险废物，此处生产机械和作业设</w:t>
            </w:r>
            <w:r>
              <w:rPr>
                <w:spacing w:val="-2"/>
              </w:rPr>
              <w:t>备少不影响生产。</w:t>
            </w:r>
          </w:p>
          <w:p w14:paraId="0088DA3F">
            <w:pPr>
              <w:pStyle w:val="6"/>
              <w:spacing w:before="1" w:line="351" w:lineRule="auto"/>
              <w:ind w:left="118" w:right="102" w:firstLine="410"/>
            </w:pPr>
            <w:r>
              <w:rPr>
                <w:spacing w:val="-1"/>
              </w:rPr>
              <w:t>本项目生产车间内不设置办公区，拟租用车间南面亚飞玻璃</w:t>
            </w:r>
            <w:r>
              <w:rPr>
                <w:spacing w:val="-2"/>
              </w:rPr>
              <w:t>公司的办公室作为办公</w:t>
            </w:r>
            <w:r>
              <w:t xml:space="preserve"> </w:t>
            </w:r>
            <w:r>
              <w:rPr>
                <w:spacing w:val="-1"/>
              </w:rPr>
              <w:t>点，不涉及食堂和住户，能够做到生产生活分离，互不影响。</w:t>
            </w:r>
          </w:p>
          <w:p w14:paraId="6ED24B41">
            <w:pPr>
              <w:pStyle w:val="6"/>
              <w:spacing w:before="3" w:line="307" w:lineRule="auto"/>
              <w:ind w:left="108" w:right="102" w:firstLine="418"/>
              <w:jc w:val="both"/>
            </w:pPr>
            <w:r>
              <w:rPr>
                <w:spacing w:val="-1"/>
              </w:rPr>
              <w:t>评价认为，本项目总图布置时，依据项目特点优化布局，生产</w:t>
            </w:r>
            <w:r>
              <w:rPr>
                <w:spacing w:val="-2"/>
              </w:rPr>
              <w:t>车间按照工艺流程依</w:t>
            </w:r>
            <w:r>
              <w:t xml:space="preserve"> </w:t>
            </w:r>
            <w:r>
              <w:rPr>
                <w:spacing w:val="-1"/>
              </w:rPr>
              <w:t>次布置，同时兼顾各环节的生产需求，生产过程较为流畅、原辅材</w:t>
            </w:r>
            <w:r>
              <w:rPr>
                <w:spacing w:val="-2"/>
              </w:rPr>
              <w:t>料取用较为方便，减</w:t>
            </w:r>
            <w:r>
              <w:t xml:space="preserve"> </w:t>
            </w:r>
            <w:r>
              <w:rPr>
                <w:spacing w:val="-2"/>
              </w:rPr>
              <w:t>少了物料在车间内部的转运距离。项目平面布置合理可行。</w:t>
            </w:r>
          </w:p>
        </w:tc>
      </w:tr>
      <w:tr w14:paraId="3AA3E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6" w:hRule="atLeast"/>
        </w:trPr>
        <w:tc>
          <w:tcPr>
            <w:tcW w:w="832" w:type="dxa"/>
            <w:tcBorders>
              <w:left w:val="single" w:color="000000" w:sz="6" w:space="0"/>
            </w:tcBorders>
            <w:vAlign w:val="top"/>
          </w:tcPr>
          <w:p w14:paraId="0C0B9672">
            <w:pPr>
              <w:spacing w:line="343" w:lineRule="auto"/>
              <w:rPr>
                <w:rFonts w:ascii="Arial"/>
                <w:sz w:val="21"/>
              </w:rPr>
            </w:pPr>
          </w:p>
          <w:p w14:paraId="75A0AF42">
            <w:pPr>
              <w:spacing w:line="343" w:lineRule="auto"/>
              <w:rPr>
                <w:rFonts w:ascii="Arial"/>
                <w:sz w:val="21"/>
              </w:rPr>
            </w:pPr>
          </w:p>
          <w:p w14:paraId="393DB86A">
            <w:pPr>
              <w:pStyle w:val="6"/>
              <w:spacing w:before="68" w:line="230" w:lineRule="auto"/>
              <w:ind w:left="206"/>
            </w:pPr>
            <w:r>
              <w:rPr>
                <w:b/>
                <w:bCs/>
                <w:spacing w:val="-5"/>
              </w:rPr>
              <w:t>工艺</w:t>
            </w:r>
          </w:p>
          <w:p w14:paraId="619D7013">
            <w:pPr>
              <w:pStyle w:val="6"/>
              <w:spacing w:before="11" w:line="220" w:lineRule="auto"/>
              <w:ind w:left="204"/>
            </w:pPr>
            <w:r>
              <w:rPr>
                <w:b/>
                <w:bCs/>
                <w:spacing w:val="-5"/>
              </w:rPr>
              <w:t>流程</w:t>
            </w:r>
          </w:p>
          <w:p w14:paraId="5A01215A">
            <w:pPr>
              <w:pStyle w:val="6"/>
              <w:spacing w:before="21" w:line="220" w:lineRule="auto"/>
              <w:ind w:left="204"/>
            </w:pPr>
            <w:r>
              <w:rPr>
                <w:b/>
                <w:bCs/>
                <w:spacing w:val="-5"/>
              </w:rPr>
              <w:t>和产</w:t>
            </w:r>
          </w:p>
          <w:p w14:paraId="64FFC2E3">
            <w:pPr>
              <w:pStyle w:val="6"/>
              <w:spacing w:before="22" w:line="222" w:lineRule="auto"/>
              <w:ind w:left="203"/>
            </w:pPr>
            <w:r>
              <w:rPr>
                <w:b/>
                <w:bCs/>
                <w:spacing w:val="-4"/>
              </w:rPr>
              <w:t>排污</w:t>
            </w:r>
          </w:p>
          <w:p w14:paraId="602697E4">
            <w:pPr>
              <w:pStyle w:val="6"/>
              <w:spacing w:before="20" w:line="220" w:lineRule="auto"/>
              <w:ind w:left="203"/>
            </w:pPr>
            <w:r>
              <w:rPr>
                <w:b/>
                <w:bCs/>
                <w:spacing w:val="-4"/>
              </w:rPr>
              <w:t>环节</w:t>
            </w:r>
          </w:p>
        </w:tc>
        <w:tc>
          <w:tcPr>
            <w:tcW w:w="8156" w:type="dxa"/>
            <w:tcBorders>
              <w:right w:val="single" w:color="000000" w:sz="6" w:space="0"/>
            </w:tcBorders>
            <w:vAlign w:val="top"/>
          </w:tcPr>
          <w:p w14:paraId="441EEA93">
            <w:pPr>
              <w:spacing w:before="136" w:line="241" w:lineRule="auto"/>
              <w:ind w:left="124"/>
              <w:rPr>
                <w:rFonts w:ascii="黑体" w:hAnsi="黑体" w:eastAsia="黑体" w:cs="黑体"/>
                <w:sz w:val="21"/>
                <w:szCs w:val="21"/>
              </w:rPr>
            </w:pPr>
            <w:r>
              <w:rPr>
                <w:rFonts w:ascii="Times New Roman" w:hAnsi="Times New Roman" w:eastAsia="Times New Roman" w:cs="Times New Roman"/>
                <w:spacing w:val="6"/>
                <w:sz w:val="21"/>
                <w:szCs w:val="21"/>
              </w:rPr>
              <w:t>1</w:t>
            </w:r>
            <w:r>
              <w:rPr>
                <w:rFonts w:ascii="黑体" w:hAnsi="黑体" w:eastAsia="黑体" w:cs="黑体"/>
                <w:spacing w:val="6"/>
                <w:sz w:val="21"/>
                <w:szCs w:val="21"/>
              </w:rPr>
              <w:t>、施工期工艺流程及产污环节</w:t>
            </w:r>
          </w:p>
          <w:p w14:paraId="15E25547">
            <w:pPr>
              <w:pStyle w:val="6"/>
              <w:spacing w:before="133" w:line="234" w:lineRule="auto"/>
              <w:ind w:left="535"/>
            </w:pPr>
            <w:r>
              <w:rPr>
                <w:b/>
                <w:bCs/>
                <w:spacing w:val="-4"/>
              </w:rPr>
              <w:t>（</w:t>
            </w:r>
            <w:r>
              <w:rPr>
                <w:rFonts w:ascii="Times New Roman" w:hAnsi="Times New Roman" w:eastAsia="Times New Roman" w:cs="Times New Roman"/>
                <w:b/>
                <w:bCs/>
                <w:spacing w:val="-4"/>
              </w:rPr>
              <w:t>1</w:t>
            </w:r>
            <w:r>
              <w:rPr>
                <w:b/>
                <w:bCs/>
                <w:spacing w:val="-4"/>
              </w:rPr>
              <w:t>）工艺流程</w:t>
            </w:r>
          </w:p>
          <w:p w14:paraId="5FD347A0">
            <w:pPr>
              <w:pStyle w:val="6"/>
              <w:spacing w:before="132" w:line="352" w:lineRule="auto"/>
              <w:ind w:left="109" w:right="101" w:firstLine="419"/>
            </w:pPr>
            <w:r>
              <w:rPr>
                <w:spacing w:val="-1"/>
              </w:rPr>
              <w:t>本项目租用已建的厂房建设，无土建施工。项目施工期主要</w:t>
            </w:r>
            <w:r>
              <w:rPr>
                <w:spacing w:val="-2"/>
              </w:rPr>
              <w:t>为车间改造、设备安装</w:t>
            </w:r>
            <w:r>
              <w:t xml:space="preserve"> </w:t>
            </w:r>
            <w:r>
              <w:rPr>
                <w:spacing w:val="-2"/>
              </w:rPr>
              <w:t>调试。施工人员全部外出就餐，不在项目区设置食堂。</w:t>
            </w:r>
          </w:p>
          <w:p w14:paraId="064BDF86">
            <w:pPr>
              <w:pStyle w:val="6"/>
              <w:spacing w:line="219" w:lineRule="auto"/>
              <w:ind w:left="526"/>
            </w:pPr>
            <w:r>
              <w:rPr>
                <w:spacing w:val="-2"/>
              </w:rPr>
              <w:t>施工期的产污工艺流程及产污位置如下图。</w:t>
            </w:r>
          </w:p>
        </w:tc>
      </w:tr>
    </w:tbl>
    <w:p w14:paraId="74356B61">
      <w:pPr>
        <w:rPr>
          <w:rFonts w:ascii="Arial"/>
          <w:sz w:val="21"/>
        </w:rPr>
      </w:pPr>
    </w:p>
    <w:p w14:paraId="1CD4DFE0">
      <w:pPr>
        <w:rPr>
          <w:rFonts w:ascii="Arial" w:hAnsi="Arial" w:eastAsia="Arial" w:cs="Arial"/>
          <w:sz w:val="21"/>
          <w:szCs w:val="21"/>
        </w:rPr>
        <w:sectPr>
          <w:footerReference r:id="rId44" w:type="default"/>
          <w:pgSz w:w="11907" w:h="16839"/>
          <w:pgMar w:top="1431" w:right="1450" w:bottom="1055" w:left="1451" w:header="0" w:footer="802" w:gutter="0"/>
          <w:cols w:space="720" w:num="1"/>
        </w:sectPr>
      </w:pPr>
    </w:p>
    <w:p w14:paraId="2CFF01A2">
      <w:pPr>
        <w:spacing w:before="28"/>
      </w:pPr>
    </w:p>
    <w:tbl>
      <w:tblPr>
        <w:tblStyle w:val="5"/>
        <w:tblW w:w="898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8156"/>
      </w:tblGrid>
      <w:tr w14:paraId="75AF3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62" w:hRule="atLeast"/>
        </w:trPr>
        <w:tc>
          <w:tcPr>
            <w:tcW w:w="832" w:type="dxa"/>
            <w:tcBorders>
              <w:left w:val="single" w:color="000000" w:sz="6" w:space="0"/>
            </w:tcBorders>
            <w:vAlign w:val="top"/>
          </w:tcPr>
          <w:p w14:paraId="7AF29097">
            <w:pPr>
              <w:spacing w:line="247" w:lineRule="auto"/>
              <w:rPr>
                <w:rFonts w:ascii="Arial"/>
                <w:sz w:val="21"/>
              </w:rPr>
            </w:pPr>
          </w:p>
          <w:p w14:paraId="4D9F4BAE">
            <w:pPr>
              <w:spacing w:line="247" w:lineRule="auto"/>
              <w:rPr>
                <w:rFonts w:ascii="Arial"/>
                <w:sz w:val="21"/>
              </w:rPr>
            </w:pPr>
          </w:p>
          <w:p w14:paraId="597F005E">
            <w:pPr>
              <w:spacing w:line="247" w:lineRule="auto"/>
              <w:rPr>
                <w:rFonts w:ascii="Arial"/>
                <w:sz w:val="21"/>
              </w:rPr>
            </w:pPr>
          </w:p>
          <w:p w14:paraId="209C7835">
            <w:pPr>
              <w:spacing w:line="247" w:lineRule="auto"/>
              <w:rPr>
                <w:rFonts w:ascii="Arial"/>
                <w:sz w:val="21"/>
              </w:rPr>
            </w:pPr>
          </w:p>
          <w:p w14:paraId="2C230DD2">
            <w:pPr>
              <w:spacing w:line="247" w:lineRule="auto"/>
              <w:rPr>
                <w:rFonts w:ascii="Arial"/>
                <w:sz w:val="21"/>
              </w:rPr>
            </w:pPr>
          </w:p>
          <w:p w14:paraId="399AA8E4">
            <w:pPr>
              <w:spacing w:line="247" w:lineRule="auto"/>
              <w:rPr>
                <w:rFonts w:ascii="Arial"/>
                <w:sz w:val="21"/>
              </w:rPr>
            </w:pPr>
          </w:p>
          <w:p w14:paraId="12BF4C9A">
            <w:pPr>
              <w:spacing w:line="247" w:lineRule="auto"/>
              <w:rPr>
                <w:rFonts w:ascii="Arial"/>
                <w:sz w:val="21"/>
              </w:rPr>
            </w:pPr>
          </w:p>
          <w:p w14:paraId="3541B09D">
            <w:pPr>
              <w:spacing w:line="247" w:lineRule="auto"/>
              <w:rPr>
                <w:rFonts w:ascii="Arial"/>
                <w:sz w:val="21"/>
              </w:rPr>
            </w:pPr>
          </w:p>
          <w:p w14:paraId="33AF7158">
            <w:pPr>
              <w:spacing w:line="247" w:lineRule="auto"/>
              <w:rPr>
                <w:rFonts w:ascii="Arial"/>
                <w:sz w:val="21"/>
              </w:rPr>
            </w:pPr>
          </w:p>
          <w:p w14:paraId="610472EF">
            <w:pPr>
              <w:spacing w:line="248" w:lineRule="auto"/>
              <w:rPr>
                <w:rFonts w:ascii="Arial"/>
                <w:sz w:val="21"/>
              </w:rPr>
            </w:pPr>
          </w:p>
          <w:p w14:paraId="14867C61">
            <w:pPr>
              <w:spacing w:line="248" w:lineRule="auto"/>
              <w:rPr>
                <w:rFonts w:ascii="Arial"/>
                <w:sz w:val="21"/>
              </w:rPr>
            </w:pPr>
          </w:p>
          <w:p w14:paraId="15E691B7">
            <w:pPr>
              <w:spacing w:line="248" w:lineRule="auto"/>
              <w:rPr>
                <w:rFonts w:ascii="Arial"/>
                <w:sz w:val="21"/>
              </w:rPr>
            </w:pPr>
          </w:p>
          <w:p w14:paraId="1A73EE0C">
            <w:pPr>
              <w:spacing w:line="248" w:lineRule="auto"/>
              <w:rPr>
                <w:rFonts w:ascii="Arial"/>
                <w:sz w:val="21"/>
              </w:rPr>
            </w:pPr>
          </w:p>
          <w:p w14:paraId="084FB0CE">
            <w:pPr>
              <w:spacing w:line="248" w:lineRule="auto"/>
              <w:rPr>
                <w:rFonts w:ascii="Arial"/>
                <w:sz w:val="21"/>
              </w:rPr>
            </w:pPr>
          </w:p>
          <w:p w14:paraId="74B88B9E">
            <w:pPr>
              <w:spacing w:line="248" w:lineRule="auto"/>
              <w:rPr>
                <w:rFonts w:ascii="Arial"/>
                <w:sz w:val="21"/>
              </w:rPr>
            </w:pPr>
          </w:p>
          <w:p w14:paraId="5B675E01">
            <w:pPr>
              <w:spacing w:line="248" w:lineRule="auto"/>
              <w:rPr>
                <w:rFonts w:ascii="Arial"/>
                <w:sz w:val="21"/>
              </w:rPr>
            </w:pPr>
          </w:p>
          <w:p w14:paraId="2AE9CB25">
            <w:pPr>
              <w:spacing w:line="248" w:lineRule="auto"/>
              <w:rPr>
                <w:rFonts w:ascii="Arial"/>
                <w:sz w:val="21"/>
              </w:rPr>
            </w:pPr>
          </w:p>
          <w:p w14:paraId="0B86D8C6">
            <w:pPr>
              <w:spacing w:line="248" w:lineRule="auto"/>
              <w:rPr>
                <w:rFonts w:ascii="Arial"/>
                <w:sz w:val="21"/>
              </w:rPr>
            </w:pPr>
          </w:p>
          <w:p w14:paraId="12382C60">
            <w:pPr>
              <w:spacing w:line="248" w:lineRule="auto"/>
              <w:rPr>
                <w:rFonts w:ascii="Arial"/>
                <w:sz w:val="21"/>
              </w:rPr>
            </w:pPr>
          </w:p>
          <w:p w14:paraId="50EF6EF6">
            <w:pPr>
              <w:spacing w:line="248" w:lineRule="auto"/>
              <w:rPr>
                <w:rFonts w:ascii="Arial"/>
                <w:sz w:val="21"/>
              </w:rPr>
            </w:pPr>
          </w:p>
          <w:p w14:paraId="6577F06C">
            <w:pPr>
              <w:spacing w:line="248" w:lineRule="auto"/>
              <w:rPr>
                <w:rFonts w:ascii="Arial"/>
                <w:sz w:val="21"/>
              </w:rPr>
            </w:pPr>
          </w:p>
          <w:p w14:paraId="2062FD70">
            <w:pPr>
              <w:spacing w:line="248" w:lineRule="auto"/>
              <w:rPr>
                <w:rFonts w:ascii="Arial"/>
                <w:sz w:val="21"/>
              </w:rPr>
            </w:pPr>
          </w:p>
          <w:p w14:paraId="30384CEC">
            <w:pPr>
              <w:spacing w:line="248" w:lineRule="auto"/>
              <w:rPr>
                <w:rFonts w:ascii="Arial"/>
                <w:sz w:val="21"/>
              </w:rPr>
            </w:pPr>
          </w:p>
          <w:p w14:paraId="5A4DDC4D">
            <w:pPr>
              <w:spacing w:line="248" w:lineRule="auto"/>
              <w:rPr>
                <w:rFonts w:ascii="Arial"/>
                <w:sz w:val="21"/>
              </w:rPr>
            </w:pPr>
          </w:p>
          <w:p w14:paraId="1BB5B28C">
            <w:pPr>
              <w:spacing w:line="248" w:lineRule="auto"/>
              <w:rPr>
                <w:rFonts w:ascii="Arial"/>
                <w:sz w:val="21"/>
              </w:rPr>
            </w:pPr>
          </w:p>
          <w:p w14:paraId="22046191">
            <w:pPr>
              <w:spacing w:line="248" w:lineRule="auto"/>
              <w:rPr>
                <w:rFonts w:ascii="Arial"/>
                <w:sz w:val="21"/>
              </w:rPr>
            </w:pPr>
          </w:p>
          <w:p w14:paraId="3E124D61">
            <w:pPr>
              <w:spacing w:line="248" w:lineRule="auto"/>
              <w:rPr>
                <w:rFonts w:ascii="Arial"/>
                <w:sz w:val="21"/>
              </w:rPr>
            </w:pPr>
          </w:p>
          <w:p w14:paraId="390AEC24">
            <w:pPr>
              <w:pStyle w:val="6"/>
              <w:spacing w:before="68" w:line="230" w:lineRule="auto"/>
              <w:ind w:left="206"/>
            </w:pPr>
            <w:r>
              <w:rPr>
                <w:b/>
                <w:bCs/>
                <w:spacing w:val="-5"/>
              </w:rPr>
              <w:t>工艺</w:t>
            </w:r>
          </w:p>
          <w:p w14:paraId="4A02C970">
            <w:pPr>
              <w:pStyle w:val="6"/>
              <w:spacing w:before="11" w:line="220" w:lineRule="auto"/>
              <w:ind w:left="204"/>
            </w:pPr>
            <w:r>
              <w:rPr>
                <w:b/>
                <w:bCs/>
                <w:spacing w:val="-5"/>
              </w:rPr>
              <w:t>流程</w:t>
            </w:r>
          </w:p>
          <w:p w14:paraId="44DA2815">
            <w:pPr>
              <w:pStyle w:val="6"/>
              <w:spacing w:before="21" w:line="220" w:lineRule="auto"/>
              <w:ind w:left="204"/>
            </w:pPr>
            <w:r>
              <w:rPr>
                <w:b/>
                <w:bCs/>
                <w:spacing w:val="-5"/>
              </w:rPr>
              <w:t>和产</w:t>
            </w:r>
          </w:p>
          <w:p w14:paraId="5D88BA38">
            <w:pPr>
              <w:pStyle w:val="6"/>
              <w:spacing w:before="22" w:line="222" w:lineRule="auto"/>
              <w:ind w:left="203"/>
            </w:pPr>
            <w:r>
              <w:rPr>
                <w:b/>
                <w:bCs/>
                <w:spacing w:val="-4"/>
              </w:rPr>
              <w:t>排污</w:t>
            </w:r>
          </w:p>
          <w:p w14:paraId="4AA488C1">
            <w:pPr>
              <w:pStyle w:val="6"/>
              <w:spacing w:before="20" w:line="220" w:lineRule="auto"/>
              <w:ind w:left="203"/>
            </w:pPr>
            <w:r>
              <w:rPr>
                <w:b/>
                <w:bCs/>
                <w:spacing w:val="-4"/>
              </w:rPr>
              <w:t>环节</w:t>
            </w:r>
          </w:p>
        </w:tc>
        <w:tc>
          <w:tcPr>
            <w:tcW w:w="8156" w:type="dxa"/>
            <w:tcBorders>
              <w:right w:val="single" w:color="000000" w:sz="6" w:space="0"/>
            </w:tcBorders>
            <w:vAlign w:val="top"/>
          </w:tcPr>
          <w:p w14:paraId="478B92E9">
            <w:pPr>
              <w:pStyle w:val="6"/>
              <w:spacing w:before="141" w:line="220" w:lineRule="auto"/>
              <w:ind w:left="2080"/>
              <w:rPr>
                <w:sz w:val="18"/>
                <w:szCs w:val="18"/>
              </w:rPr>
            </w:pPr>
            <w:r>
              <w:pict>
                <v:shape id="_x0000_s1047" o:spid="_x0000_s1047" o:spt="202" type="#_x0000_t202" style="position:absolute;left:0pt;margin-left:7.35pt;margin-top:7.9pt;height:26.75pt;width:54.4pt;z-index:251682816;mso-width-relative:page;mso-height-relative:page;" filled="f" stroked="f" coordsize="21600,21600">
                  <v:path/>
                  <v:fill on="f" focussize="0,0"/>
                  <v:stroke on="f"/>
                  <v:imagedata o:title=""/>
                  <o:lock v:ext="edit" aspectratio="f"/>
                  <v:textbox inset="0mm,0mm,0mm,0mm">
                    <w:txbxContent>
                      <w:p w14:paraId="3463EDF0">
                        <w:pPr>
                          <w:pStyle w:val="6"/>
                          <w:spacing w:before="20" w:line="264" w:lineRule="auto"/>
                          <w:ind w:left="29" w:right="20" w:hanging="9"/>
                          <w:rPr>
                            <w:sz w:val="18"/>
                            <w:szCs w:val="18"/>
                          </w:rPr>
                        </w:pPr>
                        <w:r>
                          <w:rPr>
                            <w:spacing w:val="-6"/>
                            <w:sz w:val="18"/>
                            <w:szCs w:val="18"/>
                          </w:rPr>
                          <w:t>废气、固废、</w:t>
                        </w:r>
                        <w:r>
                          <w:rPr>
                            <w:spacing w:val="2"/>
                            <w:sz w:val="18"/>
                            <w:szCs w:val="18"/>
                          </w:rPr>
                          <w:t xml:space="preserve"> </w:t>
                        </w:r>
                        <w:r>
                          <w:rPr>
                            <w:spacing w:val="-3"/>
                            <w:sz w:val="18"/>
                            <w:szCs w:val="18"/>
                          </w:rPr>
                          <w:t>噪声、废水</w:t>
                        </w:r>
                      </w:p>
                    </w:txbxContent>
                  </v:textbox>
                </v:shape>
              </w:pict>
            </w:r>
            <w:r>
              <w:rPr>
                <w:spacing w:val="-2"/>
                <w:sz w:val="18"/>
                <w:szCs w:val="18"/>
              </w:rPr>
              <w:t>废水、固</w:t>
            </w:r>
          </w:p>
          <w:p w14:paraId="398BB9F4">
            <w:pPr>
              <w:pStyle w:val="6"/>
              <w:spacing w:before="25" w:line="231" w:lineRule="auto"/>
              <w:ind w:left="2080"/>
              <w:rPr>
                <w:sz w:val="18"/>
                <w:szCs w:val="18"/>
              </w:rPr>
            </w:pPr>
            <w:r>
              <w:rPr>
                <w:spacing w:val="-3"/>
                <w:position w:val="-1"/>
                <w:sz w:val="18"/>
                <w:szCs w:val="18"/>
              </w:rPr>
              <w:t>废、噪声</w:t>
            </w:r>
            <w:r>
              <w:rPr>
                <w:spacing w:val="2"/>
                <w:position w:val="-1"/>
                <w:sz w:val="18"/>
                <w:szCs w:val="18"/>
              </w:rPr>
              <w:t xml:space="preserve">             </w:t>
            </w:r>
            <w:r>
              <w:rPr>
                <w:spacing w:val="-3"/>
                <w:position w:val="2"/>
                <w:sz w:val="18"/>
                <w:szCs w:val="18"/>
              </w:rPr>
              <w:t>噪声</w:t>
            </w:r>
          </w:p>
          <w:p w14:paraId="1CA801D5">
            <w:pPr>
              <w:spacing w:line="253" w:lineRule="auto"/>
              <w:rPr>
                <w:rFonts w:ascii="Arial"/>
                <w:sz w:val="21"/>
              </w:rPr>
            </w:pPr>
          </w:p>
          <w:p w14:paraId="2E2BDEFD">
            <w:pPr>
              <w:spacing w:line="253" w:lineRule="auto"/>
              <w:rPr>
                <w:rFonts w:ascii="Arial"/>
                <w:sz w:val="21"/>
              </w:rPr>
            </w:pPr>
          </w:p>
          <w:p w14:paraId="2F6E27CB">
            <w:pPr>
              <w:spacing w:line="253" w:lineRule="auto"/>
              <w:rPr>
                <w:rFonts w:ascii="Arial"/>
                <w:sz w:val="21"/>
              </w:rPr>
            </w:pPr>
          </w:p>
          <w:p w14:paraId="4DBEFFDB">
            <w:pPr>
              <w:pStyle w:val="6"/>
              <w:spacing w:before="69" w:line="229" w:lineRule="auto"/>
              <w:ind w:left="245"/>
            </w:pPr>
            <w:r>
              <w:drawing>
                <wp:anchor distT="0" distB="0" distL="0" distR="0" simplePos="0" relativeHeight="251681792" behindDoc="1" locked="0" layoutInCell="1" allowOverlap="1">
                  <wp:simplePos x="0" y="0"/>
                  <wp:positionH relativeFrom="column">
                    <wp:posOffset>41910</wp:posOffset>
                  </wp:positionH>
                  <wp:positionV relativeFrom="paragraph">
                    <wp:posOffset>-501650</wp:posOffset>
                  </wp:positionV>
                  <wp:extent cx="5089525" cy="77597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87"/>
                          <a:stretch>
                            <a:fillRect/>
                          </a:stretch>
                        </pic:blipFill>
                        <pic:spPr>
                          <a:xfrm>
                            <a:off x="0" y="0"/>
                            <a:ext cx="5089524" cy="776287"/>
                          </a:xfrm>
                          <a:prstGeom prst="rect">
                            <a:avLst/>
                          </a:prstGeom>
                        </pic:spPr>
                      </pic:pic>
                    </a:graphicData>
                  </a:graphic>
                </wp:anchor>
              </w:drawing>
            </w:r>
            <w:r>
              <w:rPr>
                <w:spacing w:val="-1"/>
              </w:rPr>
              <w:t>车间改造         设备安装</w:t>
            </w:r>
            <w:r>
              <w:rPr>
                <w:spacing w:val="5"/>
              </w:rPr>
              <w:t xml:space="preserve">        </w:t>
            </w:r>
            <w:r>
              <w:rPr>
                <w:spacing w:val="-1"/>
                <w:position w:val="1"/>
              </w:rPr>
              <w:t xml:space="preserve">设备调试        </w:t>
            </w:r>
            <w:r>
              <w:rPr>
                <w:spacing w:val="-1"/>
                <w:position w:val="-1"/>
              </w:rPr>
              <w:t xml:space="preserve">工程验收        </w:t>
            </w:r>
            <w:r>
              <w:rPr>
                <w:spacing w:val="-1"/>
                <w:position w:val="-2"/>
              </w:rPr>
              <w:t>投入使用</w:t>
            </w:r>
          </w:p>
          <w:p w14:paraId="76FA867A">
            <w:pPr>
              <w:spacing w:before="207" w:line="232" w:lineRule="auto"/>
              <w:ind w:left="2307"/>
              <w:rPr>
                <w:rFonts w:ascii="黑体" w:hAnsi="黑体" w:eastAsia="黑体" w:cs="黑体"/>
                <w:sz w:val="20"/>
                <w:szCs w:val="20"/>
              </w:rPr>
            </w:pPr>
            <w:r>
              <w:rPr>
                <w:rFonts w:ascii="黑体" w:hAnsi="黑体" w:eastAsia="黑体" w:cs="黑体"/>
                <w:spacing w:val="-1"/>
                <w:sz w:val="20"/>
                <w:szCs w:val="20"/>
              </w:rPr>
              <w:t>图</w:t>
            </w:r>
            <w:r>
              <w:rPr>
                <w:rFonts w:ascii="Times New Roman" w:hAnsi="Times New Roman" w:eastAsia="Times New Roman" w:cs="Times New Roman"/>
                <w:spacing w:val="-1"/>
                <w:sz w:val="20"/>
                <w:szCs w:val="20"/>
              </w:rPr>
              <w:t>2-2</w:t>
            </w:r>
            <w:r>
              <w:rPr>
                <w:rFonts w:ascii="黑体" w:hAnsi="黑体" w:eastAsia="黑体" w:cs="黑体"/>
                <w:spacing w:val="-1"/>
                <w:sz w:val="20"/>
                <w:szCs w:val="20"/>
              </w:rPr>
              <w:t>：施工期工艺流程及产污环节图</w:t>
            </w:r>
          </w:p>
          <w:p w14:paraId="12784D35">
            <w:pPr>
              <w:pStyle w:val="6"/>
              <w:spacing w:before="130" w:line="233" w:lineRule="auto"/>
              <w:ind w:left="535"/>
            </w:pPr>
            <w:r>
              <w:rPr>
                <w:b/>
                <w:bCs/>
                <w:spacing w:val="-4"/>
              </w:rPr>
              <w:t>（</w:t>
            </w:r>
            <w:r>
              <w:rPr>
                <w:rFonts w:ascii="Times New Roman" w:hAnsi="Times New Roman" w:eastAsia="Times New Roman" w:cs="Times New Roman"/>
                <w:b/>
                <w:bCs/>
                <w:spacing w:val="-4"/>
              </w:rPr>
              <w:t>2</w:t>
            </w:r>
            <w:r>
              <w:rPr>
                <w:b/>
                <w:bCs/>
                <w:spacing w:val="-4"/>
              </w:rPr>
              <w:t>）产污环节</w:t>
            </w:r>
          </w:p>
          <w:p w14:paraId="41D3F0E1">
            <w:pPr>
              <w:pStyle w:val="6"/>
              <w:spacing w:before="133" w:line="219" w:lineRule="auto"/>
              <w:ind w:left="526"/>
            </w:pPr>
            <w:r>
              <w:rPr>
                <w:spacing w:val="-1"/>
              </w:rPr>
              <w:t>废气：主要为车间改造施工和各类材料运输，产生的扬尘</w:t>
            </w:r>
            <w:r>
              <w:rPr>
                <w:spacing w:val="-2"/>
              </w:rPr>
              <w:t>及尾气等。</w:t>
            </w:r>
          </w:p>
          <w:p w14:paraId="4B0CECCC">
            <w:pPr>
              <w:pStyle w:val="6"/>
              <w:spacing w:before="150" w:line="352" w:lineRule="auto"/>
              <w:ind w:left="106" w:right="101" w:firstLine="420"/>
            </w:pPr>
            <w:r>
              <w:rPr>
                <w:spacing w:val="-1"/>
              </w:rPr>
              <w:t>废水：主要是车间改造施工和热风炉施工时会产生少量的施工废</w:t>
            </w:r>
            <w:r>
              <w:rPr>
                <w:spacing w:val="-2"/>
              </w:rPr>
              <w:t>水；以及工人洗手</w:t>
            </w:r>
            <w:r>
              <w:t xml:space="preserve"> </w:t>
            </w:r>
            <w:r>
              <w:rPr>
                <w:spacing w:val="-1"/>
              </w:rPr>
              <w:t>及清洗工具产生的少量废水，主要污染物为</w:t>
            </w:r>
            <w:r>
              <w:rPr>
                <w:rFonts w:ascii="Times New Roman" w:hAnsi="Times New Roman" w:eastAsia="Times New Roman" w:cs="Times New Roman"/>
                <w:spacing w:val="-1"/>
              </w:rPr>
              <w:t>SS</w:t>
            </w:r>
            <w:r>
              <w:rPr>
                <w:spacing w:val="-1"/>
              </w:rPr>
              <w:t>。</w:t>
            </w:r>
          </w:p>
          <w:p w14:paraId="45762748">
            <w:pPr>
              <w:pStyle w:val="6"/>
              <w:spacing w:before="2" w:line="351" w:lineRule="auto"/>
              <w:ind w:left="109" w:right="102" w:firstLine="428"/>
            </w:pPr>
            <w:r>
              <w:rPr>
                <w:spacing w:val="-2"/>
              </w:rPr>
              <w:t>噪声：主要为机械设备噪声和运输车辆噪声，施工期间使用的高噪声设备有空压机</w:t>
            </w:r>
            <w:r>
              <w:rPr>
                <w:spacing w:val="17"/>
              </w:rPr>
              <w:t xml:space="preserve"> </w:t>
            </w:r>
            <w:r>
              <w:rPr>
                <w:spacing w:val="-2"/>
              </w:rPr>
              <w:t>等，产生的噪声在</w:t>
            </w:r>
            <w:r>
              <w:rPr>
                <w:rFonts w:ascii="Times New Roman" w:hAnsi="Times New Roman" w:eastAsia="Times New Roman" w:cs="Times New Roman"/>
                <w:spacing w:val="-2"/>
              </w:rPr>
              <w:t>70~90dB</w:t>
            </w:r>
            <w:r>
              <w:rPr>
                <w:spacing w:val="-2"/>
              </w:rPr>
              <w:t>（</w:t>
            </w:r>
            <w:r>
              <w:rPr>
                <w:rFonts w:ascii="Times New Roman" w:hAnsi="Times New Roman" w:eastAsia="Times New Roman" w:cs="Times New Roman"/>
                <w:spacing w:val="-2"/>
              </w:rPr>
              <w:t>A</w:t>
            </w:r>
            <w:r>
              <w:rPr>
                <w:spacing w:val="-2"/>
              </w:rPr>
              <w:t>）之间。</w:t>
            </w:r>
          </w:p>
          <w:p w14:paraId="77CAC5B9">
            <w:pPr>
              <w:pStyle w:val="6"/>
              <w:spacing w:before="1" w:line="218" w:lineRule="auto"/>
              <w:ind w:left="545"/>
            </w:pPr>
            <w:r>
              <w:rPr>
                <w:spacing w:val="-2"/>
              </w:rPr>
              <w:t>固体废物：主要为建筑垃圾、废弃的包装材料以及施工人员的生活垃圾等。</w:t>
            </w:r>
          </w:p>
          <w:p w14:paraId="09BB8788">
            <w:pPr>
              <w:spacing w:before="134" w:line="241" w:lineRule="auto"/>
              <w:ind w:left="103"/>
              <w:rPr>
                <w:rFonts w:ascii="黑体" w:hAnsi="黑体" w:eastAsia="黑体" w:cs="黑体"/>
                <w:sz w:val="21"/>
                <w:szCs w:val="21"/>
              </w:rPr>
            </w:pPr>
            <w:r>
              <w:rPr>
                <w:rFonts w:ascii="Times New Roman" w:hAnsi="Times New Roman" w:eastAsia="Times New Roman" w:cs="Times New Roman"/>
                <w:spacing w:val="8"/>
                <w:sz w:val="21"/>
                <w:szCs w:val="21"/>
              </w:rPr>
              <w:t>2</w:t>
            </w:r>
            <w:r>
              <w:rPr>
                <w:rFonts w:ascii="黑体" w:hAnsi="黑体" w:eastAsia="黑体" w:cs="黑体"/>
                <w:spacing w:val="8"/>
                <w:sz w:val="21"/>
                <w:szCs w:val="21"/>
              </w:rPr>
              <w:t>、营运期工艺流程简述</w:t>
            </w:r>
          </w:p>
          <w:p w14:paraId="02370B89">
            <w:pPr>
              <w:pStyle w:val="6"/>
              <w:spacing w:before="124" w:line="234" w:lineRule="auto"/>
              <w:ind w:left="535"/>
            </w:pPr>
            <w:r>
              <w:rPr>
                <w:b/>
                <w:bCs/>
                <w:spacing w:val="-4"/>
              </w:rPr>
              <w:t>（</w:t>
            </w:r>
            <w:r>
              <w:rPr>
                <w:rFonts w:ascii="Times New Roman" w:hAnsi="Times New Roman" w:eastAsia="Times New Roman" w:cs="Times New Roman"/>
                <w:b/>
                <w:bCs/>
                <w:spacing w:val="-4"/>
              </w:rPr>
              <w:t>1</w:t>
            </w:r>
            <w:r>
              <w:rPr>
                <w:b/>
                <w:bCs/>
                <w:spacing w:val="-4"/>
              </w:rPr>
              <w:t>）工艺流程</w:t>
            </w:r>
          </w:p>
          <w:p w14:paraId="13CA7AE6">
            <w:pPr>
              <w:pStyle w:val="6"/>
              <w:spacing w:before="123" w:line="220" w:lineRule="auto"/>
              <w:ind w:left="530"/>
            </w:pPr>
            <w:r>
              <w:rPr>
                <w:spacing w:val="-1"/>
              </w:rPr>
              <w:t>项目营运期工艺流程及产污环节图如下。</w:t>
            </w:r>
          </w:p>
        </w:tc>
      </w:tr>
    </w:tbl>
    <w:p w14:paraId="59E88215">
      <w:pPr>
        <w:rPr>
          <w:rFonts w:ascii="Arial"/>
          <w:sz w:val="21"/>
        </w:rPr>
      </w:pPr>
    </w:p>
    <w:p w14:paraId="57E39DD7">
      <w:pPr>
        <w:rPr>
          <w:rFonts w:ascii="Arial" w:hAnsi="Arial" w:eastAsia="Arial" w:cs="Arial"/>
          <w:sz w:val="21"/>
          <w:szCs w:val="21"/>
        </w:rPr>
        <w:sectPr>
          <w:footerReference r:id="rId45" w:type="default"/>
          <w:pgSz w:w="11907" w:h="16839"/>
          <w:pgMar w:top="1431" w:right="1450" w:bottom="1055" w:left="1451" w:header="0" w:footer="801" w:gutter="0"/>
          <w:cols w:space="720" w:num="1"/>
        </w:sectPr>
      </w:pPr>
    </w:p>
    <w:p w14:paraId="3D41D9AB">
      <w:pPr>
        <w:spacing w:before="28"/>
      </w:pPr>
    </w:p>
    <w:tbl>
      <w:tblPr>
        <w:tblStyle w:val="5"/>
        <w:tblW w:w="898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8156"/>
      </w:tblGrid>
      <w:tr w14:paraId="6BA32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32" w:type="dxa"/>
            <w:vMerge w:val="restart"/>
            <w:tcBorders>
              <w:left w:val="single" w:color="000000" w:sz="6" w:space="0"/>
              <w:bottom w:val="nil"/>
            </w:tcBorders>
            <w:vAlign w:val="top"/>
          </w:tcPr>
          <w:p w14:paraId="5668A02B">
            <w:pPr>
              <w:rPr>
                <w:rFonts w:ascii="Arial"/>
                <w:sz w:val="21"/>
              </w:rPr>
            </w:pPr>
          </w:p>
        </w:tc>
        <w:tc>
          <w:tcPr>
            <w:tcW w:w="8156" w:type="dxa"/>
            <w:tcBorders>
              <w:bottom w:val="nil"/>
              <w:right w:val="single" w:color="000000" w:sz="6" w:space="0"/>
            </w:tcBorders>
            <w:vAlign w:val="top"/>
          </w:tcPr>
          <w:p w14:paraId="6BD83B77">
            <w:pPr>
              <w:pStyle w:val="6"/>
              <w:spacing w:before="149" w:line="199" w:lineRule="auto"/>
              <w:ind w:left="2515"/>
            </w:pPr>
            <w:r>
              <w:rPr>
                <w:spacing w:val="-2"/>
              </w:rPr>
              <w:t>废木料等</w:t>
            </w:r>
          </w:p>
        </w:tc>
      </w:tr>
      <w:tr w14:paraId="45EFA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6" w:hRule="atLeast"/>
        </w:trPr>
        <w:tc>
          <w:tcPr>
            <w:tcW w:w="832" w:type="dxa"/>
            <w:vMerge w:val="continue"/>
            <w:tcBorders>
              <w:top w:val="nil"/>
              <w:left w:val="single" w:color="000000" w:sz="6" w:space="0"/>
              <w:bottom w:val="nil"/>
            </w:tcBorders>
            <w:vAlign w:val="top"/>
          </w:tcPr>
          <w:p w14:paraId="7C75CCA3">
            <w:pPr>
              <w:rPr>
                <w:rFonts w:ascii="Arial"/>
                <w:sz w:val="21"/>
              </w:rPr>
            </w:pPr>
          </w:p>
        </w:tc>
        <w:tc>
          <w:tcPr>
            <w:tcW w:w="8156" w:type="dxa"/>
            <w:tcBorders>
              <w:top w:val="nil"/>
              <w:bottom w:val="nil"/>
              <w:right w:val="single" w:color="000000" w:sz="6" w:space="0"/>
            </w:tcBorders>
            <w:vAlign w:val="top"/>
          </w:tcPr>
          <w:p w14:paraId="2786D349">
            <w:pPr>
              <w:spacing w:line="314" w:lineRule="auto"/>
              <w:rPr>
                <w:rFonts w:ascii="Arial"/>
                <w:sz w:val="21"/>
              </w:rPr>
            </w:pPr>
            <w:r>
              <w:pict>
                <v:shape id="_x0000_s1048" o:spid="_x0000_s1048" o:spt="202" type="#_x0000_t202" style="position:absolute;left:0pt;margin-left:154.25pt;margin-top:331.6pt;height:12.75pt;width:19.55pt;mso-position-horizontal-relative:page;mso-position-vertical-relative:page;z-index:251692032;mso-width-relative:page;mso-height-relative:page;" filled="f" stroked="f" coordsize="21600,21600">
                  <v:path/>
                  <v:fill on="f" focussize="0,0"/>
                  <v:stroke on="f"/>
                  <v:imagedata o:title=""/>
                  <o:lock v:ext="edit" aspectratio="f"/>
                  <v:textbox inset="0mm,0mm,0mm,0mm">
                    <w:txbxContent>
                      <w:p w14:paraId="08503FED">
                        <w:pPr>
                          <w:pStyle w:val="6"/>
                          <w:spacing w:before="19" w:line="220" w:lineRule="auto"/>
                          <w:ind w:left="20"/>
                          <w:rPr>
                            <w:sz w:val="18"/>
                            <w:szCs w:val="18"/>
                          </w:rPr>
                        </w:pPr>
                        <w:r>
                          <w:rPr>
                            <w:spacing w:val="-3"/>
                            <w:sz w:val="18"/>
                            <w:szCs w:val="18"/>
                          </w:rPr>
                          <w:t>绞龙</w:t>
                        </w:r>
                      </w:p>
                    </w:txbxContent>
                  </v:textbox>
                </v:shape>
              </w:pict>
            </w:r>
          </w:p>
          <w:p w14:paraId="7F682B99">
            <w:pPr>
              <w:pStyle w:val="6"/>
              <w:spacing w:before="68" w:line="220" w:lineRule="auto"/>
              <w:ind w:left="2570"/>
            </w:pPr>
            <w:r>
              <w:pict>
                <v:shape id="_x0000_s1049" o:spid="_x0000_s1049" o:spt="202" type="#_x0000_t202" style="position:absolute;left:0pt;margin-left:209pt;margin-top:2pt;height:45.75pt;width:19.8pt;z-index:251689984;mso-width-relative:page;mso-height-relative:page;" filled="f" stroked="f" coordsize="21600,21600">
                  <v:path/>
                  <v:fill on="f" focussize="0,0"/>
                  <v:stroke on="f"/>
                  <v:imagedata o:title=""/>
                  <o:lock v:ext="edit" aspectratio="f"/>
                  <v:textbox inset="0mm,0mm,0mm,0mm">
                    <w:txbxContent>
                      <w:p w14:paraId="51ED0133">
                        <w:pPr>
                          <w:pStyle w:val="6"/>
                          <w:spacing w:before="20" w:line="220" w:lineRule="auto"/>
                          <w:ind w:left="30"/>
                          <w:rPr>
                            <w:sz w:val="18"/>
                            <w:szCs w:val="18"/>
                          </w:rPr>
                        </w:pPr>
                        <w:r>
                          <w:rPr>
                            <w:spacing w:val="-4"/>
                            <w:sz w:val="18"/>
                            <w:szCs w:val="18"/>
                          </w:rPr>
                          <w:t>噪声</w:t>
                        </w:r>
                      </w:p>
                      <w:p w14:paraId="0AAAB119">
                        <w:pPr>
                          <w:spacing w:line="384" w:lineRule="auto"/>
                          <w:rPr>
                            <w:rFonts w:ascii="Arial"/>
                            <w:sz w:val="21"/>
                          </w:rPr>
                        </w:pPr>
                      </w:p>
                      <w:p w14:paraId="2734E7EF">
                        <w:pPr>
                          <w:pStyle w:val="6"/>
                          <w:spacing w:before="58" w:line="220" w:lineRule="auto"/>
                          <w:ind w:left="20"/>
                          <w:rPr>
                            <w:sz w:val="18"/>
                            <w:szCs w:val="18"/>
                          </w:rPr>
                        </w:pPr>
                        <w:r>
                          <w:rPr>
                            <w:spacing w:val="-3"/>
                            <w:sz w:val="18"/>
                            <w:szCs w:val="18"/>
                          </w:rPr>
                          <w:t>杂物</w:t>
                        </w:r>
                      </w:p>
                    </w:txbxContent>
                  </v:textbox>
                </v:shape>
              </w:pict>
            </w:r>
            <w:r>
              <w:rPr>
                <w:spacing w:val="-3"/>
              </w:rPr>
              <w:t>车间卸料</w:t>
            </w:r>
          </w:p>
          <w:p w14:paraId="7A5C226B">
            <w:pPr>
              <w:spacing w:line="328" w:lineRule="auto"/>
              <w:rPr>
                <w:rFonts w:ascii="Arial"/>
                <w:sz w:val="21"/>
              </w:rPr>
            </w:pPr>
          </w:p>
          <w:p w14:paraId="671BE6FB">
            <w:pPr>
              <w:pStyle w:val="6"/>
              <w:spacing w:before="68" w:line="220" w:lineRule="auto"/>
              <w:ind w:left="2585"/>
            </w:pPr>
            <w:r>
              <w:rPr>
                <w:spacing w:val="-2"/>
              </w:rPr>
              <w:t>人工分拣</w:t>
            </w:r>
          </w:p>
          <w:p w14:paraId="00FBF71E">
            <w:pPr>
              <w:pStyle w:val="6"/>
              <w:spacing w:before="139" w:line="220" w:lineRule="auto"/>
              <w:ind w:left="3061"/>
              <w:rPr>
                <w:sz w:val="18"/>
                <w:szCs w:val="18"/>
              </w:rPr>
            </w:pPr>
            <w:r>
              <w:rPr>
                <w:spacing w:val="-2"/>
                <w:sz w:val="18"/>
                <w:szCs w:val="18"/>
              </w:rPr>
              <w:t>铲车</w:t>
            </w:r>
          </w:p>
          <w:p w14:paraId="123B1213">
            <w:pPr>
              <w:pStyle w:val="6"/>
              <w:spacing w:before="209" w:line="279" w:lineRule="auto"/>
              <w:ind w:left="3046" w:right="4748" w:hanging="323"/>
              <w:rPr>
                <w:sz w:val="18"/>
                <w:szCs w:val="18"/>
              </w:rPr>
            </w:pPr>
            <w:r>
              <w:drawing>
                <wp:anchor distT="0" distB="0" distL="0" distR="0" simplePos="0" relativeHeight="251691008" behindDoc="0" locked="0" layoutInCell="1" allowOverlap="1">
                  <wp:simplePos x="0" y="0"/>
                  <wp:positionH relativeFrom="column">
                    <wp:posOffset>1251585</wp:posOffset>
                  </wp:positionH>
                  <wp:positionV relativeFrom="paragraph">
                    <wp:posOffset>-1022985</wp:posOffset>
                  </wp:positionV>
                  <wp:extent cx="3253105" cy="6487795"/>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88"/>
                          <a:stretch>
                            <a:fillRect/>
                          </a:stretch>
                        </pic:blipFill>
                        <pic:spPr>
                          <a:xfrm>
                            <a:off x="0" y="0"/>
                            <a:ext cx="3253422" cy="6488112"/>
                          </a:xfrm>
                          <a:prstGeom prst="rect">
                            <a:avLst/>
                          </a:prstGeom>
                        </pic:spPr>
                      </pic:pic>
                    </a:graphicData>
                  </a:graphic>
                </wp:anchor>
              </w:drawing>
            </w:r>
            <w:r>
              <w:pict>
                <v:shape id="_x0000_s1050" o:spid="_x0000_s1050" o:spt="202" type="#_x0000_t202" style="position:absolute;left:0pt;margin-left:209.75pt;margin-top:12.7pt;height:12.75pt;width:46.25pt;z-index:251686912;mso-width-relative:page;mso-height-relative:page;" filled="f" stroked="f" coordsize="21600,21600">
                  <v:path/>
                  <v:fill on="f" focussize="0,0"/>
                  <v:stroke on="f"/>
                  <v:imagedata o:title=""/>
                  <o:lock v:ext="edit" aspectratio="f"/>
                  <v:textbox inset="0mm,0mm,0mm,0mm">
                    <w:txbxContent>
                      <w:p w14:paraId="017C9E75">
                        <w:pPr>
                          <w:pStyle w:val="6"/>
                          <w:spacing w:before="19" w:line="220" w:lineRule="auto"/>
                          <w:ind w:left="20"/>
                          <w:rPr>
                            <w:sz w:val="18"/>
                            <w:szCs w:val="18"/>
                          </w:rPr>
                        </w:pPr>
                        <w:r>
                          <w:rPr>
                            <w:spacing w:val="-3"/>
                            <w:sz w:val="18"/>
                            <w:szCs w:val="18"/>
                          </w:rPr>
                          <w:t>噪声、粉尘</w:t>
                        </w:r>
                      </w:p>
                    </w:txbxContent>
                  </v:textbox>
                </v:shape>
              </w:pict>
            </w:r>
            <w:r>
              <w:rPr>
                <w:spacing w:val="-8"/>
              </w:rPr>
              <w:t>削片机</w:t>
            </w:r>
            <w:r>
              <w:rPr>
                <w:spacing w:val="1"/>
              </w:rPr>
              <w:t xml:space="preserve"> </w:t>
            </w:r>
            <w:r>
              <w:rPr>
                <w:spacing w:val="-5"/>
                <w:sz w:val="18"/>
                <w:szCs w:val="18"/>
              </w:rPr>
              <w:t>皮带</w:t>
            </w:r>
          </w:p>
          <w:p w14:paraId="19B57A7E">
            <w:pPr>
              <w:pStyle w:val="6"/>
              <w:spacing w:before="201" w:line="219" w:lineRule="auto"/>
              <w:ind w:left="2650"/>
            </w:pPr>
            <w:r>
              <w:pict>
                <v:shape id="_x0000_s1051" o:spid="_x0000_s1051" o:spt="202" type="#_x0000_t202" style="position:absolute;left:0pt;margin-left:198.75pt;margin-top:9.1pt;height:115.95pt;width:55.5pt;z-index:251694080;mso-width-relative:page;mso-height-relative:page;" filled="f" stroked="f" coordsize="21600,21600">
                  <v:path/>
                  <v:fill on="f" focussize="0,0"/>
                  <v:stroke on="f"/>
                  <v:imagedata o:title=""/>
                  <o:lock v:ext="edit" aspectratio="f"/>
                  <v:textbox inset="0mm,0mm,0mm,0mm">
                    <w:txbxContent>
                      <w:p w14:paraId="6488DBDB">
                        <w:pPr>
                          <w:pStyle w:val="6"/>
                          <w:spacing w:before="19" w:line="220" w:lineRule="auto"/>
                          <w:ind w:left="186"/>
                          <w:rPr>
                            <w:sz w:val="18"/>
                            <w:szCs w:val="18"/>
                          </w:rPr>
                        </w:pPr>
                        <w:r>
                          <w:rPr>
                            <w:spacing w:val="-3"/>
                            <w:sz w:val="18"/>
                            <w:szCs w:val="18"/>
                          </w:rPr>
                          <w:t>噪声、粉尘</w:t>
                        </w:r>
                      </w:p>
                      <w:p w14:paraId="1C7552F3">
                        <w:pPr>
                          <w:spacing w:line="426" w:lineRule="auto"/>
                          <w:rPr>
                            <w:rFonts w:ascii="Arial"/>
                            <w:sz w:val="21"/>
                          </w:rPr>
                        </w:pPr>
                      </w:p>
                      <w:p w14:paraId="42B95DB8">
                        <w:pPr>
                          <w:pStyle w:val="6"/>
                          <w:spacing w:before="59" w:line="241" w:lineRule="auto"/>
                          <w:ind w:left="149" w:right="68" w:hanging="103"/>
                          <w:rPr>
                            <w:sz w:val="18"/>
                            <w:szCs w:val="18"/>
                          </w:rPr>
                        </w:pPr>
                        <w:r>
                          <w:rPr>
                            <w:spacing w:val="-15"/>
                            <w:sz w:val="18"/>
                            <w:szCs w:val="18"/>
                          </w:rPr>
                          <w:t>噪声、粉尘、</w:t>
                        </w:r>
                        <w:r>
                          <w:rPr>
                            <w:spacing w:val="3"/>
                            <w:sz w:val="18"/>
                            <w:szCs w:val="18"/>
                          </w:rPr>
                          <w:t xml:space="preserve"> </w:t>
                        </w:r>
                        <w:r>
                          <w:rPr>
                            <w:spacing w:val="-2"/>
                            <w:sz w:val="18"/>
                            <w:szCs w:val="18"/>
                          </w:rPr>
                          <w:t>铁质杂物</w:t>
                        </w:r>
                      </w:p>
                      <w:p w14:paraId="22B22E61">
                        <w:pPr>
                          <w:spacing w:line="345" w:lineRule="auto"/>
                          <w:rPr>
                            <w:rFonts w:ascii="Arial"/>
                            <w:sz w:val="21"/>
                          </w:rPr>
                        </w:pPr>
                      </w:p>
                      <w:p w14:paraId="0184C4C6">
                        <w:pPr>
                          <w:pStyle w:val="6"/>
                          <w:spacing w:before="59" w:line="221" w:lineRule="auto"/>
                          <w:ind w:left="20"/>
                          <w:rPr>
                            <w:sz w:val="18"/>
                            <w:szCs w:val="18"/>
                          </w:rPr>
                        </w:pPr>
                        <w:r>
                          <w:rPr>
                            <w:spacing w:val="-2"/>
                            <w:sz w:val="18"/>
                            <w:szCs w:val="18"/>
                          </w:rPr>
                          <w:t>热空气、烟气</w:t>
                        </w:r>
                      </w:p>
                      <w:p w14:paraId="60761030">
                        <w:pPr>
                          <w:pStyle w:val="6"/>
                          <w:spacing w:before="270" w:line="220" w:lineRule="auto"/>
                          <w:ind w:left="686"/>
                          <w:rPr>
                            <w:sz w:val="18"/>
                            <w:szCs w:val="18"/>
                          </w:rPr>
                        </w:pPr>
                        <w:r>
                          <w:rPr>
                            <w:spacing w:val="-4"/>
                            <w:sz w:val="18"/>
                            <w:szCs w:val="18"/>
                          </w:rPr>
                          <w:t>噪声</w:t>
                        </w:r>
                      </w:p>
                    </w:txbxContent>
                  </v:textbox>
                </v:shape>
              </w:pict>
            </w:r>
            <w:r>
              <w:rPr>
                <w:spacing w:val="-3"/>
              </w:rPr>
              <w:t>给料机</w:t>
            </w:r>
          </w:p>
          <w:p w14:paraId="62FB2DA7">
            <w:pPr>
              <w:spacing w:line="250" w:lineRule="auto"/>
              <w:rPr>
                <w:rFonts w:ascii="Arial"/>
                <w:sz w:val="21"/>
              </w:rPr>
            </w:pPr>
          </w:p>
          <w:p w14:paraId="1750BB27">
            <w:pPr>
              <w:spacing w:line="250" w:lineRule="auto"/>
              <w:rPr>
                <w:rFonts w:ascii="Arial"/>
                <w:sz w:val="21"/>
              </w:rPr>
            </w:pPr>
          </w:p>
          <w:p w14:paraId="1B58EBD1">
            <w:pPr>
              <w:pStyle w:val="6"/>
              <w:spacing w:before="68" w:line="219" w:lineRule="auto"/>
              <w:ind w:left="2139"/>
            </w:pPr>
            <w:r>
              <w:pict>
                <v:shape id="_x0000_s1052" o:spid="_x0000_s1052" o:spt="202" type="#_x0000_t202" style="position:absolute;left:0pt;margin-left:261.75pt;margin-top:-7.35pt;height:66.35pt;width:81.35pt;z-index:251687936;mso-width-relative:page;mso-height-relative:page;" filled="f" stroked="f" coordsize="21600,21600">
                  <v:path/>
                  <v:fill on="f" focussize="0,0"/>
                  <v:stroke on="f"/>
                  <v:imagedata o:title=""/>
                  <o:lock v:ext="edit" aspectratio="f"/>
                  <v:textbox inset="0mm,0mm,0mm,0mm">
                    <w:txbxContent>
                      <w:p w14:paraId="32DE354B">
                        <w:pPr>
                          <w:pStyle w:val="6"/>
                          <w:spacing w:before="20" w:line="242" w:lineRule="auto"/>
                          <w:ind w:left="180" w:right="828" w:hanging="94"/>
                          <w:rPr>
                            <w:sz w:val="18"/>
                            <w:szCs w:val="18"/>
                          </w:rPr>
                        </w:pPr>
                        <w:r>
                          <w:rPr>
                            <w:spacing w:val="-3"/>
                            <w:sz w:val="18"/>
                            <w:szCs w:val="18"/>
                          </w:rPr>
                          <w:t>生物质成</w:t>
                        </w:r>
                        <w:r>
                          <w:rPr>
                            <w:spacing w:val="2"/>
                            <w:sz w:val="18"/>
                            <w:szCs w:val="18"/>
                          </w:rPr>
                          <w:t xml:space="preserve"> </w:t>
                        </w:r>
                        <w:r>
                          <w:rPr>
                            <w:spacing w:val="-3"/>
                            <w:sz w:val="18"/>
                            <w:szCs w:val="18"/>
                          </w:rPr>
                          <w:t>型燃料</w:t>
                        </w:r>
                      </w:p>
                      <w:p w14:paraId="3BBA411E">
                        <w:pPr>
                          <w:spacing w:line="246" w:lineRule="auto"/>
                          <w:rPr>
                            <w:rFonts w:ascii="Arial"/>
                            <w:sz w:val="21"/>
                          </w:rPr>
                        </w:pPr>
                      </w:p>
                      <w:p w14:paraId="0034ECC0">
                        <w:pPr>
                          <w:spacing w:line="246" w:lineRule="auto"/>
                          <w:rPr>
                            <w:rFonts w:ascii="Arial"/>
                            <w:sz w:val="21"/>
                          </w:rPr>
                        </w:pPr>
                      </w:p>
                      <w:p w14:paraId="7BD27410">
                        <w:pPr>
                          <w:pStyle w:val="6"/>
                          <w:spacing w:before="68" w:line="220" w:lineRule="auto"/>
                          <w:ind w:left="20"/>
                          <w:rPr>
                            <w:sz w:val="18"/>
                            <w:szCs w:val="18"/>
                          </w:rPr>
                        </w:pPr>
                        <w:r>
                          <w:rPr>
                            <w:spacing w:val="-4"/>
                          </w:rPr>
                          <w:t>热风炉</w:t>
                        </w:r>
                        <w:r>
                          <w:rPr>
                            <w:spacing w:val="19"/>
                          </w:rPr>
                          <w:t xml:space="preserve">     </w:t>
                        </w:r>
                        <w:r>
                          <w:rPr>
                            <w:spacing w:val="-4"/>
                            <w:position w:val="1"/>
                            <w:sz w:val="18"/>
                            <w:szCs w:val="18"/>
                          </w:rPr>
                          <w:t>炉灰</w:t>
                        </w:r>
                      </w:p>
                    </w:txbxContent>
                  </v:textbox>
                </v:shape>
              </w:pict>
            </w:r>
            <w:r>
              <w:rPr>
                <w:spacing w:val="-4"/>
              </w:rPr>
              <w:t>粉碎机（磁选）</w:t>
            </w:r>
          </w:p>
          <w:p w14:paraId="32D00E3D">
            <w:pPr>
              <w:pStyle w:val="6"/>
              <w:spacing w:before="210" w:line="220" w:lineRule="auto"/>
              <w:ind w:left="3108"/>
              <w:rPr>
                <w:sz w:val="18"/>
                <w:szCs w:val="18"/>
              </w:rPr>
            </w:pPr>
            <w:r>
              <w:rPr>
                <w:spacing w:val="-3"/>
                <w:sz w:val="18"/>
                <w:szCs w:val="18"/>
              </w:rPr>
              <w:t>皮带</w:t>
            </w:r>
          </w:p>
          <w:p w14:paraId="6068B829">
            <w:pPr>
              <w:pStyle w:val="6"/>
              <w:spacing w:before="207" w:line="220" w:lineRule="auto"/>
              <w:ind w:left="2335"/>
            </w:pPr>
            <w:r>
              <w:rPr>
                <w:spacing w:val="-2"/>
              </w:rPr>
              <w:t>湿粉料堆放间</w:t>
            </w:r>
          </w:p>
          <w:p w14:paraId="7A6522FD">
            <w:pPr>
              <w:pStyle w:val="6"/>
              <w:spacing w:before="183" w:line="220" w:lineRule="auto"/>
              <w:ind w:left="3130"/>
              <w:rPr>
                <w:sz w:val="18"/>
                <w:szCs w:val="18"/>
              </w:rPr>
            </w:pPr>
            <w:r>
              <w:rPr>
                <w:spacing w:val="-3"/>
                <w:sz w:val="18"/>
                <w:szCs w:val="18"/>
              </w:rPr>
              <w:t>绞龙</w:t>
            </w:r>
          </w:p>
          <w:p w14:paraId="73706880">
            <w:pPr>
              <w:pStyle w:val="6"/>
              <w:spacing w:before="246" w:line="219" w:lineRule="auto"/>
              <w:ind w:left="2627"/>
            </w:pPr>
            <w:r>
              <w:pict>
                <v:shape id="_x0000_s1053" o:spid="_x0000_s1053" o:spt="202" type="#_x0000_t202" style="position:absolute;left:0pt;margin-left:354.1pt;margin-top:6.7pt;height:24.35pt;width:27.4pt;z-index:251688960;mso-width-relative:page;mso-height-relative:page;" filled="f" stroked="f" coordsize="21600,21600">
                  <v:path/>
                  <v:fill on="f" focussize="0,0"/>
                  <v:stroke on="f"/>
                  <v:imagedata o:title=""/>
                  <o:lock v:ext="edit" aspectratio="f"/>
                  <v:textbox inset="0mm,0mm,0mm,0mm">
                    <w:txbxContent>
                      <w:p w14:paraId="1A2B7739">
                        <w:pPr>
                          <w:pStyle w:val="6"/>
                          <w:spacing w:before="20" w:line="239" w:lineRule="auto"/>
                          <w:ind w:left="110" w:right="20" w:hanging="90"/>
                          <w:rPr>
                            <w:sz w:val="18"/>
                            <w:szCs w:val="18"/>
                          </w:rPr>
                        </w:pPr>
                        <w:r>
                          <w:rPr>
                            <w:spacing w:val="-11"/>
                            <w:sz w:val="18"/>
                            <w:szCs w:val="18"/>
                          </w:rPr>
                          <w:t>废气、</w:t>
                        </w:r>
                        <w:r>
                          <w:rPr>
                            <w:sz w:val="18"/>
                            <w:szCs w:val="18"/>
                          </w:rPr>
                          <w:t xml:space="preserve"> </w:t>
                        </w:r>
                        <w:r>
                          <w:rPr>
                            <w:spacing w:val="-2"/>
                            <w:sz w:val="18"/>
                            <w:szCs w:val="18"/>
                          </w:rPr>
                          <w:t>废水</w:t>
                        </w:r>
                      </w:p>
                    </w:txbxContent>
                  </v:textbox>
                </v:shape>
              </w:pict>
            </w:r>
            <w:r>
              <w:pict>
                <v:shape id="_x0000_s1054" o:spid="_x0000_s1054" o:spt="202" type="#_x0000_t202" style="position:absolute;left:0pt;margin-left:192.65pt;margin-top:13.35pt;height:61.45pt;width:74.4pt;z-index:251693056;mso-width-relative:page;mso-height-relative:page;" filled="f" stroked="f" coordsize="21600,21600">
                  <v:path/>
                  <v:fill on="f" focussize="0,0"/>
                  <v:stroke on="f"/>
                  <v:imagedata o:title=""/>
                  <o:lock v:ext="edit" aspectratio="f"/>
                  <v:textbox inset="0mm,0mm,0mm,0mm">
                    <w:txbxContent>
                      <w:p w14:paraId="106B5DE2">
                        <w:pPr>
                          <w:pStyle w:val="6"/>
                          <w:spacing w:before="20" w:line="398" w:lineRule="auto"/>
                          <w:ind w:left="20" w:right="20" w:firstLine="616"/>
                          <w:rPr>
                            <w:sz w:val="18"/>
                            <w:szCs w:val="18"/>
                          </w:rPr>
                        </w:pPr>
                        <w:r>
                          <w:rPr>
                            <w:spacing w:val="-3"/>
                          </w:rPr>
                          <w:t>旋风收尘</w:t>
                        </w:r>
                        <w:r>
                          <w:rPr>
                            <w:spacing w:val="1"/>
                          </w:rPr>
                          <w:t xml:space="preserve"> </w:t>
                        </w:r>
                        <w:r>
                          <w:rPr>
                            <w:spacing w:val="-3"/>
                            <w:sz w:val="18"/>
                            <w:szCs w:val="18"/>
                          </w:rPr>
                          <w:t>收尘灰</w:t>
                        </w:r>
                      </w:p>
                      <w:p w14:paraId="1D2F050D">
                        <w:pPr>
                          <w:pStyle w:val="6"/>
                          <w:spacing w:before="133" w:line="220" w:lineRule="auto"/>
                          <w:ind w:left="503"/>
                          <w:rPr>
                            <w:sz w:val="18"/>
                            <w:szCs w:val="18"/>
                          </w:rPr>
                        </w:pPr>
                        <w:r>
                          <w:rPr>
                            <w:spacing w:val="-4"/>
                            <w:sz w:val="18"/>
                            <w:szCs w:val="18"/>
                          </w:rPr>
                          <w:t>噪声</w:t>
                        </w:r>
                      </w:p>
                    </w:txbxContent>
                  </v:textbox>
                </v:shape>
              </w:pict>
            </w:r>
            <w:r>
              <w:pict>
                <v:shape id="_x0000_s1055" o:spid="_x0000_s1055" o:spt="202" type="#_x0000_t202" style="position:absolute;left:0pt;margin-left:301.8pt;margin-top:14.15pt;height:14.45pt;width:32.7pt;z-index:251685888;mso-width-relative:page;mso-height-relative:page;" filled="f" stroked="f" coordsize="21600,21600">
                  <v:path/>
                  <v:fill on="f" focussize="0,0"/>
                  <v:stroke on="f"/>
                  <v:imagedata o:title=""/>
                  <o:lock v:ext="edit" aspectratio="f"/>
                  <v:textbox inset="0mm,0mm,0mm,0mm">
                    <w:txbxContent>
                      <w:p w14:paraId="5D8AB5CD">
                        <w:pPr>
                          <w:pStyle w:val="6"/>
                          <w:spacing w:before="20" w:line="218" w:lineRule="auto"/>
                          <w:ind w:left="20"/>
                        </w:pPr>
                        <w:r>
                          <w:rPr>
                            <w:spacing w:val="-4"/>
                          </w:rPr>
                          <w:t>喷淋塔</w:t>
                        </w:r>
                      </w:p>
                    </w:txbxContent>
                  </v:textbox>
                </v:shape>
              </w:pict>
            </w:r>
            <w:r>
              <w:rPr>
                <w:spacing w:val="-2"/>
              </w:rPr>
              <w:t>烘干滚筒</w:t>
            </w:r>
          </w:p>
          <w:p w14:paraId="00F640FF">
            <w:pPr>
              <w:pStyle w:val="6"/>
              <w:spacing w:before="179" w:line="234" w:lineRule="auto"/>
              <w:ind w:left="2438"/>
              <w:rPr>
                <w:sz w:val="18"/>
                <w:szCs w:val="18"/>
              </w:rPr>
            </w:pPr>
            <w:r>
              <w:rPr>
                <w:spacing w:val="-3"/>
                <w:position w:val="-1"/>
                <w:sz w:val="18"/>
                <w:szCs w:val="18"/>
              </w:rPr>
              <w:t>干粉料</w:t>
            </w:r>
            <w:r>
              <w:rPr>
                <w:spacing w:val="48"/>
                <w:position w:val="-1"/>
                <w:sz w:val="18"/>
                <w:szCs w:val="18"/>
              </w:rPr>
              <w:t xml:space="preserve"> </w:t>
            </w:r>
            <w:r>
              <w:rPr>
                <w:spacing w:val="-3"/>
                <w:position w:val="2"/>
                <w:sz w:val="18"/>
                <w:szCs w:val="18"/>
              </w:rPr>
              <w:t>绞龙</w:t>
            </w:r>
          </w:p>
          <w:p w14:paraId="1F4B16F5">
            <w:pPr>
              <w:pStyle w:val="6"/>
              <w:spacing w:before="298" w:line="219" w:lineRule="auto"/>
              <w:ind w:left="2448"/>
            </w:pPr>
            <w:r>
              <w:rPr>
                <w:spacing w:val="-2"/>
              </w:rPr>
              <w:t>干粉料堆放间</w:t>
            </w:r>
          </w:p>
          <w:p w14:paraId="7F7577AC">
            <w:pPr>
              <w:spacing w:line="300" w:lineRule="auto"/>
              <w:rPr>
                <w:rFonts w:ascii="Arial"/>
                <w:sz w:val="21"/>
              </w:rPr>
            </w:pPr>
          </w:p>
          <w:p w14:paraId="441BF802">
            <w:pPr>
              <w:spacing w:line="301" w:lineRule="auto"/>
              <w:rPr>
                <w:rFonts w:ascii="Arial"/>
                <w:sz w:val="21"/>
              </w:rPr>
            </w:pPr>
          </w:p>
          <w:p w14:paraId="007C7ED9">
            <w:pPr>
              <w:pStyle w:val="6"/>
              <w:spacing w:before="69" w:line="219" w:lineRule="auto"/>
              <w:ind w:left="2797"/>
            </w:pPr>
            <w:r>
              <w:pict>
                <v:shape id="_x0000_s1056" o:spid="_x0000_s1056" o:spt="202" type="#_x0000_t202" style="position:absolute;left:0pt;margin-left:216.1pt;margin-top:3.9pt;height:12.75pt;width:46.25pt;z-index:251684864;mso-width-relative:page;mso-height-relative:page;" filled="f" stroked="f" coordsize="21600,21600">
                  <v:path/>
                  <v:fill on="f" focussize="0,0"/>
                  <v:stroke on="f"/>
                  <v:imagedata o:title=""/>
                  <o:lock v:ext="edit" aspectratio="f"/>
                  <v:textbox inset="0mm,0mm,0mm,0mm">
                    <w:txbxContent>
                      <w:p w14:paraId="0E704B36">
                        <w:pPr>
                          <w:pStyle w:val="6"/>
                          <w:spacing w:before="19" w:line="220" w:lineRule="auto"/>
                          <w:ind w:left="20"/>
                          <w:rPr>
                            <w:sz w:val="18"/>
                            <w:szCs w:val="18"/>
                          </w:rPr>
                        </w:pPr>
                        <w:r>
                          <w:rPr>
                            <w:spacing w:val="-3"/>
                            <w:sz w:val="18"/>
                            <w:szCs w:val="18"/>
                          </w:rPr>
                          <w:t>噪声、粉尘</w:t>
                        </w:r>
                      </w:p>
                    </w:txbxContent>
                  </v:textbox>
                </v:shape>
              </w:pict>
            </w:r>
            <w:r>
              <w:rPr>
                <w:spacing w:val="-2"/>
              </w:rPr>
              <w:t>造粒机</w:t>
            </w:r>
          </w:p>
          <w:p w14:paraId="5E7B995E">
            <w:pPr>
              <w:pStyle w:val="6"/>
              <w:spacing w:before="236" w:line="220" w:lineRule="auto"/>
              <w:ind w:left="3171"/>
              <w:rPr>
                <w:sz w:val="18"/>
                <w:szCs w:val="18"/>
              </w:rPr>
            </w:pPr>
            <w:r>
              <w:rPr>
                <w:spacing w:val="-3"/>
                <w:sz w:val="18"/>
                <w:szCs w:val="18"/>
              </w:rPr>
              <w:t>皮带</w:t>
            </w:r>
          </w:p>
          <w:p w14:paraId="4F6E6731">
            <w:pPr>
              <w:pStyle w:val="6"/>
              <w:spacing w:before="207" w:line="220" w:lineRule="auto"/>
              <w:ind w:left="2700"/>
            </w:pPr>
            <w:r>
              <w:rPr>
                <w:spacing w:val="-3"/>
              </w:rPr>
              <w:t>料仓冷却</w:t>
            </w:r>
          </w:p>
          <w:p w14:paraId="3D711D41">
            <w:pPr>
              <w:spacing w:line="288" w:lineRule="auto"/>
              <w:rPr>
                <w:rFonts w:ascii="Arial"/>
                <w:sz w:val="21"/>
              </w:rPr>
            </w:pPr>
          </w:p>
          <w:p w14:paraId="3C656D5F">
            <w:pPr>
              <w:spacing w:line="288" w:lineRule="auto"/>
              <w:rPr>
                <w:rFonts w:ascii="Arial"/>
                <w:sz w:val="21"/>
              </w:rPr>
            </w:pPr>
          </w:p>
          <w:p w14:paraId="3FE89194">
            <w:pPr>
              <w:pStyle w:val="6"/>
              <w:spacing w:before="69" w:line="220" w:lineRule="auto"/>
              <w:ind w:left="2691"/>
            </w:pPr>
            <w:r>
              <w:pict>
                <v:shape id="_x0000_s1057" o:spid="_x0000_s1057" o:spt="202" type="#_x0000_t202" style="position:absolute;left:0pt;margin-left:220.8pt;margin-top:4.8pt;height:12.75pt;width:19.25pt;z-index:251683840;mso-width-relative:page;mso-height-relative:page;" filled="f" stroked="f" coordsize="21600,21600">
                  <v:path/>
                  <v:fill on="f" focussize="0,0"/>
                  <v:stroke on="f"/>
                  <v:imagedata o:title=""/>
                  <o:lock v:ext="edit" aspectratio="f"/>
                  <v:textbox inset="0mm,0mm,0mm,0mm">
                    <w:txbxContent>
                      <w:p w14:paraId="4534662B">
                        <w:pPr>
                          <w:pStyle w:val="6"/>
                          <w:spacing w:before="20" w:line="220" w:lineRule="auto"/>
                          <w:ind w:left="20"/>
                          <w:rPr>
                            <w:sz w:val="18"/>
                            <w:szCs w:val="18"/>
                          </w:rPr>
                        </w:pPr>
                        <w:r>
                          <w:rPr>
                            <w:spacing w:val="-4"/>
                            <w:sz w:val="18"/>
                            <w:szCs w:val="18"/>
                          </w:rPr>
                          <w:t>噪声</w:t>
                        </w:r>
                      </w:p>
                    </w:txbxContent>
                  </v:textbox>
                </v:shape>
              </w:pict>
            </w:r>
            <w:r>
              <w:rPr>
                <w:spacing w:val="-4"/>
              </w:rPr>
              <w:t>吨袋包装</w:t>
            </w:r>
          </w:p>
          <w:p w14:paraId="2C8678A8">
            <w:pPr>
              <w:spacing w:line="298" w:lineRule="auto"/>
              <w:rPr>
                <w:rFonts w:ascii="Arial"/>
                <w:sz w:val="21"/>
              </w:rPr>
            </w:pPr>
          </w:p>
          <w:p w14:paraId="7663535D">
            <w:pPr>
              <w:spacing w:line="299" w:lineRule="auto"/>
              <w:rPr>
                <w:rFonts w:ascii="Arial"/>
                <w:sz w:val="21"/>
              </w:rPr>
            </w:pPr>
          </w:p>
          <w:p w14:paraId="32899F81">
            <w:pPr>
              <w:pStyle w:val="6"/>
              <w:spacing w:before="68" w:line="220" w:lineRule="auto"/>
              <w:ind w:left="2659"/>
            </w:pPr>
            <w:r>
              <w:rPr>
                <w:spacing w:val="-2"/>
              </w:rPr>
              <w:t>堆存外售</w:t>
            </w:r>
          </w:p>
        </w:tc>
      </w:tr>
      <w:tr w14:paraId="0CADC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4" w:hRule="atLeast"/>
        </w:trPr>
        <w:tc>
          <w:tcPr>
            <w:tcW w:w="832" w:type="dxa"/>
            <w:vMerge w:val="continue"/>
            <w:tcBorders>
              <w:top w:val="nil"/>
              <w:left w:val="single" w:color="000000" w:sz="6" w:space="0"/>
            </w:tcBorders>
            <w:vAlign w:val="top"/>
          </w:tcPr>
          <w:p w14:paraId="22C60B99">
            <w:pPr>
              <w:rPr>
                <w:rFonts w:ascii="Arial"/>
                <w:sz w:val="21"/>
              </w:rPr>
            </w:pPr>
          </w:p>
        </w:tc>
        <w:tc>
          <w:tcPr>
            <w:tcW w:w="8156" w:type="dxa"/>
            <w:tcBorders>
              <w:top w:val="nil"/>
              <w:right w:val="single" w:color="000000" w:sz="6" w:space="0"/>
            </w:tcBorders>
            <w:vAlign w:val="top"/>
          </w:tcPr>
          <w:p w14:paraId="27EE71A7">
            <w:pPr>
              <w:spacing w:before="221" w:line="232" w:lineRule="auto"/>
              <w:ind w:left="2236"/>
              <w:rPr>
                <w:rFonts w:ascii="黑体" w:hAnsi="黑体" w:eastAsia="黑体" w:cs="黑体"/>
                <w:sz w:val="20"/>
                <w:szCs w:val="20"/>
              </w:rPr>
            </w:pPr>
            <w:r>
              <w:rPr>
                <w:rFonts w:ascii="黑体" w:hAnsi="黑体" w:eastAsia="黑体" w:cs="黑体"/>
                <w:spacing w:val="-1"/>
                <w:sz w:val="20"/>
                <w:szCs w:val="20"/>
              </w:rPr>
              <w:t>图</w:t>
            </w:r>
            <w:r>
              <w:rPr>
                <w:rFonts w:ascii="Times New Roman" w:hAnsi="Times New Roman" w:eastAsia="Times New Roman" w:cs="Times New Roman"/>
                <w:spacing w:val="-1"/>
                <w:sz w:val="20"/>
                <w:szCs w:val="20"/>
              </w:rPr>
              <w:t>2-3</w:t>
            </w:r>
            <w:r>
              <w:rPr>
                <w:rFonts w:ascii="黑体" w:hAnsi="黑体" w:eastAsia="黑体" w:cs="黑体"/>
                <w:spacing w:val="-1"/>
                <w:sz w:val="20"/>
                <w:szCs w:val="20"/>
              </w:rPr>
              <w:t>：营运期工艺流程及产污环节图</w:t>
            </w:r>
          </w:p>
          <w:p w14:paraId="67B6ACBC">
            <w:pPr>
              <w:pStyle w:val="6"/>
              <w:spacing w:before="290" w:line="233" w:lineRule="auto"/>
              <w:ind w:left="535"/>
            </w:pPr>
            <w:r>
              <w:rPr>
                <w:b/>
                <w:bCs/>
                <w:spacing w:val="-4"/>
              </w:rPr>
              <w:t>（</w:t>
            </w:r>
            <w:r>
              <w:rPr>
                <w:rFonts w:ascii="Times New Roman" w:hAnsi="Times New Roman" w:eastAsia="Times New Roman" w:cs="Times New Roman"/>
                <w:b/>
                <w:bCs/>
                <w:spacing w:val="-4"/>
              </w:rPr>
              <w:t>2</w:t>
            </w:r>
            <w:r>
              <w:rPr>
                <w:b/>
                <w:bCs/>
                <w:spacing w:val="-4"/>
              </w:rPr>
              <w:t>）工艺说明</w:t>
            </w:r>
          </w:p>
          <w:p w14:paraId="7C4095E1">
            <w:pPr>
              <w:pStyle w:val="6"/>
              <w:spacing w:before="124" w:line="302" w:lineRule="auto"/>
              <w:ind w:left="106" w:right="101" w:firstLine="420"/>
            </w:pPr>
            <w:r>
              <w:rPr>
                <w:spacing w:val="-1"/>
              </w:rPr>
              <w:t>①堆场卸料：本项目所用原材料为木材边角料，其中又以松树边</w:t>
            </w:r>
            <w:r>
              <w:rPr>
                <w:spacing w:val="-2"/>
              </w:rPr>
              <w:t>角料为主，其含水</w:t>
            </w:r>
            <w:r>
              <w:t xml:space="preserve"> 率一般在</w:t>
            </w:r>
            <w:r>
              <w:rPr>
                <w:rFonts w:ascii="Times New Roman" w:hAnsi="Times New Roman" w:eastAsia="Times New Roman" w:cs="Times New Roman"/>
              </w:rPr>
              <w:t>20%</w:t>
            </w:r>
            <w:r>
              <w:t>左右。原料来源于周边的林木业公司、木质家具厂等</w:t>
            </w:r>
            <w:r>
              <w:rPr>
                <w:spacing w:val="-1"/>
              </w:rPr>
              <w:t>。原材料采用汽车运</w:t>
            </w:r>
            <w:r>
              <w:t xml:space="preserve"> </w:t>
            </w:r>
            <w:r>
              <w:rPr>
                <w:spacing w:val="-3"/>
              </w:rPr>
              <w:t>输至项目车间内的原料堆场卸料堆存。</w:t>
            </w:r>
          </w:p>
        </w:tc>
      </w:tr>
    </w:tbl>
    <w:p w14:paraId="1B857931">
      <w:pPr>
        <w:rPr>
          <w:rFonts w:ascii="Arial"/>
          <w:sz w:val="21"/>
        </w:rPr>
      </w:pPr>
    </w:p>
    <w:p w14:paraId="0934F9CB">
      <w:pPr>
        <w:rPr>
          <w:rFonts w:ascii="Arial" w:hAnsi="Arial" w:eastAsia="Arial" w:cs="Arial"/>
          <w:sz w:val="21"/>
          <w:szCs w:val="21"/>
        </w:rPr>
        <w:sectPr>
          <w:footerReference r:id="rId46" w:type="default"/>
          <w:pgSz w:w="11907" w:h="16839"/>
          <w:pgMar w:top="1431" w:right="1450" w:bottom="1055" w:left="1451" w:header="0" w:footer="801" w:gutter="0"/>
          <w:cols w:space="720" w:num="1"/>
        </w:sectPr>
      </w:pPr>
    </w:p>
    <w:p w14:paraId="08A19602">
      <w:pPr>
        <w:spacing w:before="28"/>
      </w:pPr>
    </w:p>
    <w:tbl>
      <w:tblPr>
        <w:tblStyle w:val="5"/>
        <w:tblW w:w="898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8156"/>
      </w:tblGrid>
      <w:tr w14:paraId="5FC2D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0" w:hRule="atLeast"/>
        </w:trPr>
        <w:tc>
          <w:tcPr>
            <w:tcW w:w="832" w:type="dxa"/>
            <w:tcBorders>
              <w:left w:val="single" w:color="000000" w:sz="6" w:space="0"/>
            </w:tcBorders>
            <w:vAlign w:val="top"/>
          </w:tcPr>
          <w:p w14:paraId="4C97FD74">
            <w:pPr>
              <w:rPr>
                <w:rFonts w:ascii="Arial"/>
                <w:sz w:val="21"/>
              </w:rPr>
            </w:pPr>
          </w:p>
        </w:tc>
        <w:tc>
          <w:tcPr>
            <w:tcW w:w="8156" w:type="dxa"/>
            <w:tcBorders>
              <w:right w:val="single" w:color="000000" w:sz="6" w:space="0"/>
            </w:tcBorders>
            <w:vAlign w:val="top"/>
          </w:tcPr>
          <w:p w14:paraId="2D02AFE5">
            <w:pPr>
              <w:pStyle w:val="6"/>
              <w:spacing w:before="135" w:line="302" w:lineRule="auto"/>
              <w:ind w:left="108" w:right="102" w:firstLine="417"/>
            </w:pPr>
            <w:r>
              <w:rPr>
                <w:spacing w:val="-1"/>
              </w:rPr>
              <w:t>②人工分拣：原材料投入生产线之前应先由人工分拣，清除混在</w:t>
            </w:r>
            <w:r>
              <w:rPr>
                <w:spacing w:val="-2"/>
              </w:rPr>
              <w:t>其中的可能存在的</w:t>
            </w:r>
            <w:r>
              <w:t xml:space="preserve"> </w:t>
            </w:r>
            <w:r>
              <w:rPr>
                <w:spacing w:val="-1"/>
              </w:rPr>
              <w:t>其它一般夹杂物</w:t>
            </w:r>
            <w:r>
              <w:rPr>
                <w:rFonts w:hint="eastAsia"/>
                <w:spacing w:val="-1"/>
                <w:lang w:eastAsia="zh-CN"/>
              </w:rPr>
              <w:t>（</w:t>
            </w:r>
            <w:r>
              <w:rPr>
                <w:spacing w:val="-1"/>
              </w:rPr>
              <w:t>包括废纸板、废塑料等废物</w:t>
            </w:r>
            <w:r>
              <w:rPr>
                <w:rFonts w:hint="eastAsia"/>
                <w:spacing w:val="-1"/>
                <w:lang w:eastAsia="zh-CN"/>
              </w:rPr>
              <w:t>）</w:t>
            </w:r>
            <w:r>
              <w:rPr>
                <w:spacing w:val="-1"/>
              </w:rPr>
              <w:t>，分选产生的废料分类收集，交给相应回</w:t>
            </w:r>
            <w:r>
              <w:rPr>
                <w:spacing w:val="5"/>
              </w:rPr>
              <w:t xml:space="preserve"> </w:t>
            </w:r>
            <w:r>
              <w:rPr>
                <w:spacing w:val="-5"/>
              </w:rPr>
              <w:t>收单位回收利用。</w:t>
            </w:r>
          </w:p>
          <w:p w14:paraId="0D54F6E6">
            <w:pPr>
              <w:pStyle w:val="6"/>
              <w:spacing w:before="141" w:line="318" w:lineRule="auto"/>
              <w:ind w:left="107" w:right="100" w:firstLine="418"/>
            </w:pPr>
            <w:r>
              <w:t>③削片粉碎：原料通过铲车铲入削片机的绞龙进料口，将原料削片成约</w:t>
            </w:r>
            <w:r>
              <w:rPr>
                <w:rFonts w:ascii="Times New Roman" w:hAnsi="Times New Roman" w:eastAsia="Times New Roman" w:cs="Times New Roman"/>
                <w:spacing w:val="-1"/>
              </w:rPr>
              <w:t>5</w:t>
            </w:r>
            <w:r>
              <w:rPr>
                <w:rFonts w:hint="eastAsia" w:ascii="Times New Roman" w:hAnsi="Times New Roman" w:eastAsia="宋体" w:cs="Times New Roman"/>
                <w:spacing w:val="-1"/>
                <w:lang w:eastAsia="zh-CN"/>
              </w:rPr>
              <w:t>～</w:t>
            </w:r>
            <w:r>
              <w:rPr>
                <w:rFonts w:ascii="Times New Roman" w:hAnsi="Times New Roman" w:eastAsia="Times New Roman" w:cs="Times New Roman"/>
                <w:spacing w:val="-1"/>
              </w:rPr>
              <w:t>8cm</w:t>
            </w:r>
            <w:r>
              <w:rPr>
                <w:spacing w:val="-1"/>
              </w:rPr>
              <w:t>的片</w:t>
            </w:r>
            <w:r>
              <w:rPr>
                <w:spacing w:val="-5"/>
              </w:rPr>
              <w:t>状料。然后通过皮带输送进入粉碎机。皮带上方安装有磁铁除铁器，用</w:t>
            </w:r>
            <w:r>
              <w:rPr>
                <w:spacing w:val="-6"/>
              </w:rPr>
              <w:t>于吸附含铁</w:t>
            </w:r>
            <w:r>
              <w:rPr>
                <w:spacing w:val="-5"/>
              </w:rPr>
              <w:t>物质。物料进入粉碎机后，使原料粉碎成较小颗粒状，然后通过皮带输送至封</w:t>
            </w:r>
            <w:r>
              <w:rPr>
                <w:spacing w:val="-6"/>
              </w:rPr>
              <w:t>闭的湿粉</w:t>
            </w:r>
            <w:r>
              <w:t>料堆放间。此过程会产生噪声、粉尘，由于物料本身具有约</w:t>
            </w:r>
            <w:r>
              <w:rPr>
                <w:rFonts w:ascii="Times New Roman" w:hAnsi="Times New Roman" w:eastAsia="Times New Roman" w:cs="Times New Roman"/>
              </w:rPr>
              <w:t>20%</w:t>
            </w:r>
            <w:r>
              <w:t>的</w:t>
            </w:r>
            <w:r>
              <w:rPr>
                <w:spacing w:val="-1"/>
              </w:rPr>
              <w:t>湿度且削片环节的出</w:t>
            </w:r>
            <w:r>
              <w:t xml:space="preserve"> </w:t>
            </w:r>
            <w:r>
              <w:rPr>
                <w:spacing w:val="-3"/>
              </w:rPr>
              <w:t>料为片状料，粉尘主要产生在粉碎环节。</w:t>
            </w:r>
          </w:p>
          <w:p w14:paraId="69D5D969">
            <w:pPr>
              <w:pStyle w:val="6"/>
              <w:spacing w:before="141" w:line="325" w:lineRule="auto"/>
              <w:ind w:left="106" w:right="102" w:firstLine="419"/>
            </w:pPr>
            <w:r>
              <w:rPr>
                <w:spacing w:val="-1"/>
              </w:rPr>
              <w:t>④烘干：粉碎的物料通过密闭绞龙输送至烘干筒内进行烘干处理</w:t>
            </w:r>
            <w:r>
              <w:rPr>
                <w:spacing w:val="-2"/>
              </w:rPr>
              <w:t>，以去除物料中的</w:t>
            </w:r>
            <w:r>
              <w:t xml:space="preserve"> </w:t>
            </w:r>
            <w:r>
              <w:rPr>
                <w:spacing w:val="-4"/>
              </w:rPr>
              <w:t>水分。本项目烘干工序所需热能由厂内生物质热风炉提供， 烘干采用滚筒旋转气流式烘</w:t>
            </w:r>
            <w:r>
              <w:rPr>
                <w:spacing w:val="6"/>
              </w:rPr>
              <w:t xml:space="preserve"> </w:t>
            </w:r>
            <w:r>
              <w:rPr>
                <w:spacing w:val="2"/>
              </w:rPr>
              <w:t>干法</w:t>
            </w:r>
            <w:r>
              <w:rPr>
                <w:rFonts w:hint="eastAsia"/>
                <w:spacing w:val="2"/>
                <w:lang w:eastAsia="zh-CN"/>
              </w:rPr>
              <w:t>（</w:t>
            </w:r>
            <w:r>
              <w:rPr>
                <w:spacing w:val="2"/>
              </w:rPr>
              <w:t xml:space="preserve">筒内温度约 </w:t>
            </w:r>
            <w:r>
              <w:rPr>
                <w:rFonts w:ascii="Times New Roman" w:hAnsi="Times New Roman" w:eastAsia="Times New Roman" w:cs="Times New Roman"/>
                <w:spacing w:val="2"/>
              </w:rPr>
              <w:t>80--90</w:t>
            </w:r>
            <w:r>
              <w:rPr>
                <w:spacing w:val="2"/>
              </w:rPr>
              <w:t>℃</w:t>
            </w:r>
            <w:r>
              <w:rPr>
                <w:rFonts w:hint="eastAsia"/>
                <w:spacing w:val="2"/>
                <w:lang w:eastAsia="zh-CN"/>
              </w:rPr>
              <w:t>，</w:t>
            </w:r>
            <w:r>
              <w:rPr>
                <w:spacing w:val="2"/>
              </w:rPr>
              <w:t>烘干时长约</w:t>
            </w:r>
            <w:r>
              <w:rPr>
                <w:rFonts w:ascii="Times New Roman" w:hAnsi="Times New Roman" w:eastAsia="Times New Roman" w:cs="Times New Roman"/>
                <w:spacing w:val="2"/>
              </w:rPr>
              <w:t>5</w:t>
            </w:r>
            <w:r>
              <w:rPr>
                <w:rFonts w:hint="eastAsia" w:ascii="Times New Roman" w:hAnsi="Times New Roman" w:eastAsia="宋体" w:cs="Times New Roman"/>
                <w:spacing w:val="2"/>
                <w:lang w:eastAsia="zh-CN"/>
              </w:rPr>
              <w:t>～</w:t>
            </w:r>
            <w:r>
              <w:rPr>
                <w:rFonts w:ascii="Times New Roman" w:hAnsi="Times New Roman" w:eastAsia="Times New Roman" w:cs="Times New Roman"/>
                <w:spacing w:val="2"/>
              </w:rPr>
              <w:t>10</w:t>
            </w:r>
            <w:r>
              <w:rPr>
                <w:spacing w:val="2"/>
              </w:rPr>
              <w:t>分钟</w:t>
            </w:r>
            <w:r>
              <w:rPr>
                <w:rFonts w:hint="eastAsia"/>
                <w:spacing w:val="2"/>
                <w:lang w:eastAsia="zh-CN"/>
              </w:rPr>
              <w:t>）</w:t>
            </w:r>
            <w:r>
              <w:rPr>
                <w:spacing w:val="2"/>
              </w:rPr>
              <w:t>，被加热后</w:t>
            </w:r>
            <w:r>
              <w:rPr>
                <w:spacing w:val="1"/>
              </w:rPr>
              <w:t>的热空气在管道内直接与</w:t>
            </w:r>
            <w:r>
              <w:rPr>
                <w:spacing w:val="-1"/>
              </w:rPr>
              <w:t>生物质粉料混合，滚筒回转使物料受热均匀，产生热交换将物料烘干后</w:t>
            </w:r>
            <w:r>
              <w:rPr>
                <w:spacing w:val="-2"/>
              </w:rPr>
              <w:t>的物料水分控制</w:t>
            </w:r>
            <w:r>
              <w:t xml:space="preserve"> 在</w:t>
            </w:r>
            <w:r>
              <w:rPr>
                <w:rFonts w:ascii="Times New Roman" w:hAnsi="Times New Roman" w:eastAsia="Times New Roman" w:cs="Times New Roman"/>
              </w:rPr>
              <w:t>10%</w:t>
            </w:r>
            <w:r>
              <w:t>左右，然后通过旋风分离器</w:t>
            </w:r>
            <w:r>
              <w:rPr>
                <w:rFonts w:hint="eastAsia"/>
                <w:lang w:eastAsia="zh-CN"/>
              </w:rPr>
              <w:t>（</w:t>
            </w:r>
            <w:r>
              <w:t>沙克龙</w:t>
            </w:r>
            <w:r>
              <w:rPr>
                <w:rFonts w:hint="eastAsia"/>
                <w:lang w:eastAsia="zh-CN"/>
              </w:rPr>
              <w:t>）</w:t>
            </w:r>
            <w:r>
              <w:t>分离物料与烘干废气</w:t>
            </w:r>
            <w:r>
              <w:rPr>
                <w:rFonts w:hint="eastAsia"/>
                <w:lang w:eastAsia="zh-CN"/>
              </w:rPr>
              <w:t>（</w:t>
            </w:r>
            <w:r>
              <w:rPr>
                <w:spacing w:val="-1"/>
              </w:rPr>
              <w:t>主要为水蒸气、热风炉</w:t>
            </w:r>
            <w:r>
              <w:t xml:space="preserve"> 烟气及烘干粉尘</w:t>
            </w:r>
            <w:r>
              <w:rPr>
                <w:rFonts w:hint="eastAsia"/>
                <w:lang w:eastAsia="zh-CN"/>
              </w:rPr>
              <w:t>）</w:t>
            </w:r>
            <w:r>
              <w:t>，分离后物料通过密闭进料绞龙输送至封闭式干粉</w:t>
            </w:r>
            <w:r>
              <w:rPr>
                <w:spacing w:val="-1"/>
              </w:rPr>
              <w:t>料堆放间储存。此</w:t>
            </w:r>
            <w:r>
              <w:t xml:space="preserve">  </w:t>
            </w:r>
            <w:r>
              <w:rPr>
                <w:spacing w:val="-2"/>
              </w:rPr>
              <w:t>工序会产生噪声、烘干粉尘、热风炉烟气。</w:t>
            </w:r>
          </w:p>
          <w:p w14:paraId="235B0CB9">
            <w:pPr>
              <w:pStyle w:val="6"/>
              <w:spacing w:before="141" w:line="343" w:lineRule="auto"/>
              <w:ind w:left="105" w:right="102" w:firstLine="447"/>
              <w:jc w:val="both"/>
            </w:pPr>
            <w:r>
              <w:rPr>
                <w:spacing w:val="-2"/>
              </w:rPr>
              <w:t>由于烘干过程中热风炉为密闭状态，因此生物质颗粒燃烧过程产生的烟气随热空气</w:t>
            </w:r>
            <w:r>
              <w:rPr>
                <w:spacing w:val="1"/>
              </w:rPr>
              <w:t xml:space="preserve"> </w:t>
            </w:r>
            <w:r>
              <w:rPr>
                <w:spacing w:val="-1"/>
              </w:rPr>
              <w:t>进入烘干筒，烘干完毕后连同烘干废气一同经过旋风除尘和喷淋塔水雾除</w:t>
            </w:r>
            <w:r>
              <w:rPr>
                <w:spacing w:val="-2"/>
              </w:rPr>
              <w:t>尘，再经排气</w:t>
            </w:r>
            <w:r>
              <w:t xml:space="preserve"> </w:t>
            </w:r>
            <w:r>
              <w:rPr>
                <w:spacing w:val="-2"/>
              </w:rPr>
              <w:t>筒高空排放。</w:t>
            </w:r>
          </w:p>
          <w:p w14:paraId="1DDE50C1">
            <w:pPr>
              <w:pStyle w:val="6"/>
              <w:spacing w:line="322" w:lineRule="auto"/>
              <w:ind w:left="106" w:right="101" w:firstLine="419"/>
            </w:pPr>
            <w:r>
              <w:rPr>
                <w:spacing w:val="-1"/>
              </w:rPr>
              <w:t>⑤制粒：干粉料原料通过密闭输送绞龙，将粉料输送至造粒机。通</w:t>
            </w:r>
            <w:r>
              <w:rPr>
                <w:spacing w:val="-2"/>
              </w:rPr>
              <w:t>过颗粒机内主轴</w:t>
            </w:r>
            <w:r>
              <w:t xml:space="preserve"> </w:t>
            </w:r>
            <w:r>
              <w:rPr>
                <w:spacing w:val="-1"/>
              </w:rPr>
              <w:t>转动，带动压辊转动并经过压的自转，物料被强制从环模孔中成块状或</w:t>
            </w:r>
            <w:r>
              <w:rPr>
                <w:spacing w:val="-2"/>
              </w:rPr>
              <w:t>粒状挤出，从而</w:t>
            </w:r>
            <w:r>
              <w:t xml:space="preserve"> </w:t>
            </w:r>
            <w:r>
              <w:rPr>
                <w:spacing w:val="-5"/>
              </w:rPr>
              <w:t>得到成型的生物质颗粒燃料。由于在挤压造粒过程中，</w:t>
            </w:r>
            <w:r>
              <w:rPr>
                <w:spacing w:val="-6"/>
              </w:rPr>
              <w:t>压辊与模具摩擦产生高温（通常</w:t>
            </w:r>
            <w:r>
              <w:t xml:space="preserve"> 达</w:t>
            </w:r>
            <w:r>
              <w:rPr>
                <w:rFonts w:ascii="Times New Roman" w:hAnsi="Times New Roman" w:eastAsia="Times New Roman" w:cs="Times New Roman"/>
              </w:rPr>
              <w:t>140</w:t>
            </w:r>
            <w:r>
              <w:t>℃左右</w:t>
            </w:r>
            <w:r>
              <w:rPr>
                <w:spacing w:val="-1"/>
              </w:rPr>
              <w:t>），</w:t>
            </w:r>
            <w:r>
              <w:t>使干粉料中的水分汽化形成水蒸气，</w:t>
            </w:r>
            <w:r>
              <w:rPr>
                <w:spacing w:val="-1"/>
              </w:rPr>
              <w:t>使出料成品的含水约</w:t>
            </w:r>
            <w:r>
              <w:rPr>
                <w:rFonts w:ascii="Times New Roman" w:hAnsi="Times New Roman" w:eastAsia="Times New Roman" w:cs="Times New Roman"/>
                <w:spacing w:val="-1"/>
              </w:rPr>
              <w:t>3</w:t>
            </w:r>
            <w:r>
              <w:rPr>
                <w:rFonts w:hint="eastAsia" w:ascii="Times New Roman" w:hAnsi="Times New Roman" w:eastAsia="宋体" w:cs="Times New Roman"/>
                <w:spacing w:val="-1"/>
                <w:lang w:eastAsia="zh-CN"/>
              </w:rPr>
              <w:t>%～</w:t>
            </w:r>
            <w:r>
              <w:rPr>
                <w:rFonts w:ascii="Times New Roman" w:hAnsi="Times New Roman" w:eastAsia="Times New Roman" w:cs="Times New Roman"/>
                <w:spacing w:val="-1"/>
              </w:rPr>
              <w:t>5%</w:t>
            </w:r>
            <w:r>
              <w:rPr>
                <w:spacing w:val="-1"/>
              </w:rPr>
              <w:t>以下。</w:t>
            </w:r>
            <w:r>
              <w:t xml:space="preserve"> </w:t>
            </w:r>
            <w:r>
              <w:rPr>
                <w:spacing w:val="-1"/>
              </w:rPr>
              <w:t>同时由于该环节收集粉尘时伴随有一定量的水蒸气，因此不适合采用布袋</w:t>
            </w:r>
            <w:r>
              <w:rPr>
                <w:spacing w:val="-2"/>
              </w:rPr>
              <w:t>或旋风除尘，</w:t>
            </w:r>
            <w:r>
              <w:t xml:space="preserve"> </w:t>
            </w:r>
            <w:r>
              <w:rPr>
                <w:spacing w:val="-2"/>
              </w:rPr>
              <w:t>拟设计采用喷淋塔除尘。此工序会产生噪声、粉尘。</w:t>
            </w:r>
          </w:p>
          <w:p w14:paraId="7377F8E9">
            <w:pPr>
              <w:pStyle w:val="6"/>
              <w:spacing w:before="141" w:line="278" w:lineRule="auto"/>
              <w:ind w:left="110" w:right="28" w:firstLine="414"/>
            </w:pPr>
            <w:r>
              <w:t>⑥料仓冷却</w:t>
            </w:r>
            <w:r>
              <w:rPr>
                <w:rFonts w:hint="eastAsia"/>
                <w:lang w:eastAsia="zh-CN"/>
              </w:rPr>
              <w:t>：</w:t>
            </w:r>
            <w:r>
              <w:rPr>
                <w:rFonts w:ascii="Times New Roman" w:hAnsi="Times New Roman" w:eastAsia="Times New Roman" w:cs="Times New Roman"/>
              </w:rPr>
              <w:t xml:space="preserve">  </w:t>
            </w:r>
            <w:r>
              <w:t>制粒工序得到的成型生物质颗粒由密闭的输送带送</w:t>
            </w:r>
            <w:r>
              <w:rPr>
                <w:spacing w:val="-1"/>
              </w:rPr>
              <w:t>至成品储料仓中进</w:t>
            </w:r>
            <w:r>
              <w:t xml:space="preserve">  </w:t>
            </w:r>
            <w:r>
              <w:rPr>
                <w:spacing w:val="-5"/>
              </w:rPr>
              <w:t>行自然冷却</w:t>
            </w:r>
            <w:r>
              <w:rPr>
                <w:rFonts w:hint="eastAsia"/>
                <w:spacing w:val="-5"/>
                <w:lang w:eastAsia="zh-CN"/>
              </w:rPr>
              <w:t>（</w:t>
            </w:r>
            <w:r>
              <w:rPr>
                <w:spacing w:val="-5"/>
              </w:rPr>
              <w:t>冷却时间约</w:t>
            </w:r>
            <w:r>
              <w:rPr>
                <w:rFonts w:ascii="Times New Roman" w:hAnsi="Times New Roman" w:eastAsia="Times New Roman" w:cs="Times New Roman"/>
                <w:spacing w:val="-5"/>
              </w:rPr>
              <w:t>2</w:t>
            </w:r>
            <w:r>
              <w:rPr>
                <w:rFonts w:hint="eastAsia" w:ascii="Times New Roman" w:hAnsi="Times New Roman" w:eastAsia="宋体" w:cs="Times New Roman"/>
                <w:spacing w:val="-5"/>
                <w:lang w:eastAsia="zh-CN"/>
              </w:rPr>
              <w:t>～</w:t>
            </w:r>
            <w:r>
              <w:rPr>
                <w:rFonts w:ascii="Times New Roman" w:hAnsi="Times New Roman" w:eastAsia="Times New Roman" w:cs="Times New Roman"/>
                <w:spacing w:val="-5"/>
              </w:rPr>
              <w:t>3</w:t>
            </w:r>
            <w:r>
              <w:rPr>
                <w:spacing w:val="-5"/>
              </w:rPr>
              <w:t>个小时</w:t>
            </w:r>
            <w:r>
              <w:rPr>
                <w:rFonts w:hint="eastAsia"/>
                <w:spacing w:val="-5"/>
                <w:lang w:eastAsia="zh-CN"/>
              </w:rPr>
              <w:t>）</w:t>
            </w:r>
            <w:r>
              <w:rPr>
                <w:spacing w:val="-5"/>
              </w:rPr>
              <w:t>，料仓设有疏</w:t>
            </w:r>
            <w:r>
              <w:rPr>
                <w:spacing w:val="-6"/>
              </w:rPr>
              <w:t>松的透气小孔，以利于成品的自然冷却。</w:t>
            </w:r>
          </w:p>
          <w:p w14:paraId="21FC7574">
            <w:pPr>
              <w:pStyle w:val="6"/>
              <w:spacing w:before="148" w:line="217" w:lineRule="auto"/>
              <w:ind w:left="525"/>
            </w:pPr>
            <w:r>
              <w:rPr>
                <w:spacing w:val="-1"/>
              </w:rPr>
              <w:t>⑦包装：成型生物质颗粒成品通过料仓底部卸料口，卸料至吨袋装</w:t>
            </w:r>
            <w:r>
              <w:rPr>
                <w:spacing w:val="-2"/>
              </w:rPr>
              <w:t>袋包装。</w:t>
            </w:r>
          </w:p>
          <w:p w14:paraId="775B0E2C">
            <w:pPr>
              <w:pStyle w:val="6"/>
              <w:spacing w:before="143" w:line="217" w:lineRule="auto"/>
              <w:ind w:left="525"/>
            </w:pPr>
            <w:r>
              <w:rPr>
                <w:spacing w:val="-1"/>
              </w:rPr>
              <w:t>⑧堆存代售：吨袋包装的生物质成型燃料</w:t>
            </w:r>
            <w:r>
              <w:rPr>
                <w:rFonts w:hint="eastAsia"/>
                <w:spacing w:val="-1"/>
                <w:lang w:eastAsia="zh-CN"/>
              </w:rPr>
              <w:t>由</w:t>
            </w:r>
            <w:r>
              <w:rPr>
                <w:spacing w:val="-1"/>
              </w:rPr>
              <w:t>叉车转移至堆</w:t>
            </w:r>
            <w:r>
              <w:rPr>
                <w:spacing w:val="-2"/>
              </w:rPr>
              <w:t>场堆存代售。</w:t>
            </w:r>
          </w:p>
          <w:p w14:paraId="696B307E">
            <w:pPr>
              <w:pStyle w:val="6"/>
              <w:spacing w:before="144" w:line="233" w:lineRule="auto"/>
              <w:ind w:left="535"/>
            </w:pPr>
            <w:r>
              <w:rPr>
                <w:b/>
                <w:bCs/>
                <w:spacing w:val="-4"/>
              </w:rPr>
              <w:t>（</w:t>
            </w:r>
            <w:r>
              <w:rPr>
                <w:rFonts w:ascii="Times New Roman" w:hAnsi="Times New Roman" w:eastAsia="Times New Roman" w:cs="Times New Roman"/>
                <w:b/>
                <w:bCs/>
                <w:spacing w:val="-4"/>
              </w:rPr>
              <w:t>3</w:t>
            </w:r>
            <w:r>
              <w:rPr>
                <w:b/>
                <w:bCs/>
                <w:spacing w:val="-4"/>
              </w:rPr>
              <w:t>）产污环节</w:t>
            </w:r>
          </w:p>
          <w:p w14:paraId="28E9E20D">
            <w:pPr>
              <w:pStyle w:val="6"/>
              <w:spacing w:before="124" w:line="343" w:lineRule="auto"/>
              <w:ind w:left="107" w:right="101" w:firstLine="419"/>
              <w:jc w:val="both"/>
            </w:pPr>
            <w:r>
              <w:rPr>
                <w:spacing w:val="-1"/>
              </w:rPr>
              <w:t>废气：主要包括原料削片、给料粉碎环节的粉尘、湿粉料烘干环</w:t>
            </w:r>
            <w:r>
              <w:rPr>
                <w:spacing w:val="-2"/>
              </w:rPr>
              <w:t>节的烘干粉尘和热</w:t>
            </w:r>
            <w:r>
              <w:t xml:space="preserve"> </w:t>
            </w:r>
            <w:r>
              <w:rPr>
                <w:spacing w:val="-1"/>
              </w:rPr>
              <w:t>风炉烟气、造粒环节的粉尘，以及物料输送、生产过程中间料堆放和包</w:t>
            </w:r>
            <w:r>
              <w:rPr>
                <w:spacing w:val="-2"/>
              </w:rPr>
              <w:t>装环节产生的少</w:t>
            </w:r>
            <w:r>
              <w:t xml:space="preserve"> </w:t>
            </w:r>
            <w:r>
              <w:rPr>
                <w:spacing w:val="-3"/>
              </w:rPr>
              <w:t>量粉尘。</w:t>
            </w:r>
          </w:p>
          <w:p w14:paraId="78B3CDB4">
            <w:pPr>
              <w:pStyle w:val="6"/>
              <w:spacing w:line="218" w:lineRule="auto"/>
              <w:jc w:val="right"/>
            </w:pPr>
            <w:r>
              <w:rPr>
                <w:spacing w:val="-5"/>
              </w:rPr>
              <w:t>废水：主要为废气治理设施喷淋塔的喷淋废水，员工办公生活产生的少量生活污水。</w:t>
            </w:r>
          </w:p>
          <w:p w14:paraId="2E0F9256">
            <w:pPr>
              <w:pStyle w:val="6"/>
              <w:spacing w:before="142" w:line="220" w:lineRule="auto"/>
              <w:ind w:left="537"/>
            </w:pPr>
            <w:r>
              <w:rPr>
                <w:spacing w:val="-2"/>
              </w:rPr>
              <w:t>噪声：主要为各类生产设备产生的噪声和运输车辆的交通噪声。</w:t>
            </w:r>
          </w:p>
        </w:tc>
      </w:tr>
    </w:tbl>
    <w:p w14:paraId="59727B50">
      <w:pPr>
        <w:rPr>
          <w:rFonts w:ascii="Arial"/>
          <w:sz w:val="21"/>
        </w:rPr>
      </w:pPr>
    </w:p>
    <w:p w14:paraId="797A6DFD">
      <w:pPr>
        <w:rPr>
          <w:rFonts w:ascii="Arial" w:hAnsi="Arial" w:eastAsia="Arial" w:cs="Arial"/>
          <w:sz w:val="21"/>
          <w:szCs w:val="21"/>
        </w:rPr>
        <w:sectPr>
          <w:footerReference r:id="rId47" w:type="default"/>
          <w:pgSz w:w="11907" w:h="16839"/>
          <w:pgMar w:top="1431" w:right="1450" w:bottom="1055" w:left="1451" w:header="0" w:footer="802" w:gutter="0"/>
          <w:cols w:space="720" w:num="1"/>
        </w:sectPr>
      </w:pPr>
    </w:p>
    <w:p w14:paraId="3A1F7A69">
      <w:pPr>
        <w:spacing w:before="28"/>
      </w:pPr>
    </w:p>
    <w:tbl>
      <w:tblPr>
        <w:tblStyle w:val="5"/>
        <w:tblW w:w="898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8156"/>
      </w:tblGrid>
      <w:tr w14:paraId="22A80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2" w:hRule="atLeast"/>
        </w:trPr>
        <w:tc>
          <w:tcPr>
            <w:tcW w:w="832" w:type="dxa"/>
            <w:tcBorders>
              <w:left w:val="single" w:color="000000" w:sz="6" w:space="0"/>
            </w:tcBorders>
            <w:vAlign w:val="top"/>
          </w:tcPr>
          <w:p w14:paraId="6BE3DD38">
            <w:pPr>
              <w:rPr>
                <w:rFonts w:ascii="Arial"/>
                <w:sz w:val="21"/>
              </w:rPr>
            </w:pPr>
          </w:p>
        </w:tc>
        <w:tc>
          <w:tcPr>
            <w:tcW w:w="8156" w:type="dxa"/>
            <w:tcBorders>
              <w:right w:val="single" w:color="000000" w:sz="6" w:space="0"/>
            </w:tcBorders>
            <w:vAlign w:val="top"/>
          </w:tcPr>
          <w:p w14:paraId="73B32731">
            <w:pPr>
              <w:pStyle w:val="6"/>
              <w:spacing w:before="134" w:line="301" w:lineRule="auto"/>
              <w:ind w:left="106" w:right="125" w:firstLine="438"/>
            </w:pPr>
            <w:r>
              <w:rPr>
                <w:spacing w:val="-1"/>
              </w:rPr>
              <w:t>固体废物：主要包括人工分拣和磁选环节的废纸板废塑料和废铁质杂物等一般固</w:t>
            </w:r>
            <w:r>
              <w:rPr>
                <w:spacing w:val="4"/>
              </w:rPr>
              <w:t xml:space="preserve">  </w:t>
            </w:r>
            <w:r>
              <w:rPr>
                <w:spacing w:val="-2"/>
              </w:rPr>
              <w:t>废、除尘器收集的粉尘、喷淋塔水槽清理的沉渣、热风炉的炉灰、废矿物油和废矿物油</w:t>
            </w:r>
            <w:r>
              <w:rPr>
                <w:spacing w:val="8"/>
              </w:rPr>
              <w:t xml:space="preserve"> </w:t>
            </w:r>
            <w:r>
              <w:rPr>
                <w:spacing w:val="-1"/>
              </w:rPr>
              <w:t>桶以及员工的生活垃圾等。</w:t>
            </w:r>
          </w:p>
        </w:tc>
      </w:tr>
      <w:tr w14:paraId="71B80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832" w:type="dxa"/>
            <w:tcBorders>
              <w:left w:val="single" w:color="000000" w:sz="6" w:space="0"/>
              <w:bottom w:val="single" w:color="000000" w:sz="6" w:space="0"/>
            </w:tcBorders>
            <w:vAlign w:val="top"/>
          </w:tcPr>
          <w:p w14:paraId="19984D9E">
            <w:pPr>
              <w:pStyle w:val="6"/>
              <w:spacing w:before="65" w:line="216" w:lineRule="auto"/>
              <w:ind w:left="153"/>
            </w:pPr>
            <w:r>
              <w:rPr>
                <w:b/>
                <w:bCs/>
                <w:spacing w:val="-5"/>
              </w:rPr>
              <w:t>与项目</w:t>
            </w:r>
          </w:p>
          <w:p w14:paraId="6E03A241">
            <w:pPr>
              <w:pStyle w:val="6"/>
              <w:spacing w:line="216" w:lineRule="auto"/>
              <w:ind w:left="97"/>
            </w:pPr>
            <w:r>
              <w:rPr>
                <w:b/>
                <w:bCs/>
                <w:spacing w:val="-4"/>
              </w:rPr>
              <w:t>有关的</w:t>
            </w:r>
          </w:p>
          <w:p w14:paraId="2893A9C2">
            <w:pPr>
              <w:pStyle w:val="6"/>
              <w:spacing w:line="215" w:lineRule="auto"/>
              <w:ind w:left="101"/>
            </w:pPr>
            <w:r>
              <w:rPr>
                <w:b/>
                <w:bCs/>
                <w:spacing w:val="-5"/>
              </w:rPr>
              <w:t>原有环</w:t>
            </w:r>
          </w:p>
          <w:p w14:paraId="39223111">
            <w:pPr>
              <w:pStyle w:val="6"/>
              <w:spacing w:before="1" w:line="207" w:lineRule="auto"/>
              <w:ind w:left="225" w:right="100" w:hanging="128"/>
            </w:pPr>
            <w:r>
              <w:rPr>
                <w:b/>
                <w:bCs/>
                <w:spacing w:val="-5"/>
              </w:rPr>
              <w:t>境污染</w:t>
            </w:r>
            <w:r>
              <w:t xml:space="preserve"> </w:t>
            </w:r>
            <w:r>
              <w:rPr>
                <w:b/>
                <w:bCs/>
                <w:spacing w:val="-10"/>
              </w:rPr>
              <w:t>问题</w:t>
            </w:r>
          </w:p>
        </w:tc>
        <w:tc>
          <w:tcPr>
            <w:tcW w:w="8156" w:type="dxa"/>
            <w:tcBorders>
              <w:bottom w:val="single" w:color="000000" w:sz="6" w:space="0"/>
              <w:right w:val="single" w:color="000000" w:sz="6" w:space="0"/>
            </w:tcBorders>
            <w:vAlign w:val="top"/>
          </w:tcPr>
          <w:p w14:paraId="7355317F">
            <w:pPr>
              <w:spacing w:line="314" w:lineRule="auto"/>
              <w:rPr>
                <w:rFonts w:ascii="Arial"/>
                <w:sz w:val="21"/>
              </w:rPr>
            </w:pPr>
          </w:p>
          <w:p w14:paraId="1F04C13D">
            <w:pPr>
              <w:pStyle w:val="6"/>
              <w:spacing w:before="69" w:line="354" w:lineRule="auto"/>
              <w:ind w:left="94" w:firstLine="379"/>
            </w:pPr>
            <w:r>
              <w:rPr>
                <w:spacing w:val="-3"/>
              </w:rPr>
              <w:t>本项目为租用标准厂房建设，该厂房原由安泰美家木业公司租赁经营木质家具生产。</w:t>
            </w:r>
            <w:r>
              <w:rPr>
                <w:spacing w:val="11"/>
              </w:rPr>
              <w:t xml:space="preserve"> </w:t>
            </w:r>
            <w:r>
              <w:rPr>
                <w:spacing w:val="-4"/>
              </w:rPr>
              <w:t>目前该企业已搬离生产设施设备，现场无遗留的环境问题。</w:t>
            </w:r>
          </w:p>
        </w:tc>
      </w:tr>
    </w:tbl>
    <w:p w14:paraId="28426AF3">
      <w:pPr>
        <w:rPr>
          <w:rFonts w:ascii="Arial"/>
          <w:sz w:val="21"/>
        </w:rPr>
      </w:pPr>
    </w:p>
    <w:p w14:paraId="3C27D139">
      <w:pPr>
        <w:rPr>
          <w:rFonts w:ascii="Arial" w:hAnsi="Arial" w:eastAsia="Arial" w:cs="Arial"/>
          <w:sz w:val="21"/>
          <w:szCs w:val="21"/>
        </w:rPr>
        <w:sectPr>
          <w:footerReference r:id="rId48" w:type="default"/>
          <w:pgSz w:w="11907" w:h="16839"/>
          <w:pgMar w:top="1431" w:right="1450" w:bottom="1055" w:left="1451" w:header="0" w:footer="801" w:gutter="0"/>
          <w:cols w:space="720" w:num="1"/>
        </w:sectPr>
      </w:pPr>
    </w:p>
    <w:p w14:paraId="5C08C4BC">
      <w:pPr>
        <w:spacing w:line="247" w:lineRule="auto"/>
        <w:rPr>
          <w:rFonts w:ascii="Arial"/>
          <w:sz w:val="21"/>
        </w:rPr>
      </w:pPr>
    </w:p>
    <w:p w14:paraId="0EB23C9E">
      <w:pPr>
        <w:spacing w:line="247" w:lineRule="auto"/>
        <w:rPr>
          <w:rFonts w:ascii="Arial"/>
          <w:sz w:val="21"/>
        </w:rPr>
      </w:pPr>
    </w:p>
    <w:p w14:paraId="0F100B0E">
      <w:pPr>
        <w:spacing w:before="98" w:line="219" w:lineRule="auto"/>
        <w:ind w:left="1222"/>
        <w:rPr>
          <w:rFonts w:ascii="黑体" w:hAnsi="黑体" w:eastAsia="黑体" w:cs="黑体"/>
          <w:sz w:val="30"/>
          <w:szCs w:val="30"/>
        </w:rPr>
      </w:pPr>
      <w:r>
        <w:rPr>
          <w:rFonts w:ascii="黑体" w:hAnsi="黑体" w:eastAsia="黑体" w:cs="黑体"/>
          <w:spacing w:val="-1"/>
          <w:sz w:val="30"/>
          <w:szCs w:val="30"/>
        </w:rPr>
        <w:t>三、区域环境质量现状、环境保护目标及评价标准</w:t>
      </w:r>
    </w:p>
    <w:p w14:paraId="276299CA">
      <w:pPr>
        <w:spacing w:before="25"/>
      </w:pPr>
    </w:p>
    <w:tbl>
      <w:tblPr>
        <w:tblStyle w:val="5"/>
        <w:tblW w:w="899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8"/>
        <w:gridCol w:w="8187"/>
      </w:tblGrid>
      <w:tr w14:paraId="14EC2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9" w:hRule="atLeast"/>
        </w:trPr>
        <w:tc>
          <w:tcPr>
            <w:tcW w:w="808" w:type="dxa"/>
            <w:tcBorders>
              <w:bottom w:val="single" w:color="000000" w:sz="2" w:space="0"/>
              <w:right w:val="single" w:color="000000" w:sz="2" w:space="0"/>
            </w:tcBorders>
            <w:vAlign w:val="top"/>
          </w:tcPr>
          <w:p w14:paraId="5F5FA877">
            <w:pPr>
              <w:spacing w:line="248" w:lineRule="auto"/>
              <w:rPr>
                <w:rFonts w:ascii="Arial"/>
                <w:sz w:val="21"/>
              </w:rPr>
            </w:pPr>
          </w:p>
          <w:p w14:paraId="3198DFBE">
            <w:pPr>
              <w:spacing w:line="248" w:lineRule="auto"/>
              <w:rPr>
                <w:rFonts w:ascii="Arial"/>
                <w:sz w:val="21"/>
              </w:rPr>
            </w:pPr>
          </w:p>
          <w:p w14:paraId="2345F3F1">
            <w:pPr>
              <w:spacing w:line="248" w:lineRule="auto"/>
              <w:rPr>
                <w:rFonts w:ascii="Arial"/>
                <w:sz w:val="21"/>
              </w:rPr>
            </w:pPr>
          </w:p>
          <w:p w14:paraId="20FFBD19">
            <w:pPr>
              <w:spacing w:line="248" w:lineRule="auto"/>
              <w:rPr>
                <w:rFonts w:ascii="Arial"/>
                <w:sz w:val="21"/>
              </w:rPr>
            </w:pPr>
          </w:p>
          <w:p w14:paraId="0327607E">
            <w:pPr>
              <w:spacing w:line="249" w:lineRule="auto"/>
              <w:rPr>
                <w:rFonts w:ascii="Arial"/>
                <w:sz w:val="21"/>
              </w:rPr>
            </w:pPr>
          </w:p>
          <w:p w14:paraId="2AC463B9">
            <w:pPr>
              <w:spacing w:line="249" w:lineRule="auto"/>
              <w:rPr>
                <w:rFonts w:ascii="Arial"/>
                <w:sz w:val="21"/>
              </w:rPr>
            </w:pPr>
          </w:p>
          <w:p w14:paraId="52939DFB">
            <w:pPr>
              <w:spacing w:line="249" w:lineRule="auto"/>
              <w:rPr>
                <w:rFonts w:ascii="Arial"/>
                <w:sz w:val="21"/>
              </w:rPr>
            </w:pPr>
          </w:p>
          <w:p w14:paraId="7E411624">
            <w:pPr>
              <w:spacing w:line="249" w:lineRule="auto"/>
              <w:rPr>
                <w:rFonts w:ascii="Arial"/>
                <w:sz w:val="21"/>
              </w:rPr>
            </w:pPr>
          </w:p>
          <w:p w14:paraId="6462451D">
            <w:pPr>
              <w:spacing w:line="249" w:lineRule="auto"/>
              <w:rPr>
                <w:rFonts w:ascii="Arial"/>
                <w:sz w:val="21"/>
              </w:rPr>
            </w:pPr>
          </w:p>
          <w:p w14:paraId="5A62F14A">
            <w:pPr>
              <w:spacing w:line="249" w:lineRule="auto"/>
              <w:rPr>
                <w:rFonts w:ascii="Arial"/>
                <w:sz w:val="21"/>
              </w:rPr>
            </w:pPr>
          </w:p>
          <w:p w14:paraId="7B1CD5D5">
            <w:pPr>
              <w:spacing w:line="249" w:lineRule="auto"/>
              <w:rPr>
                <w:rFonts w:ascii="Arial"/>
                <w:sz w:val="21"/>
              </w:rPr>
            </w:pPr>
          </w:p>
          <w:p w14:paraId="0B289B45">
            <w:pPr>
              <w:spacing w:line="249" w:lineRule="auto"/>
              <w:rPr>
                <w:rFonts w:ascii="Arial"/>
                <w:sz w:val="21"/>
              </w:rPr>
            </w:pPr>
          </w:p>
          <w:p w14:paraId="55955CC5">
            <w:pPr>
              <w:spacing w:line="249" w:lineRule="auto"/>
              <w:rPr>
                <w:rFonts w:ascii="Arial"/>
                <w:sz w:val="21"/>
              </w:rPr>
            </w:pPr>
          </w:p>
          <w:p w14:paraId="75D8E9EA">
            <w:pPr>
              <w:spacing w:line="249" w:lineRule="auto"/>
              <w:rPr>
                <w:rFonts w:ascii="Arial"/>
                <w:sz w:val="21"/>
              </w:rPr>
            </w:pPr>
          </w:p>
          <w:p w14:paraId="774A326F">
            <w:pPr>
              <w:spacing w:line="249" w:lineRule="auto"/>
              <w:rPr>
                <w:rFonts w:ascii="Arial"/>
                <w:sz w:val="21"/>
              </w:rPr>
            </w:pPr>
          </w:p>
          <w:p w14:paraId="3737D645">
            <w:pPr>
              <w:spacing w:line="249" w:lineRule="auto"/>
              <w:rPr>
                <w:rFonts w:ascii="Arial"/>
                <w:sz w:val="21"/>
              </w:rPr>
            </w:pPr>
          </w:p>
          <w:p w14:paraId="46DA8B18">
            <w:pPr>
              <w:spacing w:line="249" w:lineRule="auto"/>
              <w:rPr>
                <w:rFonts w:ascii="Arial"/>
                <w:sz w:val="21"/>
              </w:rPr>
            </w:pPr>
          </w:p>
          <w:p w14:paraId="47B2EDED">
            <w:pPr>
              <w:spacing w:line="249" w:lineRule="auto"/>
              <w:rPr>
                <w:rFonts w:ascii="Arial"/>
                <w:sz w:val="21"/>
              </w:rPr>
            </w:pPr>
          </w:p>
          <w:p w14:paraId="690711E1">
            <w:pPr>
              <w:spacing w:line="249" w:lineRule="auto"/>
              <w:rPr>
                <w:rFonts w:ascii="Arial"/>
                <w:sz w:val="21"/>
              </w:rPr>
            </w:pPr>
          </w:p>
          <w:p w14:paraId="45A165F2">
            <w:pPr>
              <w:spacing w:line="249" w:lineRule="auto"/>
              <w:rPr>
                <w:rFonts w:ascii="Arial"/>
                <w:sz w:val="21"/>
              </w:rPr>
            </w:pPr>
          </w:p>
          <w:p w14:paraId="7B140268">
            <w:pPr>
              <w:spacing w:line="249" w:lineRule="auto"/>
              <w:rPr>
                <w:rFonts w:ascii="Arial"/>
                <w:sz w:val="21"/>
              </w:rPr>
            </w:pPr>
          </w:p>
          <w:p w14:paraId="29644738">
            <w:pPr>
              <w:spacing w:line="249" w:lineRule="auto"/>
              <w:rPr>
                <w:rFonts w:ascii="Arial"/>
                <w:sz w:val="21"/>
              </w:rPr>
            </w:pPr>
          </w:p>
          <w:p w14:paraId="5204B6D1">
            <w:pPr>
              <w:spacing w:line="249" w:lineRule="auto"/>
              <w:rPr>
                <w:rFonts w:ascii="Arial"/>
                <w:sz w:val="21"/>
              </w:rPr>
            </w:pPr>
          </w:p>
          <w:p w14:paraId="62F464C9">
            <w:pPr>
              <w:pStyle w:val="6"/>
              <w:spacing w:before="78" w:line="220" w:lineRule="auto"/>
              <w:ind w:left="180"/>
              <w:rPr>
                <w:sz w:val="24"/>
                <w:szCs w:val="24"/>
              </w:rPr>
            </w:pPr>
            <w:r>
              <w:rPr>
                <w:b/>
                <w:bCs/>
                <w:spacing w:val="-10"/>
                <w:sz w:val="24"/>
                <w:szCs w:val="24"/>
              </w:rPr>
              <w:t>区域</w:t>
            </w:r>
          </w:p>
          <w:p w14:paraId="2D62FAC4">
            <w:pPr>
              <w:pStyle w:val="6"/>
              <w:spacing w:before="24" w:line="220" w:lineRule="auto"/>
              <w:ind w:left="162"/>
              <w:rPr>
                <w:sz w:val="24"/>
                <w:szCs w:val="24"/>
              </w:rPr>
            </w:pPr>
            <w:r>
              <w:rPr>
                <w:b/>
                <w:bCs/>
                <w:spacing w:val="-5"/>
                <w:sz w:val="24"/>
                <w:szCs w:val="24"/>
              </w:rPr>
              <w:t>环境</w:t>
            </w:r>
          </w:p>
          <w:p w14:paraId="405DB0F3">
            <w:pPr>
              <w:pStyle w:val="6"/>
              <w:spacing w:before="24" w:line="220" w:lineRule="auto"/>
              <w:ind w:left="163"/>
              <w:rPr>
                <w:sz w:val="24"/>
                <w:szCs w:val="24"/>
              </w:rPr>
            </w:pPr>
            <w:r>
              <w:rPr>
                <w:b/>
                <w:bCs/>
                <w:spacing w:val="-5"/>
                <w:sz w:val="24"/>
                <w:szCs w:val="24"/>
              </w:rPr>
              <w:t>质量</w:t>
            </w:r>
          </w:p>
          <w:p w14:paraId="1EBDBA21">
            <w:pPr>
              <w:pStyle w:val="6"/>
              <w:spacing w:before="25" w:line="220" w:lineRule="auto"/>
              <w:ind w:left="164"/>
              <w:rPr>
                <w:sz w:val="24"/>
                <w:szCs w:val="24"/>
              </w:rPr>
            </w:pPr>
            <w:r>
              <w:rPr>
                <w:b/>
                <w:bCs/>
                <w:spacing w:val="-6"/>
                <w:sz w:val="24"/>
                <w:szCs w:val="24"/>
              </w:rPr>
              <w:t>现状</w:t>
            </w:r>
          </w:p>
        </w:tc>
        <w:tc>
          <w:tcPr>
            <w:tcW w:w="8187" w:type="dxa"/>
            <w:tcBorders>
              <w:left w:val="single" w:color="000000" w:sz="2" w:space="0"/>
              <w:bottom w:val="single" w:color="000000" w:sz="2" w:space="0"/>
            </w:tcBorders>
            <w:vAlign w:val="top"/>
          </w:tcPr>
          <w:p w14:paraId="394CC433">
            <w:pPr>
              <w:spacing w:before="192" w:line="242" w:lineRule="auto"/>
              <w:ind w:left="73"/>
              <w:rPr>
                <w:rFonts w:ascii="黑体" w:hAnsi="黑体" w:eastAsia="黑体" w:cs="黑体"/>
                <w:sz w:val="21"/>
                <w:szCs w:val="21"/>
              </w:rPr>
            </w:pPr>
            <w:r>
              <w:rPr>
                <w:rFonts w:ascii="Times New Roman" w:hAnsi="Times New Roman" w:eastAsia="Times New Roman" w:cs="Times New Roman"/>
                <w:spacing w:val="6"/>
                <w:sz w:val="21"/>
                <w:szCs w:val="21"/>
              </w:rPr>
              <w:t>1</w:t>
            </w:r>
            <w:r>
              <w:rPr>
                <w:rFonts w:ascii="黑体" w:hAnsi="黑体" w:eastAsia="黑体" w:cs="黑体"/>
                <w:spacing w:val="6"/>
                <w:sz w:val="21"/>
                <w:szCs w:val="21"/>
              </w:rPr>
              <w:t>、大气环境质量现状及评价</w:t>
            </w:r>
          </w:p>
          <w:p w14:paraId="64715081">
            <w:pPr>
              <w:pStyle w:val="6"/>
              <w:spacing w:before="125" w:line="234" w:lineRule="auto"/>
              <w:ind w:left="536"/>
            </w:pPr>
            <w:r>
              <w:rPr>
                <w:b/>
                <w:bCs/>
                <w:spacing w:val="-4"/>
              </w:rPr>
              <w:t>（</w:t>
            </w:r>
            <w:r>
              <w:rPr>
                <w:rFonts w:ascii="Times New Roman" w:hAnsi="Times New Roman" w:eastAsia="Times New Roman" w:cs="Times New Roman"/>
                <w:b/>
                <w:bCs/>
                <w:spacing w:val="-4"/>
              </w:rPr>
              <w:t>1</w:t>
            </w:r>
            <w:r>
              <w:rPr>
                <w:b/>
                <w:bCs/>
                <w:spacing w:val="-4"/>
              </w:rPr>
              <w:t>）达标区判定</w:t>
            </w:r>
          </w:p>
          <w:p w14:paraId="041BD794">
            <w:pPr>
              <w:pStyle w:val="6"/>
              <w:spacing w:before="132" w:line="350" w:lineRule="auto"/>
              <w:ind w:left="106" w:right="106" w:firstLine="421"/>
              <w:jc w:val="both"/>
            </w:pPr>
            <w:r>
              <w:rPr>
                <w:spacing w:val="1"/>
              </w:rPr>
              <w:t>根据《环境影响评价技术导则大气环境》（</w:t>
            </w:r>
            <w:r>
              <w:rPr>
                <w:rFonts w:ascii="Times New Roman" w:hAnsi="Times New Roman" w:eastAsia="Times New Roman" w:cs="Times New Roman"/>
              </w:rPr>
              <w:t>HJ</w:t>
            </w:r>
            <w:r>
              <w:rPr>
                <w:rFonts w:ascii="Times New Roman" w:hAnsi="Times New Roman" w:eastAsia="Times New Roman" w:cs="Times New Roman"/>
                <w:spacing w:val="1"/>
              </w:rPr>
              <w:t>2.2-201</w:t>
            </w:r>
            <w:r>
              <w:rPr>
                <w:rFonts w:ascii="Times New Roman" w:hAnsi="Times New Roman" w:eastAsia="Times New Roman" w:cs="Times New Roman"/>
              </w:rPr>
              <w:t>8</w:t>
            </w:r>
            <w:r>
              <w:rPr>
                <w:spacing w:val="9"/>
              </w:rPr>
              <w:t>），</w:t>
            </w:r>
            <w:r>
              <w:t>空气质量达标区判定优</w:t>
            </w:r>
            <w:r>
              <w:rPr>
                <w:spacing w:val="1"/>
              </w:rPr>
              <w:t xml:space="preserve"> </w:t>
            </w:r>
            <w:r>
              <w:rPr>
                <w:spacing w:val="5"/>
              </w:rPr>
              <w:t>先采用国家或地方生态环境主管部门公开发布的评价基准年环境质量公告或环境质量</w:t>
            </w:r>
            <w:r>
              <w:rPr>
                <w:spacing w:val="7"/>
              </w:rPr>
              <w:t xml:space="preserve"> </w:t>
            </w:r>
            <w:r>
              <w:rPr>
                <w:spacing w:val="-1"/>
              </w:rPr>
              <w:t>报告中的数据或结论，包括各评价因子的浓度、标准及达标判</w:t>
            </w:r>
            <w:r>
              <w:rPr>
                <w:spacing w:val="-2"/>
              </w:rPr>
              <w:t>定结果等。</w:t>
            </w:r>
          </w:p>
          <w:p w14:paraId="6EF7ECD7">
            <w:pPr>
              <w:pStyle w:val="6"/>
              <w:spacing w:before="6" w:line="352" w:lineRule="auto"/>
              <w:ind w:left="109" w:right="104" w:firstLine="420"/>
            </w:pPr>
            <w:r>
              <w:rPr>
                <w:spacing w:val="2"/>
              </w:rPr>
              <w:t>本次环境空气质量数据采用达州市生态环境局官方网站</w:t>
            </w:r>
            <w:r>
              <w:rPr>
                <w:rFonts w:ascii="Times New Roman" w:hAnsi="Times New Roman" w:eastAsia="Times New Roman" w:cs="Times New Roman"/>
                <w:spacing w:val="2"/>
              </w:rPr>
              <w:t>2025</w:t>
            </w:r>
            <w:r>
              <w:rPr>
                <w:spacing w:val="2"/>
              </w:rPr>
              <w:t>年</w:t>
            </w:r>
            <w:r>
              <w:rPr>
                <w:rFonts w:ascii="Times New Roman" w:hAnsi="Times New Roman" w:eastAsia="Times New Roman" w:cs="Times New Roman"/>
                <w:spacing w:val="2"/>
              </w:rPr>
              <w:t>1</w:t>
            </w:r>
            <w:r>
              <w:rPr>
                <w:spacing w:val="2"/>
              </w:rPr>
              <w:t>月</w:t>
            </w:r>
            <w:r>
              <w:rPr>
                <w:rFonts w:ascii="Times New Roman" w:hAnsi="Times New Roman" w:eastAsia="Times New Roman" w:cs="Times New Roman"/>
                <w:spacing w:val="2"/>
              </w:rPr>
              <w:t>24</w:t>
            </w:r>
            <w:r>
              <w:rPr>
                <w:spacing w:val="2"/>
              </w:rPr>
              <w:t>日发布的《达</w:t>
            </w:r>
            <w:r>
              <w:rPr>
                <w:spacing w:val="8"/>
              </w:rPr>
              <w:t xml:space="preserve"> </w:t>
            </w:r>
            <w:r>
              <w:rPr>
                <w:spacing w:val="-4"/>
              </w:rPr>
              <w:t>州市</w:t>
            </w:r>
            <w:r>
              <w:rPr>
                <w:rFonts w:ascii="Times New Roman" w:hAnsi="Times New Roman" w:eastAsia="Times New Roman" w:cs="Times New Roman"/>
                <w:spacing w:val="-4"/>
              </w:rPr>
              <w:t>2024</w:t>
            </w:r>
            <w:r>
              <w:rPr>
                <w:spacing w:val="-4"/>
              </w:rPr>
              <w:t>年环境空气质量》：</w:t>
            </w:r>
          </w:p>
          <w:p w14:paraId="75FD4932">
            <w:pPr>
              <w:pStyle w:val="6"/>
              <w:spacing w:before="1" w:line="349" w:lineRule="auto"/>
              <w:ind w:left="109" w:right="102" w:firstLine="415"/>
              <w:jc w:val="both"/>
            </w:pPr>
            <w:r>
              <w:rPr>
                <w:rFonts w:ascii="Times New Roman" w:hAnsi="Times New Roman" w:eastAsia="Times New Roman" w:cs="Times New Roman"/>
                <w:spacing w:val="2"/>
              </w:rPr>
              <w:t>2024</w:t>
            </w:r>
            <w:r>
              <w:rPr>
                <w:spacing w:val="2"/>
              </w:rPr>
              <w:t>年达州市通川区</w:t>
            </w:r>
            <w:r>
              <w:rPr>
                <w:rFonts w:ascii="Times New Roman" w:hAnsi="Times New Roman" w:eastAsia="Times New Roman" w:cs="Times New Roman"/>
              </w:rPr>
              <w:t>SO</w:t>
            </w:r>
            <w:r>
              <w:rPr>
                <w:rFonts w:ascii="Times New Roman" w:hAnsi="Times New Roman" w:eastAsia="Times New Roman" w:cs="Times New Roman"/>
                <w:spacing w:val="2"/>
                <w:position w:val="-2"/>
                <w:sz w:val="14"/>
                <w:szCs w:val="14"/>
              </w:rPr>
              <w:t>2</w:t>
            </w:r>
            <w:r>
              <w:rPr>
                <w:spacing w:val="2"/>
              </w:rPr>
              <w:t>平均浓度为</w:t>
            </w:r>
            <w:r>
              <w:rPr>
                <w:rFonts w:ascii="Times New Roman" w:hAnsi="Times New Roman" w:eastAsia="Times New Roman" w:cs="Times New Roman"/>
                <w:spacing w:val="2"/>
              </w:rPr>
              <w:t>9μg/m</w:t>
            </w:r>
            <w:r>
              <w:rPr>
                <w:rFonts w:ascii="Times New Roman" w:hAnsi="Times New Roman" w:eastAsia="Times New Roman" w:cs="Times New Roman"/>
                <w:spacing w:val="2"/>
                <w:position w:val="7"/>
                <w:sz w:val="14"/>
                <w:szCs w:val="14"/>
              </w:rPr>
              <w:t xml:space="preserve">3 </w:t>
            </w:r>
            <w:r>
              <w:rPr>
                <w:spacing w:val="2"/>
              </w:rPr>
              <w:t>，</w:t>
            </w:r>
            <w:r>
              <w:rPr>
                <w:rFonts w:ascii="Times New Roman" w:hAnsi="Times New Roman" w:eastAsia="Times New Roman" w:cs="Times New Roman"/>
              </w:rPr>
              <w:t>NO</w:t>
            </w:r>
            <w:r>
              <w:rPr>
                <w:rFonts w:ascii="Times New Roman" w:hAnsi="Times New Roman" w:eastAsia="Times New Roman" w:cs="Times New Roman"/>
                <w:spacing w:val="2"/>
                <w:position w:val="-2"/>
                <w:sz w:val="14"/>
                <w:szCs w:val="14"/>
              </w:rPr>
              <w:t>2</w:t>
            </w:r>
            <w:r>
              <w:rPr>
                <w:spacing w:val="2"/>
              </w:rPr>
              <w:t>平均浓度为</w:t>
            </w:r>
            <w:r>
              <w:rPr>
                <w:rFonts w:ascii="Times New Roman" w:hAnsi="Times New Roman" w:eastAsia="Times New Roman" w:cs="Times New Roman"/>
                <w:spacing w:val="2"/>
              </w:rPr>
              <w:t>31μg/m</w:t>
            </w:r>
            <w:r>
              <w:rPr>
                <w:rFonts w:ascii="Times New Roman" w:hAnsi="Times New Roman" w:eastAsia="Times New Roman" w:cs="Times New Roman"/>
                <w:spacing w:val="2"/>
                <w:position w:val="7"/>
                <w:sz w:val="14"/>
                <w:szCs w:val="14"/>
              </w:rPr>
              <w:t xml:space="preserve">3 </w:t>
            </w:r>
            <w:r>
              <w:rPr>
                <w:spacing w:val="2"/>
              </w:rPr>
              <w:t>，</w:t>
            </w:r>
            <w:r>
              <w:rPr>
                <w:rFonts w:ascii="Times New Roman" w:hAnsi="Times New Roman" w:eastAsia="Times New Roman" w:cs="Times New Roman"/>
              </w:rPr>
              <w:t>CO</w:t>
            </w:r>
            <w:r>
              <w:rPr>
                <w:spacing w:val="2"/>
              </w:rPr>
              <w:t>浓度为</w:t>
            </w:r>
            <w:r>
              <w:rPr>
                <w:spacing w:val="14"/>
              </w:rPr>
              <w:t xml:space="preserve"> </w:t>
            </w:r>
            <w:r>
              <w:rPr>
                <w:rFonts w:ascii="Times New Roman" w:hAnsi="Times New Roman" w:eastAsia="Times New Roman" w:cs="Times New Roman"/>
                <w:spacing w:val="-4"/>
              </w:rPr>
              <w:t>1.3mg/m</w:t>
            </w:r>
            <w:r>
              <w:rPr>
                <w:rFonts w:ascii="Times New Roman" w:hAnsi="Times New Roman" w:eastAsia="Times New Roman" w:cs="Times New Roman"/>
                <w:spacing w:val="-4"/>
                <w:position w:val="7"/>
                <w:sz w:val="14"/>
                <w:szCs w:val="14"/>
              </w:rPr>
              <w:t>3</w:t>
            </w:r>
            <w:r>
              <w:rPr>
                <w:spacing w:val="-4"/>
              </w:rPr>
              <w:t>，</w:t>
            </w:r>
            <w:r>
              <w:rPr>
                <w:rFonts w:ascii="Times New Roman" w:hAnsi="Times New Roman" w:eastAsia="Times New Roman" w:cs="Times New Roman"/>
                <w:spacing w:val="-4"/>
              </w:rPr>
              <w:t>O</w:t>
            </w:r>
            <w:r>
              <w:rPr>
                <w:rFonts w:ascii="Times New Roman" w:hAnsi="Times New Roman" w:eastAsia="Times New Roman" w:cs="Times New Roman"/>
                <w:spacing w:val="-4"/>
                <w:position w:val="-2"/>
                <w:sz w:val="14"/>
                <w:szCs w:val="14"/>
              </w:rPr>
              <w:t>3</w:t>
            </w:r>
            <w:r>
              <w:rPr>
                <w:spacing w:val="-4"/>
              </w:rPr>
              <w:t>浓度为</w:t>
            </w:r>
            <w:r>
              <w:rPr>
                <w:rFonts w:ascii="Times New Roman" w:hAnsi="Times New Roman" w:eastAsia="Times New Roman" w:cs="Times New Roman"/>
                <w:spacing w:val="-4"/>
              </w:rPr>
              <w:t>133μg/m</w:t>
            </w:r>
            <w:r>
              <w:rPr>
                <w:rFonts w:ascii="Times New Roman" w:hAnsi="Times New Roman" w:eastAsia="Times New Roman" w:cs="Times New Roman"/>
                <w:spacing w:val="-4"/>
                <w:position w:val="7"/>
                <w:sz w:val="14"/>
                <w:szCs w:val="14"/>
              </w:rPr>
              <w:t>3</w:t>
            </w:r>
            <w:r>
              <w:rPr>
                <w:spacing w:val="-4"/>
              </w:rPr>
              <w:t>，</w:t>
            </w:r>
            <w:r>
              <w:rPr>
                <w:rFonts w:ascii="Times New Roman" w:hAnsi="Times New Roman" w:eastAsia="Times New Roman" w:cs="Times New Roman"/>
                <w:spacing w:val="-4"/>
              </w:rPr>
              <w:t>PM</w:t>
            </w:r>
            <w:r>
              <w:rPr>
                <w:rFonts w:ascii="Times New Roman" w:hAnsi="Times New Roman" w:eastAsia="Times New Roman" w:cs="Times New Roman"/>
                <w:spacing w:val="-4"/>
                <w:position w:val="-2"/>
                <w:sz w:val="14"/>
                <w:szCs w:val="14"/>
              </w:rPr>
              <w:t>2.5</w:t>
            </w:r>
            <w:r>
              <w:rPr>
                <w:spacing w:val="-4"/>
              </w:rPr>
              <w:t>平均浓度为</w:t>
            </w:r>
            <w:r>
              <w:rPr>
                <w:rFonts w:ascii="Times New Roman" w:hAnsi="Times New Roman" w:eastAsia="Times New Roman" w:cs="Times New Roman"/>
                <w:spacing w:val="-4"/>
              </w:rPr>
              <w:t>28μg/m</w:t>
            </w:r>
            <w:r>
              <w:rPr>
                <w:rFonts w:ascii="Times New Roman" w:hAnsi="Times New Roman" w:eastAsia="Times New Roman" w:cs="Times New Roman"/>
                <w:spacing w:val="-4"/>
                <w:position w:val="7"/>
                <w:sz w:val="14"/>
                <w:szCs w:val="14"/>
              </w:rPr>
              <w:t>3</w:t>
            </w:r>
            <w:r>
              <w:rPr>
                <w:spacing w:val="-4"/>
              </w:rPr>
              <w:t>，</w:t>
            </w:r>
            <w:r>
              <w:rPr>
                <w:rFonts w:ascii="Times New Roman" w:hAnsi="Times New Roman" w:eastAsia="Times New Roman" w:cs="Times New Roman"/>
                <w:spacing w:val="-4"/>
              </w:rPr>
              <w:t>PM</w:t>
            </w:r>
            <w:r>
              <w:rPr>
                <w:rFonts w:ascii="Times New Roman" w:hAnsi="Times New Roman" w:eastAsia="Times New Roman" w:cs="Times New Roman"/>
                <w:spacing w:val="-4"/>
                <w:position w:val="-2"/>
                <w:sz w:val="14"/>
                <w:szCs w:val="14"/>
              </w:rPr>
              <w:t>10</w:t>
            </w:r>
            <w:r>
              <w:rPr>
                <w:spacing w:val="-4"/>
              </w:rPr>
              <w:t>平均浓度为</w:t>
            </w:r>
            <w:r>
              <w:rPr>
                <w:rFonts w:ascii="Times New Roman" w:hAnsi="Times New Roman" w:eastAsia="Times New Roman" w:cs="Times New Roman"/>
                <w:spacing w:val="-4"/>
              </w:rPr>
              <w:t>50μg/</w:t>
            </w:r>
            <w:r>
              <w:rPr>
                <w:rFonts w:ascii="Times New Roman" w:hAnsi="Times New Roman" w:eastAsia="Times New Roman" w:cs="Times New Roman"/>
                <w:spacing w:val="-5"/>
              </w:rPr>
              <w:t>m</w:t>
            </w:r>
            <w:r>
              <w:rPr>
                <w:rFonts w:ascii="Times New Roman" w:hAnsi="Times New Roman" w:eastAsia="Times New Roman" w:cs="Times New Roman"/>
                <w:spacing w:val="-5"/>
                <w:position w:val="7"/>
                <w:sz w:val="14"/>
                <w:szCs w:val="14"/>
              </w:rPr>
              <w:t>3</w:t>
            </w:r>
            <w:r>
              <w:rPr>
                <w:spacing w:val="-5"/>
              </w:rPr>
              <w:t>。</w:t>
            </w:r>
            <w:r>
              <w:rPr>
                <w:rFonts w:ascii="Times New Roman" w:hAnsi="Times New Roman" w:eastAsia="Times New Roman" w:cs="Times New Roman"/>
                <w:spacing w:val="-5"/>
              </w:rPr>
              <w:t>2024</w:t>
            </w:r>
            <w:r>
              <w:rPr>
                <w:rFonts w:ascii="Times New Roman" w:hAnsi="Times New Roman" w:eastAsia="Times New Roman" w:cs="Times New Roman"/>
              </w:rPr>
              <w:t xml:space="preserve"> </w:t>
            </w:r>
            <w:r>
              <w:rPr>
                <w:spacing w:val="-1"/>
              </w:rPr>
              <w:t>年通川区环境空气质量达标率</w:t>
            </w:r>
            <w:r>
              <w:rPr>
                <w:rFonts w:ascii="Times New Roman" w:hAnsi="Times New Roman" w:eastAsia="Times New Roman" w:cs="Times New Roman"/>
                <w:spacing w:val="-1"/>
              </w:rPr>
              <w:t>91.3%</w:t>
            </w:r>
            <w:r>
              <w:rPr>
                <w:spacing w:val="-1"/>
              </w:rPr>
              <w:t>，同比上升</w:t>
            </w:r>
            <w:r>
              <w:rPr>
                <w:rFonts w:ascii="Times New Roman" w:hAnsi="Times New Roman" w:eastAsia="Times New Roman" w:cs="Times New Roman"/>
                <w:spacing w:val="-1"/>
              </w:rPr>
              <w:t>1.4%</w:t>
            </w:r>
            <w:r>
              <w:rPr>
                <w:spacing w:val="-1"/>
              </w:rPr>
              <w:t>。</w:t>
            </w:r>
          </w:p>
          <w:p w14:paraId="72A7554C">
            <w:pPr>
              <w:pStyle w:val="6"/>
              <w:spacing w:before="7" w:line="218" w:lineRule="auto"/>
              <w:ind w:left="529"/>
            </w:pPr>
            <w:r>
              <w:rPr>
                <w:spacing w:val="-1"/>
              </w:rPr>
              <w:t>本项目位于达州市通川区，所属区域的环境空</w:t>
            </w:r>
            <w:r>
              <w:rPr>
                <w:spacing w:val="-2"/>
              </w:rPr>
              <w:t>气质量评价表见下表。</w:t>
            </w:r>
          </w:p>
          <w:p w14:paraId="7896BDDF">
            <w:pPr>
              <w:pStyle w:val="6"/>
              <w:spacing w:before="160" w:line="232" w:lineRule="auto"/>
              <w:ind w:left="1703"/>
              <w:rPr>
                <w:sz w:val="20"/>
                <w:szCs w:val="20"/>
              </w:rPr>
            </w:pPr>
            <w:r>
              <w:rPr>
                <w:b/>
                <w:bCs/>
                <w:spacing w:val="-1"/>
                <w:sz w:val="20"/>
                <w:szCs w:val="20"/>
              </w:rPr>
              <w:t>表</w:t>
            </w:r>
            <w:r>
              <w:rPr>
                <w:rFonts w:ascii="Times New Roman" w:hAnsi="Times New Roman" w:eastAsia="Times New Roman" w:cs="Times New Roman"/>
                <w:b/>
                <w:bCs/>
                <w:spacing w:val="-1"/>
                <w:sz w:val="20"/>
                <w:szCs w:val="20"/>
              </w:rPr>
              <w:t>3-1          2024</w:t>
            </w:r>
            <w:r>
              <w:rPr>
                <w:b/>
                <w:bCs/>
                <w:spacing w:val="-1"/>
                <w:sz w:val="20"/>
                <w:szCs w:val="20"/>
              </w:rPr>
              <w:t>年达州市通川区环境空气污染物现状评价表</w:t>
            </w:r>
          </w:p>
          <w:tbl>
            <w:tblPr>
              <w:tblStyle w:val="5"/>
              <w:tblW w:w="7913" w:type="dxa"/>
              <w:tblInd w:w="1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5"/>
              <w:gridCol w:w="1582"/>
              <w:gridCol w:w="1192"/>
              <w:gridCol w:w="1111"/>
              <w:gridCol w:w="981"/>
              <w:gridCol w:w="1022"/>
              <w:gridCol w:w="1060"/>
            </w:tblGrid>
            <w:tr w14:paraId="6BF85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965" w:type="dxa"/>
                  <w:vAlign w:val="top"/>
                </w:tcPr>
                <w:p w14:paraId="41B87774">
                  <w:pPr>
                    <w:pStyle w:val="6"/>
                    <w:spacing w:before="34" w:line="207" w:lineRule="auto"/>
                    <w:ind w:left="188"/>
                    <w:rPr>
                      <w:sz w:val="20"/>
                      <w:szCs w:val="20"/>
                    </w:rPr>
                  </w:pPr>
                  <w:r>
                    <w:rPr>
                      <w:b/>
                      <w:bCs/>
                      <w:spacing w:val="-5"/>
                      <w:sz w:val="20"/>
                      <w:szCs w:val="20"/>
                    </w:rPr>
                    <w:t>污染物</w:t>
                  </w:r>
                </w:p>
              </w:tc>
              <w:tc>
                <w:tcPr>
                  <w:tcW w:w="1582" w:type="dxa"/>
                  <w:vAlign w:val="top"/>
                </w:tcPr>
                <w:p w14:paraId="384F5D14">
                  <w:pPr>
                    <w:pStyle w:val="6"/>
                    <w:spacing w:before="34" w:line="207" w:lineRule="auto"/>
                    <w:ind w:left="292"/>
                    <w:rPr>
                      <w:sz w:val="20"/>
                      <w:szCs w:val="20"/>
                    </w:rPr>
                  </w:pPr>
                  <w:r>
                    <w:rPr>
                      <w:b/>
                      <w:bCs/>
                      <w:spacing w:val="-4"/>
                      <w:sz w:val="20"/>
                      <w:szCs w:val="20"/>
                    </w:rPr>
                    <w:t>年评价指标</w:t>
                  </w:r>
                </w:p>
              </w:tc>
              <w:tc>
                <w:tcPr>
                  <w:tcW w:w="1192" w:type="dxa"/>
                  <w:vAlign w:val="top"/>
                </w:tcPr>
                <w:p w14:paraId="19178B79">
                  <w:pPr>
                    <w:pStyle w:val="6"/>
                    <w:spacing w:before="34" w:line="207" w:lineRule="auto"/>
                    <w:ind w:left="199"/>
                    <w:rPr>
                      <w:sz w:val="20"/>
                      <w:szCs w:val="20"/>
                    </w:rPr>
                  </w:pPr>
                  <w:r>
                    <w:rPr>
                      <w:b/>
                      <w:bCs/>
                      <w:spacing w:val="-4"/>
                      <w:sz w:val="20"/>
                      <w:szCs w:val="20"/>
                    </w:rPr>
                    <w:t>现状浓度</w:t>
                  </w:r>
                </w:p>
              </w:tc>
              <w:tc>
                <w:tcPr>
                  <w:tcW w:w="1111" w:type="dxa"/>
                  <w:vAlign w:val="top"/>
                </w:tcPr>
                <w:p w14:paraId="0363AF4A">
                  <w:pPr>
                    <w:pStyle w:val="6"/>
                    <w:spacing w:before="34" w:line="207" w:lineRule="auto"/>
                    <w:ind w:left="259"/>
                    <w:rPr>
                      <w:sz w:val="20"/>
                      <w:szCs w:val="20"/>
                    </w:rPr>
                  </w:pPr>
                  <w:r>
                    <w:rPr>
                      <w:b/>
                      <w:bCs/>
                      <w:spacing w:val="-5"/>
                      <w:sz w:val="20"/>
                      <w:szCs w:val="20"/>
                    </w:rPr>
                    <w:t>标准值</w:t>
                  </w:r>
                </w:p>
              </w:tc>
              <w:tc>
                <w:tcPr>
                  <w:tcW w:w="981" w:type="dxa"/>
                  <w:vAlign w:val="top"/>
                </w:tcPr>
                <w:p w14:paraId="6121960B">
                  <w:pPr>
                    <w:pStyle w:val="6"/>
                    <w:spacing w:before="34" w:line="207" w:lineRule="auto"/>
                    <w:ind w:left="228"/>
                    <w:rPr>
                      <w:sz w:val="20"/>
                      <w:szCs w:val="20"/>
                    </w:rPr>
                  </w:pPr>
                  <w:r>
                    <w:rPr>
                      <w:b/>
                      <w:bCs/>
                      <w:spacing w:val="-15"/>
                      <w:sz w:val="20"/>
                      <w:szCs w:val="20"/>
                    </w:rPr>
                    <w:t>占标率</w:t>
                  </w:r>
                </w:p>
              </w:tc>
              <w:tc>
                <w:tcPr>
                  <w:tcW w:w="1022" w:type="dxa"/>
                  <w:vAlign w:val="top"/>
                </w:tcPr>
                <w:p w14:paraId="60A9B401">
                  <w:pPr>
                    <w:pStyle w:val="6"/>
                    <w:spacing w:before="34" w:line="207" w:lineRule="auto"/>
                    <w:ind w:left="115"/>
                    <w:rPr>
                      <w:sz w:val="20"/>
                      <w:szCs w:val="20"/>
                    </w:rPr>
                  </w:pPr>
                  <w:r>
                    <w:rPr>
                      <w:b/>
                      <w:bCs/>
                      <w:spacing w:val="-4"/>
                      <w:sz w:val="20"/>
                      <w:szCs w:val="20"/>
                    </w:rPr>
                    <w:t>超标倍数</w:t>
                  </w:r>
                </w:p>
              </w:tc>
              <w:tc>
                <w:tcPr>
                  <w:tcW w:w="1060" w:type="dxa"/>
                  <w:vAlign w:val="top"/>
                </w:tcPr>
                <w:p w14:paraId="5FF546FD">
                  <w:pPr>
                    <w:pStyle w:val="6"/>
                    <w:spacing w:before="34" w:line="207" w:lineRule="auto"/>
                    <w:ind w:left="132"/>
                    <w:rPr>
                      <w:sz w:val="20"/>
                      <w:szCs w:val="20"/>
                    </w:rPr>
                  </w:pPr>
                  <w:r>
                    <w:rPr>
                      <w:b/>
                      <w:bCs/>
                      <w:spacing w:val="-4"/>
                      <w:sz w:val="20"/>
                      <w:szCs w:val="20"/>
                    </w:rPr>
                    <w:t>达标情况</w:t>
                  </w:r>
                </w:p>
              </w:tc>
            </w:tr>
            <w:tr w14:paraId="27B8C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965" w:type="dxa"/>
                  <w:vAlign w:val="top"/>
                </w:tcPr>
                <w:p w14:paraId="57CF1B4D">
                  <w:pPr>
                    <w:spacing w:before="67" w:line="195" w:lineRule="auto"/>
                    <w:ind w:left="331"/>
                    <w:rPr>
                      <w:rFonts w:ascii="Times New Roman" w:hAnsi="Times New Roman" w:eastAsia="Times New Roman" w:cs="Times New Roman"/>
                      <w:sz w:val="12"/>
                      <w:szCs w:val="12"/>
                    </w:rPr>
                  </w:pPr>
                  <w:r>
                    <w:rPr>
                      <w:rFonts w:ascii="Times New Roman" w:hAnsi="Times New Roman" w:eastAsia="Times New Roman" w:cs="Times New Roman"/>
                      <w:spacing w:val="-3"/>
                      <w:sz w:val="20"/>
                      <w:szCs w:val="20"/>
                    </w:rPr>
                    <w:t>SO</w:t>
                  </w:r>
                  <w:r>
                    <w:rPr>
                      <w:rFonts w:ascii="Times New Roman" w:hAnsi="Times New Roman" w:eastAsia="Times New Roman" w:cs="Times New Roman"/>
                      <w:spacing w:val="-3"/>
                      <w:position w:val="-1"/>
                      <w:sz w:val="12"/>
                      <w:szCs w:val="12"/>
                    </w:rPr>
                    <w:t>2</w:t>
                  </w:r>
                </w:p>
              </w:tc>
              <w:tc>
                <w:tcPr>
                  <w:tcW w:w="1582" w:type="dxa"/>
                  <w:vMerge w:val="restart"/>
                  <w:tcBorders>
                    <w:bottom w:val="nil"/>
                  </w:tcBorders>
                  <w:vAlign w:val="top"/>
                </w:tcPr>
                <w:p w14:paraId="7410D331">
                  <w:pPr>
                    <w:pStyle w:val="6"/>
                    <w:spacing w:before="304" w:line="242" w:lineRule="auto"/>
                    <w:ind w:left="111" w:right="106" w:firstLine="1"/>
                    <w:rPr>
                      <w:sz w:val="20"/>
                      <w:szCs w:val="20"/>
                    </w:rPr>
                  </w:pPr>
                  <w:r>
                    <w:rPr>
                      <w:spacing w:val="26"/>
                      <w:sz w:val="20"/>
                      <w:szCs w:val="20"/>
                    </w:rPr>
                    <w:t>年平均质量浓</w:t>
                  </w:r>
                  <w:r>
                    <w:rPr>
                      <w:sz w:val="20"/>
                      <w:szCs w:val="20"/>
                    </w:rPr>
                    <w:t xml:space="preserve"> 度</w:t>
                  </w:r>
                </w:p>
              </w:tc>
              <w:tc>
                <w:tcPr>
                  <w:tcW w:w="1192" w:type="dxa"/>
                  <w:vAlign w:val="top"/>
                </w:tcPr>
                <w:p w14:paraId="0773B7FA">
                  <w:pPr>
                    <w:spacing w:before="42" w:line="212" w:lineRule="auto"/>
                    <w:ind w:left="308"/>
                    <w:rPr>
                      <w:rFonts w:ascii="Times New Roman" w:hAnsi="Times New Roman" w:eastAsia="Times New Roman" w:cs="Times New Roman"/>
                      <w:sz w:val="12"/>
                      <w:szCs w:val="12"/>
                    </w:rPr>
                  </w:pPr>
                  <w:r>
                    <w:rPr>
                      <w:rFonts w:ascii="Times New Roman" w:hAnsi="Times New Roman" w:eastAsia="Times New Roman" w:cs="Times New Roman"/>
                      <w:spacing w:val="-1"/>
                      <w:sz w:val="20"/>
                      <w:szCs w:val="20"/>
                    </w:rPr>
                    <w:t>9μg/m</w:t>
                  </w:r>
                  <w:r>
                    <w:rPr>
                      <w:rFonts w:ascii="Times New Roman" w:hAnsi="Times New Roman" w:eastAsia="Times New Roman" w:cs="Times New Roman"/>
                      <w:spacing w:val="-1"/>
                      <w:position w:val="6"/>
                      <w:sz w:val="12"/>
                      <w:szCs w:val="12"/>
                    </w:rPr>
                    <w:t>3</w:t>
                  </w:r>
                </w:p>
              </w:tc>
              <w:tc>
                <w:tcPr>
                  <w:tcW w:w="1111" w:type="dxa"/>
                  <w:vAlign w:val="top"/>
                </w:tcPr>
                <w:p w14:paraId="5A9BE099">
                  <w:pPr>
                    <w:spacing w:before="43" w:line="211" w:lineRule="auto"/>
                    <w:ind w:left="219"/>
                    <w:rPr>
                      <w:rFonts w:ascii="Times New Roman" w:hAnsi="Times New Roman" w:eastAsia="Times New Roman" w:cs="Times New Roman"/>
                      <w:sz w:val="12"/>
                      <w:szCs w:val="12"/>
                    </w:rPr>
                  </w:pPr>
                  <w:r>
                    <w:rPr>
                      <w:rFonts w:ascii="Times New Roman" w:hAnsi="Times New Roman" w:eastAsia="Times New Roman" w:cs="Times New Roman"/>
                      <w:spacing w:val="-1"/>
                      <w:sz w:val="20"/>
                      <w:szCs w:val="20"/>
                    </w:rPr>
                    <w:t>60μg/m</w:t>
                  </w:r>
                  <w:r>
                    <w:rPr>
                      <w:rFonts w:ascii="Times New Roman" w:hAnsi="Times New Roman" w:eastAsia="Times New Roman" w:cs="Times New Roman"/>
                      <w:spacing w:val="-1"/>
                      <w:position w:val="6"/>
                      <w:sz w:val="12"/>
                      <w:szCs w:val="12"/>
                    </w:rPr>
                    <w:t>3</w:t>
                  </w:r>
                </w:p>
              </w:tc>
              <w:tc>
                <w:tcPr>
                  <w:tcW w:w="981" w:type="dxa"/>
                  <w:vAlign w:val="top"/>
                </w:tcPr>
                <w:p w14:paraId="53F1407C">
                  <w:pPr>
                    <w:spacing w:before="63" w:line="199" w:lineRule="auto"/>
                    <w:ind w:left="32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1022" w:type="dxa"/>
                  <w:vAlign w:val="top"/>
                </w:tcPr>
                <w:p w14:paraId="4FFF99FB">
                  <w:pPr>
                    <w:spacing w:before="63" w:line="199" w:lineRule="auto"/>
                    <w:ind w:left="46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060" w:type="dxa"/>
                  <w:vAlign w:val="top"/>
                </w:tcPr>
                <w:p w14:paraId="0A666BF9">
                  <w:pPr>
                    <w:pStyle w:val="6"/>
                    <w:spacing w:before="30" w:line="206" w:lineRule="auto"/>
                    <w:ind w:left="333"/>
                    <w:rPr>
                      <w:sz w:val="20"/>
                      <w:szCs w:val="20"/>
                    </w:rPr>
                  </w:pPr>
                  <w:r>
                    <w:rPr>
                      <w:spacing w:val="-2"/>
                      <w:sz w:val="20"/>
                      <w:szCs w:val="20"/>
                    </w:rPr>
                    <w:t>达标</w:t>
                  </w:r>
                </w:p>
              </w:tc>
            </w:tr>
            <w:tr w14:paraId="1F7FD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965" w:type="dxa"/>
                  <w:vAlign w:val="top"/>
                </w:tcPr>
                <w:p w14:paraId="04B59022">
                  <w:pPr>
                    <w:spacing w:before="68" w:line="194" w:lineRule="auto"/>
                    <w:ind w:left="299"/>
                    <w:rPr>
                      <w:rFonts w:ascii="Times New Roman" w:hAnsi="Times New Roman" w:eastAsia="Times New Roman" w:cs="Times New Roman"/>
                      <w:sz w:val="12"/>
                      <w:szCs w:val="12"/>
                    </w:rPr>
                  </w:pPr>
                  <w:r>
                    <w:rPr>
                      <w:rFonts w:ascii="Times New Roman" w:hAnsi="Times New Roman" w:eastAsia="Times New Roman" w:cs="Times New Roman"/>
                      <w:sz w:val="20"/>
                      <w:szCs w:val="20"/>
                    </w:rPr>
                    <w:t>NO</w:t>
                  </w:r>
                  <w:r>
                    <w:rPr>
                      <w:rFonts w:ascii="Times New Roman" w:hAnsi="Times New Roman" w:eastAsia="Times New Roman" w:cs="Times New Roman"/>
                      <w:spacing w:val="8"/>
                      <w:position w:val="-1"/>
                      <w:sz w:val="12"/>
                      <w:szCs w:val="12"/>
                    </w:rPr>
                    <w:t>2</w:t>
                  </w:r>
                </w:p>
              </w:tc>
              <w:tc>
                <w:tcPr>
                  <w:tcW w:w="1582" w:type="dxa"/>
                  <w:vMerge w:val="continue"/>
                  <w:tcBorders>
                    <w:top w:val="nil"/>
                    <w:bottom w:val="nil"/>
                  </w:tcBorders>
                  <w:vAlign w:val="top"/>
                </w:tcPr>
                <w:p w14:paraId="3020CED0">
                  <w:pPr>
                    <w:rPr>
                      <w:rFonts w:ascii="Arial"/>
                      <w:sz w:val="21"/>
                    </w:rPr>
                  </w:pPr>
                </w:p>
              </w:tc>
              <w:tc>
                <w:tcPr>
                  <w:tcW w:w="1192" w:type="dxa"/>
                  <w:vAlign w:val="top"/>
                </w:tcPr>
                <w:p w14:paraId="75383809">
                  <w:pPr>
                    <w:spacing w:before="43" w:line="212" w:lineRule="auto"/>
                    <w:ind w:left="258"/>
                    <w:rPr>
                      <w:rFonts w:ascii="Times New Roman" w:hAnsi="Times New Roman" w:eastAsia="Times New Roman" w:cs="Times New Roman"/>
                      <w:sz w:val="12"/>
                      <w:szCs w:val="12"/>
                    </w:rPr>
                  </w:pPr>
                  <w:r>
                    <w:rPr>
                      <w:rFonts w:ascii="Times New Roman" w:hAnsi="Times New Roman" w:eastAsia="Times New Roman" w:cs="Times New Roman"/>
                      <w:spacing w:val="-1"/>
                      <w:sz w:val="20"/>
                      <w:szCs w:val="20"/>
                    </w:rPr>
                    <w:t>31μg/m</w:t>
                  </w:r>
                  <w:r>
                    <w:rPr>
                      <w:rFonts w:ascii="Times New Roman" w:hAnsi="Times New Roman" w:eastAsia="Times New Roman" w:cs="Times New Roman"/>
                      <w:spacing w:val="-1"/>
                      <w:position w:val="6"/>
                      <w:sz w:val="12"/>
                      <w:szCs w:val="12"/>
                    </w:rPr>
                    <w:t>3</w:t>
                  </w:r>
                </w:p>
              </w:tc>
              <w:tc>
                <w:tcPr>
                  <w:tcW w:w="1111" w:type="dxa"/>
                  <w:vAlign w:val="top"/>
                </w:tcPr>
                <w:p w14:paraId="0A37AF3A">
                  <w:pPr>
                    <w:spacing w:before="44" w:line="211" w:lineRule="auto"/>
                    <w:ind w:left="214"/>
                    <w:rPr>
                      <w:rFonts w:ascii="Times New Roman" w:hAnsi="Times New Roman" w:eastAsia="Times New Roman" w:cs="Times New Roman"/>
                      <w:sz w:val="12"/>
                      <w:szCs w:val="12"/>
                    </w:rPr>
                  </w:pPr>
                  <w:r>
                    <w:rPr>
                      <w:rFonts w:ascii="Times New Roman" w:hAnsi="Times New Roman" w:eastAsia="Times New Roman" w:cs="Times New Roman"/>
                      <w:sz w:val="20"/>
                      <w:szCs w:val="20"/>
                    </w:rPr>
                    <w:t>40μg/m</w:t>
                  </w:r>
                  <w:r>
                    <w:rPr>
                      <w:rFonts w:ascii="Times New Roman" w:hAnsi="Times New Roman" w:eastAsia="Times New Roman" w:cs="Times New Roman"/>
                      <w:position w:val="6"/>
                      <w:sz w:val="12"/>
                      <w:szCs w:val="12"/>
                    </w:rPr>
                    <w:t>3</w:t>
                  </w:r>
                </w:p>
              </w:tc>
              <w:tc>
                <w:tcPr>
                  <w:tcW w:w="981" w:type="dxa"/>
                  <w:vAlign w:val="top"/>
                </w:tcPr>
                <w:p w14:paraId="5B359901">
                  <w:pPr>
                    <w:spacing w:before="64" w:line="198" w:lineRule="auto"/>
                    <w:ind w:left="18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77.50%</w:t>
                  </w:r>
                </w:p>
              </w:tc>
              <w:tc>
                <w:tcPr>
                  <w:tcW w:w="1022" w:type="dxa"/>
                  <w:vAlign w:val="top"/>
                </w:tcPr>
                <w:p w14:paraId="770D409B">
                  <w:pPr>
                    <w:spacing w:before="64" w:line="198" w:lineRule="auto"/>
                    <w:ind w:left="46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060" w:type="dxa"/>
                  <w:vAlign w:val="top"/>
                </w:tcPr>
                <w:p w14:paraId="3DF8F941">
                  <w:pPr>
                    <w:pStyle w:val="6"/>
                    <w:spacing w:before="31" w:line="205" w:lineRule="auto"/>
                    <w:ind w:left="333"/>
                    <w:rPr>
                      <w:sz w:val="20"/>
                      <w:szCs w:val="20"/>
                    </w:rPr>
                  </w:pPr>
                  <w:r>
                    <w:rPr>
                      <w:spacing w:val="-2"/>
                      <w:sz w:val="20"/>
                      <w:szCs w:val="20"/>
                    </w:rPr>
                    <w:t>达标</w:t>
                  </w:r>
                </w:p>
              </w:tc>
            </w:tr>
            <w:tr w14:paraId="10953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965" w:type="dxa"/>
                  <w:vAlign w:val="top"/>
                </w:tcPr>
                <w:p w14:paraId="20CD79D5">
                  <w:pPr>
                    <w:spacing w:before="70" w:line="190" w:lineRule="auto"/>
                    <w:ind w:left="273"/>
                    <w:rPr>
                      <w:rFonts w:ascii="Times New Roman" w:hAnsi="Times New Roman" w:eastAsia="Times New Roman" w:cs="Times New Roman"/>
                      <w:sz w:val="12"/>
                      <w:szCs w:val="12"/>
                    </w:rPr>
                  </w:pPr>
                  <w:r>
                    <w:rPr>
                      <w:rFonts w:ascii="Times New Roman" w:hAnsi="Times New Roman" w:eastAsia="Times New Roman" w:cs="Times New Roman"/>
                      <w:sz w:val="20"/>
                      <w:szCs w:val="20"/>
                    </w:rPr>
                    <w:t>PM</w:t>
                  </w:r>
                  <w:r>
                    <w:rPr>
                      <w:rFonts w:ascii="Times New Roman" w:hAnsi="Times New Roman" w:eastAsia="Times New Roman" w:cs="Times New Roman"/>
                      <w:spacing w:val="5"/>
                      <w:position w:val="-1"/>
                      <w:sz w:val="12"/>
                      <w:szCs w:val="12"/>
                    </w:rPr>
                    <w:t>10</w:t>
                  </w:r>
                </w:p>
              </w:tc>
              <w:tc>
                <w:tcPr>
                  <w:tcW w:w="1582" w:type="dxa"/>
                  <w:vMerge w:val="continue"/>
                  <w:tcBorders>
                    <w:top w:val="nil"/>
                    <w:bottom w:val="nil"/>
                  </w:tcBorders>
                  <w:vAlign w:val="top"/>
                </w:tcPr>
                <w:p w14:paraId="39C02AC4">
                  <w:pPr>
                    <w:rPr>
                      <w:rFonts w:ascii="Arial"/>
                      <w:sz w:val="21"/>
                    </w:rPr>
                  </w:pPr>
                </w:p>
              </w:tc>
              <w:tc>
                <w:tcPr>
                  <w:tcW w:w="1192" w:type="dxa"/>
                  <w:vAlign w:val="top"/>
                </w:tcPr>
                <w:p w14:paraId="5BDAB2C9">
                  <w:pPr>
                    <w:spacing w:before="43" w:line="212" w:lineRule="auto"/>
                    <w:ind w:left="259"/>
                    <w:rPr>
                      <w:rFonts w:ascii="Times New Roman" w:hAnsi="Times New Roman" w:eastAsia="Times New Roman" w:cs="Times New Roman"/>
                      <w:sz w:val="12"/>
                      <w:szCs w:val="12"/>
                    </w:rPr>
                  </w:pPr>
                  <w:r>
                    <w:rPr>
                      <w:rFonts w:ascii="Times New Roman" w:hAnsi="Times New Roman" w:eastAsia="Times New Roman" w:cs="Times New Roman"/>
                      <w:spacing w:val="-1"/>
                      <w:sz w:val="20"/>
                      <w:szCs w:val="20"/>
                    </w:rPr>
                    <w:t>50μg/m</w:t>
                  </w:r>
                  <w:r>
                    <w:rPr>
                      <w:rFonts w:ascii="Times New Roman" w:hAnsi="Times New Roman" w:eastAsia="Times New Roman" w:cs="Times New Roman"/>
                      <w:spacing w:val="-1"/>
                      <w:position w:val="6"/>
                      <w:sz w:val="12"/>
                      <w:szCs w:val="12"/>
                    </w:rPr>
                    <w:t>3</w:t>
                  </w:r>
                </w:p>
              </w:tc>
              <w:tc>
                <w:tcPr>
                  <w:tcW w:w="1111" w:type="dxa"/>
                  <w:vAlign w:val="top"/>
                </w:tcPr>
                <w:p w14:paraId="4A6FD835">
                  <w:pPr>
                    <w:spacing w:before="44" w:line="211" w:lineRule="auto"/>
                    <w:ind w:left="218"/>
                    <w:rPr>
                      <w:rFonts w:ascii="Times New Roman" w:hAnsi="Times New Roman" w:eastAsia="Times New Roman" w:cs="Times New Roman"/>
                      <w:sz w:val="12"/>
                      <w:szCs w:val="12"/>
                    </w:rPr>
                  </w:pPr>
                  <w:r>
                    <w:rPr>
                      <w:rFonts w:ascii="Times New Roman" w:hAnsi="Times New Roman" w:eastAsia="Times New Roman" w:cs="Times New Roman"/>
                      <w:spacing w:val="-1"/>
                      <w:sz w:val="20"/>
                      <w:szCs w:val="20"/>
                    </w:rPr>
                    <w:t>70μg/m</w:t>
                  </w:r>
                  <w:r>
                    <w:rPr>
                      <w:rFonts w:ascii="Times New Roman" w:hAnsi="Times New Roman" w:eastAsia="Times New Roman" w:cs="Times New Roman"/>
                      <w:spacing w:val="-1"/>
                      <w:position w:val="6"/>
                      <w:sz w:val="12"/>
                      <w:szCs w:val="12"/>
                    </w:rPr>
                    <w:t>3</w:t>
                  </w:r>
                </w:p>
              </w:tc>
              <w:tc>
                <w:tcPr>
                  <w:tcW w:w="981" w:type="dxa"/>
                  <w:vAlign w:val="top"/>
                </w:tcPr>
                <w:p w14:paraId="195B231B">
                  <w:pPr>
                    <w:spacing w:before="64" w:line="197" w:lineRule="auto"/>
                    <w:ind w:left="18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71.43%</w:t>
                  </w:r>
                </w:p>
              </w:tc>
              <w:tc>
                <w:tcPr>
                  <w:tcW w:w="1022" w:type="dxa"/>
                  <w:vAlign w:val="top"/>
                </w:tcPr>
                <w:p w14:paraId="61805685">
                  <w:pPr>
                    <w:spacing w:before="64" w:line="197" w:lineRule="auto"/>
                    <w:ind w:left="46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060" w:type="dxa"/>
                  <w:vAlign w:val="top"/>
                </w:tcPr>
                <w:p w14:paraId="3ABC3002">
                  <w:pPr>
                    <w:pStyle w:val="6"/>
                    <w:spacing w:before="30" w:line="205" w:lineRule="auto"/>
                    <w:ind w:left="333"/>
                    <w:rPr>
                      <w:sz w:val="20"/>
                      <w:szCs w:val="20"/>
                    </w:rPr>
                  </w:pPr>
                  <w:r>
                    <w:rPr>
                      <w:spacing w:val="-2"/>
                      <w:sz w:val="20"/>
                      <w:szCs w:val="20"/>
                    </w:rPr>
                    <w:t>达标</w:t>
                  </w:r>
                </w:p>
              </w:tc>
            </w:tr>
            <w:tr w14:paraId="62783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965" w:type="dxa"/>
                  <w:vAlign w:val="top"/>
                </w:tcPr>
                <w:p w14:paraId="62BAE222">
                  <w:pPr>
                    <w:spacing w:before="72" w:line="190" w:lineRule="auto"/>
                    <w:ind w:left="257"/>
                    <w:rPr>
                      <w:rFonts w:ascii="Times New Roman" w:hAnsi="Times New Roman" w:eastAsia="Times New Roman" w:cs="Times New Roman"/>
                      <w:sz w:val="12"/>
                      <w:szCs w:val="12"/>
                    </w:rPr>
                  </w:pPr>
                  <w:r>
                    <w:rPr>
                      <w:rFonts w:ascii="Times New Roman" w:hAnsi="Times New Roman" w:eastAsia="Times New Roman" w:cs="Times New Roman"/>
                      <w:position w:val="1"/>
                      <w:sz w:val="20"/>
                      <w:szCs w:val="20"/>
                    </w:rPr>
                    <w:t>PM</w:t>
                  </w:r>
                  <w:r>
                    <w:rPr>
                      <w:rFonts w:ascii="Times New Roman" w:hAnsi="Times New Roman" w:eastAsia="Times New Roman" w:cs="Times New Roman"/>
                      <w:spacing w:val="3"/>
                      <w:sz w:val="12"/>
                      <w:szCs w:val="12"/>
                    </w:rPr>
                    <w:t>2.5</w:t>
                  </w:r>
                </w:p>
              </w:tc>
              <w:tc>
                <w:tcPr>
                  <w:tcW w:w="1582" w:type="dxa"/>
                  <w:vMerge w:val="continue"/>
                  <w:tcBorders>
                    <w:top w:val="nil"/>
                  </w:tcBorders>
                  <w:vAlign w:val="top"/>
                </w:tcPr>
                <w:p w14:paraId="120D0F1D">
                  <w:pPr>
                    <w:rPr>
                      <w:rFonts w:ascii="Arial"/>
                      <w:sz w:val="21"/>
                    </w:rPr>
                  </w:pPr>
                </w:p>
              </w:tc>
              <w:tc>
                <w:tcPr>
                  <w:tcW w:w="1192" w:type="dxa"/>
                  <w:vAlign w:val="top"/>
                </w:tcPr>
                <w:p w14:paraId="2431B2C0">
                  <w:pPr>
                    <w:spacing w:before="45" w:line="212" w:lineRule="auto"/>
                    <w:ind w:left="254"/>
                    <w:rPr>
                      <w:rFonts w:ascii="Times New Roman" w:hAnsi="Times New Roman" w:eastAsia="Times New Roman" w:cs="Times New Roman"/>
                      <w:sz w:val="12"/>
                      <w:szCs w:val="12"/>
                    </w:rPr>
                  </w:pPr>
                  <w:r>
                    <w:rPr>
                      <w:rFonts w:ascii="Times New Roman" w:hAnsi="Times New Roman" w:eastAsia="Times New Roman" w:cs="Times New Roman"/>
                      <w:sz w:val="20"/>
                      <w:szCs w:val="20"/>
                    </w:rPr>
                    <w:t>28μg/m</w:t>
                  </w:r>
                  <w:r>
                    <w:rPr>
                      <w:rFonts w:ascii="Times New Roman" w:hAnsi="Times New Roman" w:eastAsia="Times New Roman" w:cs="Times New Roman"/>
                      <w:position w:val="6"/>
                      <w:sz w:val="12"/>
                      <w:szCs w:val="12"/>
                    </w:rPr>
                    <w:t>3</w:t>
                  </w:r>
                </w:p>
              </w:tc>
              <w:tc>
                <w:tcPr>
                  <w:tcW w:w="1111" w:type="dxa"/>
                  <w:vAlign w:val="top"/>
                </w:tcPr>
                <w:p w14:paraId="04D616E1">
                  <w:pPr>
                    <w:spacing w:before="46" w:line="211" w:lineRule="auto"/>
                    <w:ind w:left="219"/>
                    <w:rPr>
                      <w:rFonts w:ascii="Times New Roman" w:hAnsi="Times New Roman" w:eastAsia="Times New Roman" w:cs="Times New Roman"/>
                      <w:sz w:val="12"/>
                      <w:szCs w:val="12"/>
                    </w:rPr>
                  </w:pPr>
                  <w:r>
                    <w:rPr>
                      <w:rFonts w:ascii="Times New Roman" w:hAnsi="Times New Roman" w:eastAsia="Times New Roman" w:cs="Times New Roman"/>
                      <w:spacing w:val="-1"/>
                      <w:sz w:val="20"/>
                      <w:szCs w:val="20"/>
                    </w:rPr>
                    <w:t>35μg/m</w:t>
                  </w:r>
                  <w:r>
                    <w:rPr>
                      <w:rFonts w:ascii="Times New Roman" w:hAnsi="Times New Roman" w:eastAsia="Times New Roman" w:cs="Times New Roman"/>
                      <w:spacing w:val="-1"/>
                      <w:position w:val="6"/>
                      <w:sz w:val="12"/>
                      <w:szCs w:val="12"/>
                    </w:rPr>
                    <w:t>3</w:t>
                  </w:r>
                </w:p>
              </w:tc>
              <w:tc>
                <w:tcPr>
                  <w:tcW w:w="981" w:type="dxa"/>
                  <w:vAlign w:val="top"/>
                </w:tcPr>
                <w:p w14:paraId="41D69C1A">
                  <w:pPr>
                    <w:spacing w:before="66" w:line="197" w:lineRule="auto"/>
                    <w:ind w:left="19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80.00%</w:t>
                  </w:r>
                </w:p>
              </w:tc>
              <w:tc>
                <w:tcPr>
                  <w:tcW w:w="1022" w:type="dxa"/>
                  <w:vAlign w:val="top"/>
                </w:tcPr>
                <w:p w14:paraId="0583A6DE">
                  <w:pPr>
                    <w:spacing w:before="66" w:line="197" w:lineRule="auto"/>
                    <w:ind w:left="46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060" w:type="dxa"/>
                  <w:vAlign w:val="top"/>
                </w:tcPr>
                <w:p w14:paraId="6E83919A">
                  <w:pPr>
                    <w:pStyle w:val="6"/>
                    <w:spacing w:before="32" w:line="205" w:lineRule="auto"/>
                    <w:ind w:left="333"/>
                    <w:rPr>
                      <w:sz w:val="20"/>
                      <w:szCs w:val="20"/>
                    </w:rPr>
                  </w:pPr>
                  <w:r>
                    <w:rPr>
                      <w:spacing w:val="-2"/>
                      <w:sz w:val="20"/>
                      <w:szCs w:val="20"/>
                    </w:rPr>
                    <w:t>达标</w:t>
                  </w:r>
                </w:p>
              </w:tc>
            </w:tr>
            <w:tr w14:paraId="1A7D9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965" w:type="dxa"/>
                  <w:vAlign w:val="top"/>
                </w:tcPr>
                <w:p w14:paraId="5D025F97">
                  <w:pPr>
                    <w:spacing w:before="198" w:line="186" w:lineRule="auto"/>
                    <w:ind w:left="34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CO</w:t>
                  </w:r>
                </w:p>
              </w:tc>
              <w:tc>
                <w:tcPr>
                  <w:tcW w:w="1582" w:type="dxa"/>
                  <w:vAlign w:val="top"/>
                </w:tcPr>
                <w:p w14:paraId="2D85214B">
                  <w:pPr>
                    <w:pStyle w:val="6"/>
                    <w:spacing w:before="31" w:line="222" w:lineRule="auto"/>
                    <w:ind w:left="112" w:right="106" w:firstLine="34"/>
                    <w:rPr>
                      <w:sz w:val="20"/>
                      <w:szCs w:val="20"/>
                    </w:rPr>
                  </w:pPr>
                  <w:r>
                    <w:rPr>
                      <w:spacing w:val="20"/>
                      <w:sz w:val="20"/>
                      <w:szCs w:val="20"/>
                    </w:rPr>
                    <w:t>日均浓度的第</w:t>
                  </w:r>
                  <w:r>
                    <w:rPr>
                      <w:spacing w:val="2"/>
                      <w:sz w:val="20"/>
                      <w:szCs w:val="20"/>
                    </w:rPr>
                    <w:t xml:space="preserve"> </w:t>
                  </w:r>
                  <w:r>
                    <w:rPr>
                      <w:rFonts w:ascii="Times New Roman" w:hAnsi="Times New Roman" w:eastAsia="Times New Roman" w:cs="Times New Roman"/>
                      <w:spacing w:val="-2"/>
                      <w:sz w:val="20"/>
                      <w:szCs w:val="20"/>
                    </w:rPr>
                    <w:t>95</w:t>
                  </w:r>
                  <w:r>
                    <w:rPr>
                      <w:spacing w:val="-2"/>
                      <w:sz w:val="20"/>
                      <w:szCs w:val="20"/>
                    </w:rPr>
                    <w:t>百分位数</w:t>
                  </w:r>
                </w:p>
              </w:tc>
              <w:tc>
                <w:tcPr>
                  <w:tcW w:w="1192" w:type="dxa"/>
                  <w:vAlign w:val="top"/>
                </w:tcPr>
                <w:p w14:paraId="5F5FBB0B">
                  <w:pPr>
                    <w:spacing w:before="65" w:line="221" w:lineRule="auto"/>
                    <w:ind w:left="490"/>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1.3</w:t>
                  </w:r>
                </w:p>
                <w:p w14:paraId="2932F0BF">
                  <w:pPr>
                    <w:pStyle w:val="6"/>
                    <w:spacing w:line="212" w:lineRule="auto"/>
                    <w:ind w:left="139"/>
                    <w:rPr>
                      <w:sz w:val="20"/>
                      <w:szCs w:val="20"/>
                    </w:rPr>
                  </w:pPr>
                  <w:r>
                    <w:rPr>
                      <w:rFonts w:hint="eastAsia"/>
                      <w:spacing w:val="-1"/>
                      <w:sz w:val="20"/>
                      <w:szCs w:val="20"/>
                      <w:lang w:eastAsia="zh-CN"/>
                    </w:rPr>
                    <w:t>(</w:t>
                  </w:r>
                  <w:r>
                    <w:rPr>
                      <w:rFonts w:ascii="Times New Roman" w:hAnsi="Times New Roman" w:eastAsia="Times New Roman" w:cs="Times New Roman"/>
                      <w:spacing w:val="-1"/>
                      <w:sz w:val="20"/>
                      <w:szCs w:val="20"/>
                    </w:rPr>
                    <w:t>mg/m</w:t>
                  </w:r>
                  <w:r>
                    <w:rPr>
                      <w:rFonts w:ascii="Times New Roman" w:hAnsi="Times New Roman" w:eastAsia="Times New Roman" w:cs="Times New Roman"/>
                      <w:spacing w:val="-1"/>
                      <w:position w:val="6"/>
                      <w:sz w:val="12"/>
                      <w:szCs w:val="12"/>
                    </w:rPr>
                    <w:t>3</w:t>
                  </w:r>
                  <w:r>
                    <w:rPr>
                      <w:rFonts w:hint="eastAsia" w:ascii="Times New Roman" w:hAnsi="Times New Roman" w:eastAsia="宋体" w:cs="Times New Roman"/>
                      <w:spacing w:val="-1"/>
                      <w:position w:val="6"/>
                      <w:sz w:val="12"/>
                      <w:szCs w:val="12"/>
                      <w:lang w:eastAsia="zh-CN"/>
                    </w:rPr>
                    <w:t>)</w:t>
                  </w:r>
                </w:p>
              </w:tc>
              <w:tc>
                <w:tcPr>
                  <w:tcW w:w="1111" w:type="dxa"/>
                  <w:vAlign w:val="top"/>
                </w:tcPr>
                <w:p w14:paraId="6ED65DC9">
                  <w:pPr>
                    <w:spacing w:before="65" w:line="221" w:lineRule="auto"/>
                    <w:ind w:left="506"/>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p w14:paraId="6C5E5EBA">
                  <w:pPr>
                    <w:pStyle w:val="6"/>
                    <w:spacing w:line="212" w:lineRule="auto"/>
                    <w:ind w:left="117"/>
                    <w:rPr>
                      <w:sz w:val="20"/>
                      <w:szCs w:val="20"/>
                    </w:rPr>
                  </w:pPr>
                  <w:r>
                    <w:rPr>
                      <w:rFonts w:hint="eastAsia"/>
                      <w:spacing w:val="-1"/>
                      <w:sz w:val="20"/>
                      <w:szCs w:val="20"/>
                      <w:lang w:eastAsia="zh-CN"/>
                    </w:rPr>
                    <w:t>(</w:t>
                  </w:r>
                  <w:r>
                    <w:rPr>
                      <w:rFonts w:ascii="Times New Roman" w:hAnsi="Times New Roman" w:eastAsia="Times New Roman" w:cs="Times New Roman"/>
                      <w:spacing w:val="-1"/>
                      <w:sz w:val="20"/>
                      <w:szCs w:val="20"/>
                    </w:rPr>
                    <w:t>mg/m</w:t>
                  </w:r>
                  <w:r>
                    <w:rPr>
                      <w:rFonts w:ascii="Times New Roman" w:hAnsi="Times New Roman" w:eastAsia="Times New Roman" w:cs="Times New Roman"/>
                      <w:spacing w:val="-1"/>
                      <w:position w:val="6"/>
                      <w:sz w:val="12"/>
                      <w:szCs w:val="12"/>
                    </w:rPr>
                    <w:t>3</w:t>
                  </w:r>
                  <w:r>
                    <w:rPr>
                      <w:rFonts w:hint="eastAsia" w:ascii="Times New Roman" w:hAnsi="Times New Roman" w:eastAsia="宋体" w:cs="Times New Roman"/>
                      <w:spacing w:val="-1"/>
                      <w:position w:val="6"/>
                      <w:sz w:val="12"/>
                      <w:szCs w:val="12"/>
                      <w:lang w:eastAsia="zh-CN"/>
                    </w:rPr>
                    <w:t>)</w:t>
                  </w:r>
                </w:p>
              </w:tc>
              <w:tc>
                <w:tcPr>
                  <w:tcW w:w="981" w:type="dxa"/>
                  <w:vAlign w:val="top"/>
                </w:tcPr>
                <w:p w14:paraId="3FA1ABBE">
                  <w:pPr>
                    <w:spacing w:before="194" w:line="230" w:lineRule="auto"/>
                    <w:ind w:left="18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32.50%</w:t>
                  </w:r>
                </w:p>
              </w:tc>
              <w:tc>
                <w:tcPr>
                  <w:tcW w:w="1022" w:type="dxa"/>
                  <w:vAlign w:val="top"/>
                </w:tcPr>
                <w:p w14:paraId="31757231">
                  <w:pPr>
                    <w:spacing w:before="194" w:line="233" w:lineRule="auto"/>
                    <w:ind w:left="46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060" w:type="dxa"/>
                  <w:vAlign w:val="top"/>
                </w:tcPr>
                <w:p w14:paraId="02D68BBF">
                  <w:pPr>
                    <w:pStyle w:val="6"/>
                    <w:spacing w:before="161" w:line="221" w:lineRule="auto"/>
                    <w:ind w:left="333"/>
                    <w:rPr>
                      <w:sz w:val="20"/>
                      <w:szCs w:val="20"/>
                    </w:rPr>
                  </w:pPr>
                  <w:r>
                    <w:rPr>
                      <w:spacing w:val="-2"/>
                      <w:sz w:val="20"/>
                      <w:szCs w:val="20"/>
                    </w:rPr>
                    <w:t>达标</w:t>
                  </w:r>
                </w:p>
              </w:tc>
            </w:tr>
            <w:tr w14:paraId="337D1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965" w:type="dxa"/>
                  <w:vAlign w:val="top"/>
                </w:tcPr>
                <w:p w14:paraId="2774D178">
                  <w:pPr>
                    <w:spacing w:line="271" w:lineRule="auto"/>
                    <w:rPr>
                      <w:rFonts w:ascii="Arial"/>
                      <w:sz w:val="21"/>
                    </w:rPr>
                  </w:pPr>
                </w:p>
                <w:p w14:paraId="42889E0C">
                  <w:pPr>
                    <w:spacing w:before="57" w:line="225" w:lineRule="auto"/>
                    <w:ind w:left="381"/>
                    <w:rPr>
                      <w:rFonts w:ascii="Times New Roman" w:hAnsi="Times New Roman" w:eastAsia="Times New Roman" w:cs="Times New Roman"/>
                      <w:sz w:val="12"/>
                      <w:szCs w:val="12"/>
                    </w:rPr>
                  </w:pPr>
                  <w:r>
                    <w:rPr>
                      <w:rFonts w:ascii="Times New Roman" w:hAnsi="Times New Roman" w:eastAsia="Times New Roman" w:cs="Times New Roman"/>
                      <w:spacing w:val="-1"/>
                      <w:sz w:val="20"/>
                      <w:szCs w:val="20"/>
                    </w:rPr>
                    <w:t>O</w:t>
                  </w:r>
                  <w:r>
                    <w:rPr>
                      <w:rFonts w:ascii="Times New Roman" w:hAnsi="Times New Roman" w:eastAsia="Times New Roman" w:cs="Times New Roman"/>
                      <w:spacing w:val="-1"/>
                      <w:position w:val="-1"/>
                      <w:sz w:val="12"/>
                      <w:szCs w:val="12"/>
                    </w:rPr>
                    <w:t>3</w:t>
                  </w:r>
                </w:p>
              </w:tc>
              <w:tc>
                <w:tcPr>
                  <w:tcW w:w="1582" w:type="dxa"/>
                  <w:vAlign w:val="top"/>
                </w:tcPr>
                <w:p w14:paraId="6058F6E5">
                  <w:pPr>
                    <w:pStyle w:val="6"/>
                    <w:spacing w:before="34" w:line="232" w:lineRule="auto"/>
                    <w:ind w:left="146"/>
                    <w:rPr>
                      <w:sz w:val="20"/>
                      <w:szCs w:val="20"/>
                    </w:rPr>
                  </w:pPr>
                  <w:r>
                    <w:rPr>
                      <w:spacing w:val="-8"/>
                      <w:sz w:val="20"/>
                      <w:szCs w:val="20"/>
                    </w:rPr>
                    <w:t>日</w:t>
                  </w:r>
                  <w:r>
                    <w:rPr>
                      <w:spacing w:val="-50"/>
                      <w:sz w:val="20"/>
                      <w:szCs w:val="20"/>
                    </w:rPr>
                    <w:t xml:space="preserve"> </w:t>
                  </w:r>
                  <w:r>
                    <w:rPr>
                      <w:spacing w:val="-8"/>
                      <w:sz w:val="20"/>
                      <w:szCs w:val="20"/>
                    </w:rPr>
                    <w:t>最</w:t>
                  </w:r>
                  <w:r>
                    <w:rPr>
                      <w:spacing w:val="-58"/>
                      <w:sz w:val="20"/>
                      <w:szCs w:val="20"/>
                    </w:rPr>
                    <w:t xml:space="preserve"> </w:t>
                  </w:r>
                  <w:r>
                    <w:rPr>
                      <w:spacing w:val="-8"/>
                      <w:sz w:val="20"/>
                      <w:szCs w:val="20"/>
                    </w:rPr>
                    <w:t>大</w:t>
                  </w:r>
                  <w:r>
                    <w:rPr>
                      <w:spacing w:val="-55"/>
                      <w:sz w:val="20"/>
                      <w:szCs w:val="20"/>
                    </w:rPr>
                    <w:t xml:space="preserve"> </w:t>
                  </w:r>
                  <w:r>
                    <w:rPr>
                      <w:rFonts w:ascii="Times New Roman" w:hAnsi="Times New Roman" w:eastAsia="Times New Roman" w:cs="Times New Roman"/>
                      <w:spacing w:val="-8"/>
                      <w:sz w:val="20"/>
                      <w:szCs w:val="20"/>
                    </w:rPr>
                    <w:t xml:space="preserve">8h </w:t>
                  </w:r>
                  <w:r>
                    <w:rPr>
                      <w:spacing w:val="-8"/>
                      <w:sz w:val="20"/>
                      <w:szCs w:val="20"/>
                    </w:rPr>
                    <w:t>评价</w:t>
                  </w:r>
                </w:p>
                <w:p w14:paraId="1792D75A">
                  <w:pPr>
                    <w:pStyle w:val="6"/>
                    <w:spacing w:before="7" w:line="223" w:lineRule="auto"/>
                    <w:ind w:left="113" w:right="106" w:hanging="2"/>
                    <w:rPr>
                      <w:sz w:val="20"/>
                      <w:szCs w:val="20"/>
                    </w:rPr>
                  </w:pPr>
                  <w:r>
                    <w:rPr>
                      <w:spacing w:val="-9"/>
                      <w:sz w:val="20"/>
                      <w:szCs w:val="20"/>
                    </w:rPr>
                    <w:t>浓</w:t>
                  </w:r>
                  <w:r>
                    <w:rPr>
                      <w:spacing w:val="-59"/>
                      <w:sz w:val="20"/>
                      <w:szCs w:val="20"/>
                    </w:rPr>
                    <w:t xml:space="preserve"> </w:t>
                  </w:r>
                  <w:r>
                    <w:rPr>
                      <w:spacing w:val="-9"/>
                      <w:sz w:val="20"/>
                      <w:szCs w:val="20"/>
                    </w:rPr>
                    <w:t>度</w:t>
                  </w:r>
                  <w:r>
                    <w:rPr>
                      <w:spacing w:val="-44"/>
                      <w:sz w:val="20"/>
                      <w:szCs w:val="20"/>
                    </w:rPr>
                    <w:t xml:space="preserve"> </w:t>
                  </w:r>
                  <w:r>
                    <w:rPr>
                      <w:spacing w:val="-9"/>
                      <w:sz w:val="20"/>
                      <w:szCs w:val="20"/>
                    </w:rPr>
                    <w:t>的</w:t>
                  </w:r>
                  <w:r>
                    <w:rPr>
                      <w:spacing w:val="-60"/>
                      <w:sz w:val="20"/>
                      <w:szCs w:val="20"/>
                    </w:rPr>
                    <w:t xml:space="preserve"> </w:t>
                  </w:r>
                  <w:r>
                    <w:rPr>
                      <w:spacing w:val="-9"/>
                      <w:sz w:val="20"/>
                      <w:szCs w:val="20"/>
                    </w:rPr>
                    <w:t>第</w:t>
                  </w:r>
                  <w:r>
                    <w:rPr>
                      <w:spacing w:val="-58"/>
                      <w:sz w:val="20"/>
                      <w:szCs w:val="20"/>
                    </w:rPr>
                    <w:t xml:space="preserve"> </w:t>
                  </w:r>
                  <w:r>
                    <w:rPr>
                      <w:rFonts w:ascii="Times New Roman" w:hAnsi="Times New Roman" w:eastAsia="Times New Roman" w:cs="Times New Roman"/>
                      <w:spacing w:val="-9"/>
                      <w:sz w:val="20"/>
                      <w:szCs w:val="20"/>
                    </w:rPr>
                    <w:t xml:space="preserve">90 </w:t>
                  </w:r>
                  <w:r>
                    <w:rPr>
                      <w:spacing w:val="-9"/>
                      <w:sz w:val="20"/>
                      <w:szCs w:val="20"/>
                    </w:rPr>
                    <w:t>百</w:t>
                  </w:r>
                  <w:r>
                    <w:rPr>
                      <w:sz w:val="20"/>
                      <w:szCs w:val="20"/>
                    </w:rPr>
                    <w:t xml:space="preserve"> </w:t>
                  </w:r>
                  <w:r>
                    <w:rPr>
                      <w:spacing w:val="-3"/>
                      <w:sz w:val="20"/>
                      <w:szCs w:val="20"/>
                    </w:rPr>
                    <w:t>分位</w:t>
                  </w:r>
                </w:p>
              </w:tc>
              <w:tc>
                <w:tcPr>
                  <w:tcW w:w="1192" w:type="dxa"/>
                  <w:vAlign w:val="top"/>
                </w:tcPr>
                <w:p w14:paraId="750D2927">
                  <w:pPr>
                    <w:spacing w:line="246" w:lineRule="auto"/>
                    <w:rPr>
                      <w:rFonts w:ascii="Arial"/>
                      <w:sz w:val="21"/>
                    </w:rPr>
                  </w:pPr>
                </w:p>
                <w:p w14:paraId="771D9933">
                  <w:pPr>
                    <w:spacing w:before="58" w:line="212" w:lineRule="auto"/>
                    <w:ind w:left="223"/>
                    <w:rPr>
                      <w:rFonts w:ascii="Times New Roman" w:hAnsi="Times New Roman" w:eastAsia="Times New Roman" w:cs="Times New Roman"/>
                      <w:sz w:val="12"/>
                      <w:szCs w:val="12"/>
                    </w:rPr>
                  </w:pPr>
                  <w:r>
                    <w:rPr>
                      <w:rFonts w:ascii="Times New Roman" w:hAnsi="Times New Roman" w:eastAsia="Times New Roman" w:cs="Times New Roman"/>
                      <w:spacing w:val="-3"/>
                      <w:sz w:val="20"/>
                      <w:szCs w:val="20"/>
                    </w:rPr>
                    <w:t>133μg/m</w:t>
                  </w:r>
                  <w:r>
                    <w:rPr>
                      <w:rFonts w:ascii="Times New Roman" w:hAnsi="Times New Roman" w:eastAsia="Times New Roman" w:cs="Times New Roman"/>
                      <w:spacing w:val="-3"/>
                      <w:position w:val="6"/>
                      <w:sz w:val="12"/>
                      <w:szCs w:val="12"/>
                    </w:rPr>
                    <w:t>3</w:t>
                  </w:r>
                </w:p>
              </w:tc>
              <w:tc>
                <w:tcPr>
                  <w:tcW w:w="1111" w:type="dxa"/>
                  <w:vAlign w:val="top"/>
                </w:tcPr>
                <w:p w14:paraId="2DDCCFCB">
                  <w:pPr>
                    <w:spacing w:line="247" w:lineRule="auto"/>
                    <w:rPr>
                      <w:rFonts w:ascii="Arial"/>
                      <w:sz w:val="21"/>
                    </w:rPr>
                  </w:pPr>
                </w:p>
                <w:p w14:paraId="0CC79445">
                  <w:pPr>
                    <w:spacing w:before="58" w:line="211" w:lineRule="auto"/>
                    <w:ind w:left="184"/>
                    <w:rPr>
                      <w:rFonts w:ascii="Times New Roman" w:hAnsi="Times New Roman" w:eastAsia="Times New Roman" w:cs="Times New Roman"/>
                      <w:sz w:val="12"/>
                      <w:szCs w:val="12"/>
                    </w:rPr>
                  </w:pPr>
                  <w:r>
                    <w:rPr>
                      <w:rFonts w:ascii="Times New Roman" w:hAnsi="Times New Roman" w:eastAsia="Times New Roman" w:cs="Times New Roman"/>
                      <w:spacing w:val="-3"/>
                      <w:sz w:val="20"/>
                      <w:szCs w:val="20"/>
                    </w:rPr>
                    <w:t>160μg/m</w:t>
                  </w:r>
                  <w:r>
                    <w:rPr>
                      <w:rFonts w:ascii="Times New Roman" w:hAnsi="Times New Roman" w:eastAsia="Times New Roman" w:cs="Times New Roman"/>
                      <w:spacing w:val="-3"/>
                      <w:position w:val="6"/>
                      <w:sz w:val="12"/>
                      <w:szCs w:val="12"/>
                    </w:rPr>
                    <w:t>3</w:t>
                  </w:r>
                </w:p>
              </w:tc>
              <w:tc>
                <w:tcPr>
                  <w:tcW w:w="981" w:type="dxa"/>
                  <w:vAlign w:val="top"/>
                </w:tcPr>
                <w:p w14:paraId="7F41E348">
                  <w:pPr>
                    <w:spacing w:line="267" w:lineRule="auto"/>
                    <w:rPr>
                      <w:rFonts w:ascii="Arial"/>
                      <w:sz w:val="21"/>
                    </w:rPr>
                  </w:pPr>
                </w:p>
                <w:p w14:paraId="27532B75">
                  <w:pPr>
                    <w:spacing w:before="57" w:line="230" w:lineRule="auto"/>
                    <w:ind w:left="19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83.13%</w:t>
                  </w:r>
                </w:p>
              </w:tc>
              <w:tc>
                <w:tcPr>
                  <w:tcW w:w="1022" w:type="dxa"/>
                  <w:vAlign w:val="top"/>
                </w:tcPr>
                <w:p w14:paraId="08C3087B">
                  <w:pPr>
                    <w:spacing w:line="267" w:lineRule="auto"/>
                    <w:rPr>
                      <w:rFonts w:ascii="Arial"/>
                      <w:sz w:val="21"/>
                    </w:rPr>
                  </w:pPr>
                </w:p>
                <w:p w14:paraId="76171164">
                  <w:pPr>
                    <w:spacing w:before="57" w:line="233" w:lineRule="auto"/>
                    <w:ind w:left="46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060" w:type="dxa"/>
                  <w:vAlign w:val="top"/>
                </w:tcPr>
                <w:p w14:paraId="17799F61">
                  <w:pPr>
                    <w:pStyle w:val="6"/>
                    <w:spacing w:before="293" w:line="221" w:lineRule="auto"/>
                    <w:ind w:left="333"/>
                    <w:rPr>
                      <w:sz w:val="20"/>
                      <w:szCs w:val="20"/>
                    </w:rPr>
                  </w:pPr>
                  <w:r>
                    <w:rPr>
                      <w:spacing w:val="-2"/>
                      <w:sz w:val="20"/>
                      <w:szCs w:val="20"/>
                    </w:rPr>
                    <w:t>达标</w:t>
                  </w:r>
                </w:p>
              </w:tc>
            </w:tr>
          </w:tbl>
          <w:p w14:paraId="37D8702F">
            <w:pPr>
              <w:pStyle w:val="6"/>
              <w:spacing w:before="140" w:line="218" w:lineRule="auto"/>
              <w:ind w:left="528"/>
            </w:pPr>
            <w:r>
              <w:rPr>
                <w:spacing w:val="-2"/>
              </w:rPr>
              <w:t>根据上表评价结果，项目所在区域为环境空气质量达标区。</w:t>
            </w:r>
          </w:p>
          <w:p w14:paraId="03B5F6CE">
            <w:pPr>
              <w:pStyle w:val="6"/>
              <w:spacing w:before="153" w:line="232" w:lineRule="auto"/>
              <w:ind w:left="536"/>
            </w:pPr>
            <w:r>
              <w:rPr>
                <w:b/>
                <w:bCs/>
                <w:spacing w:val="-3"/>
              </w:rPr>
              <w:t>（</w:t>
            </w:r>
            <w:r>
              <w:rPr>
                <w:rFonts w:ascii="Times New Roman" w:hAnsi="Times New Roman" w:eastAsia="Times New Roman" w:cs="Times New Roman"/>
                <w:b/>
                <w:bCs/>
                <w:spacing w:val="-3"/>
              </w:rPr>
              <w:t>2</w:t>
            </w:r>
            <w:r>
              <w:rPr>
                <w:b/>
                <w:bCs/>
                <w:spacing w:val="-3"/>
              </w:rPr>
              <w:t>）特征因子补充监测评价</w:t>
            </w:r>
          </w:p>
          <w:p w14:paraId="18D30B97">
            <w:pPr>
              <w:pStyle w:val="6"/>
              <w:spacing w:before="133" w:line="352" w:lineRule="auto"/>
              <w:ind w:left="110" w:right="102" w:firstLine="418"/>
              <w:jc w:val="both"/>
              <w:rPr>
                <w:rFonts w:ascii="Times New Roman" w:hAnsi="Times New Roman" w:eastAsia="Times New Roman" w:cs="Times New Roman"/>
              </w:rPr>
            </w:pPr>
            <w:r>
              <w:rPr>
                <w:spacing w:val="-1"/>
              </w:rPr>
              <w:t>根据中华人民共和国生态环境部办公厅</w:t>
            </w:r>
            <w:r>
              <w:rPr>
                <w:rFonts w:ascii="Times New Roman" w:hAnsi="Times New Roman" w:eastAsia="Times New Roman" w:cs="Times New Roman"/>
                <w:spacing w:val="-1"/>
              </w:rPr>
              <w:t>2021</w:t>
            </w:r>
            <w:r>
              <w:rPr>
                <w:spacing w:val="-1"/>
              </w:rPr>
              <w:t>年</w:t>
            </w:r>
            <w:r>
              <w:rPr>
                <w:rFonts w:ascii="Times New Roman" w:hAnsi="Times New Roman" w:eastAsia="Times New Roman" w:cs="Times New Roman"/>
                <w:spacing w:val="-1"/>
              </w:rPr>
              <w:t>4</w:t>
            </w:r>
            <w:r>
              <w:rPr>
                <w:spacing w:val="-1"/>
              </w:rPr>
              <w:t>月</w:t>
            </w:r>
            <w:r>
              <w:rPr>
                <w:rFonts w:ascii="Times New Roman" w:hAnsi="Times New Roman" w:eastAsia="Times New Roman" w:cs="Times New Roman"/>
                <w:spacing w:val="-1"/>
              </w:rPr>
              <w:t>1</w:t>
            </w:r>
            <w:r>
              <w:rPr>
                <w:spacing w:val="-1"/>
              </w:rPr>
              <w:t>日实施的《建设项目环境影响报</w:t>
            </w:r>
            <w:r>
              <w:rPr>
                <w:spacing w:val="13"/>
              </w:rPr>
              <w:t xml:space="preserve"> </w:t>
            </w:r>
            <w:r>
              <w:rPr>
                <w:spacing w:val="-5"/>
              </w:rPr>
              <w:t>告表编制技术指南（污染影响类）</w:t>
            </w:r>
            <w:r>
              <w:rPr>
                <w:rFonts w:hint="eastAsia"/>
                <w:spacing w:val="-5"/>
                <w:lang w:eastAsia="zh-CN"/>
              </w:rPr>
              <w:t>（试行）》</w:t>
            </w:r>
            <w:r>
              <w:rPr>
                <w:spacing w:val="-5"/>
              </w:rPr>
              <w:t xml:space="preserve"> 的要求：</w:t>
            </w:r>
            <w:r>
              <w:rPr>
                <w:rFonts w:ascii="Times New Roman" w:hAnsi="Times New Roman" w:eastAsia="Times New Roman" w:cs="Times New Roman"/>
                <w:spacing w:val="-6"/>
              </w:rPr>
              <w:t>“</w:t>
            </w:r>
            <w:r>
              <w:rPr>
                <w:spacing w:val="-6"/>
              </w:rPr>
              <w:t>排放国家、地方环境空气质量标</w:t>
            </w:r>
            <w:r>
              <w:t xml:space="preserve"> 准中有标准限值要求的特征污染物时，引用建设</w:t>
            </w:r>
            <w:r>
              <w:rPr>
                <w:spacing w:val="-1"/>
              </w:rPr>
              <w:t>项目周边</w:t>
            </w:r>
            <w:r>
              <w:rPr>
                <w:rFonts w:ascii="Times New Roman" w:hAnsi="Times New Roman" w:eastAsia="Times New Roman" w:cs="Times New Roman"/>
                <w:spacing w:val="-1"/>
              </w:rPr>
              <w:t>5</w:t>
            </w:r>
            <w:r>
              <w:rPr>
                <w:spacing w:val="-1"/>
              </w:rPr>
              <w:t>千米范围内近</w:t>
            </w:r>
            <w:r>
              <w:rPr>
                <w:rFonts w:ascii="Times New Roman" w:hAnsi="Times New Roman" w:eastAsia="Times New Roman" w:cs="Times New Roman"/>
                <w:spacing w:val="-1"/>
              </w:rPr>
              <w:t>3</w:t>
            </w:r>
            <w:r>
              <w:rPr>
                <w:spacing w:val="-1"/>
              </w:rPr>
              <w:t>年的现有监测</w:t>
            </w:r>
            <w:r>
              <w:t xml:space="preserve"> </w:t>
            </w:r>
            <w:r>
              <w:rPr>
                <w:spacing w:val="1"/>
              </w:rPr>
              <w:t>数据，无相关数据的选择当季主导风向下风向</w:t>
            </w:r>
            <w:r>
              <w:rPr>
                <w:rFonts w:ascii="Times New Roman" w:hAnsi="Times New Roman" w:eastAsia="Times New Roman" w:cs="Times New Roman"/>
                <w:spacing w:val="1"/>
              </w:rPr>
              <w:t>1</w:t>
            </w:r>
            <w:r>
              <w:rPr>
                <w:spacing w:val="1"/>
              </w:rPr>
              <w:t>个点位补充不少于</w:t>
            </w:r>
            <w:r>
              <w:rPr>
                <w:rFonts w:ascii="Times New Roman" w:hAnsi="Times New Roman" w:eastAsia="Times New Roman" w:cs="Times New Roman"/>
                <w:spacing w:val="1"/>
              </w:rPr>
              <w:t>3</w:t>
            </w:r>
            <w:r>
              <w:rPr>
                <w:spacing w:val="1"/>
              </w:rPr>
              <w:t>天的监测</w:t>
            </w:r>
            <w:r>
              <w:t>数据。</w:t>
            </w:r>
            <w:r>
              <w:rPr>
                <w:rFonts w:ascii="Times New Roman" w:hAnsi="Times New Roman" w:eastAsia="Times New Roman" w:cs="Times New Roman"/>
              </w:rPr>
              <w:t>”</w:t>
            </w:r>
          </w:p>
          <w:p w14:paraId="7A5303A6">
            <w:pPr>
              <w:pStyle w:val="6"/>
              <w:spacing w:before="4" w:line="341" w:lineRule="auto"/>
              <w:ind w:left="109" w:right="102" w:firstLine="419"/>
              <w:jc w:val="both"/>
            </w:pPr>
            <w:r>
              <w:t>根据项目特点，对项目的特征污染物（颗粒物</w:t>
            </w:r>
            <w:r>
              <w:rPr>
                <w:spacing w:val="-4"/>
              </w:rPr>
              <w:t>），</w:t>
            </w:r>
            <w:r>
              <w:t>拟引用“绿色</w:t>
            </w:r>
            <w:r>
              <w:rPr>
                <w:spacing w:val="-1"/>
              </w:rPr>
              <w:t>节能环保建材产业</w:t>
            </w:r>
            <w:r>
              <w:rPr>
                <w:spacing w:val="1"/>
              </w:rPr>
              <w:t xml:space="preserve"> </w:t>
            </w:r>
            <w:r>
              <w:rPr>
                <w:spacing w:val="-2"/>
              </w:rPr>
              <w:t>化项目”环境监测数据。本项目与“绿色节能环保建材产业化项目”相距约</w:t>
            </w:r>
            <w:r>
              <w:rPr>
                <w:rFonts w:ascii="Times New Roman" w:hAnsi="Times New Roman" w:eastAsia="Times New Roman" w:cs="Times New Roman"/>
                <w:spacing w:val="-2"/>
              </w:rPr>
              <w:t>500m</w:t>
            </w:r>
            <w:r>
              <w:rPr>
                <w:spacing w:val="-2"/>
              </w:rPr>
              <w:t>，地形</w:t>
            </w:r>
            <w:r>
              <w:rPr>
                <w:spacing w:val="4"/>
              </w:rPr>
              <w:t xml:space="preserve"> </w:t>
            </w:r>
            <w:r>
              <w:rPr>
                <w:spacing w:val="-6"/>
              </w:rPr>
              <w:t>条件和区域污染源等基本一致；拟引用监测的监测因子及布点要求满足本项目需求；“绿</w:t>
            </w:r>
            <w:r>
              <w:rPr>
                <w:spacing w:val="7"/>
              </w:rPr>
              <w:t xml:space="preserve"> </w:t>
            </w:r>
            <w:r>
              <w:t>色节能环保建材产业化项目”监测时间为</w:t>
            </w:r>
            <w:r>
              <w:rPr>
                <w:rFonts w:ascii="Times New Roman" w:hAnsi="Times New Roman" w:eastAsia="Times New Roman" w:cs="Times New Roman"/>
              </w:rPr>
              <w:t>2024</w:t>
            </w:r>
            <w:r>
              <w:t>年</w:t>
            </w:r>
            <w:r>
              <w:rPr>
                <w:rFonts w:ascii="Times New Roman" w:hAnsi="Times New Roman" w:eastAsia="Times New Roman" w:cs="Times New Roman"/>
              </w:rPr>
              <w:t>6</w:t>
            </w:r>
            <w:r>
              <w:t>月，</w:t>
            </w:r>
            <w:r>
              <w:rPr>
                <w:spacing w:val="-1"/>
              </w:rPr>
              <w:t>本次环评时间为</w:t>
            </w:r>
            <w:r>
              <w:rPr>
                <w:rFonts w:ascii="Times New Roman" w:hAnsi="Times New Roman" w:eastAsia="Times New Roman" w:cs="Times New Roman"/>
                <w:spacing w:val="-1"/>
              </w:rPr>
              <w:t>2025</w:t>
            </w:r>
            <w:r>
              <w:rPr>
                <w:spacing w:val="-1"/>
              </w:rPr>
              <w:t>年</w:t>
            </w:r>
            <w:r>
              <w:rPr>
                <w:rFonts w:ascii="Times New Roman" w:hAnsi="Times New Roman" w:eastAsia="Times New Roman" w:cs="Times New Roman"/>
                <w:spacing w:val="-1"/>
              </w:rPr>
              <w:t>7</w:t>
            </w:r>
            <w:r>
              <w:rPr>
                <w:spacing w:val="-1"/>
              </w:rPr>
              <w:t>月，监测</w:t>
            </w:r>
            <w:r>
              <w:t xml:space="preserve"> </w:t>
            </w:r>
            <w:r>
              <w:rPr>
                <w:spacing w:val="-4"/>
              </w:rPr>
              <w:t>数据在引用的时效范围内。</w:t>
            </w:r>
          </w:p>
        </w:tc>
      </w:tr>
    </w:tbl>
    <w:p w14:paraId="1EA01092">
      <w:pPr>
        <w:rPr>
          <w:rFonts w:ascii="Arial"/>
          <w:sz w:val="21"/>
        </w:rPr>
      </w:pPr>
    </w:p>
    <w:p w14:paraId="0716B829">
      <w:pPr>
        <w:rPr>
          <w:rFonts w:ascii="Arial" w:hAnsi="Arial" w:eastAsia="Arial" w:cs="Arial"/>
          <w:sz w:val="21"/>
          <w:szCs w:val="21"/>
        </w:rPr>
        <w:sectPr>
          <w:footerReference r:id="rId49" w:type="default"/>
          <w:pgSz w:w="11908" w:h="16840"/>
          <w:pgMar w:top="1431" w:right="1448" w:bottom="1053" w:left="1448" w:header="0" w:footer="801" w:gutter="0"/>
          <w:cols w:space="720" w:num="1"/>
        </w:sectPr>
      </w:pPr>
    </w:p>
    <w:p w14:paraId="01AE99BD">
      <w:pPr>
        <w:spacing w:before="28"/>
      </w:pPr>
    </w:p>
    <w:tbl>
      <w:tblPr>
        <w:tblStyle w:val="5"/>
        <w:tblW w:w="899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8"/>
        <w:gridCol w:w="8187"/>
      </w:tblGrid>
      <w:tr w14:paraId="4D234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37" w:hRule="atLeast"/>
        </w:trPr>
        <w:tc>
          <w:tcPr>
            <w:tcW w:w="808" w:type="dxa"/>
            <w:tcBorders>
              <w:bottom w:val="single" w:color="000000" w:sz="2" w:space="0"/>
              <w:right w:val="single" w:color="000000" w:sz="2" w:space="0"/>
            </w:tcBorders>
            <w:vAlign w:val="top"/>
          </w:tcPr>
          <w:p w14:paraId="11519818">
            <w:pPr>
              <w:spacing w:line="249" w:lineRule="auto"/>
              <w:rPr>
                <w:rFonts w:ascii="Arial"/>
                <w:sz w:val="21"/>
              </w:rPr>
            </w:pPr>
          </w:p>
          <w:p w14:paraId="0867E69B">
            <w:pPr>
              <w:spacing w:line="249" w:lineRule="auto"/>
              <w:rPr>
                <w:rFonts w:ascii="Arial"/>
                <w:sz w:val="21"/>
              </w:rPr>
            </w:pPr>
          </w:p>
          <w:p w14:paraId="4F61D1BE">
            <w:pPr>
              <w:spacing w:line="249" w:lineRule="auto"/>
              <w:rPr>
                <w:rFonts w:ascii="Arial"/>
                <w:sz w:val="21"/>
              </w:rPr>
            </w:pPr>
          </w:p>
          <w:p w14:paraId="2C82D8F4">
            <w:pPr>
              <w:spacing w:line="250" w:lineRule="auto"/>
              <w:rPr>
                <w:rFonts w:ascii="Arial"/>
                <w:sz w:val="21"/>
              </w:rPr>
            </w:pPr>
          </w:p>
          <w:p w14:paraId="7F11450E">
            <w:pPr>
              <w:spacing w:line="250" w:lineRule="auto"/>
              <w:rPr>
                <w:rFonts w:ascii="Arial"/>
                <w:sz w:val="21"/>
              </w:rPr>
            </w:pPr>
          </w:p>
          <w:p w14:paraId="0BFEB78E">
            <w:pPr>
              <w:spacing w:line="250" w:lineRule="auto"/>
              <w:rPr>
                <w:rFonts w:ascii="Arial"/>
                <w:sz w:val="21"/>
              </w:rPr>
            </w:pPr>
          </w:p>
          <w:p w14:paraId="0858B528">
            <w:pPr>
              <w:spacing w:line="250" w:lineRule="auto"/>
              <w:rPr>
                <w:rFonts w:ascii="Arial"/>
                <w:sz w:val="21"/>
              </w:rPr>
            </w:pPr>
          </w:p>
          <w:p w14:paraId="7BB4F803">
            <w:pPr>
              <w:spacing w:line="250" w:lineRule="auto"/>
              <w:rPr>
                <w:rFonts w:ascii="Arial"/>
                <w:sz w:val="21"/>
              </w:rPr>
            </w:pPr>
          </w:p>
          <w:p w14:paraId="530394C4">
            <w:pPr>
              <w:spacing w:line="250" w:lineRule="auto"/>
              <w:rPr>
                <w:rFonts w:ascii="Arial"/>
                <w:sz w:val="21"/>
              </w:rPr>
            </w:pPr>
          </w:p>
          <w:p w14:paraId="2D482C58">
            <w:pPr>
              <w:spacing w:line="250" w:lineRule="auto"/>
              <w:rPr>
                <w:rFonts w:ascii="Arial"/>
                <w:sz w:val="21"/>
              </w:rPr>
            </w:pPr>
          </w:p>
          <w:p w14:paraId="17039192">
            <w:pPr>
              <w:spacing w:line="250" w:lineRule="auto"/>
              <w:rPr>
                <w:rFonts w:ascii="Arial"/>
                <w:sz w:val="21"/>
              </w:rPr>
            </w:pPr>
          </w:p>
          <w:p w14:paraId="3D5F7035">
            <w:pPr>
              <w:spacing w:line="250" w:lineRule="auto"/>
              <w:rPr>
                <w:rFonts w:ascii="Arial"/>
                <w:sz w:val="21"/>
              </w:rPr>
            </w:pPr>
          </w:p>
          <w:p w14:paraId="25DB4B3D">
            <w:pPr>
              <w:spacing w:line="250" w:lineRule="auto"/>
              <w:rPr>
                <w:rFonts w:ascii="Arial"/>
                <w:sz w:val="21"/>
              </w:rPr>
            </w:pPr>
          </w:p>
          <w:p w14:paraId="254DE882">
            <w:pPr>
              <w:spacing w:line="250" w:lineRule="auto"/>
              <w:rPr>
                <w:rFonts w:ascii="Arial"/>
                <w:sz w:val="21"/>
              </w:rPr>
            </w:pPr>
          </w:p>
          <w:p w14:paraId="049EFDEF">
            <w:pPr>
              <w:spacing w:line="250" w:lineRule="auto"/>
              <w:rPr>
                <w:rFonts w:ascii="Arial"/>
                <w:sz w:val="21"/>
              </w:rPr>
            </w:pPr>
          </w:p>
          <w:p w14:paraId="46BA7AA4">
            <w:pPr>
              <w:spacing w:line="250" w:lineRule="auto"/>
              <w:rPr>
                <w:rFonts w:ascii="Arial"/>
                <w:sz w:val="21"/>
              </w:rPr>
            </w:pPr>
          </w:p>
          <w:p w14:paraId="07ADA402">
            <w:pPr>
              <w:spacing w:line="250" w:lineRule="auto"/>
              <w:rPr>
                <w:rFonts w:ascii="Arial"/>
                <w:sz w:val="21"/>
              </w:rPr>
            </w:pPr>
          </w:p>
          <w:p w14:paraId="4B1E09CB">
            <w:pPr>
              <w:spacing w:line="250" w:lineRule="auto"/>
              <w:rPr>
                <w:rFonts w:ascii="Arial"/>
                <w:sz w:val="21"/>
              </w:rPr>
            </w:pPr>
          </w:p>
          <w:p w14:paraId="59FB80FC">
            <w:pPr>
              <w:spacing w:line="250" w:lineRule="auto"/>
              <w:rPr>
                <w:rFonts w:ascii="Arial"/>
                <w:sz w:val="21"/>
              </w:rPr>
            </w:pPr>
          </w:p>
          <w:p w14:paraId="2D64F0B9">
            <w:pPr>
              <w:spacing w:line="250" w:lineRule="auto"/>
              <w:rPr>
                <w:rFonts w:ascii="Arial"/>
                <w:sz w:val="21"/>
              </w:rPr>
            </w:pPr>
          </w:p>
          <w:p w14:paraId="0AF03C70">
            <w:pPr>
              <w:spacing w:line="250" w:lineRule="auto"/>
              <w:rPr>
                <w:rFonts w:ascii="Arial"/>
                <w:sz w:val="21"/>
              </w:rPr>
            </w:pPr>
          </w:p>
          <w:p w14:paraId="6B283F94">
            <w:pPr>
              <w:spacing w:line="250" w:lineRule="auto"/>
              <w:rPr>
                <w:rFonts w:ascii="Arial"/>
                <w:sz w:val="21"/>
              </w:rPr>
            </w:pPr>
          </w:p>
          <w:p w14:paraId="50F04C0A">
            <w:pPr>
              <w:spacing w:line="250" w:lineRule="auto"/>
              <w:rPr>
                <w:rFonts w:ascii="Arial"/>
                <w:sz w:val="21"/>
              </w:rPr>
            </w:pPr>
          </w:p>
          <w:p w14:paraId="042A7C79">
            <w:pPr>
              <w:spacing w:line="250" w:lineRule="auto"/>
              <w:rPr>
                <w:rFonts w:ascii="Arial"/>
                <w:sz w:val="21"/>
              </w:rPr>
            </w:pPr>
          </w:p>
          <w:p w14:paraId="71A0833A">
            <w:pPr>
              <w:pStyle w:val="6"/>
              <w:spacing w:before="78" w:line="220" w:lineRule="auto"/>
              <w:ind w:left="180"/>
              <w:rPr>
                <w:sz w:val="24"/>
                <w:szCs w:val="24"/>
              </w:rPr>
            </w:pPr>
            <w:r>
              <w:rPr>
                <w:b/>
                <w:bCs/>
                <w:spacing w:val="-10"/>
                <w:sz w:val="24"/>
                <w:szCs w:val="24"/>
              </w:rPr>
              <w:t>区域</w:t>
            </w:r>
          </w:p>
          <w:p w14:paraId="19B42DAB">
            <w:pPr>
              <w:pStyle w:val="6"/>
              <w:spacing w:before="24" w:line="220" w:lineRule="auto"/>
              <w:ind w:left="162"/>
              <w:rPr>
                <w:sz w:val="24"/>
                <w:szCs w:val="24"/>
              </w:rPr>
            </w:pPr>
            <w:r>
              <w:rPr>
                <w:b/>
                <w:bCs/>
                <w:spacing w:val="-5"/>
                <w:sz w:val="24"/>
                <w:szCs w:val="24"/>
              </w:rPr>
              <w:t>环境</w:t>
            </w:r>
          </w:p>
          <w:p w14:paraId="6FF57D24">
            <w:pPr>
              <w:pStyle w:val="6"/>
              <w:spacing w:before="24" w:line="220" w:lineRule="auto"/>
              <w:ind w:left="163"/>
              <w:rPr>
                <w:sz w:val="24"/>
                <w:szCs w:val="24"/>
              </w:rPr>
            </w:pPr>
            <w:r>
              <w:rPr>
                <w:b/>
                <w:bCs/>
                <w:spacing w:val="-5"/>
                <w:sz w:val="24"/>
                <w:szCs w:val="24"/>
              </w:rPr>
              <w:t>质量</w:t>
            </w:r>
          </w:p>
          <w:p w14:paraId="29335C89">
            <w:pPr>
              <w:pStyle w:val="6"/>
              <w:spacing w:before="25" w:line="220" w:lineRule="auto"/>
              <w:ind w:left="164"/>
              <w:rPr>
                <w:sz w:val="24"/>
                <w:szCs w:val="24"/>
              </w:rPr>
            </w:pPr>
            <w:r>
              <w:rPr>
                <w:b/>
                <w:bCs/>
                <w:spacing w:val="-6"/>
                <w:sz w:val="24"/>
                <w:szCs w:val="24"/>
              </w:rPr>
              <w:t>现状</w:t>
            </w:r>
          </w:p>
        </w:tc>
        <w:tc>
          <w:tcPr>
            <w:tcW w:w="8187" w:type="dxa"/>
            <w:tcBorders>
              <w:left w:val="single" w:color="000000" w:sz="2" w:space="0"/>
              <w:bottom w:val="single" w:color="000000" w:sz="2" w:space="0"/>
            </w:tcBorders>
            <w:vAlign w:val="top"/>
          </w:tcPr>
          <w:p w14:paraId="36089B7F">
            <w:pPr>
              <w:pStyle w:val="6"/>
              <w:spacing w:before="143" w:line="352" w:lineRule="auto"/>
              <w:ind w:left="109" w:right="5" w:firstLine="438"/>
              <w:jc w:val="both"/>
            </w:pPr>
            <w:r>
              <w:rPr>
                <w:spacing w:val="-1"/>
              </w:rPr>
              <w:t>四川融华环境检测有限公司于</w:t>
            </w:r>
            <w:r>
              <w:rPr>
                <w:rFonts w:ascii="Times New Roman" w:hAnsi="Times New Roman" w:eastAsia="Times New Roman" w:cs="Times New Roman"/>
                <w:spacing w:val="-1"/>
              </w:rPr>
              <w:t>2024</w:t>
            </w:r>
            <w:r>
              <w:rPr>
                <w:spacing w:val="-1"/>
              </w:rPr>
              <w:t>年</w:t>
            </w:r>
            <w:r>
              <w:rPr>
                <w:rFonts w:ascii="Times New Roman" w:hAnsi="Times New Roman" w:eastAsia="Times New Roman" w:cs="Times New Roman"/>
                <w:spacing w:val="-1"/>
              </w:rPr>
              <w:t>6</w:t>
            </w:r>
            <w:r>
              <w:rPr>
                <w:spacing w:val="-1"/>
              </w:rPr>
              <w:t>月</w:t>
            </w:r>
            <w:r>
              <w:rPr>
                <w:rFonts w:ascii="Times New Roman" w:hAnsi="Times New Roman" w:eastAsia="Times New Roman" w:cs="Times New Roman"/>
                <w:spacing w:val="-1"/>
              </w:rPr>
              <w:t>27</w:t>
            </w:r>
            <w:r>
              <w:rPr>
                <w:spacing w:val="-1"/>
              </w:rPr>
              <w:t>日</w:t>
            </w:r>
            <w:r>
              <w:rPr>
                <w:rFonts w:hint="eastAsia"/>
                <w:spacing w:val="-1"/>
                <w:lang w:eastAsia="zh-CN"/>
              </w:rPr>
              <w:t>—</w:t>
            </w:r>
            <w:r>
              <w:rPr>
                <w:rFonts w:ascii="Times New Roman" w:hAnsi="Times New Roman" w:eastAsia="Times New Roman" w:cs="Times New Roman"/>
                <w:spacing w:val="-1"/>
              </w:rPr>
              <w:t>29</w:t>
            </w:r>
            <w:r>
              <w:rPr>
                <w:spacing w:val="-1"/>
              </w:rPr>
              <w:t>日对“绿色节能环保建材产</w:t>
            </w:r>
            <w:r>
              <w:rPr>
                <w:spacing w:val="-2"/>
              </w:rPr>
              <w:t>业化项</w:t>
            </w:r>
            <w:r>
              <w:t xml:space="preserve">  </w:t>
            </w:r>
            <w:r>
              <w:rPr>
                <w:spacing w:val="1"/>
              </w:rPr>
              <w:t>目”环境空气质量特征因子进行现状监测。监测因子：</w:t>
            </w:r>
            <w:r>
              <w:rPr>
                <w:rFonts w:ascii="Times New Roman" w:hAnsi="Times New Roman" w:eastAsia="Times New Roman" w:cs="Times New Roman"/>
              </w:rPr>
              <w:t>TSP</w:t>
            </w:r>
            <w:r>
              <w:rPr>
                <w:spacing w:val="1"/>
              </w:rPr>
              <w:t>。监测点位：项目区内。监</w:t>
            </w:r>
            <w:r>
              <w:rPr>
                <w:spacing w:val="2"/>
              </w:rPr>
              <w:t xml:space="preserve">  </w:t>
            </w:r>
            <w:r>
              <w:rPr>
                <w:spacing w:val="-6"/>
              </w:rPr>
              <w:t>测频次：连续检测</w:t>
            </w:r>
            <w:r>
              <w:rPr>
                <w:rFonts w:ascii="Times New Roman" w:hAnsi="Times New Roman" w:eastAsia="Times New Roman" w:cs="Times New Roman"/>
                <w:spacing w:val="-6"/>
              </w:rPr>
              <w:t>3</w:t>
            </w:r>
            <w:r>
              <w:rPr>
                <w:spacing w:val="-6"/>
              </w:rPr>
              <w:t>天，每天采样</w:t>
            </w:r>
            <w:r>
              <w:rPr>
                <w:rFonts w:ascii="Times New Roman" w:hAnsi="Times New Roman" w:eastAsia="Times New Roman" w:cs="Times New Roman"/>
                <w:spacing w:val="-6"/>
              </w:rPr>
              <w:t>1</w:t>
            </w:r>
            <w:r>
              <w:rPr>
                <w:spacing w:val="-6"/>
              </w:rPr>
              <w:t>次，取日均值。评价标准： 采用《环境空气质量标准》</w:t>
            </w:r>
            <w:r>
              <w:rPr>
                <w:spacing w:val="12"/>
              </w:rPr>
              <w:t xml:space="preserve"> </w:t>
            </w:r>
            <w:r>
              <w:rPr>
                <w:spacing w:val="-2"/>
              </w:rPr>
              <w:t>（</w:t>
            </w:r>
            <w:r>
              <w:rPr>
                <w:rFonts w:ascii="Times New Roman" w:hAnsi="Times New Roman" w:eastAsia="Times New Roman" w:cs="Times New Roman"/>
                <w:spacing w:val="-2"/>
              </w:rPr>
              <w:t>GB 3095-2012</w:t>
            </w:r>
            <w:r>
              <w:rPr>
                <w:spacing w:val="-2"/>
              </w:rPr>
              <w:t>）的限值要求。</w:t>
            </w:r>
          </w:p>
          <w:p w14:paraId="54B23437">
            <w:pPr>
              <w:pStyle w:val="6"/>
              <w:spacing w:line="218" w:lineRule="auto"/>
              <w:ind w:left="529"/>
            </w:pPr>
            <w:r>
              <w:rPr>
                <w:spacing w:val="-5"/>
              </w:rPr>
              <w:t>监测结果及评价结果如下表：</w:t>
            </w:r>
          </w:p>
          <w:p w14:paraId="3B2A8C1A">
            <w:pPr>
              <w:pStyle w:val="6"/>
              <w:spacing w:before="159" w:line="232" w:lineRule="auto"/>
              <w:ind w:left="2472"/>
              <w:rPr>
                <w:sz w:val="20"/>
                <w:szCs w:val="20"/>
              </w:rPr>
            </w:pPr>
            <w:r>
              <w:rPr>
                <w:b/>
                <w:bCs/>
                <w:spacing w:val="-2"/>
                <w:sz w:val="20"/>
                <w:szCs w:val="20"/>
              </w:rPr>
              <w:t>表</w:t>
            </w:r>
            <w:r>
              <w:rPr>
                <w:rFonts w:ascii="Times New Roman" w:hAnsi="Times New Roman" w:eastAsia="Times New Roman" w:cs="Times New Roman"/>
                <w:b/>
                <w:bCs/>
                <w:spacing w:val="-2"/>
                <w:sz w:val="20"/>
                <w:szCs w:val="20"/>
              </w:rPr>
              <w:t xml:space="preserve">3-2    </w:t>
            </w:r>
            <w:r>
              <w:rPr>
                <w:b/>
                <w:bCs/>
                <w:spacing w:val="-2"/>
                <w:sz w:val="20"/>
                <w:szCs w:val="20"/>
              </w:rPr>
              <w:t>环境空气（</w:t>
            </w:r>
            <w:r>
              <w:rPr>
                <w:rFonts w:ascii="Times New Roman" w:hAnsi="Times New Roman" w:eastAsia="Times New Roman" w:cs="Times New Roman"/>
                <w:b/>
                <w:bCs/>
                <w:spacing w:val="-2"/>
                <w:sz w:val="20"/>
                <w:szCs w:val="20"/>
              </w:rPr>
              <w:t>TSP</w:t>
            </w:r>
            <w:r>
              <w:rPr>
                <w:b/>
                <w:bCs/>
                <w:spacing w:val="-2"/>
                <w:sz w:val="20"/>
                <w:szCs w:val="20"/>
              </w:rPr>
              <w:t>）现状评价结果表</w:t>
            </w:r>
          </w:p>
          <w:tbl>
            <w:tblPr>
              <w:tblStyle w:val="5"/>
              <w:tblW w:w="7802" w:type="dxa"/>
              <w:tblInd w:w="1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7"/>
              <w:gridCol w:w="1315"/>
              <w:gridCol w:w="1317"/>
              <w:gridCol w:w="1435"/>
              <w:gridCol w:w="1148"/>
              <w:gridCol w:w="1170"/>
            </w:tblGrid>
            <w:tr w14:paraId="5761B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1417" w:type="dxa"/>
                  <w:vAlign w:val="top"/>
                </w:tcPr>
                <w:p w14:paraId="0EC70356">
                  <w:pPr>
                    <w:pStyle w:val="6"/>
                    <w:spacing w:before="34" w:line="206" w:lineRule="auto"/>
                    <w:ind w:left="313"/>
                    <w:rPr>
                      <w:sz w:val="20"/>
                      <w:szCs w:val="20"/>
                    </w:rPr>
                  </w:pPr>
                  <w:r>
                    <w:rPr>
                      <w:b/>
                      <w:bCs/>
                      <w:spacing w:val="-4"/>
                      <w:sz w:val="20"/>
                      <w:szCs w:val="20"/>
                    </w:rPr>
                    <w:t>监测点位</w:t>
                  </w:r>
                </w:p>
              </w:tc>
              <w:tc>
                <w:tcPr>
                  <w:tcW w:w="1315" w:type="dxa"/>
                  <w:vAlign w:val="top"/>
                </w:tcPr>
                <w:p w14:paraId="6C2874A8">
                  <w:pPr>
                    <w:pStyle w:val="6"/>
                    <w:spacing w:before="34" w:line="206" w:lineRule="auto"/>
                    <w:ind w:left="261"/>
                    <w:rPr>
                      <w:sz w:val="20"/>
                      <w:szCs w:val="20"/>
                    </w:rPr>
                  </w:pPr>
                  <w:r>
                    <w:rPr>
                      <w:b/>
                      <w:bCs/>
                      <w:spacing w:val="-4"/>
                      <w:sz w:val="20"/>
                      <w:szCs w:val="20"/>
                    </w:rPr>
                    <w:t>监测日期</w:t>
                  </w:r>
                </w:p>
              </w:tc>
              <w:tc>
                <w:tcPr>
                  <w:tcW w:w="1317" w:type="dxa"/>
                  <w:vAlign w:val="top"/>
                </w:tcPr>
                <w:p w14:paraId="436E360C">
                  <w:pPr>
                    <w:pStyle w:val="6"/>
                    <w:spacing w:before="34" w:line="206" w:lineRule="auto"/>
                    <w:ind w:left="263"/>
                    <w:rPr>
                      <w:sz w:val="20"/>
                      <w:szCs w:val="20"/>
                    </w:rPr>
                  </w:pPr>
                  <w:r>
                    <w:rPr>
                      <w:b/>
                      <w:bCs/>
                      <w:spacing w:val="-4"/>
                      <w:sz w:val="20"/>
                      <w:szCs w:val="20"/>
                    </w:rPr>
                    <w:t>监测结果</w:t>
                  </w:r>
                </w:p>
              </w:tc>
              <w:tc>
                <w:tcPr>
                  <w:tcW w:w="1435" w:type="dxa"/>
                  <w:vAlign w:val="top"/>
                </w:tcPr>
                <w:p w14:paraId="6CCB0616">
                  <w:pPr>
                    <w:pStyle w:val="6"/>
                    <w:spacing w:before="34" w:line="206" w:lineRule="auto"/>
                    <w:ind w:left="422"/>
                    <w:rPr>
                      <w:sz w:val="20"/>
                      <w:szCs w:val="20"/>
                    </w:rPr>
                  </w:pPr>
                  <w:r>
                    <w:rPr>
                      <w:b/>
                      <w:bCs/>
                      <w:spacing w:val="-5"/>
                      <w:sz w:val="20"/>
                      <w:szCs w:val="20"/>
                    </w:rPr>
                    <w:t>标准值</w:t>
                  </w:r>
                </w:p>
              </w:tc>
              <w:tc>
                <w:tcPr>
                  <w:tcW w:w="1148" w:type="dxa"/>
                  <w:vAlign w:val="top"/>
                </w:tcPr>
                <w:p w14:paraId="4C29A3F4">
                  <w:pPr>
                    <w:pStyle w:val="6"/>
                    <w:spacing w:before="34" w:line="206" w:lineRule="auto"/>
                    <w:ind w:left="312"/>
                    <w:rPr>
                      <w:sz w:val="20"/>
                      <w:szCs w:val="20"/>
                    </w:rPr>
                  </w:pPr>
                  <w:r>
                    <w:rPr>
                      <w:b/>
                      <w:bCs/>
                      <w:spacing w:val="-15"/>
                      <w:sz w:val="20"/>
                      <w:szCs w:val="20"/>
                    </w:rPr>
                    <w:t>占标率</w:t>
                  </w:r>
                </w:p>
              </w:tc>
              <w:tc>
                <w:tcPr>
                  <w:tcW w:w="1170" w:type="dxa"/>
                  <w:vAlign w:val="top"/>
                </w:tcPr>
                <w:p w14:paraId="7768AD19">
                  <w:pPr>
                    <w:pStyle w:val="6"/>
                    <w:spacing w:before="34" w:line="206" w:lineRule="auto"/>
                    <w:jc w:val="right"/>
                    <w:rPr>
                      <w:sz w:val="20"/>
                      <w:szCs w:val="20"/>
                    </w:rPr>
                  </w:pPr>
                  <w:r>
                    <w:rPr>
                      <w:b/>
                      <w:bCs/>
                      <w:spacing w:val="-14"/>
                      <w:sz w:val="20"/>
                      <w:szCs w:val="20"/>
                    </w:rPr>
                    <w:t>超标率（</w:t>
                  </w:r>
                  <w:r>
                    <w:rPr>
                      <w:rFonts w:ascii="Times New Roman" w:hAnsi="Times New Roman" w:eastAsia="Times New Roman" w:cs="Times New Roman"/>
                      <w:b/>
                      <w:bCs/>
                      <w:spacing w:val="-14"/>
                      <w:sz w:val="20"/>
                      <w:szCs w:val="20"/>
                    </w:rPr>
                    <w:t>%</w:t>
                  </w:r>
                  <w:r>
                    <w:rPr>
                      <w:b/>
                      <w:bCs/>
                      <w:spacing w:val="-14"/>
                      <w:sz w:val="20"/>
                      <w:szCs w:val="20"/>
                    </w:rPr>
                    <w:t>）</w:t>
                  </w:r>
                </w:p>
              </w:tc>
            </w:tr>
            <w:tr w14:paraId="103A9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 w:hRule="atLeast"/>
              </w:trPr>
              <w:tc>
                <w:tcPr>
                  <w:tcW w:w="1417" w:type="dxa"/>
                  <w:vMerge w:val="restart"/>
                  <w:tcBorders>
                    <w:bottom w:val="nil"/>
                  </w:tcBorders>
                  <w:vAlign w:val="top"/>
                </w:tcPr>
                <w:p w14:paraId="3C46E0DF">
                  <w:pPr>
                    <w:pStyle w:val="6"/>
                    <w:spacing w:before="256" w:line="220" w:lineRule="auto"/>
                    <w:ind w:left="316"/>
                    <w:rPr>
                      <w:sz w:val="20"/>
                      <w:szCs w:val="20"/>
                    </w:rPr>
                  </w:pPr>
                  <w:r>
                    <w:rPr>
                      <w:spacing w:val="-2"/>
                      <w:sz w:val="20"/>
                      <w:szCs w:val="20"/>
                    </w:rPr>
                    <w:t>项目区内</w:t>
                  </w:r>
                </w:p>
              </w:tc>
              <w:tc>
                <w:tcPr>
                  <w:tcW w:w="1315" w:type="dxa"/>
                  <w:vAlign w:val="top"/>
                </w:tcPr>
                <w:p w14:paraId="7F61DC00">
                  <w:pPr>
                    <w:spacing w:before="49" w:line="182" w:lineRule="auto"/>
                    <w:ind w:left="25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2024.6.27</w:t>
                  </w:r>
                </w:p>
              </w:tc>
              <w:tc>
                <w:tcPr>
                  <w:tcW w:w="1317" w:type="dxa"/>
                  <w:vAlign w:val="top"/>
                </w:tcPr>
                <w:p w14:paraId="2F9474E4">
                  <w:pPr>
                    <w:spacing w:before="29" w:line="203" w:lineRule="auto"/>
                    <w:ind w:left="291"/>
                    <w:rPr>
                      <w:rFonts w:ascii="Times New Roman" w:hAnsi="Times New Roman" w:eastAsia="Times New Roman" w:cs="Times New Roman"/>
                      <w:sz w:val="12"/>
                      <w:szCs w:val="12"/>
                    </w:rPr>
                  </w:pPr>
                  <w:r>
                    <w:rPr>
                      <w:rFonts w:ascii="Times New Roman" w:hAnsi="Times New Roman" w:eastAsia="Times New Roman" w:cs="Times New Roman"/>
                      <w:spacing w:val="-3"/>
                      <w:sz w:val="20"/>
                      <w:szCs w:val="20"/>
                    </w:rPr>
                    <w:t>129ug/m</w:t>
                  </w:r>
                  <w:r>
                    <w:rPr>
                      <w:rFonts w:ascii="Times New Roman" w:hAnsi="Times New Roman" w:eastAsia="Times New Roman" w:cs="Times New Roman"/>
                      <w:spacing w:val="-3"/>
                      <w:position w:val="6"/>
                      <w:sz w:val="12"/>
                      <w:szCs w:val="12"/>
                    </w:rPr>
                    <w:t>3</w:t>
                  </w:r>
                </w:p>
              </w:tc>
              <w:tc>
                <w:tcPr>
                  <w:tcW w:w="1435" w:type="dxa"/>
                  <w:vAlign w:val="top"/>
                </w:tcPr>
                <w:p w14:paraId="5145215A">
                  <w:pPr>
                    <w:spacing w:before="29" w:line="203" w:lineRule="auto"/>
                    <w:ind w:left="335"/>
                    <w:rPr>
                      <w:rFonts w:ascii="Times New Roman" w:hAnsi="Times New Roman" w:eastAsia="Times New Roman" w:cs="Times New Roman"/>
                      <w:sz w:val="12"/>
                      <w:szCs w:val="12"/>
                    </w:rPr>
                  </w:pPr>
                  <w:r>
                    <w:rPr>
                      <w:rFonts w:ascii="Times New Roman" w:hAnsi="Times New Roman" w:eastAsia="Times New Roman" w:cs="Times New Roman"/>
                      <w:spacing w:val="-1"/>
                      <w:sz w:val="20"/>
                      <w:szCs w:val="20"/>
                    </w:rPr>
                    <w:t>300ug/m</w:t>
                  </w:r>
                  <w:r>
                    <w:rPr>
                      <w:rFonts w:ascii="Times New Roman" w:hAnsi="Times New Roman" w:eastAsia="Times New Roman" w:cs="Times New Roman"/>
                      <w:spacing w:val="-1"/>
                      <w:position w:val="6"/>
                      <w:sz w:val="12"/>
                      <w:szCs w:val="12"/>
                    </w:rPr>
                    <w:t>3</w:t>
                  </w:r>
                </w:p>
              </w:tc>
              <w:tc>
                <w:tcPr>
                  <w:tcW w:w="1148" w:type="dxa"/>
                  <w:vAlign w:val="top"/>
                </w:tcPr>
                <w:p w14:paraId="1DF4AD8F">
                  <w:pPr>
                    <w:spacing w:before="49" w:line="182" w:lineRule="auto"/>
                    <w:ind w:left="39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43%</w:t>
                  </w:r>
                </w:p>
              </w:tc>
              <w:tc>
                <w:tcPr>
                  <w:tcW w:w="1170" w:type="dxa"/>
                  <w:vAlign w:val="top"/>
                </w:tcPr>
                <w:p w14:paraId="5B5EA761">
                  <w:pPr>
                    <w:spacing w:before="49" w:line="182" w:lineRule="auto"/>
                    <w:ind w:left="539"/>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14:paraId="62667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 w:hRule="atLeast"/>
              </w:trPr>
              <w:tc>
                <w:tcPr>
                  <w:tcW w:w="1417" w:type="dxa"/>
                  <w:vMerge w:val="continue"/>
                  <w:tcBorders>
                    <w:top w:val="nil"/>
                    <w:bottom w:val="nil"/>
                  </w:tcBorders>
                  <w:vAlign w:val="top"/>
                </w:tcPr>
                <w:p w14:paraId="575C1250">
                  <w:pPr>
                    <w:rPr>
                      <w:rFonts w:ascii="Arial"/>
                      <w:sz w:val="21"/>
                    </w:rPr>
                  </w:pPr>
                </w:p>
              </w:tc>
              <w:tc>
                <w:tcPr>
                  <w:tcW w:w="1315" w:type="dxa"/>
                  <w:vAlign w:val="top"/>
                </w:tcPr>
                <w:p w14:paraId="48942744">
                  <w:pPr>
                    <w:spacing w:before="50" w:line="181" w:lineRule="auto"/>
                    <w:ind w:left="25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2024.6.28</w:t>
                  </w:r>
                </w:p>
              </w:tc>
              <w:tc>
                <w:tcPr>
                  <w:tcW w:w="1317" w:type="dxa"/>
                  <w:vAlign w:val="top"/>
                </w:tcPr>
                <w:p w14:paraId="15631649">
                  <w:pPr>
                    <w:spacing w:before="30" w:line="202" w:lineRule="auto"/>
                    <w:ind w:left="291"/>
                    <w:rPr>
                      <w:rFonts w:ascii="Times New Roman" w:hAnsi="Times New Roman" w:eastAsia="Times New Roman" w:cs="Times New Roman"/>
                      <w:sz w:val="12"/>
                      <w:szCs w:val="12"/>
                    </w:rPr>
                  </w:pPr>
                  <w:r>
                    <w:rPr>
                      <w:rFonts w:ascii="Times New Roman" w:hAnsi="Times New Roman" w:eastAsia="Times New Roman" w:cs="Times New Roman"/>
                      <w:spacing w:val="-3"/>
                      <w:sz w:val="20"/>
                      <w:szCs w:val="20"/>
                    </w:rPr>
                    <w:t>137ug/m</w:t>
                  </w:r>
                  <w:r>
                    <w:rPr>
                      <w:rFonts w:ascii="Times New Roman" w:hAnsi="Times New Roman" w:eastAsia="Times New Roman" w:cs="Times New Roman"/>
                      <w:spacing w:val="-3"/>
                      <w:position w:val="6"/>
                      <w:sz w:val="12"/>
                      <w:szCs w:val="12"/>
                    </w:rPr>
                    <w:t>3</w:t>
                  </w:r>
                </w:p>
              </w:tc>
              <w:tc>
                <w:tcPr>
                  <w:tcW w:w="1435" w:type="dxa"/>
                  <w:vAlign w:val="top"/>
                </w:tcPr>
                <w:p w14:paraId="69A0A0E2">
                  <w:pPr>
                    <w:spacing w:before="30" w:line="202" w:lineRule="auto"/>
                    <w:ind w:left="335"/>
                    <w:rPr>
                      <w:rFonts w:ascii="Times New Roman" w:hAnsi="Times New Roman" w:eastAsia="Times New Roman" w:cs="Times New Roman"/>
                      <w:sz w:val="12"/>
                      <w:szCs w:val="12"/>
                    </w:rPr>
                  </w:pPr>
                  <w:r>
                    <w:rPr>
                      <w:rFonts w:ascii="Times New Roman" w:hAnsi="Times New Roman" w:eastAsia="Times New Roman" w:cs="Times New Roman"/>
                      <w:spacing w:val="-1"/>
                      <w:sz w:val="20"/>
                      <w:szCs w:val="20"/>
                    </w:rPr>
                    <w:t>300ug/m</w:t>
                  </w:r>
                  <w:r>
                    <w:rPr>
                      <w:rFonts w:ascii="Times New Roman" w:hAnsi="Times New Roman" w:eastAsia="Times New Roman" w:cs="Times New Roman"/>
                      <w:spacing w:val="-1"/>
                      <w:position w:val="6"/>
                      <w:sz w:val="12"/>
                      <w:szCs w:val="12"/>
                    </w:rPr>
                    <w:t>3</w:t>
                  </w:r>
                </w:p>
              </w:tc>
              <w:tc>
                <w:tcPr>
                  <w:tcW w:w="1148" w:type="dxa"/>
                  <w:vAlign w:val="top"/>
                </w:tcPr>
                <w:p w14:paraId="599350CF">
                  <w:pPr>
                    <w:spacing w:before="50" w:line="181" w:lineRule="auto"/>
                    <w:ind w:left="26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45.67%</w:t>
                  </w:r>
                </w:p>
              </w:tc>
              <w:tc>
                <w:tcPr>
                  <w:tcW w:w="1170" w:type="dxa"/>
                  <w:vAlign w:val="top"/>
                </w:tcPr>
                <w:p w14:paraId="64FE24E0">
                  <w:pPr>
                    <w:spacing w:before="50" w:line="181" w:lineRule="auto"/>
                    <w:ind w:left="539"/>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14:paraId="39240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417" w:type="dxa"/>
                  <w:vMerge w:val="continue"/>
                  <w:tcBorders>
                    <w:top w:val="nil"/>
                  </w:tcBorders>
                  <w:vAlign w:val="top"/>
                </w:tcPr>
                <w:p w14:paraId="1EFB6407">
                  <w:pPr>
                    <w:rPr>
                      <w:rFonts w:ascii="Arial"/>
                      <w:sz w:val="21"/>
                    </w:rPr>
                  </w:pPr>
                </w:p>
              </w:tc>
              <w:tc>
                <w:tcPr>
                  <w:tcW w:w="1315" w:type="dxa"/>
                  <w:vAlign w:val="top"/>
                </w:tcPr>
                <w:p w14:paraId="48181901">
                  <w:pPr>
                    <w:spacing w:before="51" w:line="184" w:lineRule="auto"/>
                    <w:ind w:left="25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2024.6.29</w:t>
                  </w:r>
                </w:p>
              </w:tc>
              <w:tc>
                <w:tcPr>
                  <w:tcW w:w="1317" w:type="dxa"/>
                  <w:vAlign w:val="top"/>
                </w:tcPr>
                <w:p w14:paraId="26FB57AF">
                  <w:pPr>
                    <w:spacing w:before="31" w:line="205" w:lineRule="auto"/>
                    <w:ind w:left="291"/>
                    <w:rPr>
                      <w:rFonts w:ascii="Times New Roman" w:hAnsi="Times New Roman" w:eastAsia="Times New Roman" w:cs="Times New Roman"/>
                      <w:sz w:val="12"/>
                      <w:szCs w:val="12"/>
                    </w:rPr>
                  </w:pPr>
                  <w:r>
                    <w:rPr>
                      <w:rFonts w:ascii="Times New Roman" w:hAnsi="Times New Roman" w:eastAsia="Times New Roman" w:cs="Times New Roman"/>
                      <w:spacing w:val="-3"/>
                      <w:sz w:val="20"/>
                      <w:szCs w:val="20"/>
                    </w:rPr>
                    <w:t>141ug/m</w:t>
                  </w:r>
                  <w:r>
                    <w:rPr>
                      <w:rFonts w:ascii="Times New Roman" w:hAnsi="Times New Roman" w:eastAsia="Times New Roman" w:cs="Times New Roman"/>
                      <w:spacing w:val="-3"/>
                      <w:position w:val="6"/>
                      <w:sz w:val="12"/>
                      <w:szCs w:val="12"/>
                    </w:rPr>
                    <w:t>3</w:t>
                  </w:r>
                </w:p>
              </w:tc>
              <w:tc>
                <w:tcPr>
                  <w:tcW w:w="1435" w:type="dxa"/>
                  <w:vAlign w:val="top"/>
                </w:tcPr>
                <w:p w14:paraId="5C450320">
                  <w:pPr>
                    <w:spacing w:before="31" w:line="205" w:lineRule="auto"/>
                    <w:ind w:left="335"/>
                    <w:rPr>
                      <w:rFonts w:ascii="Times New Roman" w:hAnsi="Times New Roman" w:eastAsia="Times New Roman" w:cs="Times New Roman"/>
                      <w:sz w:val="12"/>
                      <w:szCs w:val="12"/>
                    </w:rPr>
                  </w:pPr>
                  <w:r>
                    <w:rPr>
                      <w:rFonts w:ascii="Times New Roman" w:hAnsi="Times New Roman" w:eastAsia="Times New Roman" w:cs="Times New Roman"/>
                      <w:spacing w:val="-1"/>
                      <w:sz w:val="20"/>
                      <w:szCs w:val="20"/>
                    </w:rPr>
                    <w:t>300ug/m</w:t>
                  </w:r>
                  <w:r>
                    <w:rPr>
                      <w:rFonts w:ascii="Times New Roman" w:hAnsi="Times New Roman" w:eastAsia="Times New Roman" w:cs="Times New Roman"/>
                      <w:spacing w:val="-1"/>
                      <w:position w:val="6"/>
                      <w:sz w:val="12"/>
                      <w:szCs w:val="12"/>
                    </w:rPr>
                    <w:t>3</w:t>
                  </w:r>
                </w:p>
              </w:tc>
              <w:tc>
                <w:tcPr>
                  <w:tcW w:w="1148" w:type="dxa"/>
                  <w:vAlign w:val="top"/>
                </w:tcPr>
                <w:p w14:paraId="54EC9BE6">
                  <w:pPr>
                    <w:spacing w:before="51" w:line="184" w:lineRule="auto"/>
                    <w:ind w:left="26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47.00%</w:t>
                  </w:r>
                </w:p>
              </w:tc>
              <w:tc>
                <w:tcPr>
                  <w:tcW w:w="1170" w:type="dxa"/>
                  <w:vAlign w:val="top"/>
                </w:tcPr>
                <w:p w14:paraId="6027794A">
                  <w:pPr>
                    <w:spacing w:before="51" w:line="184" w:lineRule="auto"/>
                    <w:ind w:left="539"/>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bl>
          <w:p w14:paraId="06364E09">
            <w:pPr>
              <w:pStyle w:val="6"/>
              <w:spacing w:before="140" w:line="346" w:lineRule="auto"/>
              <w:ind w:left="112" w:right="11" w:firstLine="441"/>
              <w:jc w:val="both"/>
            </w:pPr>
            <w:r>
              <w:rPr>
                <w:spacing w:val="-1"/>
              </w:rPr>
              <w:t>由上表可见，项目区环境空气特征因子</w:t>
            </w:r>
            <w:r>
              <w:rPr>
                <w:rFonts w:ascii="Times New Roman" w:hAnsi="Times New Roman" w:eastAsia="Times New Roman" w:cs="Times New Roman"/>
                <w:spacing w:val="-1"/>
              </w:rPr>
              <w:t>TSP</w:t>
            </w:r>
            <w:r>
              <w:rPr>
                <w:spacing w:val="-1"/>
              </w:rPr>
              <w:t>评价指标的占标</w:t>
            </w:r>
            <w:r>
              <w:rPr>
                <w:spacing w:val="-2"/>
              </w:rPr>
              <w:t>率均小于</w:t>
            </w:r>
            <w:r>
              <w:rPr>
                <w:rFonts w:ascii="Times New Roman" w:hAnsi="Times New Roman" w:eastAsia="Times New Roman" w:cs="Times New Roman"/>
                <w:spacing w:val="-2"/>
              </w:rPr>
              <w:t>100%</w:t>
            </w:r>
            <w:r>
              <w:rPr>
                <w:spacing w:val="-2"/>
              </w:rPr>
              <w:t>。评价结</w:t>
            </w:r>
            <w:r>
              <w:t xml:space="preserve">  </w:t>
            </w:r>
            <w:r>
              <w:rPr>
                <w:spacing w:val="-9"/>
              </w:rPr>
              <w:t>果表明，项目所在地环境空气质量（</w:t>
            </w:r>
            <w:r>
              <w:rPr>
                <w:rFonts w:ascii="Times New Roman" w:hAnsi="Times New Roman" w:eastAsia="Times New Roman" w:cs="Times New Roman"/>
                <w:spacing w:val="-9"/>
              </w:rPr>
              <w:t>TSP</w:t>
            </w:r>
            <w:r>
              <w:rPr>
                <w:spacing w:val="-9"/>
              </w:rPr>
              <w:t>）能够满足《环境空</w:t>
            </w:r>
            <w:r>
              <w:rPr>
                <w:spacing w:val="-10"/>
              </w:rPr>
              <w:t>气质量标准》（</w:t>
            </w:r>
            <w:r>
              <w:rPr>
                <w:rFonts w:ascii="Times New Roman" w:hAnsi="Times New Roman" w:eastAsia="Times New Roman" w:cs="Times New Roman"/>
                <w:spacing w:val="-10"/>
              </w:rPr>
              <w:t>GB3095-2012</w:t>
            </w:r>
            <w:r>
              <w:rPr>
                <w:spacing w:val="-10"/>
              </w:rPr>
              <w:t>）</w:t>
            </w:r>
            <w:r>
              <w:t xml:space="preserve"> </w:t>
            </w:r>
            <w:r>
              <w:rPr>
                <w:spacing w:val="-4"/>
              </w:rPr>
              <w:t>中二级浓度限值要求。</w:t>
            </w:r>
          </w:p>
          <w:p w14:paraId="1FE28DC1">
            <w:pPr>
              <w:spacing w:before="10" w:line="242" w:lineRule="auto"/>
              <w:ind w:left="52"/>
              <w:rPr>
                <w:rFonts w:ascii="黑体" w:hAnsi="黑体" w:eastAsia="黑体" w:cs="黑体"/>
                <w:sz w:val="21"/>
                <w:szCs w:val="21"/>
              </w:rPr>
            </w:pPr>
            <w:r>
              <w:rPr>
                <w:rFonts w:ascii="Times New Roman" w:hAnsi="Times New Roman" w:eastAsia="Times New Roman" w:cs="Times New Roman"/>
                <w:spacing w:val="8"/>
                <w:sz w:val="21"/>
                <w:szCs w:val="21"/>
              </w:rPr>
              <w:t>2</w:t>
            </w:r>
            <w:r>
              <w:rPr>
                <w:rFonts w:ascii="黑体" w:hAnsi="黑体" w:eastAsia="黑体" w:cs="黑体"/>
                <w:spacing w:val="8"/>
                <w:sz w:val="21"/>
                <w:szCs w:val="21"/>
              </w:rPr>
              <w:t>、地表水环境质量现状及评价</w:t>
            </w:r>
          </w:p>
          <w:p w14:paraId="29366F4C">
            <w:pPr>
              <w:pStyle w:val="6"/>
              <w:spacing w:before="134" w:line="349" w:lineRule="auto"/>
              <w:ind w:left="54" w:right="97" w:firstLine="420"/>
              <w:jc w:val="both"/>
            </w:pPr>
            <w:r>
              <w:t>根据调查，项目周围的地表水体为双龙河，双龙河向南汇入</w:t>
            </w:r>
            <w:r>
              <w:rPr>
                <w:spacing w:val="-1"/>
              </w:rPr>
              <w:t>州河。本次评价拟引用</w:t>
            </w:r>
            <w:r>
              <w:t xml:space="preserve"> </w:t>
            </w:r>
            <w:r>
              <w:rPr>
                <w:spacing w:val="-3"/>
              </w:rPr>
              <w:t>达州市生态环境局于</w:t>
            </w:r>
            <w:r>
              <w:rPr>
                <w:spacing w:val="-46"/>
              </w:rPr>
              <w:t xml:space="preserve"> </w:t>
            </w:r>
            <w:r>
              <w:rPr>
                <w:rFonts w:ascii="Times New Roman" w:hAnsi="Times New Roman" w:eastAsia="Times New Roman" w:cs="Times New Roman"/>
                <w:spacing w:val="-3"/>
              </w:rPr>
              <w:t xml:space="preserve">2025 </w:t>
            </w:r>
            <w:r>
              <w:rPr>
                <w:spacing w:val="-3"/>
              </w:rPr>
              <w:t>年</w:t>
            </w:r>
            <w:r>
              <w:rPr>
                <w:spacing w:val="-44"/>
              </w:rPr>
              <w:t xml:space="preserve"> </w:t>
            </w:r>
            <w:r>
              <w:rPr>
                <w:rFonts w:ascii="Times New Roman" w:hAnsi="Times New Roman" w:eastAsia="Times New Roman" w:cs="Times New Roman"/>
                <w:spacing w:val="-3"/>
              </w:rPr>
              <w:t>6</w:t>
            </w:r>
            <w:r>
              <w:rPr>
                <w:rFonts w:ascii="Times New Roman" w:hAnsi="Times New Roman" w:eastAsia="Times New Roman" w:cs="Times New Roman"/>
                <w:spacing w:val="14"/>
              </w:rPr>
              <w:t xml:space="preserve"> </w:t>
            </w:r>
            <w:r>
              <w:rPr>
                <w:spacing w:val="-3"/>
              </w:rPr>
              <w:t>月</w:t>
            </w:r>
            <w:r>
              <w:rPr>
                <w:spacing w:val="-29"/>
              </w:rPr>
              <w:t xml:space="preserve"> </w:t>
            </w:r>
            <w:r>
              <w:rPr>
                <w:rFonts w:ascii="Times New Roman" w:hAnsi="Times New Roman" w:eastAsia="Times New Roman" w:cs="Times New Roman"/>
                <w:spacing w:val="-3"/>
              </w:rPr>
              <w:t xml:space="preserve">12  </w:t>
            </w:r>
            <w:r>
              <w:rPr>
                <w:spacing w:val="-3"/>
              </w:rPr>
              <w:t>日发布的《</w:t>
            </w:r>
            <w:r>
              <w:rPr>
                <w:rFonts w:ascii="Times New Roman" w:hAnsi="Times New Roman" w:eastAsia="Times New Roman" w:cs="Times New Roman"/>
                <w:spacing w:val="-3"/>
              </w:rPr>
              <w:t xml:space="preserve">2025 </w:t>
            </w:r>
            <w:r>
              <w:rPr>
                <w:spacing w:val="-3"/>
              </w:rPr>
              <w:t>年</w:t>
            </w:r>
            <w:r>
              <w:rPr>
                <w:spacing w:val="-43"/>
              </w:rPr>
              <w:t xml:space="preserve"> </w:t>
            </w:r>
            <w:r>
              <w:rPr>
                <w:rFonts w:ascii="Times New Roman" w:hAnsi="Times New Roman" w:eastAsia="Times New Roman" w:cs="Times New Roman"/>
                <w:spacing w:val="-3"/>
              </w:rPr>
              <w:t>5</w:t>
            </w:r>
            <w:r>
              <w:rPr>
                <w:rFonts w:ascii="Times New Roman" w:hAnsi="Times New Roman" w:eastAsia="Times New Roman" w:cs="Times New Roman"/>
                <w:spacing w:val="14"/>
                <w:w w:val="101"/>
              </w:rPr>
              <w:t xml:space="preserve"> </w:t>
            </w:r>
            <w:r>
              <w:rPr>
                <w:spacing w:val="-3"/>
              </w:rPr>
              <w:t>月达州市地表水水质月报》的</w:t>
            </w:r>
            <w:r>
              <w:t xml:space="preserve"> </w:t>
            </w:r>
            <w:r>
              <w:rPr>
                <w:spacing w:val="-7"/>
              </w:rPr>
              <w:t>监测数据。</w:t>
            </w:r>
          </w:p>
          <w:p w14:paraId="6153A563">
            <w:pPr>
              <w:pStyle w:val="6"/>
              <w:spacing w:before="9" w:line="353" w:lineRule="auto"/>
              <w:ind w:left="78" w:firstLine="392"/>
            </w:pPr>
            <w:r>
              <w:rPr>
                <w:rFonts w:ascii="Times New Roman" w:hAnsi="Times New Roman" w:eastAsia="Times New Roman" w:cs="Times New Roman"/>
                <w:spacing w:val="-2"/>
              </w:rPr>
              <w:t xml:space="preserve">2025 </w:t>
            </w:r>
            <w:r>
              <w:rPr>
                <w:spacing w:val="-2"/>
              </w:rPr>
              <w:t>年</w:t>
            </w:r>
            <w:r>
              <w:rPr>
                <w:spacing w:val="-26"/>
              </w:rPr>
              <w:t xml:space="preserve"> </w:t>
            </w:r>
            <w:r>
              <w:rPr>
                <w:rFonts w:ascii="Times New Roman" w:hAnsi="Times New Roman" w:eastAsia="Times New Roman" w:cs="Times New Roman"/>
                <w:spacing w:val="-2"/>
              </w:rPr>
              <w:t>5</w:t>
            </w:r>
            <w:r>
              <w:rPr>
                <w:rFonts w:ascii="Times New Roman" w:hAnsi="Times New Roman" w:eastAsia="Times New Roman" w:cs="Times New Roman"/>
                <w:spacing w:val="14"/>
              </w:rPr>
              <w:t xml:space="preserve"> </w:t>
            </w:r>
            <w:r>
              <w:rPr>
                <w:spacing w:val="-2"/>
              </w:rPr>
              <w:t>月全市</w:t>
            </w:r>
            <w:r>
              <w:rPr>
                <w:spacing w:val="-44"/>
              </w:rPr>
              <w:t xml:space="preserve"> </w:t>
            </w:r>
            <w:r>
              <w:rPr>
                <w:rFonts w:ascii="Times New Roman" w:hAnsi="Times New Roman" w:eastAsia="Times New Roman" w:cs="Times New Roman"/>
                <w:spacing w:val="-2"/>
              </w:rPr>
              <w:t xml:space="preserve">37 </w:t>
            </w:r>
            <w:r>
              <w:rPr>
                <w:spacing w:val="-2"/>
              </w:rPr>
              <w:t>个河流断面中，优（</w:t>
            </w:r>
            <w:r>
              <w:rPr>
                <w:rFonts w:ascii="Times New Roman" w:hAnsi="Times New Roman" w:eastAsia="Times New Roman" w:cs="Times New Roman"/>
                <w:spacing w:val="-2"/>
              </w:rPr>
              <w:t>I~</w:t>
            </w:r>
            <w:r>
              <w:rPr>
                <w:rFonts w:hint="eastAsia" w:ascii="Times New Roman" w:hAnsi="Times New Roman" w:eastAsia="宋体" w:cs="Times New Roman"/>
                <w:spacing w:val="-2"/>
                <w:lang w:eastAsia="zh-CN"/>
              </w:rPr>
              <w:t>Ⅱ</w:t>
            </w:r>
            <w:r>
              <w:rPr>
                <w:rFonts w:ascii="Times New Roman" w:hAnsi="Times New Roman" w:eastAsia="Times New Roman" w:cs="Times New Roman"/>
                <w:spacing w:val="-2"/>
              </w:rPr>
              <w:t xml:space="preserve"> </w:t>
            </w:r>
            <w:r>
              <w:rPr>
                <w:spacing w:val="-2"/>
              </w:rPr>
              <w:t>类）、良（</w:t>
            </w:r>
            <w:r>
              <w:rPr>
                <w:rFonts w:hint="eastAsia"/>
                <w:spacing w:val="-2"/>
                <w:lang w:eastAsia="zh-CN"/>
              </w:rPr>
              <w:t>Ⅲ</w:t>
            </w:r>
            <w:r>
              <w:rPr>
                <w:rFonts w:ascii="Times New Roman" w:hAnsi="Times New Roman" w:eastAsia="Times New Roman" w:cs="Times New Roman"/>
                <w:spacing w:val="-2"/>
              </w:rPr>
              <w:t xml:space="preserve"> </w:t>
            </w:r>
            <w:r>
              <w:rPr>
                <w:spacing w:val="-2"/>
              </w:rPr>
              <w:t>类）水质断面</w:t>
            </w:r>
            <w:r>
              <w:rPr>
                <w:spacing w:val="-35"/>
              </w:rPr>
              <w:t xml:space="preserve"> </w:t>
            </w:r>
            <w:r>
              <w:rPr>
                <w:rFonts w:ascii="Times New Roman" w:hAnsi="Times New Roman" w:eastAsia="Times New Roman" w:cs="Times New Roman"/>
                <w:spacing w:val="-2"/>
              </w:rPr>
              <w:t xml:space="preserve">34 </w:t>
            </w:r>
            <w:r>
              <w:rPr>
                <w:spacing w:val="-2"/>
              </w:rPr>
              <w:t>个，占</w:t>
            </w:r>
            <w:r>
              <w:t xml:space="preserve">  </w:t>
            </w:r>
            <w:r>
              <w:rPr>
                <w:spacing w:val="-4"/>
              </w:rPr>
              <w:t>比</w:t>
            </w:r>
            <w:r>
              <w:rPr>
                <w:spacing w:val="-44"/>
              </w:rPr>
              <w:t xml:space="preserve"> </w:t>
            </w:r>
            <w:r>
              <w:rPr>
                <w:rFonts w:ascii="Times New Roman" w:hAnsi="Times New Roman" w:eastAsia="Times New Roman" w:cs="Times New Roman"/>
                <w:spacing w:val="-4"/>
              </w:rPr>
              <w:t>91.9%</w:t>
            </w:r>
            <w:r>
              <w:rPr>
                <w:spacing w:val="-4"/>
              </w:rPr>
              <w:t>，任市河联盟桥、袁驿河速建桥、平滩河碧山</w:t>
            </w:r>
            <w:r>
              <w:rPr>
                <w:spacing w:val="-5"/>
              </w:rPr>
              <w:t>中学断面水质为</w:t>
            </w:r>
            <w:r>
              <w:rPr>
                <w:spacing w:val="-47"/>
              </w:rPr>
              <w:t xml:space="preserve"> </w:t>
            </w:r>
            <w:r>
              <w:rPr>
                <w:rFonts w:hint="eastAsia"/>
                <w:spacing w:val="-47"/>
                <w:lang w:eastAsia="zh-CN"/>
              </w:rPr>
              <w:t>Ⅳ</w:t>
            </w:r>
            <w:r>
              <w:rPr>
                <w:rFonts w:ascii="Times New Roman" w:hAnsi="Times New Roman" w:eastAsia="Times New Roman" w:cs="Times New Roman"/>
                <w:spacing w:val="-5"/>
              </w:rPr>
              <w:t xml:space="preserve"> </w:t>
            </w:r>
            <w:r>
              <w:rPr>
                <w:spacing w:val="-5"/>
              </w:rPr>
              <w:t>类，轻度污染。</w:t>
            </w:r>
          </w:p>
          <w:p w14:paraId="4EE1E2A5">
            <w:pPr>
              <w:pStyle w:val="6"/>
              <w:spacing w:before="5" w:line="232" w:lineRule="auto"/>
              <w:ind w:left="2305"/>
              <w:rPr>
                <w:sz w:val="20"/>
                <w:szCs w:val="20"/>
              </w:rPr>
            </w:pPr>
            <w:r>
              <w:rPr>
                <w:b/>
                <w:bCs/>
                <w:spacing w:val="-1"/>
                <w:sz w:val="20"/>
                <w:szCs w:val="20"/>
              </w:rPr>
              <w:t>表</w:t>
            </w:r>
            <w:r>
              <w:rPr>
                <w:rFonts w:ascii="Times New Roman" w:hAnsi="Times New Roman" w:eastAsia="Times New Roman" w:cs="Times New Roman"/>
                <w:b/>
                <w:bCs/>
                <w:spacing w:val="-1"/>
                <w:sz w:val="20"/>
                <w:szCs w:val="20"/>
              </w:rPr>
              <w:t>3-3    2025</w:t>
            </w:r>
            <w:r>
              <w:rPr>
                <w:b/>
                <w:bCs/>
                <w:spacing w:val="-1"/>
                <w:sz w:val="20"/>
                <w:szCs w:val="20"/>
              </w:rPr>
              <w:t>年</w:t>
            </w:r>
            <w:r>
              <w:rPr>
                <w:rFonts w:ascii="Times New Roman" w:hAnsi="Times New Roman" w:eastAsia="Times New Roman" w:cs="Times New Roman"/>
                <w:b/>
                <w:bCs/>
                <w:spacing w:val="-1"/>
                <w:sz w:val="20"/>
                <w:szCs w:val="20"/>
              </w:rPr>
              <w:t>5</w:t>
            </w:r>
            <w:r>
              <w:rPr>
                <w:b/>
                <w:bCs/>
                <w:spacing w:val="-1"/>
                <w:sz w:val="20"/>
                <w:szCs w:val="20"/>
              </w:rPr>
              <w:t>月达州市河流水质评价结果表</w:t>
            </w:r>
          </w:p>
          <w:tbl>
            <w:tblPr>
              <w:tblStyle w:val="5"/>
              <w:tblW w:w="7961"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4"/>
              <w:gridCol w:w="447"/>
              <w:gridCol w:w="432"/>
              <w:gridCol w:w="1150"/>
              <w:gridCol w:w="1871"/>
              <w:gridCol w:w="865"/>
              <w:gridCol w:w="576"/>
              <w:gridCol w:w="576"/>
              <w:gridCol w:w="576"/>
              <w:gridCol w:w="954"/>
            </w:tblGrid>
            <w:tr w14:paraId="6727B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514" w:type="dxa"/>
                  <w:vAlign w:val="top"/>
                </w:tcPr>
                <w:p w14:paraId="4E43D924">
                  <w:pPr>
                    <w:pStyle w:val="6"/>
                    <w:spacing w:before="294" w:line="221" w:lineRule="auto"/>
                    <w:ind w:left="60"/>
                    <w:rPr>
                      <w:sz w:val="20"/>
                      <w:szCs w:val="20"/>
                    </w:rPr>
                  </w:pPr>
                  <w:r>
                    <w:rPr>
                      <w:spacing w:val="-2"/>
                      <w:sz w:val="20"/>
                      <w:szCs w:val="20"/>
                    </w:rPr>
                    <w:t>序号</w:t>
                  </w:r>
                </w:p>
              </w:tc>
              <w:tc>
                <w:tcPr>
                  <w:tcW w:w="879" w:type="dxa"/>
                  <w:gridSpan w:val="2"/>
                  <w:vAlign w:val="top"/>
                </w:tcPr>
                <w:p w14:paraId="35AB8BCB">
                  <w:pPr>
                    <w:pStyle w:val="6"/>
                    <w:spacing w:before="294" w:line="222" w:lineRule="auto"/>
                    <w:ind w:left="236"/>
                    <w:rPr>
                      <w:sz w:val="20"/>
                      <w:szCs w:val="20"/>
                    </w:rPr>
                  </w:pPr>
                  <w:r>
                    <w:rPr>
                      <w:spacing w:val="-2"/>
                      <w:sz w:val="20"/>
                      <w:szCs w:val="20"/>
                    </w:rPr>
                    <w:t>河流</w:t>
                  </w:r>
                </w:p>
              </w:tc>
              <w:tc>
                <w:tcPr>
                  <w:tcW w:w="1150" w:type="dxa"/>
                  <w:vAlign w:val="top"/>
                </w:tcPr>
                <w:p w14:paraId="4D0A41F3">
                  <w:pPr>
                    <w:pStyle w:val="6"/>
                    <w:spacing w:before="294" w:line="220" w:lineRule="auto"/>
                    <w:ind w:left="182"/>
                    <w:rPr>
                      <w:sz w:val="20"/>
                      <w:szCs w:val="20"/>
                    </w:rPr>
                  </w:pPr>
                  <w:r>
                    <w:rPr>
                      <w:spacing w:val="-3"/>
                      <w:sz w:val="20"/>
                      <w:szCs w:val="20"/>
                    </w:rPr>
                    <w:t>断面名称</w:t>
                  </w:r>
                </w:p>
              </w:tc>
              <w:tc>
                <w:tcPr>
                  <w:tcW w:w="1871" w:type="dxa"/>
                  <w:vAlign w:val="top"/>
                </w:tcPr>
                <w:p w14:paraId="0289C6D9">
                  <w:pPr>
                    <w:pStyle w:val="6"/>
                    <w:spacing w:before="294" w:line="220" w:lineRule="auto"/>
                    <w:ind w:left="543"/>
                    <w:rPr>
                      <w:sz w:val="20"/>
                      <w:szCs w:val="20"/>
                    </w:rPr>
                  </w:pPr>
                  <w:r>
                    <w:rPr>
                      <w:spacing w:val="-3"/>
                      <w:sz w:val="20"/>
                      <w:szCs w:val="20"/>
                    </w:rPr>
                    <w:t>断面属性</w:t>
                  </w:r>
                </w:p>
              </w:tc>
              <w:tc>
                <w:tcPr>
                  <w:tcW w:w="865" w:type="dxa"/>
                  <w:vAlign w:val="top"/>
                </w:tcPr>
                <w:p w14:paraId="41E85ECB">
                  <w:pPr>
                    <w:pStyle w:val="6"/>
                    <w:spacing w:before="294" w:line="220" w:lineRule="auto"/>
                    <w:ind w:left="41"/>
                    <w:rPr>
                      <w:sz w:val="20"/>
                      <w:szCs w:val="20"/>
                    </w:rPr>
                  </w:pPr>
                  <w:r>
                    <w:rPr>
                      <w:spacing w:val="-3"/>
                      <w:sz w:val="20"/>
                      <w:szCs w:val="20"/>
                    </w:rPr>
                    <w:t>断面性质</w:t>
                  </w:r>
                </w:p>
              </w:tc>
              <w:tc>
                <w:tcPr>
                  <w:tcW w:w="576" w:type="dxa"/>
                  <w:vAlign w:val="top"/>
                </w:tcPr>
                <w:p w14:paraId="7E059DA1">
                  <w:pPr>
                    <w:pStyle w:val="6"/>
                    <w:spacing w:before="164" w:line="220" w:lineRule="auto"/>
                    <w:ind w:left="91"/>
                    <w:rPr>
                      <w:sz w:val="20"/>
                      <w:szCs w:val="20"/>
                    </w:rPr>
                  </w:pPr>
                  <w:r>
                    <w:rPr>
                      <w:spacing w:val="-3"/>
                      <w:sz w:val="20"/>
                      <w:szCs w:val="20"/>
                    </w:rPr>
                    <w:t>上年</w:t>
                  </w:r>
                </w:p>
                <w:p w14:paraId="4303BBBC">
                  <w:pPr>
                    <w:pStyle w:val="6"/>
                    <w:spacing w:before="20" w:line="221" w:lineRule="auto"/>
                    <w:ind w:left="109"/>
                    <w:rPr>
                      <w:sz w:val="20"/>
                      <w:szCs w:val="20"/>
                    </w:rPr>
                  </w:pPr>
                  <w:r>
                    <w:rPr>
                      <w:spacing w:val="-7"/>
                      <w:sz w:val="20"/>
                      <w:szCs w:val="20"/>
                    </w:rPr>
                    <w:t>同期</w:t>
                  </w:r>
                </w:p>
              </w:tc>
              <w:tc>
                <w:tcPr>
                  <w:tcW w:w="576" w:type="dxa"/>
                  <w:vAlign w:val="top"/>
                </w:tcPr>
                <w:p w14:paraId="34FF3961">
                  <w:pPr>
                    <w:pStyle w:val="6"/>
                    <w:spacing w:before="164" w:line="220" w:lineRule="auto"/>
                    <w:ind w:left="89"/>
                    <w:rPr>
                      <w:sz w:val="20"/>
                      <w:szCs w:val="20"/>
                    </w:rPr>
                  </w:pPr>
                  <w:r>
                    <w:rPr>
                      <w:spacing w:val="-3"/>
                      <w:sz w:val="20"/>
                      <w:szCs w:val="20"/>
                    </w:rPr>
                    <w:t>上月</w:t>
                  </w:r>
                </w:p>
                <w:p w14:paraId="351B898F">
                  <w:pPr>
                    <w:pStyle w:val="6"/>
                    <w:spacing w:before="20" w:line="220" w:lineRule="auto"/>
                    <w:ind w:left="88"/>
                    <w:rPr>
                      <w:sz w:val="20"/>
                      <w:szCs w:val="20"/>
                    </w:rPr>
                  </w:pPr>
                  <w:r>
                    <w:rPr>
                      <w:spacing w:val="-2"/>
                      <w:sz w:val="20"/>
                      <w:szCs w:val="20"/>
                    </w:rPr>
                    <w:t>类别</w:t>
                  </w:r>
                </w:p>
              </w:tc>
              <w:tc>
                <w:tcPr>
                  <w:tcW w:w="576" w:type="dxa"/>
                  <w:vAlign w:val="top"/>
                </w:tcPr>
                <w:p w14:paraId="34CD116D">
                  <w:pPr>
                    <w:pStyle w:val="6"/>
                    <w:spacing w:before="165" w:line="219" w:lineRule="auto"/>
                    <w:ind w:left="90"/>
                    <w:rPr>
                      <w:sz w:val="20"/>
                      <w:szCs w:val="20"/>
                    </w:rPr>
                  </w:pPr>
                  <w:r>
                    <w:rPr>
                      <w:spacing w:val="-2"/>
                      <w:sz w:val="20"/>
                      <w:szCs w:val="20"/>
                    </w:rPr>
                    <w:t>本月</w:t>
                  </w:r>
                </w:p>
                <w:p w14:paraId="468BEBEF">
                  <w:pPr>
                    <w:pStyle w:val="6"/>
                    <w:spacing w:before="21" w:line="220" w:lineRule="auto"/>
                    <w:ind w:left="89"/>
                    <w:rPr>
                      <w:sz w:val="20"/>
                      <w:szCs w:val="20"/>
                    </w:rPr>
                  </w:pPr>
                  <w:r>
                    <w:rPr>
                      <w:spacing w:val="-2"/>
                      <w:sz w:val="20"/>
                      <w:szCs w:val="20"/>
                    </w:rPr>
                    <w:t>类别</w:t>
                  </w:r>
                </w:p>
              </w:tc>
              <w:tc>
                <w:tcPr>
                  <w:tcW w:w="954" w:type="dxa"/>
                  <w:vAlign w:val="top"/>
                </w:tcPr>
                <w:p w14:paraId="66F2A8A1">
                  <w:pPr>
                    <w:pStyle w:val="6"/>
                    <w:spacing w:before="34" w:line="221" w:lineRule="auto"/>
                    <w:ind w:left="77"/>
                    <w:rPr>
                      <w:sz w:val="20"/>
                      <w:szCs w:val="20"/>
                    </w:rPr>
                  </w:pPr>
                  <w:r>
                    <w:rPr>
                      <w:spacing w:val="-2"/>
                      <w:sz w:val="20"/>
                      <w:szCs w:val="20"/>
                    </w:rPr>
                    <w:t>主要污染</w:t>
                  </w:r>
                </w:p>
                <w:p w14:paraId="56930783">
                  <w:pPr>
                    <w:pStyle w:val="6"/>
                    <w:spacing w:before="20" w:line="220" w:lineRule="auto"/>
                    <w:ind w:left="78"/>
                    <w:rPr>
                      <w:sz w:val="20"/>
                      <w:szCs w:val="20"/>
                    </w:rPr>
                  </w:pPr>
                  <w:r>
                    <w:rPr>
                      <w:spacing w:val="-2"/>
                      <w:sz w:val="20"/>
                      <w:szCs w:val="20"/>
                    </w:rPr>
                    <w:t>指标（类</w:t>
                  </w:r>
                </w:p>
                <w:p w14:paraId="6E859659">
                  <w:pPr>
                    <w:pStyle w:val="6"/>
                    <w:spacing w:before="21" w:line="204" w:lineRule="auto"/>
                    <w:ind w:left="279"/>
                    <w:rPr>
                      <w:sz w:val="20"/>
                      <w:szCs w:val="20"/>
                    </w:rPr>
                  </w:pPr>
                  <w:r>
                    <w:rPr>
                      <w:spacing w:val="-6"/>
                      <w:sz w:val="20"/>
                      <w:szCs w:val="20"/>
                    </w:rPr>
                    <w:t>别）</w:t>
                  </w:r>
                </w:p>
              </w:tc>
            </w:tr>
            <w:tr w14:paraId="032CE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514" w:type="dxa"/>
                  <w:vAlign w:val="top"/>
                </w:tcPr>
                <w:p w14:paraId="63368023">
                  <w:pPr>
                    <w:spacing w:before="195" w:line="235" w:lineRule="auto"/>
                    <w:ind w:left="227"/>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447" w:type="dxa"/>
                  <w:vAlign w:val="top"/>
                </w:tcPr>
                <w:p w14:paraId="04D52C12">
                  <w:pPr>
                    <w:pStyle w:val="6"/>
                    <w:spacing w:before="32" w:line="219" w:lineRule="auto"/>
                    <w:ind w:left="22"/>
                    <w:rPr>
                      <w:sz w:val="20"/>
                      <w:szCs w:val="20"/>
                    </w:rPr>
                  </w:pPr>
                  <w:r>
                    <w:rPr>
                      <w:spacing w:val="-2"/>
                      <w:sz w:val="20"/>
                      <w:szCs w:val="20"/>
                    </w:rPr>
                    <w:t>州河</w:t>
                  </w:r>
                </w:p>
                <w:p w14:paraId="18A9C186">
                  <w:pPr>
                    <w:pStyle w:val="6"/>
                    <w:spacing w:before="22" w:line="207" w:lineRule="auto"/>
                    <w:ind w:left="24"/>
                    <w:rPr>
                      <w:sz w:val="20"/>
                      <w:szCs w:val="20"/>
                    </w:rPr>
                  </w:pPr>
                  <w:r>
                    <w:rPr>
                      <w:spacing w:val="-3"/>
                      <w:sz w:val="20"/>
                      <w:szCs w:val="20"/>
                    </w:rPr>
                    <w:t>水系</w:t>
                  </w:r>
                </w:p>
              </w:tc>
              <w:tc>
                <w:tcPr>
                  <w:tcW w:w="432" w:type="dxa"/>
                  <w:vAlign w:val="top"/>
                </w:tcPr>
                <w:p w14:paraId="1B8105E9">
                  <w:pPr>
                    <w:pStyle w:val="6"/>
                    <w:spacing w:before="162" w:line="219" w:lineRule="auto"/>
                    <w:ind w:left="14"/>
                    <w:rPr>
                      <w:sz w:val="20"/>
                      <w:szCs w:val="20"/>
                    </w:rPr>
                  </w:pPr>
                  <w:r>
                    <w:rPr>
                      <w:spacing w:val="-2"/>
                      <w:sz w:val="20"/>
                      <w:szCs w:val="20"/>
                    </w:rPr>
                    <w:t>干流</w:t>
                  </w:r>
                </w:p>
              </w:tc>
              <w:tc>
                <w:tcPr>
                  <w:tcW w:w="1150" w:type="dxa"/>
                  <w:vAlign w:val="top"/>
                </w:tcPr>
                <w:p w14:paraId="3BDF14B4">
                  <w:pPr>
                    <w:pStyle w:val="6"/>
                    <w:spacing w:before="156" w:line="220" w:lineRule="auto"/>
                    <w:ind w:left="261"/>
                  </w:pPr>
                  <w:r>
                    <w:rPr>
                      <w:spacing w:val="-3"/>
                    </w:rPr>
                    <w:t>车家河</w:t>
                  </w:r>
                </w:p>
              </w:tc>
              <w:tc>
                <w:tcPr>
                  <w:tcW w:w="1871" w:type="dxa"/>
                  <w:vAlign w:val="top"/>
                </w:tcPr>
                <w:p w14:paraId="713F411B">
                  <w:pPr>
                    <w:pStyle w:val="6"/>
                    <w:spacing w:before="156" w:line="220" w:lineRule="auto"/>
                    <w:ind w:left="626"/>
                  </w:pPr>
                  <w:r>
                    <w:rPr>
                      <w:spacing w:val="-4"/>
                    </w:rPr>
                    <w:t>市城区</w:t>
                  </w:r>
                </w:p>
              </w:tc>
              <w:tc>
                <w:tcPr>
                  <w:tcW w:w="865" w:type="dxa"/>
                  <w:vAlign w:val="top"/>
                </w:tcPr>
                <w:p w14:paraId="0B8FB94B">
                  <w:pPr>
                    <w:pStyle w:val="6"/>
                    <w:spacing w:before="156" w:line="220" w:lineRule="auto"/>
                    <w:ind w:left="244"/>
                  </w:pPr>
                  <w:r>
                    <w:rPr>
                      <w:spacing w:val="-8"/>
                    </w:rPr>
                    <w:t>国考</w:t>
                  </w:r>
                </w:p>
              </w:tc>
              <w:tc>
                <w:tcPr>
                  <w:tcW w:w="576" w:type="dxa"/>
                  <w:vAlign w:val="top"/>
                </w:tcPr>
                <w:p w14:paraId="787D20F1">
                  <w:pPr>
                    <w:spacing w:before="199" w:line="186" w:lineRule="auto"/>
                    <w:ind w:left="222"/>
                    <w:rPr>
                      <w:rFonts w:ascii="Times New Roman" w:hAnsi="Times New Roman" w:eastAsia="Times New Roman" w:cs="Times New Roman"/>
                      <w:sz w:val="20"/>
                      <w:szCs w:val="20"/>
                    </w:rPr>
                  </w:pPr>
                  <w:r>
                    <w:rPr>
                      <w:rFonts w:ascii="Times New Roman" w:hAnsi="Times New Roman" w:eastAsia="Times New Roman" w:cs="Times New Roman"/>
                      <w:sz w:val="20"/>
                      <w:szCs w:val="20"/>
                    </w:rPr>
                    <w:t>Ⅱ</w:t>
                  </w:r>
                </w:p>
              </w:tc>
              <w:tc>
                <w:tcPr>
                  <w:tcW w:w="576" w:type="dxa"/>
                  <w:vAlign w:val="top"/>
                </w:tcPr>
                <w:p w14:paraId="27767701">
                  <w:pPr>
                    <w:spacing w:before="199" w:line="186" w:lineRule="auto"/>
                    <w:ind w:left="221"/>
                    <w:rPr>
                      <w:rFonts w:ascii="Times New Roman" w:hAnsi="Times New Roman" w:eastAsia="Times New Roman" w:cs="Times New Roman"/>
                      <w:sz w:val="20"/>
                      <w:szCs w:val="20"/>
                    </w:rPr>
                  </w:pPr>
                  <w:r>
                    <w:rPr>
                      <w:rFonts w:ascii="Times New Roman" w:hAnsi="Times New Roman" w:eastAsia="Times New Roman" w:cs="Times New Roman"/>
                      <w:sz w:val="20"/>
                      <w:szCs w:val="20"/>
                    </w:rPr>
                    <w:t>Ⅱ</w:t>
                  </w:r>
                </w:p>
              </w:tc>
              <w:tc>
                <w:tcPr>
                  <w:tcW w:w="576" w:type="dxa"/>
                  <w:vAlign w:val="top"/>
                </w:tcPr>
                <w:p w14:paraId="3D659A92">
                  <w:pPr>
                    <w:spacing w:before="199" w:line="186" w:lineRule="auto"/>
                    <w:ind w:left="222"/>
                    <w:rPr>
                      <w:rFonts w:ascii="Times New Roman" w:hAnsi="Times New Roman" w:eastAsia="Times New Roman" w:cs="Times New Roman"/>
                      <w:sz w:val="20"/>
                      <w:szCs w:val="20"/>
                    </w:rPr>
                  </w:pPr>
                  <w:r>
                    <w:rPr>
                      <w:rFonts w:ascii="Times New Roman" w:hAnsi="Times New Roman" w:eastAsia="Times New Roman" w:cs="Times New Roman"/>
                      <w:sz w:val="20"/>
                      <w:szCs w:val="20"/>
                    </w:rPr>
                    <w:t>Ⅱ</w:t>
                  </w:r>
                </w:p>
              </w:tc>
              <w:tc>
                <w:tcPr>
                  <w:tcW w:w="954" w:type="dxa"/>
                  <w:vAlign w:val="top"/>
                </w:tcPr>
                <w:p w14:paraId="462B6960">
                  <w:pPr>
                    <w:spacing w:before="195" w:line="232" w:lineRule="auto"/>
                    <w:ind w:left="440"/>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r>
          </w:tbl>
          <w:p w14:paraId="3A0A3137">
            <w:pPr>
              <w:pStyle w:val="6"/>
              <w:spacing w:before="141" w:line="349" w:lineRule="auto"/>
              <w:ind w:left="56" w:right="73" w:firstLine="420"/>
              <w:jc w:val="both"/>
            </w:pPr>
            <w:r>
              <w:t>本项目评价区域地表水体为州河。根据上表例行监测数据</w:t>
            </w:r>
            <w:r>
              <w:rPr>
                <w:spacing w:val="-1"/>
              </w:rPr>
              <w:t>表明：与项目区相距较近</w:t>
            </w:r>
            <w:r>
              <w:t xml:space="preserve"> </w:t>
            </w:r>
            <w:r>
              <w:rPr>
                <w:spacing w:val="-2"/>
              </w:rPr>
              <w:t>的车家河监测断面水质能够满足《地表水环境质量标准》（</w:t>
            </w:r>
            <w:r>
              <w:rPr>
                <w:rFonts w:ascii="Times New Roman" w:hAnsi="Times New Roman" w:eastAsia="Times New Roman" w:cs="Times New Roman"/>
                <w:spacing w:val="-2"/>
              </w:rPr>
              <w:t>GB3838-2002</w:t>
            </w:r>
            <w:r>
              <w:rPr>
                <w:spacing w:val="-2"/>
              </w:rPr>
              <w:t>）Ⅲ类水域水质</w:t>
            </w:r>
            <w:r>
              <w:rPr>
                <w:spacing w:val="2"/>
              </w:rPr>
              <w:t xml:space="preserve"> </w:t>
            </w:r>
            <w:r>
              <w:rPr>
                <w:spacing w:val="-9"/>
              </w:rPr>
              <w:t>标准。</w:t>
            </w:r>
          </w:p>
          <w:p w14:paraId="329D6B2B">
            <w:pPr>
              <w:spacing w:before="1" w:line="239" w:lineRule="auto"/>
              <w:ind w:left="56"/>
              <w:rPr>
                <w:rFonts w:ascii="黑体" w:hAnsi="黑体" w:eastAsia="黑体" w:cs="黑体"/>
                <w:sz w:val="21"/>
                <w:szCs w:val="21"/>
              </w:rPr>
            </w:pPr>
            <w:r>
              <w:rPr>
                <w:rFonts w:ascii="Times New Roman" w:hAnsi="Times New Roman" w:eastAsia="Times New Roman" w:cs="Times New Roman"/>
                <w:spacing w:val="5"/>
                <w:sz w:val="21"/>
                <w:szCs w:val="21"/>
              </w:rPr>
              <w:t>3</w:t>
            </w:r>
            <w:r>
              <w:rPr>
                <w:rFonts w:ascii="Times New Roman" w:hAnsi="Times New Roman" w:eastAsia="Times New Roman" w:cs="Times New Roman"/>
                <w:spacing w:val="-14"/>
                <w:sz w:val="21"/>
                <w:szCs w:val="21"/>
              </w:rPr>
              <w:t xml:space="preserve"> </w:t>
            </w:r>
            <w:r>
              <w:rPr>
                <w:rFonts w:ascii="黑体" w:hAnsi="黑体" w:eastAsia="黑体" w:cs="黑体"/>
                <w:spacing w:val="5"/>
                <w:sz w:val="21"/>
                <w:szCs w:val="21"/>
              </w:rPr>
              <w:t>、声环境质量现状监测及评价</w:t>
            </w:r>
          </w:p>
          <w:p w14:paraId="481BE4B6">
            <w:pPr>
              <w:pStyle w:val="6"/>
              <w:spacing w:before="134" w:line="349" w:lineRule="auto"/>
              <w:ind w:left="109" w:right="102" w:firstLine="419"/>
              <w:jc w:val="both"/>
              <w:rPr>
                <w:rFonts w:ascii="Times New Roman" w:hAnsi="Times New Roman" w:eastAsia="Times New Roman" w:cs="Times New Roman"/>
              </w:rPr>
            </w:pPr>
            <w:r>
              <w:rPr>
                <w:spacing w:val="-5"/>
              </w:rPr>
              <w:t>根据《建设项目环境影响报告表编制技术指南（污染</w:t>
            </w:r>
            <w:r>
              <w:rPr>
                <w:spacing w:val="-6"/>
              </w:rPr>
              <w:t>影响类</w:t>
            </w:r>
            <w:r>
              <w:rPr>
                <w:spacing w:val="-4"/>
              </w:rPr>
              <w:t>）（</w:t>
            </w:r>
            <w:r>
              <w:rPr>
                <w:spacing w:val="-6"/>
              </w:rPr>
              <w:t>试行）》：</w:t>
            </w:r>
            <w:r>
              <w:rPr>
                <w:spacing w:val="-18"/>
              </w:rPr>
              <w:t xml:space="preserve"> </w:t>
            </w:r>
            <w:r>
              <w:rPr>
                <w:rFonts w:ascii="Times New Roman" w:hAnsi="Times New Roman" w:eastAsia="Times New Roman" w:cs="Times New Roman"/>
                <w:spacing w:val="-6"/>
              </w:rPr>
              <w:t>“</w:t>
            </w:r>
            <w:r>
              <w:rPr>
                <w:spacing w:val="-6"/>
              </w:rPr>
              <w:t>厂界外</w:t>
            </w:r>
            <w:r>
              <w:t xml:space="preserve"> 周边</w:t>
            </w:r>
            <w:r>
              <w:rPr>
                <w:rFonts w:ascii="Times New Roman" w:hAnsi="Times New Roman" w:eastAsia="Times New Roman" w:cs="Times New Roman"/>
              </w:rPr>
              <w:t>50</w:t>
            </w:r>
            <w:r>
              <w:t>米范围内存在声环境保护目标的建设项目</w:t>
            </w:r>
            <w:r>
              <w:rPr>
                <w:spacing w:val="-1"/>
              </w:rPr>
              <w:t>，应监测保护目标声环境质量现状并评</w:t>
            </w:r>
            <w:r>
              <w:t xml:space="preserve"> </w:t>
            </w:r>
            <w:r>
              <w:rPr>
                <w:spacing w:val="-5"/>
              </w:rPr>
              <w:t>价达标情况。各点位应监测昼夜间噪声，</w:t>
            </w:r>
            <w:r>
              <w:rPr>
                <w:spacing w:val="54"/>
              </w:rPr>
              <w:t xml:space="preserve"> </w:t>
            </w:r>
            <w:r>
              <w:rPr>
                <w:spacing w:val="-5"/>
              </w:rPr>
              <w:t>监测时间不少于</w:t>
            </w:r>
            <w:r>
              <w:rPr>
                <w:spacing w:val="24"/>
              </w:rPr>
              <w:t xml:space="preserve"> </w:t>
            </w:r>
            <w:r>
              <w:rPr>
                <w:rFonts w:ascii="Times New Roman" w:hAnsi="Times New Roman" w:eastAsia="Times New Roman" w:cs="Times New Roman"/>
                <w:spacing w:val="-5"/>
              </w:rPr>
              <w:t>1</w:t>
            </w:r>
            <w:r>
              <w:rPr>
                <w:spacing w:val="-5"/>
              </w:rPr>
              <w:t>天，</w:t>
            </w:r>
            <w:r>
              <w:rPr>
                <w:spacing w:val="-6"/>
              </w:rPr>
              <w:t>项目夜间不生产则仅监</w:t>
            </w:r>
            <w:r>
              <w:t xml:space="preserve"> </w:t>
            </w:r>
            <w:r>
              <w:rPr>
                <w:spacing w:val="5"/>
              </w:rPr>
              <w:t>测昼间噪声。</w:t>
            </w:r>
            <w:r>
              <w:rPr>
                <w:rFonts w:ascii="Times New Roman" w:hAnsi="Times New Roman" w:eastAsia="Times New Roman" w:cs="Times New Roman"/>
                <w:spacing w:val="5"/>
              </w:rPr>
              <w:t>”</w:t>
            </w:r>
          </w:p>
          <w:p w14:paraId="7879FEC9">
            <w:pPr>
              <w:pStyle w:val="6"/>
              <w:spacing w:before="13" w:line="288" w:lineRule="auto"/>
              <w:ind w:left="111" w:right="143" w:firstLine="416"/>
            </w:pPr>
            <w:r>
              <w:t>根据环评调查，本项目厂界外周边</w:t>
            </w:r>
            <w:r>
              <w:rPr>
                <w:rFonts w:ascii="Times New Roman" w:hAnsi="Times New Roman" w:eastAsia="Times New Roman" w:cs="Times New Roman"/>
              </w:rPr>
              <w:t>50m</w:t>
            </w:r>
            <w:r>
              <w:t>范围内无声环境保护</w:t>
            </w:r>
            <w:r>
              <w:rPr>
                <w:spacing w:val="-1"/>
              </w:rPr>
              <w:t>目标。因此，本次环评</w:t>
            </w:r>
            <w:r>
              <w:t xml:space="preserve"> </w:t>
            </w:r>
            <w:r>
              <w:rPr>
                <w:spacing w:val="-3"/>
              </w:rPr>
              <w:t>不进行声环境质量现状监测。</w:t>
            </w:r>
          </w:p>
        </w:tc>
      </w:tr>
    </w:tbl>
    <w:p w14:paraId="14C552C9">
      <w:pPr>
        <w:rPr>
          <w:rFonts w:ascii="Arial"/>
          <w:sz w:val="21"/>
        </w:rPr>
      </w:pPr>
    </w:p>
    <w:p w14:paraId="72FA38F6">
      <w:pPr>
        <w:rPr>
          <w:rFonts w:ascii="Arial" w:hAnsi="Arial" w:eastAsia="Arial" w:cs="Arial"/>
          <w:sz w:val="21"/>
          <w:szCs w:val="21"/>
        </w:rPr>
        <w:sectPr>
          <w:footerReference r:id="rId50" w:type="default"/>
          <w:pgSz w:w="11908" w:h="16840"/>
          <w:pgMar w:top="1431" w:right="1448" w:bottom="1053" w:left="1448" w:header="0" w:footer="801" w:gutter="0"/>
          <w:cols w:space="720" w:num="1"/>
        </w:sectPr>
      </w:pPr>
    </w:p>
    <w:p w14:paraId="47D618C9">
      <w:pPr>
        <w:spacing w:before="28"/>
      </w:pPr>
    </w:p>
    <w:tbl>
      <w:tblPr>
        <w:tblStyle w:val="5"/>
        <w:tblW w:w="899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8"/>
        <w:gridCol w:w="8187"/>
      </w:tblGrid>
      <w:tr w14:paraId="2219A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8" w:hRule="atLeast"/>
        </w:trPr>
        <w:tc>
          <w:tcPr>
            <w:tcW w:w="808" w:type="dxa"/>
            <w:tcBorders>
              <w:top w:val="single" w:color="000000" w:sz="6" w:space="0"/>
              <w:left w:val="single" w:color="000000" w:sz="6" w:space="0"/>
            </w:tcBorders>
            <w:vAlign w:val="top"/>
          </w:tcPr>
          <w:p w14:paraId="743075B6">
            <w:pPr>
              <w:rPr>
                <w:rFonts w:ascii="Arial"/>
                <w:sz w:val="21"/>
              </w:rPr>
            </w:pPr>
          </w:p>
        </w:tc>
        <w:tc>
          <w:tcPr>
            <w:tcW w:w="8187" w:type="dxa"/>
            <w:tcBorders>
              <w:top w:val="single" w:color="000000" w:sz="6" w:space="0"/>
              <w:right w:val="single" w:color="000000" w:sz="6" w:space="0"/>
            </w:tcBorders>
            <w:vAlign w:val="top"/>
          </w:tcPr>
          <w:p w14:paraId="4BFC01DC">
            <w:pPr>
              <w:spacing w:before="135" w:line="242" w:lineRule="auto"/>
              <w:ind w:left="51"/>
              <w:rPr>
                <w:rFonts w:ascii="黑体" w:hAnsi="黑体" w:eastAsia="黑体" w:cs="黑体"/>
                <w:sz w:val="21"/>
                <w:szCs w:val="21"/>
              </w:rPr>
            </w:pPr>
            <w:r>
              <w:rPr>
                <w:rFonts w:ascii="Times New Roman" w:hAnsi="Times New Roman" w:eastAsia="Times New Roman" w:cs="Times New Roman"/>
                <w:spacing w:val="8"/>
                <w:sz w:val="21"/>
                <w:szCs w:val="21"/>
              </w:rPr>
              <w:t>4</w:t>
            </w:r>
            <w:r>
              <w:rPr>
                <w:rFonts w:ascii="黑体" w:hAnsi="黑体" w:eastAsia="黑体" w:cs="黑体"/>
                <w:spacing w:val="8"/>
                <w:sz w:val="21"/>
                <w:szCs w:val="21"/>
              </w:rPr>
              <w:t>、生态环境质量现状及评价</w:t>
            </w:r>
          </w:p>
          <w:p w14:paraId="3507DBA4">
            <w:pPr>
              <w:pStyle w:val="6"/>
              <w:spacing w:before="132" w:line="352" w:lineRule="auto"/>
              <w:ind w:left="108" w:right="101" w:firstLine="420"/>
              <w:jc w:val="both"/>
            </w:pPr>
            <w:r>
              <w:rPr>
                <w:spacing w:val="-1"/>
              </w:rPr>
              <w:t>本项目位于达州市通川区东岳新型工业集聚区，项目区域为规划的工业用地，厂房</w:t>
            </w:r>
            <w:r>
              <w:rPr>
                <w:spacing w:val="18"/>
              </w:rPr>
              <w:t xml:space="preserve"> </w:t>
            </w:r>
            <w:r>
              <w:rPr>
                <w:spacing w:val="-5"/>
              </w:rPr>
              <w:t>外主要是</w:t>
            </w:r>
            <w:r>
              <w:rPr>
                <w:rFonts w:hint="eastAsia"/>
                <w:spacing w:val="-5"/>
                <w:lang w:eastAsia="zh-CN"/>
              </w:rPr>
              <w:t>其他</w:t>
            </w:r>
            <w:r>
              <w:rPr>
                <w:spacing w:val="-5"/>
              </w:rPr>
              <w:t>厂房和办公生活设施、魏复路以及少数居民。受人类活动的影响，</w:t>
            </w:r>
            <w:r>
              <w:rPr>
                <w:spacing w:val="68"/>
              </w:rPr>
              <w:t xml:space="preserve"> </w:t>
            </w:r>
            <w:r>
              <w:rPr>
                <w:spacing w:val="-5"/>
              </w:rPr>
              <w:t>评价区</w:t>
            </w:r>
            <w:r>
              <w:t xml:space="preserve"> </w:t>
            </w:r>
            <w:r>
              <w:rPr>
                <w:spacing w:val="-4"/>
              </w:rPr>
              <w:t>域野生动物多为一些常见的非保护性动物（如鼠、蛇等</w:t>
            </w:r>
            <w:r>
              <w:rPr>
                <w:spacing w:val="-5"/>
              </w:rPr>
              <w:t>）</w:t>
            </w:r>
            <w:r>
              <w:rPr>
                <w:spacing w:val="37"/>
              </w:rPr>
              <w:t xml:space="preserve"> </w:t>
            </w:r>
            <w:r>
              <w:rPr>
                <w:spacing w:val="-5"/>
              </w:rPr>
              <w:t>，</w:t>
            </w:r>
            <w:r>
              <w:rPr>
                <w:spacing w:val="-4"/>
              </w:rPr>
              <w:t>项目区范围内无大</w:t>
            </w:r>
            <w:r>
              <w:rPr>
                <w:spacing w:val="-5"/>
              </w:rPr>
              <w:t>型野生动</w:t>
            </w:r>
            <w:r>
              <w:t xml:space="preserve"> </w:t>
            </w:r>
            <w:r>
              <w:rPr>
                <w:spacing w:val="-5"/>
              </w:rPr>
              <w:t>物。根据现场调查，</w:t>
            </w:r>
            <w:r>
              <w:rPr>
                <w:spacing w:val="70"/>
              </w:rPr>
              <w:t xml:space="preserve"> </w:t>
            </w:r>
            <w:r>
              <w:rPr>
                <w:spacing w:val="-5"/>
              </w:rPr>
              <w:t>项目区域内不涉及自然保护区、森林公园及风景名胜区、生活饮用</w:t>
            </w:r>
            <w:r>
              <w:t xml:space="preserve"> 水水源保护区及其他需要特别保护区域，区域内</w:t>
            </w:r>
            <w:r>
              <w:rPr>
                <w:spacing w:val="-1"/>
              </w:rPr>
              <w:t>无国家保护的重点野生动植物，无名木</w:t>
            </w:r>
            <w:r>
              <w:t xml:space="preserve"> </w:t>
            </w:r>
            <w:r>
              <w:rPr>
                <w:spacing w:val="-2"/>
              </w:rPr>
              <w:t>古树及珍稀动植物等，无特殊文物保护单位。</w:t>
            </w:r>
          </w:p>
          <w:p w14:paraId="0048E3FD">
            <w:pPr>
              <w:pStyle w:val="6"/>
              <w:spacing w:line="219" w:lineRule="auto"/>
              <w:ind w:left="534"/>
            </w:pPr>
            <w:r>
              <w:rPr>
                <w:spacing w:val="-1"/>
              </w:rPr>
              <w:t>总体来看，项目区域生态环境质量一般，适合项目选址建设。</w:t>
            </w:r>
          </w:p>
        </w:tc>
      </w:tr>
      <w:tr w14:paraId="24997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3" w:hRule="atLeast"/>
        </w:trPr>
        <w:tc>
          <w:tcPr>
            <w:tcW w:w="808" w:type="dxa"/>
            <w:tcBorders>
              <w:left w:val="single" w:color="000000" w:sz="6" w:space="0"/>
            </w:tcBorders>
            <w:vAlign w:val="top"/>
          </w:tcPr>
          <w:p w14:paraId="4D01577C">
            <w:pPr>
              <w:spacing w:line="252" w:lineRule="auto"/>
              <w:rPr>
                <w:rFonts w:ascii="Arial"/>
                <w:sz w:val="21"/>
              </w:rPr>
            </w:pPr>
          </w:p>
          <w:p w14:paraId="6D72D4E1">
            <w:pPr>
              <w:spacing w:line="252" w:lineRule="auto"/>
              <w:rPr>
                <w:rFonts w:ascii="Arial"/>
                <w:sz w:val="21"/>
              </w:rPr>
            </w:pPr>
          </w:p>
          <w:p w14:paraId="4F82A74F">
            <w:pPr>
              <w:spacing w:line="252" w:lineRule="auto"/>
              <w:rPr>
                <w:rFonts w:ascii="Arial"/>
                <w:sz w:val="21"/>
              </w:rPr>
            </w:pPr>
          </w:p>
          <w:p w14:paraId="23DFA497">
            <w:pPr>
              <w:spacing w:line="252" w:lineRule="auto"/>
              <w:rPr>
                <w:rFonts w:ascii="Arial"/>
                <w:sz w:val="21"/>
              </w:rPr>
            </w:pPr>
          </w:p>
          <w:p w14:paraId="7ADBA6B9">
            <w:pPr>
              <w:spacing w:line="252" w:lineRule="auto"/>
              <w:rPr>
                <w:rFonts w:ascii="Arial"/>
                <w:sz w:val="21"/>
              </w:rPr>
            </w:pPr>
          </w:p>
          <w:p w14:paraId="730BA46D">
            <w:pPr>
              <w:spacing w:line="253" w:lineRule="auto"/>
              <w:rPr>
                <w:rFonts w:ascii="Arial"/>
                <w:sz w:val="21"/>
              </w:rPr>
            </w:pPr>
          </w:p>
          <w:p w14:paraId="0653AE95">
            <w:pPr>
              <w:spacing w:line="253" w:lineRule="auto"/>
              <w:rPr>
                <w:rFonts w:ascii="Arial"/>
                <w:sz w:val="21"/>
              </w:rPr>
            </w:pPr>
          </w:p>
          <w:p w14:paraId="7E56A3C1">
            <w:pPr>
              <w:spacing w:line="253" w:lineRule="auto"/>
              <w:rPr>
                <w:rFonts w:ascii="Arial"/>
                <w:sz w:val="21"/>
              </w:rPr>
            </w:pPr>
          </w:p>
          <w:p w14:paraId="39FDA008">
            <w:pPr>
              <w:spacing w:line="253" w:lineRule="auto"/>
              <w:rPr>
                <w:rFonts w:ascii="Arial"/>
                <w:sz w:val="21"/>
              </w:rPr>
            </w:pPr>
          </w:p>
          <w:p w14:paraId="0CB295DE">
            <w:pPr>
              <w:spacing w:line="253" w:lineRule="auto"/>
              <w:rPr>
                <w:rFonts w:ascii="Arial"/>
                <w:sz w:val="21"/>
              </w:rPr>
            </w:pPr>
          </w:p>
          <w:p w14:paraId="52F55884">
            <w:pPr>
              <w:spacing w:line="253" w:lineRule="auto"/>
              <w:rPr>
                <w:rFonts w:ascii="Arial"/>
                <w:sz w:val="21"/>
              </w:rPr>
            </w:pPr>
          </w:p>
          <w:p w14:paraId="3E173201">
            <w:pPr>
              <w:spacing w:line="253" w:lineRule="auto"/>
              <w:rPr>
                <w:rFonts w:ascii="Arial"/>
                <w:sz w:val="21"/>
              </w:rPr>
            </w:pPr>
          </w:p>
          <w:p w14:paraId="7298BE24">
            <w:pPr>
              <w:spacing w:line="253" w:lineRule="auto"/>
              <w:rPr>
                <w:rFonts w:ascii="Arial"/>
                <w:sz w:val="21"/>
              </w:rPr>
            </w:pPr>
          </w:p>
          <w:p w14:paraId="77D023A4">
            <w:pPr>
              <w:spacing w:line="253" w:lineRule="auto"/>
              <w:rPr>
                <w:rFonts w:ascii="Arial"/>
                <w:sz w:val="21"/>
              </w:rPr>
            </w:pPr>
          </w:p>
          <w:p w14:paraId="7460F0A1">
            <w:pPr>
              <w:pStyle w:val="6"/>
              <w:spacing w:before="78" w:line="220" w:lineRule="auto"/>
              <w:ind w:left="162"/>
              <w:rPr>
                <w:sz w:val="24"/>
                <w:szCs w:val="24"/>
              </w:rPr>
            </w:pPr>
            <w:r>
              <w:rPr>
                <w:b/>
                <w:bCs/>
                <w:spacing w:val="-5"/>
                <w:sz w:val="24"/>
                <w:szCs w:val="24"/>
              </w:rPr>
              <w:t>环境</w:t>
            </w:r>
          </w:p>
          <w:p w14:paraId="6EB9AA48">
            <w:pPr>
              <w:pStyle w:val="6"/>
              <w:spacing w:before="25" w:line="220" w:lineRule="auto"/>
              <w:ind w:left="163"/>
              <w:rPr>
                <w:sz w:val="24"/>
                <w:szCs w:val="24"/>
              </w:rPr>
            </w:pPr>
            <w:r>
              <w:rPr>
                <w:b/>
                <w:bCs/>
                <w:spacing w:val="-5"/>
                <w:sz w:val="24"/>
                <w:szCs w:val="24"/>
              </w:rPr>
              <w:t>保护</w:t>
            </w:r>
          </w:p>
          <w:p w14:paraId="644784D9">
            <w:pPr>
              <w:pStyle w:val="6"/>
              <w:spacing w:before="24" w:line="220" w:lineRule="auto"/>
              <w:ind w:left="208"/>
              <w:rPr>
                <w:sz w:val="24"/>
                <w:szCs w:val="24"/>
              </w:rPr>
            </w:pPr>
            <w:r>
              <w:rPr>
                <w:b/>
                <w:bCs/>
                <w:spacing w:val="-17"/>
                <w:sz w:val="24"/>
                <w:szCs w:val="24"/>
              </w:rPr>
              <w:t>目标</w:t>
            </w:r>
          </w:p>
        </w:tc>
        <w:tc>
          <w:tcPr>
            <w:tcW w:w="8187" w:type="dxa"/>
            <w:tcBorders>
              <w:right w:val="single" w:color="000000" w:sz="6" w:space="0"/>
            </w:tcBorders>
            <w:vAlign w:val="top"/>
          </w:tcPr>
          <w:p w14:paraId="57FF81FE">
            <w:pPr>
              <w:spacing w:before="117" w:line="242" w:lineRule="auto"/>
              <w:ind w:left="73"/>
              <w:rPr>
                <w:rFonts w:ascii="黑体" w:hAnsi="黑体" w:eastAsia="黑体" w:cs="黑体"/>
                <w:sz w:val="21"/>
                <w:szCs w:val="21"/>
              </w:rPr>
            </w:pPr>
            <w:r>
              <w:rPr>
                <w:rFonts w:ascii="Times New Roman" w:hAnsi="Times New Roman" w:eastAsia="Times New Roman" w:cs="Times New Roman"/>
                <w:spacing w:val="5"/>
                <w:sz w:val="21"/>
                <w:szCs w:val="21"/>
              </w:rPr>
              <w:t>1</w:t>
            </w:r>
            <w:r>
              <w:rPr>
                <w:rFonts w:ascii="黑体" w:hAnsi="黑体" w:eastAsia="黑体" w:cs="黑体"/>
                <w:spacing w:val="5"/>
                <w:sz w:val="21"/>
                <w:szCs w:val="21"/>
              </w:rPr>
              <w:t>、环境保护目标</w:t>
            </w:r>
          </w:p>
          <w:p w14:paraId="4EE92477">
            <w:pPr>
              <w:pStyle w:val="6"/>
              <w:spacing w:before="113" w:line="234" w:lineRule="auto"/>
              <w:ind w:left="536"/>
            </w:pPr>
            <w:r>
              <w:rPr>
                <w:b/>
                <w:bCs/>
                <w:spacing w:val="-5"/>
              </w:rPr>
              <w:t>（</w:t>
            </w:r>
            <w:r>
              <w:rPr>
                <w:rFonts w:ascii="Times New Roman" w:hAnsi="Times New Roman" w:eastAsia="Times New Roman" w:cs="Times New Roman"/>
                <w:b/>
                <w:bCs/>
                <w:spacing w:val="-5"/>
              </w:rPr>
              <w:t>1</w:t>
            </w:r>
            <w:r>
              <w:rPr>
                <w:b/>
                <w:bCs/>
                <w:spacing w:val="-5"/>
              </w:rPr>
              <w:t>）大气环境</w:t>
            </w:r>
          </w:p>
          <w:p w14:paraId="66418E3A">
            <w:pPr>
              <w:pStyle w:val="6"/>
              <w:spacing w:before="112" w:line="317" w:lineRule="auto"/>
              <w:ind w:left="109" w:right="103" w:firstLine="422"/>
            </w:pPr>
            <w:r>
              <w:rPr>
                <w:spacing w:val="-2"/>
              </w:rPr>
              <w:t>项目厂界外</w:t>
            </w:r>
            <w:r>
              <w:rPr>
                <w:rFonts w:ascii="Times New Roman" w:hAnsi="Times New Roman" w:eastAsia="Times New Roman" w:cs="Times New Roman"/>
                <w:spacing w:val="-2"/>
              </w:rPr>
              <w:t>500m</w:t>
            </w:r>
            <w:r>
              <w:rPr>
                <w:spacing w:val="-2"/>
              </w:rPr>
              <w:t>范围内无自然保护区、风景名胜区、文化区等保护目标。项目</w:t>
            </w:r>
            <w:r>
              <w:rPr>
                <w:spacing w:val="-3"/>
              </w:rPr>
              <w:t>周围</w:t>
            </w:r>
            <w:r>
              <w:t xml:space="preserve"> </w:t>
            </w:r>
            <w:r>
              <w:rPr>
                <w:spacing w:val="-2"/>
              </w:rPr>
              <w:t>敏感区为农村住户，与项目区的关系见下表。</w:t>
            </w:r>
          </w:p>
          <w:p w14:paraId="5087E8B0">
            <w:pPr>
              <w:spacing w:line="217" w:lineRule="auto"/>
              <w:ind w:left="2965"/>
              <w:rPr>
                <w:rFonts w:ascii="黑体" w:hAnsi="黑体" w:eastAsia="黑体" w:cs="黑体"/>
                <w:sz w:val="20"/>
                <w:szCs w:val="20"/>
              </w:rPr>
            </w:pPr>
            <w:r>
              <w:rPr>
                <w:rFonts w:ascii="黑体" w:hAnsi="黑体" w:eastAsia="黑体" w:cs="黑体"/>
                <w:spacing w:val="-1"/>
                <w:sz w:val="20"/>
                <w:szCs w:val="20"/>
              </w:rPr>
              <w:t>表</w:t>
            </w:r>
            <w:r>
              <w:rPr>
                <w:rFonts w:ascii="Times New Roman" w:hAnsi="Times New Roman" w:eastAsia="Times New Roman" w:cs="Times New Roman"/>
                <w:spacing w:val="-1"/>
                <w:sz w:val="20"/>
                <w:szCs w:val="20"/>
              </w:rPr>
              <w:t xml:space="preserve">3-4    </w:t>
            </w:r>
            <w:r>
              <w:rPr>
                <w:rFonts w:ascii="黑体" w:hAnsi="黑体" w:eastAsia="黑体" w:cs="黑体"/>
                <w:spacing w:val="-1"/>
                <w:sz w:val="20"/>
                <w:szCs w:val="20"/>
              </w:rPr>
              <w:t>大气环境保护目标</w:t>
            </w:r>
          </w:p>
          <w:tbl>
            <w:tblPr>
              <w:tblStyle w:val="5"/>
              <w:tblW w:w="7783" w:type="dxa"/>
              <w:tblInd w:w="1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3"/>
              <w:gridCol w:w="1898"/>
              <w:gridCol w:w="1699"/>
              <w:gridCol w:w="3183"/>
            </w:tblGrid>
            <w:tr w14:paraId="173D4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003" w:type="dxa"/>
                  <w:vAlign w:val="top"/>
                </w:tcPr>
                <w:p w14:paraId="02E6E1A5">
                  <w:pPr>
                    <w:pStyle w:val="6"/>
                    <w:spacing w:before="90" w:line="213" w:lineRule="auto"/>
                    <w:ind w:left="324"/>
                    <w:rPr>
                      <w:sz w:val="18"/>
                      <w:szCs w:val="18"/>
                    </w:rPr>
                  </w:pPr>
                  <w:r>
                    <w:rPr>
                      <w:b/>
                      <w:bCs/>
                      <w:spacing w:val="-4"/>
                      <w:sz w:val="18"/>
                      <w:szCs w:val="18"/>
                    </w:rPr>
                    <w:t>序号</w:t>
                  </w:r>
                </w:p>
              </w:tc>
              <w:tc>
                <w:tcPr>
                  <w:tcW w:w="1898" w:type="dxa"/>
                  <w:vAlign w:val="top"/>
                </w:tcPr>
                <w:p w14:paraId="0C745EED">
                  <w:pPr>
                    <w:pStyle w:val="6"/>
                    <w:spacing w:before="90" w:line="213" w:lineRule="auto"/>
                    <w:ind w:left="772"/>
                    <w:rPr>
                      <w:sz w:val="18"/>
                      <w:szCs w:val="18"/>
                    </w:rPr>
                  </w:pPr>
                  <w:r>
                    <w:rPr>
                      <w:b/>
                      <w:bCs/>
                      <w:spacing w:val="-4"/>
                      <w:sz w:val="18"/>
                      <w:szCs w:val="18"/>
                    </w:rPr>
                    <w:t>名称</w:t>
                  </w:r>
                </w:p>
              </w:tc>
              <w:tc>
                <w:tcPr>
                  <w:tcW w:w="1699" w:type="dxa"/>
                  <w:vAlign w:val="top"/>
                </w:tcPr>
                <w:p w14:paraId="2824137A">
                  <w:pPr>
                    <w:pStyle w:val="6"/>
                    <w:spacing w:before="90" w:line="213" w:lineRule="auto"/>
                    <w:ind w:left="671"/>
                    <w:rPr>
                      <w:sz w:val="18"/>
                      <w:szCs w:val="18"/>
                    </w:rPr>
                  </w:pPr>
                  <w:r>
                    <w:rPr>
                      <w:b/>
                      <w:bCs/>
                      <w:spacing w:val="-4"/>
                      <w:sz w:val="18"/>
                      <w:szCs w:val="18"/>
                    </w:rPr>
                    <w:t>规模</w:t>
                  </w:r>
                </w:p>
              </w:tc>
              <w:tc>
                <w:tcPr>
                  <w:tcW w:w="3183" w:type="dxa"/>
                  <w:vAlign w:val="top"/>
                </w:tcPr>
                <w:p w14:paraId="00A11C52">
                  <w:pPr>
                    <w:pStyle w:val="6"/>
                    <w:spacing w:before="90" w:line="213" w:lineRule="auto"/>
                    <w:ind w:left="684"/>
                    <w:rPr>
                      <w:rFonts w:ascii="Times New Roman" w:hAnsi="Times New Roman" w:eastAsia="Times New Roman" w:cs="Times New Roman"/>
                      <w:sz w:val="18"/>
                      <w:szCs w:val="18"/>
                    </w:rPr>
                  </w:pPr>
                  <w:r>
                    <w:rPr>
                      <w:b/>
                      <w:bCs/>
                      <w:spacing w:val="-2"/>
                      <w:sz w:val="18"/>
                      <w:szCs w:val="18"/>
                    </w:rPr>
                    <w:t>与项目区方位、距离</w:t>
                  </w:r>
                  <w:r>
                    <w:rPr>
                      <w:rFonts w:ascii="Times New Roman" w:hAnsi="Times New Roman" w:eastAsia="Times New Roman" w:cs="Times New Roman"/>
                      <w:b/>
                      <w:bCs/>
                      <w:spacing w:val="-2"/>
                      <w:sz w:val="18"/>
                      <w:szCs w:val="18"/>
                    </w:rPr>
                    <w:t>/m</w:t>
                  </w:r>
                </w:p>
              </w:tc>
            </w:tr>
            <w:tr w14:paraId="24A4C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003" w:type="dxa"/>
                  <w:vAlign w:val="top"/>
                </w:tcPr>
                <w:p w14:paraId="3098F94D">
                  <w:pPr>
                    <w:spacing w:before="116" w:line="205" w:lineRule="auto"/>
                    <w:ind w:left="474"/>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898" w:type="dxa"/>
                  <w:vAlign w:val="top"/>
                </w:tcPr>
                <w:p w14:paraId="0A2E940D">
                  <w:pPr>
                    <w:pStyle w:val="6"/>
                    <w:spacing w:before="86" w:line="212" w:lineRule="auto"/>
                    <w:ind w:left="770"/>
                    <w:rPr>
                      <w:sz w:val="18"/>
                      <w:szCs w:val="18"/>
                    </w:rPr>
                  </w:pPr>
                  <w:r>
                    <w:rPr>
                      <w:spacing w:val="-2"/>
                      <w:sz w:val="18"/>
                      <w:szCs w:val="18"/>
                    </w:rPr>
                    <w:t>住户</w:t>
                  </w:r>
                </w:p>
              </w:tc>
              <w:tc>
                <w:tcPr>
                  <w:tcW w:w="1699" w:type="dxa"/>
                  <w:vAlign w:val="top"/>
                </w:tcPr>
                <w:p w14:paraId="6348192C">
                  <w:pPr>
                    <w:pStyle w:val="6"/>
                    <w:spacing w:before="86" w:line="212" w:lineRule="auto"/>
                    <w:ind w:left="439"/>
                    <w:rPr>
                      <w:sz w:val="18"/>
                      <w:szCs w:val="18"/>
                    </w:rPr>
                  </w:pPr>
                  <w:r>
                    <w:rPr>
                      <w:rFonts w:ascii="Times New Roman" w:hAnsi="Times New Roman" w:eastAsia="Times New Roman" w:cs="Times New Roman"/>
                      <w:spacing w:val="-6"/>
                      <w:sz w:val="18"/>
                      <w:szCs w:val="18"/>
                    </w:rPr>
                    <w:t>18</w:t>
                  </w:r>
                  <w:r>
                    <w:rPr>
                      <w:rFonts w:ascii="Times New Roman" w:hAnsi="Times New Roman" w:eastAsia="Times New Roman" w:cs="Times New Roman"/>
                      <w:spacing w:val="10"/>
                      <w:sz w:val="18"/>
                      <w:szCs w:val="18"/>
                    </w:rPr>
                    <w:t xml:space="preserve"> </w:t>
                  </w:r>
                  <w:r>
                    <w:rPr>
                      <w:spacing w:val="-6"/>
                      <w:sz w:val="18"/>
                      <w:szCs w:val="18"/>
                    </w:rPr>
                    <w:t>户</w:t>
                  </w:r>
                  <w:r>
                    <w:rPr>
                      <w:spacing w:val="-43"/>
                      <w:sz w:val="18"/>
                      <w:szCs w:val="18"/>
                    </w:rPr>
                    <w:t xml:space="preserve"> </w:t>
                  </w:r>
                  <w:r>
                    <w:rPr>
                      <w:rFonts w:ascii="Times New Roman" w:hAnsi="Times New Roman" w:eastAsia="Times New Roman" w:cs="Times New Roman"/>
                      <w:spacing w:val="-6"/>
                      <w:sz w:val="18"/>
                      <w:szCs w:val="18"/>
                    </w:rPr>
                    <w:t>45</w:t>
                  </w:r>
                  <w:r>
                    <w:rPr>
                      <w:rFonts w:ascii="Times New Roman" w:hAnsi="Times New Roman" w:eastAsia="Times New Roman" w:cs="Times New Roman"/>
                      <w:spacing w:val="8"/>
                      <w:sz w:val="18"/>
                      <w:szCs w:val="18"/>
                    </w:rPr>
                    <w:t xml:space="preserve"> </w:t>
                  </w:r>
                  <w:r>
                    <w:rPr>
                      <w:spacing w:val="-6"/>
                      <w:sz w:val="18"/>
                      <w:szCs w:val="18"/>
                    </w:rPr>
                    <w:t>人</w:t>
                  </w:r>
                </w:p>
              </w:tc>
              <w:tc>
                <w:tcPr>
                  <w:tcW w:w="3183" w:type="dxa"/>
                  <w:vAlign w:val="top"/>
                </w:tcPr>
                <w:p w14:paraId="377327D4">
                  <w:pPr>
                    <w:pStyle w:val="6"/>
                    <w:spacing w:before="86" w:line="212" w:lineRule="auto"/>
                    <w:ind w:left="937"/>
                    <w:rPr>
                      <w:rFonts w:ascii="Times New Roman" w:hAnsi="Times New Roman" w:eastAsia="Times New Roman" w:cs="Times New Roman"/>
                      <w:sz w:val="18"/>
                      <w:szCs w:val="18"/>
                    </w:rPr>
                  </w:pPr>
                  <w:r>
                    <w:rPr>
                      <w:spacing w:val="-1"/>
                      <w:sz w:val="18"/>
                      <w:szCs w:val="18"/>
                    </w:rPr>
                    <w:t>南面，</w:t>
                  </w:r>
                  <w:r>
                    <w:rPr>
                      <w:rFonts w:ascii="Times New Roman" w:hAnsi="Times New Roman" w:eastAsia="Times New Roman" w:cs="Times New Roman"/>
                      <w:spacing w:val="-1"/>
                      <w:sz w:val="18"/>
                      <w:szCs w:val="18"/>
                    </w:rPr>
                    <w:t>200</w:t>
                  </w:r>
                  <w:r>
                    <w:rPr>
                      <w:rFonts w:hint="eastAsia" w:ascii="Times New Roman" w:hAnsi="Times New Roman" w:eastAsia="宋体" w:cs="Times New Roman"/>
                      <w:spacing w:val="-1"/>
                      <w:sz w:val="18"/>
                      <w:szCs w:val="18"/>
                      <w:lang w:eastAsia="zh-CN"/>
                    </w:rPr>
                    <w:t>～</w:t>
                  </w:r>
                  <w:r>
                    <w:rPr>
                      <w:rFonts w:ascii="Times New Roman" w:hAnsi="Times New Roman" w:eastAsia="Times New Roman" w:cs="Times New Roman"/>
                      <w:spacing w:val="-1"/>
                      <w:sz w:val="18"/>
                      <w:szCs w:val="18"/>
                    </w:rPr>
                    <w:t>370m</w:t>
                  </w:r>
                </w:p>
              </w:tc>
            </w:tr>
            <w:tr w14:paraId="34F6C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003" w:type="dxa"/>
                  <w:vAlign w:val="top"/>
                </w:tcPr>
                <w:p w14:paraId="616097FA">
                  <w:pPr>
                    <w:spacing w:before="119" w:line="204" w:lineRule="auto"/>
                    <w:ind w:left="457"/>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898" w:type="dxa"/>
                  <w:vAlign w:val="top"/>
                </w:tcPr>
                <w:p w14:paraId="3434132C">
                  <w:pPr>
                    <w:pStyle w:val="6"/>
                    <w:spacing w:before="89" w:line="211" w:lineRule="auto"/>
                    <w:ind w:left="597"/>
                    <w:rPr>
                      <w:sz w:val="18"/>
                      <w:szCs w:val="18"/>
                    </w:rPr>
                  </w:pPr>
                  <w:r>
                    <w:rPr>
                      <w:spacing w:val="-3"/>
                      <w:sz w:val="18"/>
                      <w:szCs w:val="18"/>
                    </w:rPr>
                    <w:t>东岳场镇</w:t>
                  </w:r>
                </w:p>
              </w:tc>
              <w:tc>
                <w:tcPr>
                  <w:tcW w:w="1699" w:type="dxa"/>
                  <w:vAlign w:val="top"/>
                </w:tcPr>
                <w:p w14:paraId="7146EDDC">
                  <w:pPr>
                    <w:pStyle w:val="6"/>
                    <w:spacing w:before="89" w:line="211" w:lineRule="auto"/>
                    <w:ind w:left="452"/>
                    <w:rPr>
                      <w:sz w:val="18"/>
                      <w:szCs w:val="18"/>
                    </w:rPr>
                  </w:pPr>
                  <w:r>
                    <w:rPr>
                      <w:spacing w:val="-6"/>
                      <w:sz w:val="18"/>
                      <w:szCs w:val="18"/>
                    </w:rPr>
                    <w:t>约</w:t>
                  </w:r>
                  <w:r>
                    <w:rPr>
                      <w:spacing w:val="-22"/>
                      <w:sz w:val="18"/>
                      <w:szCs w:val="18"/>
                    </w:rPr>
                    <w:t xml:space="preserve"> </w:t>
                  </w:r>
                  <w:r>
                    <w:rPr>
                      <w:rFonts w:ascii="Times New Roman" w:hAnsi="Times New Roman" w:eastAsia="Times New Roman" w:cs="Times New Roman"/>
                      <w:spacing w:val="-6"/>
                      <w:sz w:val="18"/>
                      <w:szCs w:val="18"/>
                    </w:rPr>
                    <w:t>1000</w:t>
                  </w:r>
                  <w:r>
                    <w:rPr>
                      <w:rFonts w:ascii="Times New Roman" w:hAnsi="Times New Roman" w:eastAsia="Times New Roman" w:cs="Times New Roman"/>
                      <w:spacing w:val="7"/>
                      <w:sz w:val="18"/>
                      <w:szCs w:val="18"/>
                    </w:rPr>
                    <w:t xml:space="preserve"> </w:t>
                  </w:r>
                  <w:r>
                    <w:rPr>
                      <w:spacing w:val="-6"/>
                      <w:sz w:val="18"/>
                      <w:szCs w:val="18"/>
                    </w:rPr>
                    <w:t>人</w:t>
                  </w:r>
                </w:p>
              </w:tc>
              <w:tc>
                <w:tcPr>
                  <w:tcW w:w="3183" w:type="dxa"/>
                  <w:vAlign w:val="top"/>
                </w:tcPr>
                <w:p w14:paraId="3F1A8C3C">
                  <w:pPr>
                    <w:pStyle w:val="6"/>
                    <w:spacing w:before="89" w:line="211" w:lineRule="auto"/>
                    <w:ind w:left="646"/>
                    <w:rPr>
                      <w:sz w:val="18"/>
                      <w:szCs w:val="18"/>
                    </w:rPr>
                  </w:pPr>
                  <w:r>
                    <w:rPr>
                      <w:spacing w:val="-1"/>
                      <w:sz w:val="18"/>
                      <w:szCs w:val="18"/>
                    </w:rPr>
                    <w:t>南面，</w:t>
                  </w:r>
                  <w:r>
                    <w:rPr>
                      <w:rFonts w:ascii="Times New Roman" w:hAnsi="Times New Roman" w:eastAsia="Times New Roman" w:cs="Times New Roman"/>
                      <w:spacing w:val="-1"/>
                      <w:sz w:val="18"/>
                      <w:szCs w:val="18"/>
                    </w:rPr>
                    <w:t>390</w:t>
                  </w:r>
                  <w:r>
                    <w:rPr>
                      <w:rFonts w:hint="eastAsia" w:ascii="Times New Roman" w:hAnsi="Times New Roman" w:eastAsia="宋体" w:cs="Times New Roman"/>
                      <w:spacing w:val="-1"/>
                      <w:sz w:val="18"/>
                      <w:szCs w:val="18"/>
                      <w:lang w:eastAsia="zh-CN"/>
                    </w:rPr>
                    <w:t>～</w:t>
                  </w:r>
                  <w:r>
                    <w:rPr>
                      <w:rFonts w:ascii="Times New Roman" w:hAnsi="Times New Roman" w:eastAsia="Times New Roman" w:cs="Times New Roman"/>
                      <w:spacing w:val="-1"/>
                      <w:sz w:val="18"/>
                      <w:szCs w:val="18"/>
                    </w:rPr>
                    <w:t xml:space="preserve">750m </w:t>
                  </w:r>
                  <w:r>
                    <w:rPr>
                      <w:spacing w:val="-1"/>
                      <w:sz w:val="18"/>
                      <w:szCs w:val="18"/>
                    </w:rPr>
                    <w:t>范围内</w:t>
                  </w:r>
                </w:p>
              </w:tc>
            </w:tr>
            <w:tr w14:paraId="04437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003" w:type="dxa"/>
                  <w:vAlign w:val="top"/>
                </w:tcPr>
                <w:p w14:paraId="02624FC9">
                  <w:pPr>
                    <w:spacing w:before="119" w:line="207" w:lineRule="auto"/>
                    <w:ind w:left="460"/>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898" w:type="dxa"/>
                  <w:vAlign w:val="top"/>
                </w:tcPr>
                <w:p w14:paraId="5E2922B4">
                  <w:pPr>
                    <w:pStyle w:val="6"/>
                    <w:spacing w:before="89" w:line="214" w:lineRule="auto"/>
                    <w:ind w:left="770"/>
                    <w:rPr>
                      <w:sz w:val="18"/>
                      <w:szCs w:val="18"/>
                    </w:rPr>
                  </w:pPr>
                  <w:r>
                    <w:rPr>
                      <w:spacing w:val="-2"/>
                      <w:sz w:val="18"/>
                      <w:szCs w:val="18"/>
                    </w:rPr>
                    <w:t>住户</w:t>
                  </w:r>
                </w:p>
              </w:tc>
              <w:tc>
                <w:tcPr>
                  <w:tcW w:w="1699" w:type="dxa"/>
                  <w:vAlign w:val="top"/>
                </w:tcPr>
                <w:p w14:paraId="3CBB4BB1">
                  <w:pPr>
                    <w:pStyle w:val="6"/>
                    <w:spacing w:before="89" w:line="214" w:lineRule="auto"/>
                    <w:ind w:left="471"/>
                    <w:rPr>
                      <w:sz w:val="18"/>
                      <w:szCs w:val="18"/>
                    </w:rPr>
                  </w:pPr>
                  <w:r>
                    <w:rPr>
                      <w:rFonts w:ascii="Times New Roman" w:hAnsi="Times New Roman" w:eastAsia="Times New Roman" w:cs="Times New Roman"/>
                      <w:spacing w:val="-8"/>
                      <w:sz w:val="18"/>
                      <w:szCs w:val="18"/>
                    </w:rPr>
                    <w:t>6</w:t>
                  </w:r>
                  <w:r>
                    <w:rPr>
                      <w:rFonts w:ascii="Times New Roman" w:hAnsi="Times New Roman" w:eastAsia="Times New Roman" w:cs="Times New Roman"/>
                      <w:spacing w:val="9"/>
                      <w:sz w:val="18"/>
                      <w:szCs w:val="18"/>
                    </w:rPr>
                    <w:t xml:space="preserve"> </w:t>
                  </w:r>
                  <w:r>
                    <w:rPr>
                      <w:spacing w:val="-8"/>
                      <w:sz w:val="18"/>
                      <w:szCs w:val="18"/>
                    </w:rPr>
                    <w:t>户</w:t>
                  </w:r>
                  <w:r>
                    <w:rPr>
                      <w:spacing w:val="-24"/>
                      <w:sz w:val="18"/>
                      <w:szCs w:val="18"/>
                    </w:rPr>
                    <w:t xml:space="preserve"> </w:t>
                  </w:r>
                  <w:r>
                    <w:rPr>
                      <w:rFonts w:ascii="Times New Roman" w:hAnsi="Times New Roman" w:eastAsia="Times New Roman" w:cs="Times New Roman"/>
                      <w:spacing w:val="-8"/>
                      <w:sz w:val="18"/>
                      <w:szCs w:val="18"/>
                    </w:rPr>
                    <w:t>15</w:t>
                  </w:r>
                  <w:r>
                    <w:rPr>
                      <w:rFonts w:ascii="Times New Roman" w:hAnsi="Times New Roman" w:eastAsia="Times New Roman" w:cs="Times New Roman"/>
                      <w:spacing w:val="7"/>
                      <w:sz w:val="18"/>
                      <w:szCs w:val="18"/>
                    </w:rPr>
                    <w:t xml:space="preserve"> </w:t>
                  </w:r>
                  <w:r>
                    <w:rPr>
                      <w:spacing w:val="-8"/>
                      <w:sz w:val="18"/>
                      <w:szCs w:val="18"/>
                    </w:rPr>
                    <w:t>人</w:t>
                  </w:r>
                </w:p>
              </w:tc>
              <w:tc>
                <w:tcPr>
                  <w:tcW w:w="3183" w:type="dxa"/>
                  <w:vAlign w:val="top"/>
                </w:tcPr>
                <w:p w14:paraId="51794886">
                  <w:pPr>
                    <w:pStyle w:val="6"/>
                    <w:spacing w:before="89" w:line="214" w:lineRule="auto"/>
                    <w:ind w:left="939"/>
                    <w:rPr>
                      <w:rFonts w:ascii="Times New Roman" w:hAnsi="Times New Roman" w:eastAsia="Times New Roman" w:cs="Times New Roman"/>
                      <w:sz w:val="18"/>
                      <w:szCs w:val="18"/>
                    </w:rPr>
                  </w:pPr>
                  <w:r>
                    <w:rPr>
                      <w:spacing w:val="-2"/>
                      <w:sz w:val="18"/>
                      <w:szCs w:val="18"/>
                    </w:rPr>
                    <w:t>西面，</w:t>
                  </w:r>
                  <w:r>
                    <w:rPr>
                      <w:rFonts w:ascii="Times New Roman" w:hAnsi="Times New Roman" w:eastAsia="Times New Roman" w:cs="Times New Roman"/>
                      <w:spacing w:val="-2"/>
                      <w:sz w:val="18"/>
                      <w:szCs w:val="18"/>
                    </w:rPr>
                    <w:t>290</w:t>
                  </w:r>
                  <w:r>
                    <w:rPr>
                      <w:rFonts w:hint="eastAsia" w:ascii="Times New Roman" w:hAnsi="Times New Roman" w:eastAsia="宋体" w:cs="Times New Roman"/>
                      <w:spacing w:val="-2"/>
                      <w:sz w:val="18"/>
                      <w:szCs w:val="18"/>
                      <w:lang w:eastAsia="zh-CN"/>
                    </w:rPr>
                    <w:t>～</w:t>
                  </w:r>
                  <w:r>
                    <w:rPr>
                      <w:rFonts w:ascii="Times New Roman" w:hAnsi="Times New Roman" w:eastAsia="Times New Roman" w:cs="Times New Roman"/>
                      <w:spacing w:val="-2"/>
                      <w:sz w:val="18"/>
                      <w:szCs w:val="18"/>
                    </w:rPr>
                    <w:t>310m</w:t>
                  </w:r>
                </w:p>
              </w:tc>
            </w:tr>
          </w:tbl>
          <w:p w14:paraId="3776FF90">
            <w:pPr>
              <w:pStyle w:val="6"/>
              <w:spacing w:before="125" w:line="234" w:lineRule="auto"/>
              <w:ind w:left="536"/>
            </w:pPr>
            <w:r>
              <w:rPr>
                <w:b/>
                <w:bCs/>
                <w:spacing w:val="-4"/>
              </w:rPr>
              <w:t>（</w:t>
            </w:r>
            <w:r>
              <w:rPr>
                <w:rFonts w:ascii="Times New Roman" w:hAnsi="Times New Roman" w:eastAsia="Times New Roman" w:cs="Times New Roman"/>
                <w:b/>
                <w:bCs/>
                <w:spacing w:val="-4"/>
              </w:rPr>
              <w:t>2</w:t>
            </w:r>
            <w:r>
              <w:rPr>
                <w:b/>
                <w:bCs/>
                <w:spacing w:val="-4"/>
              </w:rPr>
              <w:t>）声环境</w:t>
            </w:r>
          </w:p>
          <w:p w14:paraId="44341DF7">
            <w:pPr>
              <w:pStyle w:val="6"/>
              <w:spacing w:before="114" w:line="233" w:lineRule="auto"/>
              <w:ind w:left="531"/>
            </w:pPr>
            <w:r>
              <w:rPr>
                <w:spacing w:val="-1"/>
              </w:rPr>
              <w:t>项目区周边</w:t>
            </w:r>
            <w:r>
              <w:rPr>
                <w:rFonts w:ascii="Times New Roman" w:hAnsi="Times New Roman" w:eastAsia="Times New Roman" w:cs="Times New Roman"/>
                <w:spacing w:val="-1"/>
              </w:rPr>
              <w:t>50</w:t>
            </w:r>
            <w:r>
              <w:rPr>
                <w:spacing w:val="-1"/>
              </w:rPr>
              <w:t>米范围内无学校、医院、住户等声环境敏感目标。</w:t>
            </w:r>
          </w:p>
          <w:p w14:paraId="6D5DC0EC">
            <w:pPr>
              <w:pStyle w:val="6"/>
              <w:spacing w:before="114" w:line="233" w:lineRule="auto"/>
              <w:ind w:left="536"/>
            </w:pPr>
            <w:r>
              <w:rPr>
                <w:b/>
                <w:bCs/>
                <w:spacing w:val="-4"/>
              </w:rPr>
              <w:t>（</w:t>
            </w:r>
            <w:r>
              <w:rPr>
                <w:rFonts w:ascii="Times New Roman" w:hAnsi="Times New Roman" w:eastAsia="Times New Roman" w:cs="Times New Roman"/>
                <w:b/>
                <w:bCs/>
                <w:spacing w:val="-4"/>
              </w:rPr>
              <w:t>3</w:t>
            </w:r>
            <w:r>
              <w:rPr>
                <w:b/>
                <w:bCs/>
                <w:spacing w:val="-4"/>
              </w:rPr>
              <w:t>）地表水</w:t>
            </w:r>
          </w:p>
          <w:p w14:paraId="6B2CD786">
            <w:pPr>
              <w:pStyle w:val="6"/>
              <w:spacing w:before="114" w:line="332" w:lineRule="auto"/>
              <w:ind w:left="55" w:right="48" w:firstLine="423"/>
              <w:jc w:val="both"/>
            </w:pPr>
            <w:r>
              <w:rPr>
                <w:spacing w:val="-3"/>
              </w:rPr>
              <w:t>项目附近地表水体为西面相距约</w:t>
            </w:r>
            <w:r>
              <w:rPr>
                <w:spacing w:val="-39"/>
              </w:rPr>
              <w:t xml:space="preserve"> </w:t>
            </w:r>
            <w:r>
              <w:rPr>
                <w:rFonts w:ascii="Times New Roman" w:hAnsi="Times New Roman" w:eastAsia="Times New Roman" w:cs="Times New Roman"/>
                <w:spacing w:val="-3"/>
              </w:rPr>
              <w:t>370m</w:t>
            </w:r>
            <w:r>
              <w:rPr>
                <w:rFonts w:ascii="Times New Roman" w:hAnsi="Times New Roman" w:eastAsia="Times New Roman" w:cs="Times New Roman"/>
                <w:spacing w:val="25"/>
              </w:rPr>
              <w:t xml:space="preserve"> </w:t>
            </w:r>
            <w:r>
              <w:rPr>
                <w:spacing w:val="-3"/>
              </w:rPr>
              <w:t>的小河沟，小河沟向南汇入双龙河。双龙河位</w:t>
            </w:r>
            <w:r>
              <w:t xml:space="preserve"> </w:t>
            </w:r>
            <w:r>
              <w:rPr>
                <w:spacing w:val="-1"/>
              </w:rPr>
              <w:t>于本项目西南面，相距约</w:t>
            </w:r>
            <w:r>
              <w:rPr>
                <w:spacing w:val="-44"/>
              </w:rPr>
              <w:t xml:space="preserve"> </w:t>
            </w:r>
            <w:r>
              <w:rPr>
                <w:rFonts w:ascii="Times New Roman" w:hAnsi="Times New Roman" w:eastAsia="Times New Roman" w:cs="Times New Roman"/>
                <w:spacing w:val="-1"/>
              </w:rPr>
              <w:t>725m</w:t>
            </w:r>
            <w:r>
              <w:rPr>
                <w:rFonts w:ascii="Times New Roman" w:hAnsi="Times New Roman" w:eastAsia="Times New Roman" w:cs="Times New Roman"/>
                <w:spacing w:val="-24"/>
              </w:rPr>
              <w:t xml:space="preserve"> </w:t>
            </w:r>
            <w:r>
              <w:rPr>
                <w:spacing w:val="-1"/>
              </w:rPr>
              <w:t>。项目评价区域</w:t>
            </w:r>
            <w:r>
              <w:rPr>
                <w:spacing w:val="-2"/>
              </w:rPr>
              <w:t>双龙河无饮用水水源保护区、饮用水取水</w:t>
            </w:r>
            <w:r>
              <w:t xml:space="preserve"> 口，涉水的自然保护区、风景名胜区等地表水环境保护目标。地表</w:t>
            </w:r>
            <w:r>
              <w:rPr>
                <w:spacing w:val="-1"/>
              </w:rPr>
              <w:t>水主要保护小河沟和</w:t>
            </w:r>
            <w:r>
              <w:t xml:space="preserve">  </w:t>
            </w:r>
            <w:r>
              <w:rPr>
                <w:spacing w:val="-2"/>
              </w:rPr>
              <w:t>双龙河水质，应确保其水质不</w:t>
            </w:r>
            <w:r>
              <w:rPr>
                <w:rFonts w:hint="eastAsia"/>
                <w:spacing w:val="-2"/>
                <w:lang w:eastAsia="zh-CN"/>
              </w:rPr>
              <w:t>因</w:t>
            </w:r>
            <w:r>
              <w:rPr>
                <w:spacing w:val="-2"/>
              </w:rPr>
              <w:t>本项目建设而恶化。</w:t>
            </w:r>
          </w:p>
          <w:p w14:paraId="2AECE9EC">
            <w:pPr>
              <w:pStyle w:val="6"/>
              <w:spacing w:before="12" w:line="233" w:lineRule="auto"/>
              <w:ind w:left="536"/>
            </w:pPr>
            <w:r>
              <w:rPr>
                <w:b/>
                <w:bCs/>
                <w:spacing w:val="-4"/>
              </w:rPr>
              <w:t>（</w:t>
            </w:r>
            <w:r>
              <w:rPr>
                <w:rFonts w:ascii="Times New Roman" w:hAnsi="Times New Roman" w:eastAsia="Times New Roman" w:cs="Times New Roman"/>
                <w:b/>
                <w:bCs/>
                <w:spacing w:val="-4"/>
              </w:rPr>
              <w:t>4</w:t>
            </w:r>
            <w:r>
              <w:rPr>
                <w:b/>
                <w:bCs/>
                <w:spacing w:val="-4"/>
              </w:rPr>
              <w:t>）地下水环境</w:t>
            </w:r>
          </w:p>
          <w:p w14:paraId="03576350">
            <w:pPr>
              <w:pStyle w:val="6"/>
              <w:spacing w:before="113" w:line="327" w:lineRule="auto"/>
              <w:ind w:left="110" w:right="28" w:firstLine="418"/>
            </w:pPr>
            <w:r>
              <w:rPr>
                <w:spacing w:val="-1"/>
              </w:rPr>
              <w:t>根据调查，项目厂界外</w:t>
            </w:r>
            <w:r>
              <w:rPr>
                <w:rFonts w:ascii="Times New Roman" w:hAnsi="Times New Roman" w:eastAsia="Times New Roman" w:cs="Times New Roman"/>
                <w:spacing w:val="-1"/>
              </w:rPr>
              <w:t>500</w:t>
            </w:r>
            <w:r>
              <w:rPr>
                <w:spacing w:val="-1"/>
              </w:rPr>
              <w:t>米范围内的无地下水集中式饮用水水</w:t>
            </w:r>
            <w:r>
              <w:rPr>
                <w:spacing w:val="-2"/>
              </w:rPr>
              <w:t>源和热水、矿泉水、</w:t>
            </w:r>
            <w:r>
              <w:t xml:space="preserve"> </w:t>
            </w:r>
            <w:r>
              <w:rPr>
                <w:spacing w:val="-4"/>
              </w:rPr>
              <w:t>温泉等特殊地下水资源。</w:t>
            </w:r>
          </w:p>
          <w:p w14:paraId="432F0A12">
            <w:pPr>
              <w:pStyle w:val="6"/>
              <w:spacing w:before="17" w:line="234" w:lineRule="auto"/>
              <w:ind w:left="536"/>
            </w:pPr>
            <w:r>
              <w:rPr>
                <w:b/>
                <w:bCs/>
                <w:spacing w:val="-5"/>
              </w:rPr>
              <w:t>（</w:t>
            </w:r>
            <w:r>
              <w:rPr>
                <w:rFonts w:ascii="Times New Roman" w:hAnsi="Times New Roman" w:eastAsia="Times New Roman" w:cs="Times New Roman"/>
                <w:b/>
                <w:bCs/>
                <w:spacing w:val="-5"/>
              </w:rPr>
              <w:t>5</w:t>
            </w:r>
            <w:r>
              <w:rPr>
                <w:b/>
                <w:bCs/>
                <w:spacing w:val="-5"/>
              </w:rPr>
              <w:t>）生态环境</w:t>
            </w:r>
          </w:p>
          <w:p w14:paraId="2824A5C5">
            <w:pPr>
              <w:pStyle w:val="6"/>
              <w:spacing w:before="114" w:line="295" w:lineRule="auto"/>
              <w:ind w:left="111" w:right="103" w:firstLine="417"/>
              <w:jc w:val="both"/>
            </w:pPr>
            <w:r>
              <w:t>根据现场调查，项目区域内不涉及自然保护</w:t>
            </w:r>
            <w:r>
              <w:rPr>
                <w:spacing w:val="-1"/>
              </w:rPr>
              <w:t>区、森林公园及风景名胜区、生活饮用</w:t>
            </w:r>
            <w:r>
              <w:t xml:space="preserve"> 水水源保护区及其他需要特别保护区域，区</w:t>
            </w:r>
            <w:r>
              <w:rPr>
                <w:spacing w:val="-1"/>
              </w:rPr>
              <w:t>域内无国家保护的重点野生动植物，无名木</w:t>
            </w:r>
            <w:r>
              <w:t xml:space="preserve"> </w:t>
            </w:r>
            <w:r>
              <w:rPr>
                <w:spacing w:val="-2"/>
              </w:rPr>
              <w:t>古树及珍稀动植物等，无特殊文物保护单位。</w:t>
            </w:r>
          </w:p>
        </w:tc>
      </w:tr>
      <w:tr w14:paraId="661AB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09" w:hRule="atLeast"/>
        </w:trPr>
        <w:tc>
          <w:tcPr>
            <w:tcW w:w="808" w:type="dxa"/>
            <w:tcBorders>
              <w:left w:val="single" w:color="000000" w:sz="6" w:space="0"/>
            </w:tcBorders>
            <w:vAlign w:val="top"/>
          </w:tcPr>
          <w:p w14:paraId="2B2EBA5F">
            <w:pPr>
              <w:rPr>
                <w:rFonts w:ascii="Arial"/>
                <w:sz w:val="21"/>
              </w:rPr>
            </w:pPr>
          </w:p>
        </w:tc>
        <w:tc>
          <w:tcPr>
            <w:tcW w:w="8187" w:type="dxa"/>
            <w:tcBorders>
              <w:right w:val="single" w:color="000000" w:sz="6" w:space="0"/>
            </w:tcBorders>
            <w:vAlign w:val="top"/>
          </w:tcPr>
          <w:p w14:paraId="6A2750DF">
            <w:pPr>
              <w:spacing w:before="136" w:line="242" w:lineRule="auto"/>
              <w:ind w:left="126"/>
              <w:rPr>
                <w:rFonts w:ascii="黑体" w:hAnsi="黑体" w:eastAsia="黑体" w:cs="黑体"/>
                <w:sz w:val="21"/>
                <w:szCs w:val="21"/>
              </w:rPr>
            </w:pPr>
            <w:r>
              <w:rPr>
                <w:rFonts w:ascii="Times New Roman" w:hAnsi="Times New Roman" w:eastAsia="Times New Roman" w:cs="Times New Roman"/>
                <w:spacing w:val="-1"/>
                <w:sz w:val="21"/>
                <w:szCs w:val="21"/>
              </w:rPr>
              <w:t>1</w:t>
            </w:r>
            <w:r>
              <w:rPr>
                <w:rFonts w:ascii="黑体" w:hAnsi="黑体" w:eastAsia="黑体" w:cs="黑体"/>
                <w:spacing w:val="-1"/>
                <w:sz w:val="21"/>
                <w:szCs w:val="21"/>
              </w:rPr>
              <w:t>、废气</w:t>
            </w:r>
          </w:p>
          <w:p w14:paraId="47BDE0DD">
            <w:pPr>
              <w:pStyle w:val="6"/>
              <w:spacing w:before="133" w:line="233" w:lineRule="auto"/>
              <w:jc w:val="right"/>
            </w:pPr>
            <w:r>
              <w:rPr>
                <w:spacing w:val="-2"/>
              </w:rPr>
              <w:t>施工期：项目施工废气执行《四川省施工场地扬尘排放标准》（</w:t>
            </w:r>
            <w:r>
              <w:rPr>
                <w:rFonts w:ascii="Times New Roman" w:hAnsi="Times New Roman" w:eastAsia="Times New Roman" w:cs="Times New Roman"/>
                <w:spacing w:val="-2"/>
              </w:rPr>
              <w:t>DB512682-</w:t>
            </w:r>
            <w:r>
              <w:rPr>
                <w:rFonts w:ascii="Times New Roman" w:hAnsi="Times New Roman" w:eastAsia="Times New Roman" w:cs="Times New Roman"/>
                <w:spacing w:val="-3"/>
              </w:rPr>
              <w:t>2020</w:t>
            </w:r>
            <w:r>
              <w:rPr>
                <w:spacing w:val="-3"/>
              </w:rPr>
              <w:t>）。</w:t>
            </w:r>
          </w:p>
        </w:tc>
      </w:tr>
    </w:tbl>
    <w:p w14:paraId="4A541891">
      <w:pPr>
        <w:rPr>
          <w:rFonts w:ascii="Arial"/>
          <w:sz w:val="21"/>
        </w:rPr>
      </w:pPr>
    </w:p>
    <w:p w14:paraId="382F718D">
      <w:pPr>
        <w:rPr>
          <w:rFonts w:ascii="Arial" w:hAnsi="Arial" w:eastAsia="Arial" w:cs="Arial"/>
          <w:sz w:val="21"/>
          <w:szCs w:val="21"/>
        </w:rPr>
        <w:sectPr>
          <w:footerReference r:id="rId51" w:type="default"/>
          <w:pgSz w:w="11908" w:h="16840"/>
          <w:pgMar w:top="1431" w:right="1448" w:bottom="1053" w:left="1448" w:header="0" w:footer="800" w:gutter="0"/>
          <w:cols w:space="720" w:num="1"/>
        </w:sectPr>
      </w:pPr>
    </w:p>
    <w:p w14:paraId="5B937686">
      <w:pPr>
        <w:spacing w:before="28"/>
      </w:pPr>
    </w:p>
    <w:tbl>
      <w:tblPr>
        <w:tblStyle w:val="5"/>
        <w:tblW w:w="899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9"/>
        <w:gridCol w:w="163"/>
        <w:gridCol w:w="1307"/>
        <w:gridCol w:w="126"/>
        <w:gridCol w:w="1075"/>
        <w:gridCol w:w="215"/>
        <w:gridCol w:w="643"/>
        <w:gridCol w:w="557"/>
        <w:gridCol w:w="476"/>
        <w:gridCol w:w="142"/>
        <w:gridCol w:w="982"/>
        <w:gridCol w:w="152"/>
        <w:gridCol w:w="384"/>
        <w:gridCol w:w="761"/>
        <w:gridCol w:w="335"/>
        <w:gridCol w:w="650"/>
        <w:gridCol w:w="139"/>
        <w:gridCol w:w="79"/>
      </w:tblGrid>
      <w:tr w14:paraId="4C343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809" w:type="dxa"/>
            <w:vMerge w:val="restart"/>
            <w:tcBorders>
              <w:left w:val="single" w:color="000000" w:sz="6" w:space="0"/>
              <w:bottom w:val="nil"/>
            </w:tcBorders>
            <w:vAlign w:val="top"/>
          </w:tcPr>
          <w:p w14:paraId="20818E4F">
            <w:pPr>
              <w:spacing w:line="269" w:lineRule="auto"/>
              <w:rPr>
                <w:rFonts w:ascii="Arial"/>
                <w:sz w:val="21"/>
              </w:rPr>
            </w:pPr>
          </w:p>
          <w:p w14:paraId="75C39606">
            <w:pPr>
              <w:spacing w:line="269" w:lineRule="auto"/>
              <w:rPr>
                <w:rFonts w:ascii="Arial"/>
                <w:sz w:val="21"/>
              </w:rPr>
            </w:pPr>
          </w:p>
          <w:p w14:paraId="6E5055E8">
            <w:pPr>
              <w:spacing w:line="269" w:lineRule="auto"/>
              <w:rPr>
                <w:rFonts w:ascii="Arial"/>
                <w:sz w:val="21"/>
              </w:rPr>
            </w:pPr>
          </w:p>
          <w:p w14:paraId="46A898E0">
            <w:pPr>
              <w:spacing w:line="270" w:lineRule="auto"/>
              <w:rPr>
                <w:rFonts w:ascii="Arial"/>
                <w:sz w:val="21"/>
              </w:rPr>
            </w:pPr>
          </w:p>
          <w:p w14:paraId="76E0EB34">
            <w:pPr>
              <w:spacing w:line="270" w:lineRule="auto"/>
              <w:rPr>
                <w:rFonts w:ascii="Arial"/>
                <w:sz w:val="21"/>
              </w:rPr>
            </w:pPr>
          </w:p>
          <w:p w14:paraId="187C4DAC">
            <w:pPr>
              <w:spacing w:line="270" w:lineRule="auto"/>
              <w:rPr>
                <w:rFonts w:ascii="Arial"/>
                <w:sz w:val="21"/>
              </w:rPr>
            </w:pPr>
          </w:p>
          <w:p w14:paraId="32ED369F">
            <w:pPr>
              <w:spacing w:line="270" w:lineRule="auto"/>
              <w:rPr>
                <w:rFonts w:ascii="Arial"/>
                <w:sz w:val="21"/>
              </w:rPr>
            </w:pPr>
          </w:p>
          <w:p w14:paraId="7B641B02">
            <w:pPr>
              <w:spacing w:line="270" w:lineRule="auto"/>
              <w:rPr>
                <w:rFonts w:ascii="Arial"/>
                <w:sz w:val="21"/>
              </w:rPr>
            </w:pPr>
          </w:p>
          <w:p w14:paraId="723EA622">
            <w:pPr>
              <w:pStyle w:val="6"/>
              <w:spacing w:before="78" w:line="220" w:lineRule="auto"/>
              <w:ind w:left="164"/>
              <w:rPr>
                <w:sz w:val="24"/>
                <w:szCs w:val="24"/>
              </w:rPr>
            </w:pPr>
            <w:r>
              <w:rPr>
                <w:b/>
                <w:bCs/>
                <w:spacing w:val="-6"/>
                <w:sz w:val="24"/>
                <w:szCs w:val="24"/>
              </w:rPr>
              <w:t>污染</w:t>
            </w:r>
          </w:p>
          <w:p w14:paraId="7F907E78">
            <w:pPr>
              <w:pStyle w:val="6"/>
              <w:spacing w:before="24" w:line="221" w:lineRule="auto"/>
              <w:ind w:left="162"/>
              <w:rPr>
                <w:sz w:val="24"/>
                <w:szCs w:val="24"/>
              </w:rPr>
            </w:pPr>
            <w:r>
              <w:rPr>
                <w:b/>
                <w:bCs/>
                <w:spacing w:val="-5"/>
                <w:sz w:val="24"/>
                <w:szCs w:val="24"/>
              </w:rPr>
              <w:t>物排</w:t>
            </w:r>
          </w:p>
          <w:p w14:paraId="393E75D2">
            <w:pPr>
              <w:pStyle w:val="6"/>
              <w:spacing w:before="23" w:line="220" w:lineRule="auto"/>
              <w:ind w:left="162"/>
              <w:rPr>
                <w:sz w:val="24"/>
                <w:szCs w:val="24"/>
              </w:rPr>
            </w:pPr>
            <w:r>
              <w:rPr>
                <w:b/>
                <w:bCs/>
                <w:spacing w:val="-5"/>
                <w:sz w:val="24"/>
                <w:szCs w:val="24"/>
              </w:rPr>
              <w:t>放控</w:t>
            </w:r>
          </w:p>
          <w:p w14:paraId="259B2D3D">
            <w:pPr>
              <w:pStyle w:val="6"/>
              <w:spacing w:before="25" w:line="242" w:lineRule="auto"/>
              <w:ind w:left="283" w:right="164" w:hanging="120"/>
              <w:rPr>
                <w:sz w:val="24"/>
                <w:szCs w:val="24"/>
              </w:rPr>
            </w:pPr>
            <w:r>
              <w:rPr>
                <w:b/>
                <w:bCs/>
                <w:spacing w:val="-8"/>
                <w:sz w:val="24"/>
                <w:szCs w:val="24"/>
              </w:rPr>
              <w:t>制标</w:t>
            </w:r>
            <w:r>
              <w:rPr>
                <w:sz w:val="24"/>
                <w:szCs w:val="24"/>
              </w:rPr>
              <w:t xml:space="preserve"> </w:t>
            </w:r>
            <w:r>
              <w:rPr>
                <w:b/>
                <w:bCs/>
                <w:spacing w:val="-3"/>
                <w:sz w:val="24"/>
                <w:szCs w:val="24"/>
              </w:rPr>
              <w:t>准</w:t>
            </w:r>
          </w:p>
        </w:tc>
        <w:tc>
          <w:tcPr>
            <w:tcW w:w="8186" w:type="dxa"/>
            <w:gridSpan w:val="17"/>
            <w:tcBorders>
              <w:right w:val="single" w:color="000000" w:sz="6" w:space="0"/>
            </w:tcBorders>
            <w:vAlign w:val="top"/>
          </w:tcPr>
          <w:p w14:paraId="0D242E66">
            <w:pPr>
              <w:spacing w:before="153" w:line="227" w:lineRule="auto"/>
              <w:ind w:left="2664"/>
              <w:rPr>
                <w:rFonts w:ascii="黑体" w:hAnsi="黑体" w:eastAsia="黑体" w:cs="黑体"/>
                <w:sz w:val="20"/>
                <w:szCs w:val="20"/>
              </w:rPr>
            </w:pPr>
            <w:r>
              <w:rPr>
                <w:rFonts w:ascii="黑体" w:hAnsi="黑体" w:eastAsia="黑体" w:cs="黑体"/>
                <w:spacing w:val="-1"/>
                <w:sz w:val="20"/>
                <w:szCs w:val="20"/>
              </w:rPr>
              <w:t>表</w:t>
            </w:r>
            <w:r>
              <w:rPr>
                <w:rFonts w:ascii="Times New Roman" w:hAnsi="Times New Roman" w:eastAsia="Times New Roman" w:cs="Times New Roman"/>
                <w:spacing w:val="-1"/>
                <w:sz w:val="20"/>
                <w:szCs w:val="20"/>
              </w:rPr>
              <w:t xml:space="preserve">3-5    </w:t>
            </w:r>
            <w:r>
              <w:rPr>
                <w:rFonts w:ascii="黑体" w:hAnsi="黑体" w:eastAsia="黑体" w:cs="黑体"/>
                <w:spacing w:val="-1"/>
                <w:sz w:val="20"/>
                <w:szCs w:val="20"/>
              </w:rPr>
              <w:t>四川省施工场地扬尘排放限值</w:t>
            </w:r>
          </w:p>
        </w:tc>
      </w:tr>
      <w:tr w14:paraId="5B2DC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09" w:type="dxa"/>
            <w:vMerge w:val="continue"/>
            <w:tcBorders>
              <w:top w:val="nil"/>
              <w:left w:val="single" w:color="000000" w:sz="6" w:space="0"/>
              <w:bottom w:val="nil"/>
            </w:tcBorders>
            <w:vAlign w:val="top"/>
          </w:tcPr>
          <w:p w14:paraId="26A72218">
            <w:pPr>
              <w:rPr>
                <w:rFonts w:ascii="Arial"/>
                <w:sz w:val="21"/>
              </w:rPr>
            </w:pPr>
          </w:p>
        </w:tc>
        <w:tc>
          <w:tcPr>
            <w:tcW w:w="163" w:type="dxa"/>
            <w:vMerge w:val="restart"/>
            <w:tcBorders>
              <w:top w:val="nil"/>
              <w:bottom w:val="nil"/>
            </w:tcBorders>
            <w:vAlign w:val="top"/>
          </w:tcPr>
          <w:p w14:paraId="238E70AE">
            <w:pPr>
              <w:rPr>
                <w:rFonts w:ascii="Arial"/>
                <w:sz w:val="21"/>
              </w:rPr>
            </w:pPr>
          </w:p>
        </w:tc>
        <w:tc>
          <w:tcPr>
            <w:tcW w:w="1307" w:type="dxa"/>
            <w:vAlign w:val="top"/>
          </w:tcPr>
          <w:p w14:paraId="426B6D20">
            <w:pPr>
              <w:pStyle w:val="6"/>
              <w:spacing w:before="127" w:line="221" w:lineRule="auto"/>
              <w:ind w:left="204"/>
              <w:rPr>
                <w:sz w:val="20"/>
                <w:szCs w:val="20"/>
              </w:rPr>
            </w:pPr>
            <w:r>
              <w:rPr>
                <w:b/>
                <w:bCs/>
                <w:spacing w:val="-4"/>
                <w:sz w:val="20"/>
                <w:szCs w:val="20"/>
              </w:rPr>
              <w:t>监测项目</w:t>
            </w:r>
          </w:p>
        </w:tc>
        <w:tc>
          <w:tcPr>
            <w:tcW w:w="3092" w:type="dxa"/>
            <w:gridSpan w:val="6"/>
            <w:vAlign w:val="top"/>
          </w:tcPr>
          <w:p w14:paraId="564A8B13">
            <w:pPr>
              <w:pStyle w:val="6"/>
              <w:spacing w:before="127" w:line="221" w:lineRule="auto"/>
              <w:ind w:left="1314"/>
              <w:rPr>
                <w:sz w:val="20"/>
                <w:szCs w:val="20"/>
              </w:rPr>
            </w:pPr>
            <w:r>
              <w:rPr>
                <w:b/>
                <w:bCs/>
                <w:spacing w:val="-8"/>
                <w:sz w:val="20"/>
                <w:szCs w:val="20"/>
              </w:rPr>
              <w:t>区域</w:t>
            </w:r>
          </w:p>
        </w:tc>
        <w:tc>
          <w:tcPr>
            <w:tcW w:w="1276" w:type="dxa"/>
            <w:gridSpan w:val="3"/>
            <w:vAlign w:val="top"/>
          </w:tcPr>
          <w:p w14:paraId="5D89CFA8">
            <w:pPr>
              <w:pStyle w:val="6"/>
              <w:spacing w:before="128" w:line="221" w:lineRule="auto"/>
              <w:ind w:left="194"/>
              <w:rPr>
                <w:sz w:val="20"/>
                <w:szCs w:val="20"/>
              </w:rPr>
            </w:pPr>
            <w:r>
              <w:rPr>
                <w:b/>
                <w:bCs/>
                <w:spacing w:val="-4"/>
                <w:sz w:val="20"/>
                <w:szCs w:val="20"/>
              </w:rPr>
              <w:t>施工阶段</w:t>
            </w:r>
          </w:p>
        </w:tc>
        <w:tc>
          <w:tcPr>
            <w:tcW w:w="1480" w:type="dxa"/>
            <w:gridSpan w:val="3"/>
            <w:vAlign w:val="top"/>
          </w:tcPr>
          <w:p w14:paraId="7ADD78F1">
            <w:pPr>
              <w:pStyle w:val="6"/>
              <w:spacing w:before="12" w:line="213" w:lineRule="auto"/>
              <w:rPr>
                <w:sz w:val="20"/>
                <w:szCs w:val="20"/>
              </w:rPr>
            </w:pPr>
            <w:r>
              <w:rPr>
                <w:b/>
                <w:bCs/>
                <w:spacing w:val="-3"/>
                <w:sz w:val="20"/>
                <w:szCs w:val="20"/>
              </w:rPr>
              <w:t>监测点排放限值</w:t>
            </w:r>
          </w:p>
          <w:p w14:paraId="3276C04C">
            <w:pPr>
              <w:pStyle w:val="6"/>
              <w:spacing w:line="195" w:lineRule="auto"/>
              <w:ind w:left="356"/>
              <w:rPr>
                <w:sz w:val="20"/>
                <w:szCs w:val="20"/>
              </w:rPr>
            </w:pPr>
            <w:r>
              <w:rPr>
                <w:b/>
                <w:bCs/>
                <w:spacing w:val="-2"/>
                <w:sz w:val="20"/>
                <w:szCs w:val="20"/>
              </w:rPr>
              <w:t>(</w:t>
            </w:r>
            <w:r>
              <w:rPr>
                <w:rFonts w:ascii="Times New Roman" w:hAnsi="Times New Roman" w:eastAsia="Times New Roman" w:cs="Times New Roman"/>
                <w:b/>
                <w:bCs/>
                <w:spacing w:val="-2"/>
                <w:sz w:val="20"/>
                <w:szCs w:val="20"/>
              </w:rPr>
              <w:t>μg/m</w:t>
            </w:r>
            <w:r>
              <w:rPr>
                <w:rFonts w:ascii="Times New Roman" w:hAnsi="Times New Roman" w:eastAsia="Times New Roman" w:cs="Times New Roman"/>
                <w:b/>
                <w:bCs/>
                <w:spacing w:val="-2"/>
                <w:position w:val="6"/>
                <w:sz w:val="12"/>
                <w:szCs w:val="12"/>
              </w:rPr>
              <w:t>3</w:t>
            </w:r>
            <w:r>
              <w:rPr>
                <w:rFonts w:hint="eastAsia" w:ascii="Times New Roman" w:hAnsi="Times New Roman" w:eastAsia="宋体" w:cs="Times New Roman"/>
                <w:b/>
                <w:bCs/>
                <w:spacing w:val="-2"/>
                <w:position w:val="6"/>
                <w:sz w:val="12"/>
                <w:szCs w:val="12"/>
                <w:lang w:eastAsia="zh-CN"/>
              </w:rPr>
              <w:t>)</w:t>
            </w:r>
          </w:p>
        </w:tc>
        <w:tc>
          <w:tcPr>
            <w:tcW w:w="789" w:type="dxa"/>
            <w:gridSpan w:val="2"/>
            <w:tcBorders>
              <w:right w:val="single" w:color="000000" w:sz="8" w:space="0"/>
            </w:tcBorders>
            <w:vAlign w:val="top"/>
          </w:tcPr>
          <w:p w14:paraId="203FEF88">
            <w:pPr>
              <w:pStyle w:val="6"/>
              <w:spacing w:before="12" w:line="213" w:lineRule="auto"/>
              <w:ind w:left="58"/>
              <w:rPr>
                <w:sz w:val="20"/>
                <w:szCs w:val="20"/>
              </w:rPr>
            </w:pPr>
            <w:r>
              <w:rPr>
                <w:b/>
                <w:bCs/>
                <w:spacing w:val="-5"/>
                <w:sz w:val="20"/>
                <w:szCs w:val="20"/>
              </w:rPr>
              <w:t>监测时</w:t>
            </w:r>
          </w:p>
          <w:p w14:paraId="4084BF07">
            <w:pPr>
              <w:pStyle w:val="6"/>
              <w:spacing w:line="195" w:lineRule="auto"/>
              <w:ind w:left="274"/>
              <w:rPr>
                <w:sz w:val="20"/>
                <w:szCs w:val="20"/>
              </w:rPr>
            </w:pPr>
            <w:r>
              <w:rPr>
                <w:b/>
                <w:bCs/>
                <w:spacing w:val="-3"/>
                <w:sz w:val="20"/>
                <w:szCs w:val="20"/>
              </w:rPr>
              <w:t>间</w:t>
            </w:r>
          </w:p>
        </w:tc>
        <w:tc>
          <w:tcPr>
            <w:tcW w:w="79" w:type="dxa"/>
            <w:tcBorders>
              <w:left w:val="single" w:color="000000" w:sz="8" w:space="0"/>
              <w:right w:val="single" w:color="000000" w:sz="6" w:space="0"/>
            </w:tcBorders>
            <w:vAlign w:val="top"/>
          </w:tcPr>
          <w:p w14:paraId="7C26639B">
            <w:pPr>
              <w:rPr>
                <w:rFonts w:ascii="Arial"/>
                <w:sz w:val="21"/>
              </w:rPr>
            </w:pPr>
          </w:p>
        </w:tc>
      </w:tr>
      <w:tr w14:paraId="6273D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809" w:type="dxa"/>
            <w:vMerge w:val="continue"/>
            <w:tcBorders>
              <w:top w:val="nil"/>
              <w:left w:val="single" w:color="000000" w:sz="6" w:space="0"/>
              <w:bottom w:val="nil"/>
            </w:tcBorders>
            <w:vAlign w:val="top"/>
          </w:tcPr>
          <w:p w14:paraId="247F5308">
            <w:pPr>
              <w:rPr>
                <w:rFonts w:ascii="Arial"/>
                <w:sz w:val="21"/>
              </w:rPr>
            </w:pPr>
          </w:p>
        </w:tc>
        <w:tc>
          <w:tcPr>
            <w:tcW w:w="163" w:type="dxa"/>
            <w:vMerge w:val="continue"/>
            <w:tcBorders>
              <w:top w:val="nil"/>
              <w:bottom w:val="nil"/>
            </w:tcBorders>
            <w:vAlign w:val="top"/>
          </w:tcPr>
          <w:p w14:paraId="64382621">
            <w:pPr>
              <w:rPr>
                <w:rFonts w:ascii="Arial"/>
                <w:sz w:val="21"/>
              </w:rPr>
            </w:pPr>
          </w:p>
        </w:tc>
        <w:tc>
          <w:tcPr>
            <w:tcW w:w="1307" w:type="dxa"/>
            <w:vMerge w:val="restart"/>
            <w:tcBorders>
              <w:bottom w:val="nil"/>
            </w:tcBorders>
            <w:vAlign w:val="top"/>
          </w:tcPr>
          <w:p w14:paraId="0E67FC9C">
            <w:pPr>
              <w:spacing w:line="290" w:lineRule="auto"/>
              <w:rPr>
                <w:rFonts w:ascii="Arial"/>
                <w:sz w:val="21"/>
              </w:rPr>
            </w:pPr>
          </w:p>
          <w:p w14:paraId="416D7A3F">
            <w:pPr>
              <w:pStyle w:val="6"/>
              <w:spacing w:before="65" w:line="213" w:lineRule="auto"/>
              <w:ind w:left="10"/>
              <w:rPr>
                <w:sz w:val="20"/>
                <w:szCs w:val="20"/>
              </w:rPr>
            </w:pPr>
            <w:r>
              <w:rPr>
                <w:spacing w:val="-2"/>
                <w:sz w:val="20"/>
                <w:szCs w:val="20"/>
              </w:rPr>
              <w:t>总悬浮颗粒物</w:t>
            </w:r>
          </w:p>
          <w:p w14:paraId="0ADF896B">
            <w:pPr>
              <w:pStyle w:val="6"/>
              <w:spacing w:line="232" w:lineRule="auto"/>
              <w:ind w:left="239"/>
              <w:rPr>
                <w:sz w:val="20"/>
                <w:szCs w:val="20"/>
              </w:rPr>
            </w:pPr>
            <w:r>
              <w:rPr>
                <w:rFonts w:hint="eastAsia"/>
                <w:spacing w:val="-3"/>
                <w:sz w:val="20"/>
                <w:szCs w:val="20"/>
                <w:lang w:eastAsia="zh-CN"/>
              </w:rPr>
              <w:t>(</w:t>
            </w:r>
            <w:r>
              <w:rPr>
                <w:rFonts w:ascii="Times New Roman" w:hAnsi="Times New Roman" w:eastAsia="Times New Roman" w:cs="Times New Roman"/>
                <w:spacing w:val="-3"/>
                <w:sz w:val="20"/>
                <w:szCs w:val="20"/>
              </w:rPr>
              <w:t>TSP</w:t>
            </w:r>
            <w:r>
              <w:rPr>
                <w:rFonts w:hint="eastAsia" w:ascii="Times New Roman" w:hAnsi="Times New Roman" w:eastAsia="宋体" w:cs="Times New Roman"/>
                <w:spacing w:val="-3"/>
                <w:sz w:val="20"/>
                <w:szCs w:val="20"/>
                <w:lang w:eastAsia="zh-CN"/>
              </w:rPr>
              <w:t>)</w:t>
            </w:r>
          </w:p>
        </w:tc>
        <w:tc>
          <w:tcPr>
            <w:tcW w:w="3092" w:type="dxa"/>
            <w:gridSpan w:val="6"/>
            <w:vMerge w:val="restart"/>
            <w:tcBorders>
              <w:bottom w:val="nil"/>
            </w:tcBorders>
            <w:vAlign w:val="top"/>
          </w:tcPr>
          <w:p w14:paraId="6DE763E8">
            <w:pPr>
              <w:pStyle w:val="6"/>
              <w:spacing w:before="12" w:line="213" w:lineRule="auto"/>
              <w:jc w:val="right"/>
              <w:rPr>
                <w:sz w:val="20"/>
                <w:szCs w:val="20"/>
              </w:rPr>
            </w:pPr>
            <w:r>
              <w:rPr>
                <w:spacing w:val="-8"/>
                <w:sz w:val="20"/>
                <w:szCs w:val="20"/>
              </w:rPr>
              <w:t>成都市、自贡市、泸州市、德阳市、</w:t>
            </w:r>
          </w:p>
          <w:p w14:paraId="349620A6">
            <w:pPr>
              <w:pStyle w:val="6"/>
              <w:spacing w:line="211" w:lineRule="auto"/>
              <w:jc w:val="right"/>
              <w:rPr>
                <w:sz w:val="20"/>
                <w:szCs w:val="20"/>
              </w:rPr>
            </w:pPr>
            <w:r>
              <w:rPr>
                <w:spacing w:val="-8"/>
                <w:sz w:val="20"/>
                <w:szCs w:val="20"/>
              </w:rPr>
              <w:t>绵阳市、广元市、遂宁市、内江市、</w:t>
            </w:r>
          </w:p>
          <w:p w14:paraId="47273D70">
            <w:pPr>
              <w:pStyle w:val="6"/>
              <w:spacing w:line="212" w:lineRule="auto"/>
              <w:jc w:val="right"/>
              <w:rPr>
                <w:sz w:val="20"/>
                <w:szCs w:val="20"/>
              </w:rPr>
            </w:pPr>
            <w:r>
              <w:rPr>
                <w:spacing w:val="-8"/>
                <w:sz w:val="20"/>
                <w:szCs w:val="20"/>
              </w:rPr>
              <w:t>乐山市、南充市、宜宾市、广安市、</w:t>
            </w:r>
          </w:p>
          <w:p w14:paraId="7309674C">
            <w:pPr>
              <w:pStyle w:val="6"/>
              <w:spacing w:line="212" w:lineRule="auto"/>
              <w:jc w:val="right"/>
              <w:rPr>
                <w:sz w:val="20"/>
                <w:szCs w:val="20"/>
              </w:rPr>
            </w:pPr>
            <w:r>
              <w:rPr>
                <w:b/>
                <w:bCs/>
                <w:spacing w:val="-8"/>
                <w:sz w:val="20"/>
                <w:szCs w:val="20"/>
              </w:rPr>
              <w:t>达州市</w:t>
            </w:r>
            <w:r>
              <w:rPr>
                <w:spacing w:val="-8"/>
                <w:sz w:val="20"/>
                <w:szCs w:val="20"/>
              </w:rPr>
              <w:t>、巴中市、雅安市、眉山市、</w:t>
            </w:r>
          </w:p>
          <w:p w14:paraId="0AFA967F">
            <w:pPr>
              <w:pStyle w:val="6"/>
              <w:spacing w:before="1" w:line="195" w:lineRule="auto"/>
              <w:ind w:left="1210"/>
              <w:rPr>
                <w:sz w:val="20"/>
                <w:szCs w:val="20"/>
              </w:rPr>
            </w:pPr>
            <w:r>
              <w:rPr>
                <w:spacing w:val="-4"/>
                <w:sz w:val="20"/>
                <w:szCs w:val="20"/>
              </w:rPr>
              <w:t>资阳市</w:t>
            </w:r>
          </w:p>
        </w:tc>
        <w:tc>
          <w:tcPr>
            <w:tcW w:w="1276" w:type="dxa"/>
            <w:gridSpan w:val="3"/>
            <w:vAlign w:val="top"/>
          </w:tcPr>
          <w:p w14:paraId="5B834D31">
            <w:pPr>
              <w:pStyle w:val="6"/>
              <w:spacing w:before="12" w:line="213" w:lineRule="auto"/>
              <w:rPr>
                <w:sz w:val="20"/>
                <w:szCs w:val="20"/>
              </w:rPr>
            </w:pPr>
            <w:r>
              <w:rPr>
                <w:spacing w:val="-5"/>
                <w:sz w:val="20"/>
                <w:szCs w:val="20"/>
              </w:rPr>
              <w:t>拆除工程</w:t>
            </w:r>
            <w:r>
              <w:rPr>
                <w:rFonts w:ascii="Times New Roman" w:hAnsi="Times New Roman" w:eastAsia="Times New Roman" w:cs="Times New Roman"/>
                <w:spacing w:val="-5"/>
                <w:sz w:val="20"/>
                <w:szCs w:val="20"/>
              </w:rPr>
              <w:t>/</w:t>
            </w:r>
            <w:r>
              <w:rPr>
                <w:spacing w:val="-5"/>
                <w:sz w:val="20"/>
                <w:szCs w:val="20"/>
              </w:rPr>
              <w:t>土方</w:t>
            </w:r>
          </w:p>
          <w:p w14:paraId="3EC95D99">
            <w:pPr>
              <w:pStyle w:val="6"/>
              <w:spacing w:line="211" w:lineRule="auto"/>
              <w:rPr>
                <w:sz w:val="20"/>
                <w:szCs w:val="20"/>
              </w:rPr>
            </w:pPr>
            <w:r>
              <w:rPr>
                <w:spacing w:val="-5"/>
                <w:sz w:val="20"/>
                <w:szCs w:val="20"/>
              </w:rPr>
              <w:t>开挖</w:t>
            </w:r>
            <w:r>
              <w:rPr>
                <w:rFonts w:ascii="Times New Roman" w:hAnsi="Times New Roman" w:eastAsia="Times New Roman" w:cs="Times New Roman"/>
                <w:spacing w:val="-5"/>
                <w:sz w:val="20"/>
                <w:szCs w:val="20"/>
              </w:rPr>
              <w:t>/</w:t>
            </w:r>
            <w:r>
              <w:rPr>
                <w:spacing w:val="-5"/>
                <w:sz w:val="20"/>
                <w:szCs w:val="20"/>
              </w:rPr>
              <w:t>土方回填</w:t>
            </w:r>
          </w:p>
          <w:p w14:paraId="72E72C74">
            <w:pPr>
              <w:pStyle w:val="6"/>
              <w:spacing w:line="194" w:lineRule="auto"/>
              <w:ind w:left="405"/>
              <w:rPr>
                <w:sz w:val="20"/>
                <w:szCs w:val="20"/>
              </w:rPr>
            </w:pPr>
            <w:r>
              <w:rPr>
                <w:spacing w:val="-4"/>
                <w:sz w:val="20"/>
                <w:szCs w:val="20"/>
              </w:rPr>
              <w:t>阶段</w:t>
            </w:r>
          </w:p>
        </w:tc>
        <w:tc>
          <w:tcPr>
            <w:tcW w:w="1480" w:type="dxa"/>
            <w:gridSpan w:val="3"/>
            <w:vAlign w:val="top"/>
          </w:tcPr>
          <w:p w14:paraId="0181B888">
            <w:pPr>
              <w:spacing w:before="276" w:line="233" w:lineRule="auto"/>
              <w:ind w:left="55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600</w:t>
            </w:r>
          </w:p>
        </w:tc>
        <w:tc>
          <w:tcPr>
            <w:tcW w:w="789" w:type="dxa"/>
            <w:gridSpan w:val="2"/>
            <w:vMerge w:val="restart"/>
            <w:tcBorders>
              <w:bottom w:val="nil"/>
              <w:right w:val="nil"/>
            </w:tcBorders>
            <w:vAlign w:val="top"/>
          </w:tcPr>
          <w:p w14:paraId="200FACF2">
            <w:pPr>
              <w:pStyle w:val="6"/>
              <w:spacing w:before="243" w:line="212" w:lineRule="auto"/>
              <w:ind w:left="92"/>
              <w:rPr>
                <w:sz w:val="20"/>
                <w:szCs w:val="20"/>
              </w:rPr>
            </w:pPr>
            <w:r>
              <w:rPr>
                <w:spacing w:val="-9"/>
                <w:sz w:val="20"/>
                <w:szCs w:val="20"/>
              </w:rPr>
              <w:t>自监测</w:t>
            </w:r>
          </w:p>
          <w:p w14:paraId="799469B8">
            <w:pPr>
              <w:pStyle w:val="6"/>
              <w:spacing w:before="1" w:line="223" w:lineRule="auto"/>
              <w:ind w:left="49" w:right="108" w:firstLine="10"/>
              <w:rPr>
                <w:sz w:val="20"/>
                <w:szCs w:val="20"/>
              </w:rPr>
            </w:pPr>
            <w:r>
              <w:rPr>
                <w:spacing w:val="-3"/>
                <w:sz w:val="20"/>
                <w:szCs w:val="20"/>
              </w:rPr>
              <w:t>起持续</w:t>
            </w:r>
            <w:r>
              <w:rPr>
                <w:sz w:val="20"/>
                <w:szCs w:val="20"/>
              </w:rPr>
              <w:t xml:space="preserve"> </w:t>
            </w:r>
            <w:r>
              <w:rPr>
                <w:rFonts w:ascii="Times New Roman" w:hAnsi="Times New Roman" w:eastAsia="Times New Roman" w:cs="Times New Roman"/>
                <w:spacing w:val="-9"/>
                <w:sz w:val="20"/>
                <w:szCs w:val="20"/>
              </w:rPr>
              <w:t>15</w:t>
            </w:r>
            <w:r>
              <w:rPr>
                <w:rFonts w:ascii="Times New Roman" w:hAnsi="Times New Roman" w:eastAsia="Times New Roman" w:cs="Times New Roman"/>
                <w:spacing w:val="13"/>
                <w:sz w:val="20"/>
                <w:szCs w:val="20"/>
              </w:rPr>
              <w:t xml:space="preserve"> </w:t>
            </w:r>
            <w:r>
              <w:rPr>
                <w:spacing w:val="-9"/>
                <w:sz w:val="20"/>
                <w:szCs w:val="20"/>
              </w:rPr>
              <w:t>分钟</w:t>
            </w:r>
          </w:p>
        </w:tc>
        <w:tc>
          <w:tcPr>
            <w:tcW w:w="79" w:type="dxa"/>
            <w:vMerge w:val="restart"/>
            <w:tcBorders>
              <w:left w:val="nil"/>
              <w:bottom w:val="nil"/>
              <w:right w:val="single" w:color="000000" w:sz="6" w:space="0"/>
            </w:tcBorders>
            <w:vAlign w:val="top"/>
          </w:tcPr>
          <w:p w14:paraId="34D80FD1">
            <w:pPr>
              <w:rPr>
                <w:rFonts w:ascii="Arial"/>
                <w:sz w:val="21"/>
              </w:rPr>
            </w:pPr>
          </w:p>
        </w:tc>
      </w:tr>
      <w:tr w14:paraId="6D11D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809" w:type="dxa"/>
            <w:vMerge w:val="continue"/>
            <w:tcBorders>
              <w:top w:val="nil"/>
              <w:left w:val="single" w:color="000000" w:sz="6" w:space="0"/>
              <w:bottom w:val="nil"/>
            </w:tcBorders>
            <w:vAlign w:val="top"/>
          </w:tcPr>
          <w:p w14:paraId="6465810F">
            <w:pPr>
              <w:rPr>
                <w:rFonts w:ascii="Arial"/>
                <w:sz w:val="21"/>
              </w:rPr>
            </w:pPr>
          </w:p>
        </w:tc>
        <w:tc>
          <w:tcPr>
            <w:tcW w:w="163" w:type="dxa"/>
            <w:vMerge w:val="continue"/>
            <w:tcBorders>
              <w:top w:val="nil"/>
              <w:bottom w:val="nil"/>
            </w:tcBorders>
            <w:vAlign w:val="top"/>
          </w:tcPr>
          <w:p w14:paraId="26DE84A7">
            <w:pPr>
              <w:rPr>
                <w:rFonts w:ascii="Arial"/>
                <w:sz w:val="21"/>
              </w:rPr>
            </w:pPr>
          </w:p>
        </w:tc>
        <w:tc>
          <w:tcPr>
            <w:tcW w:w="1307" w:type="dxa"/>
            <w:vMerge w:val="continue"/>
            <w:tcBorders>
              <w:top w:val="nil"/>
            </w:tcBorders>
            <w:vAlign w:val="top"/>
          </w:tcPr>
          <w:p w14:paraId="7819596F">
            <w:pPr>
              <w:rPr>
                <w:rFonts w:ascii="Arial"/>
                <w:sz w:val="21"/>
              </w:rPr>
            </w:pPr>
          </w:p>
        </w:tc>
        <w:tc>
          <w:tcPr>
            <w:tcW w:w="3092" w:type="dxa"/>
            <w:gridSpan w:val="6"/>
            <w:vMerge w:val="continue"/>
            <w:tcBorders>
              <w:top w:val="nil"/>
            </w:tcBorders>
            <w:vAlign w:val="top"/>
          </w:tcPr>
          <w:p w14:paraId="3A7B1797">
            <w:pPr>
              <w:rPr>
                <w:rFonts w:ascii="Arial"/>
                <w:sz w:val="21"/>
              </w:rPr>
            </w:pPr>
          </w:p>
        </w:tc>
        <w:tc>
          <w:tcPr>
            <w:tcW w:w="1276" w:type="dxa"/>
            <w:gridSpan w:val="3"/>
            <w:vAlign w:val="top"/>
          </w:tcPr>
          <w:p w14:paraId="0995ED97">
            <w:pPr>
              <w:pStyle w:val="6"/>
              <w:spacing w:before="123" w:line="221" w:lineRule="auto"/>
              <w:rPr>
                <w:sz w:val="20"/>
                <w:szCs w:val="20"/>
              </w:rPr>
            </w:pPr>
            <w:r>
              <w:rPr>
                <w:spacing w:val="-2"/>
                <w:sz w:val="20"/>
                <w:szCs w:val="20"/>
              </w:rPr>
              <w:t>其他工程阶段</w:t>
            </w:r>
          </w:p>
        </w:tc>
        <w:tc>
          <w:tcPr>
            <w:tcW w:w="1480" w:type="dxa"/>
            <w:gridSpan w:val="3"/>
            <w:vAlign w:val="top"/>
          </w:tcPr>
          <w:p w14:paraId="544D1061">
            <w:pPr>
              <w:spacing w:before="157" w:line="233" w:lineRule="auto"/>
              <w:ind w:left="54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250</w:t>
            </w:r>
          </w:p>
        </w:tc>
        <w:tc>
          <w:tcPr>
            <w:tcW w:w="789" w:type="dxa"/>
            <w:gridSpan w:val="2"/>
            <w:vMerge w:val="continue"/>
            <w:tcBorders>
              <w:top w:val="nil"/>
              <w:right w:val="nil"/>
            </w:tcBorders>
            <w:vAlign w:val="top"/>
          </w:tcPr>
          <w:p w14:paraId="06A332B6">
            <w:pPr>
              <w:rPr>
                <w:rFonts w:ascii="Arial"/>
                <w:sz w:val="21"/>
              </w:rPr>
            </w:pPr>
          </w:p>
        </w:tc>
        <w:tc>
          <w:tcPr>
            <w:tcW w:w="79" w:type="dxa"/>
            <w:vMerge w:val="continue"/>
            <w:tcBorders>
              <w:top w:val="nil"/>
              <w:left w:val="nil"/>
              <w:right w:val="single" w:color="000000" w:sz="6" w:space="0"/>
            </w:tcBorders>
            <w:vAlign w:val="top"/>
          </w:tcPr>
          <w:p w14:paraId="534776EE">
            <w:pPr>
              <w:rPr>
                <w:rFonts w:ascii="Arial"/>
                <w:sz w:val="21"/>
              </w:rPr>
            </w:pPr>
          </w:p>
        </w:tc>
      </w:tr>
      <w:tr w14:paraId="25713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3" w:hRule="atLeast"/>
        </w:trPr>
        <w:tc>
          <w:tcPr>
            <w:tcW w:w="809" w:type="dxa"/>
            <w:vMerge w:val="continue"/>
            <w:tcBorders>
              <w:top w:val="nil"/>
              <w:left w:val="single" w:color="000000" w:sz="6" w:space="0"/>
              <w:bottom w:val="nil"/>
            </w:tcBorders>
            <w:vAlign w:val="top"/>
          </w:tcPr>
          <w:p w14:paraId="248B96D1">
            <w:pPr>
              <w:rPr>
                <w:rFonts w:ascii="Arial"/>
                <w:sz w:val="21"/>
              </w:rPr>
            </w:pPr>
          </w:p>
        </w:tc>
        <w:tc>
          <w:tcPr>
            <w:tcW w:w="8186" w:type="dxa"/>
            <w:gridSpan w:val="17"/>
            <w:tcBorders>
              <w:right w:val="single" w:color="000000" w:sz="6" w:space="0"/>
            </w:tcBorders>
            <w:vAlign w:val="top"/>
          </w:tcPr>
          <w:p w14:paraId="18D83E7D">
            <w:pPr>
              <w:pStyle w:val="6"/>
              <w:spacing w:before="139" w:line="351" w:lineRule="auto"/>
              <w:ind w:left="106" w:right="102" w:firstLine="427"/>
              <w:jc w:val="both"/>
            </w:pPr>
            <w:r>
              <w:rPr>
                <w:spacing w:val="-1"/>
              </w:rPr>
              <w:t>营运期：项目热风炉烟囱废烟气中二氧化硫、氮氧化物有组织排放参照执行《四川</w:t>
            </w:r>
            <w:r>
              <w:rPr>
                <w:spacing w:val="13"/>
              </w:rPr>
              <w:t xml:space="preserve"> </w:t>
            </w:r>
            <w:r>
              <w:rPr>
                <w:spacing w:val="-6"/>
              </w:rPr>
              <w:t>省工业炉窑大气污染综合治理实施清单》中的浓度限值要求；烟气黑度检测结果满足</w:t>
            </w:r>
            <w:r>
              <w:rPr>
                <w:spacing w:val="-7"/>
              </w:rPr>
              <w:t>《工</w:t>
            </w:r>
            <w:r>
              <w:t xml:space="preserve"> </w:t>
            </w:r>
            <w:r>
              <w:rPr>
                <w:spacing w:val="-4"/>
              </w:rPr>
              <w:t>业炉窑大气污染物排放标准》</w:t>
            </w:r>
            <w:r>
              <w:rPr>
                <w:rFonts w:hint="eastAsia"/>
                <w:spacing w:val="-4"/>
                <w:lang w:eastAsia="zh-CN"/>
              </w:rPr>
              <w:t>（</w:t>
            </w:r>
            <w:r>
              <w:rPr>
                <w:rFonts w:ascii="Times New Roman" w:hAnsi="Times New Roman" w:eastAsia="Times New Roman" w:cs="Times New Roman"/>
                <w:spacing w:val="-4"/>
              </w:rPr>
              <w:t>GB 9078-1996</w:t>
            </w:r>
            <w:r>
              <w:rPr>
                <w:rFonts w:hint="eastAsia" w:ascii="Times New Roman" w:hAnsi="Times New Roman" w:eastAsia="宋体" w:cs="Times New Roman"/>
                <w:spacing w:val="-4"/>
                <w:lang w:eastAsia="zh-CN"/>
              </w:rPr>
              <w:t>）</w:t>
            </w:r>
            <w:r>
              <w:rPr>
                <w:spacing w:val="-4"/>
              </w:rPr>
              <w:t>表</w:t>
            </w:r>
            <w:r>
              <w:rPr>
                <w:rFonts w:ascii="Times New Roman" w:hAnsi="Times New Roman" w:eastAsia="Times New Roman" w:cs="Times New Roman"/>
                <w:spacing w:val="-4"/>
              </w:rPr>
              <w:t>2</w:t>
            </w:r>
            <w:r>
              <w:rPr>
                <w:spacing w:val="-5"/>
              </w:rPr>
              <w:t>中干燥炉、窑限值要求。</w:t>
            </w:r>
            <w:r>
              <w:rPr>
                <w:spacing w:val="53"/>
              </w:rPr>
              <w:t xml:space="preserve"> </w:t>
            </w:r>
            <w:r>
              <w:rPr>
                <w:spacing w:val="-5"/>
              </w:rPr>
              <w:t>由于热风炉烟</w:t>
            </w:r>
            <w:r>
              <w:t xml:space="preserve"> 气将利用烘干机粉尘排气筒排放，且热风炉烟气的颗粒</w:t>
            </w:r>
            <w:r>
              <w:rPr>
                <w:spacing w:val="-1"/>
              </w:rPr>
              <w:t>物在混合废气中颗粒物的占比极</w:t>
            </w:r>
            <w:r>
              <w:t xml:space="preserve"> </w:t>
            </w:r>
            <w:r>
              <w:rPr>
                <w:spacing w:val="-1"/>
              </w:rPr>
              <w:t>小（约</w:t>
            </w:r>
            <w:r>
              <w:rPr>
                <w:rFonts w:ascii="Times New Roman" w:hAnsi="Times New Roman" w:eastAsia="Times New Roman" w:cs="Times New Roman"/>
                <w:spacing w:val="-1"/>
              </w:rPr>
              <w:t>0.13%</w:t>
            </w:r>
            <w:r>
              <w:rPr>
                <w:rFonts w:ascii="Times New Roman" w:hAnsi="Times New Roman" w:eastAsia="Times New Roman" w:cs="Times New Roman"/>
                <w:spacing w:val="-27"/>
              </w:rPr>
              <w:t xml:space="preserve"> </w:t>
            </w:r>
            <w:r>
              <w:rPr>
                <w:spacing w:val="-1"/>
              </w:rPr>
              <w:t>，</w:t>
            </w:r>
            <w:r>
              <w:rPr>
                <w:rFonts w:ascii="Times New Roman" w:hAnsi="Times New Roman" w:eastAsia="Times New Roman" w:cs="Times New Roman"/>
                <w:spacing w:val="-1"/>
              </w:rPr>
              <w:t>0.0177/13.511</w:t>
            </w:r>
            <w:r>
              <w:rPr>
                <w:spacing w:val="-1"/>
              </w:rPr>
              <w:t>×</w:t>
            </w:r>
            <w:r>
              <w:rPr>
                <w:rFonts w:ascii="Times New Roman" w:hAnsi="Times New Roman" w:eastAsia="Times New Roman" w:cs="Times New Roman"/>
                <w:spacing w:val="-1"/>
              </w:rPr>
              <w:t>100%=0.13%</w:t>
            </w:r>
            <w:r>
              <w:rPr>
                <w:spacing w:val="12"/>
              </w:rPr>
              <w:t>），</w:t>
            </w:r>
            <w:r>
              <w:rPr>
                <w:spacing w:val="-1"/>
              </w:rPr>
              <w:t>因此，烘干机排气筒</w:t>
            </w:r>
            <w:r>
              <w:rPr>
                <w:spacing w:val="-2"/>
              </w:rPr>
              <w:t>废气中颗粒物的排</w:t>
            </w:r>
            <w:r>
              <w:t xml:space="preserve"> </w:t>
            </w:r>
            <w:r>
              <w:rPr>
                <w:spacing w:val="-1"/>
              </w:rPr>
              <w:t>放限值执行《大气污染物综合排放标准》</w:t>
            </w:r>
            <w:r>
              <w:rPr>
                <w:rFonts w:hint="eastAsia"/>
                <w:spacing w:val="-1"/>
                <w:lang w:eastAsia="zh-CN"/>
              </w:rPr>
              <w:t>（</w:t>
            </w:r>
            <w:r>
              <w:rPr>
                <w:rFonts w:ascii="Times New Roman" w:hAnsi="Times New Roman" w:eastAsia="Times New Roman" w:cs="Times New Roman"/>
                <w:spacing w:val="-1"/>
              </w:rPr>
              <w:t>GB</w:t>
            </w:r>
            <w:r>
              <w:rPr>
                <w:rFonts w:ascii="Times New Roman" w:hAnsi="Times New Roman" w:eastAsia="Times New Roman" w:cs="Times New Roman"/>
                <w:spacing w:val="34"/>
              </w:rPr>
              <w:t xml:space="preserve"> </w:t>
            </w:r>
            <w:r>
              <w:rPr>
                <w:rFonts w:ascii="Times New Roman" w:hAnsi="Times New Roman" w:eastAsia="Times New Roman" w:cs="Times New Roman"/>
                <w:spacing w:val="-1"/>
              </w:rPr>
              <w:t>16297-1996</w:t>
            </w:r>
            <w:r>
              <w:rPr>
                <w:rFonts w:hint="eastAsia" w:ascii="Times New Roman" w:hAnsi="Times New Roman" w:eastAsia="宋体" w:cs="Times New Roman"/>
                <w:spacing w:val="-1"/>
                <w:lang w:eastAsia="zh-CN"/>
              </w:rPr>
              <w:t>）</w:t>
            </w:r>
            <w:r>
              <w:rPr>
                <w:spacing w:val="-1"/>
              </w:rPr>
              <w:t>表</w:t>
            </w:r>
            <w:r>
              <w:rPr>
                <w:rFonts w:ascii="Times New Roman" w:hAnsi="Times New Roman" w:eastAsia="Times New Roman" w:cs="Times New Roman"/>
                <w:spacing w:val="-1"/>
              </w:rPr>
              <w:t>2</w:t>
            </w:r>
            <w:r>
              <w:rPr>
                <w:spacing w:val="-1"/>
              </w:rPr>
              <w:t>中二级限值要求。</w:t>
            </w:r>
          </w:p>
          <w:p w14:paraId="7BAD05FF">
            <w:pPr>
              <w:pStyle w:val="6"/>
              <w:spacing w:before="5" w:line="342" w:lineRule="auto"/>
              <w:ind w:left="106" w:right="101" w:firstLine="419"/>
            </w:pPr>
            <w:r>
              <w:rPr>
                <w:spacing w:val="-2"/>
              </w:rPr>
              <w:t>造粒机、烘干机粉尘有组织排放执行《大气污染物综合排放标准》</w:t>
            </w:r>
            <w:r>
              <w:rPr>
                <w:rFonts w:hint="eastAsia"/>
                <w:spacing w:val="-2"/>
                <w:lang w:eastAsia="zh-CN"/>
              </w:rPr>
              <w:t>（</w:t>
            </w:r>
            <w:r>
              <w:rPr>
                <w:rFonts w:ascii="Times New Roman" w:hAnsi="Times New Roman" w:eastAsia="Times New Roman" w:cs="Times New Roman"/>
                <w:spacing w:val="-2"/>
              </w:rPr>
              <w:t>GB</w:t>
            </w:r>
            <w:r>
              <w:rPr>
                <w:rFonts w:ascii="Times New Roman" w:hAnsi="Times New Roman" w:eastAsia="Times New Roman" w:cs="Times New Roman"/>
                <w:spacing w:val="43"/>
              </w:rPr>
              <w:t xml:space="preserve"> </w:t>
            </w:r>
            <w:r>
              <w:rPr>
                <w:rFonts w:ascii="Times New Roman" w:hAnsi="Times New Roman" w:eastAsia="Times New Roman" w:cs="Times New Roman"/>
                <w:spacing w:val="-2"/>
              </w:rPr>
              <w:t>16297-1996)</w:t>
            </w:r>
            <w:r>
              <w:rPr>
                <w:rFonts w:ascii="Times New Roman" w:hAnsi="Times New Roman" w:eastAsia="Times New Roman" w:cs="Times New Roman"/>
              </w:rPr>
              <w:t xml:space="preserve"> </w:t>
            </w:r>
            <w:r>
              <w:t>表</w:t>
            </w:r>
            <w:r>
              <w:rPr>
                <w:rFonts w:ascii="Times New Roman" w:hAnsi="Times New Roman" w:eastAsia="Times New Roman" w:cs="Times New Roman"/>
              </w:rPr>
              <w:t>2</w:t>
            </w:r>
            <w:r>
              <w:t>中二级限值要求。厂界粉尘无组织排放执行《大气污染物综</w:t>
            </w:r>
            <w:r>
              <w:rPr>
                <w:spacing w:val="-1"/>
              </w:rPr>
              <w:t>合排放标准》</w:t>
            </w:r>
            <w:r>
              <w:rPr>
                <w:rFonts w:hint="eastAsia"/>
                <w:spacing w:val="-1"/>
                <w:lang w:eastAsia="zh-CN"/>
              </w:rPr>
              <w:t>（</w:t>
            </w:r>
            <w:r>
              <w:rPr>
                <w:rFonts w:ascii="Times New Roman" w:hAnsi="Times New Roman" w:eastAsia="Times New Roman" w:cs="Times New Roman"/>
                <w:spacing w:val="-1"/>
              </w:rPr>
              <w:t>GB</w:t>
            </w:r>
            <w:r>
              <w:rPr>
                <w:rFonts w:ascii="Times New Roman" w:hAnsi="Times New Roman" w:eastAsia="Times New Roman" w:cs="Times New Roman"/>
                <w:spacing w:val="-3"/>
              </w:rPr>
              <w:t>16297-1996</w:t>
            </w:r>
            <w:r>
              <w:rPr>
                <w:rFonts w:hint="eastAsia" w:ascii="Times New Roman" w:hAnsi="Times New Roman" w:eastAsia="宋体" w:cs="Times New Roman"/>
                <w:spacing w:val="-3"/>
                <w:lang w:eastAsia="zh-CN"/>
              </w:rPr>
              <w:t>）</w:t>
            </w:r>
            <w:r>
              <w:rPr>
                <w:spacing w:val="-3"/>
              </w:rPr>
              <w:t>表</w:t>
            </w:r>
            <w:r>
              <w:rPr>
                <w:rFonts w:ascii="Times New Roman" w:hAnsi="Times New Roman" w:eastAsia="Times New Roman" w:cs="Times New Roman"/>
                <w:spacing w:val="-3"/>
              </w:rPr>
              <w:t>2</w:t>
            </w:r>
            <w:r>
              <w:rPr>
                <w:spacing w:val="-3"/>
              </w:rPr>
              <w:t>中限值要求。</w:t>
            </w:r>
          </w:p>
          <w:p w14:paraId="19DDD5A0">
            <w:pPr>
              <w:spacing w:before="165" w:line="225" w:lineRule="auto"/>
              <w:ind w:left="3163"/>
              <w:rPr>
                <w:rFonts w:ascii="黑体" w:hAnsi="黑体" w:eastAsia="黑体" w:cs="黑体"/>
                <w:sz w:val="20"/>
                <w:szCs w:val="20"/>
              </w:rPr>
            </w:pPr>
            <w:r>
              <w:rPr>
                <w:rFonts w:ascii="黑体" w:hAnsi="黑体" w:eastAsia="黑体" w:cs="黑体"/>
                <w:spacing w:val="-1"/>
                <w:sz w:val="20"/>
                <w:szCs w:val="20"/>
              </w:rPr>
              <w:t>表</w:t>
            </w:r>
            <w:r>
              <w:rPr>
                <w:rFonts w:ascii="Times New Roman" w:hAnsi="Times New Roman" w:eastAsia="Times New Roman" w:cs="Times New Roman"/>
                <w:spacing w:val="-1"/>
                <w:sz w:val="20"/>
                <w:szCs w:val="20"/>
              </w:rPr>
              <w:t xml:space="preserve">3-6    </w:t>
            </w:r>
            <w:r>
              <w:rPr>
                <w:rFonts w:ascii="黑体" w:hAnsi="黑体" w:eastAsia="黑体" w:cs="黑体"/>
                <w:spacing w:val="-1"/>
                <w:sz w:val="20"/>
                <w:szCs w:val="20"/>
              </w:rPr>
              <w:t>废气排放标准</w:t>
            </w:r>
          </w:p>
        </w:tc>
      </w:tr>
      <w:tr w14:paraId="68FA0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809" w:type="dxa"/>
            <w:vMerge w:val="continue"/>
            <w:tcBorders>
              <w:top w:val="nil"/>
              <w:left w:val="single" w:color="000000" w:sz="6" w:space="0"/>
              <w:bottom w:val="nil"/>
            </w:tcBorders>
            <w:vAlign w:val="top"/>
          </w:tcPr>
          <w:p w14:paraId="5A46D929">
            <w:pPr>
              <w:rPr>
                <w:rFonts w:ascii="Arial"/>
                <w:sz w:val="21"/>
              </w:rPr>
            </w:pPr>
          </w:p>
        </w:tc>
        <w:tc>
          <w:tcPr>
            <w:tcW w:w="163" w:type="dxa"/>
            <w:vMerge w:val="restart"/>
            <w:tcBorders>
              <w:top w:val="nil"/>
              <w:bottom w:val="nil"/>
            </w:tcBorders>
            <w:vAlign w:val="top"/>
          </w:tcPr>
          <w:p w14:paraId="779C311E">
            <w:pPr>
              <w:rPr>
                <w:rFonts w:ascii="Arial"/>
                <w:sz w:val="21"/>
              </w:rPr>
            </w:pPr>
          </w:p>
        </w:tc>
        <w:tc>
          <w:tcPr>
            <w:tcW w:w="1433" w:type="dxa"/>
            <w:gridSpan w:val="2"/>
            <w:vMerge w:val="restart"/>
            <w:tcBorders>
              <w:bottom w:val="nil"/>
            </w:tcBorders>
            <w:vAlign w:val="top"/>
          </w:tcPr>
          <w:p w14:paraId="2E8F6234">
            <w:pPr>
              <w:spacing w:line="309" w:lineRule="auto"/>
              <w:rPr>
                <w:rFonts w:ascii="Arial"/>
                <w:sz w:val="21"/>
              </w:rPr>
            </w:pPr>
          </w:p>
          <w:p w14:paraId="764F51E7">
            <w:pPr>
              <w:pStyle w:val="6"/>
              <w:spacing w:before="65" w:line="221" w:lineRule="auto"/>
              <w:ind w:left="440"/>
              <w:rPr>
                <w:sz w:val="20"/>
                <w:szCs w:val="20"/>
              </w:rPr>
            </w:pPr>
            <w:r>
              <w:rPr>
                <w:spacing w:val="-2"/>
                <w:sz w:val="20"/>
                <w:szCs w:val="20"/>
              </w:rPr>
              <w:t>污染物</w:t>
            </w:r>
          </w:p>
        </w:tc>
        <w:tc>
          <w:tcPr>
            <w:tcW w:w="1290" w:type="dxa"/>
            <w:gridSpan w:val="2"/>
            <w:vMerge w:val="restart"/>
            <w:tcBorders>
              <w:bottom w:val="nil"/>
            </w:tcBorders>
            <w:vAlign w:val="top"/>
          </w:tcPr>
          <w:p w14:paraId="0AADE9C0">
            <w:pPr>
              <w:pStyle w:val="6"/>
              <w:spacing w:before="226" w:line="220" w:lineRule="auto"/>
              <w:ind w:left="71"/>
              <w:rPr>
                <w:sz w:val="20"/>
                <w:szCs w:val="20"/>
              </w:rPr>
            </w:pPr>
            <w:r>
              <w:rPr>
                <w:spacing w:val="-2"/>
                <w:sz w:val="20"/>
                <w:szCs w:val="20"/>
              </w:rPr>
              <w:t>最高允许排放</w:t>
            </w:r>
          </w:p>
          <w:p w14:paraId="60A87236">
            <w:pPr>
              <w:pStyle w:val="6"/>
              <w:spacing w:before="61" w:line="221" w:lineRule="auto"/>
              <w:ind w:left="469"/>
              <w:rPr>
                <w:sz w:val="20"/>
                <w:szCs w:val="20"/>
              </w:rPr>
            </w:pPr>
            <w:r>
              <w:rPr>
                <w:spacing w:val="-2"/>
                <w:sz w:val="20"/>
                <w:szCs w:val="20"/>
              </w:rPr>
              <w:t>浓度</w:t>
            </w:r>
          </w:p>
        </w:tc>
        <w:tc>
          <w:tcPr>
            <w:tcW w:w="1818" w:type="dxa"/>
            <w:gridSpan w:val="4"/>
            <w:vAlign w:val="top"/>
          </w:tcPr>
          <w:p w14:paraId="60067660">
            <w:pPr>
              <w:pStyle w:val="6"/>
              <w:spacing w:before="221" w:line="220" w:lineRule="auto"/>
              <w:ind w:left="138"/>
              <w:rPr>
                <w:sz w:val="20"/>
                <w:szCs w:val="20"/>
              </w:rPr>
            </w:pPr>
            <w:r>
              <w:rPr>
                <w:spacing w:val="-2"/>
                <w:sz w:val="20"/>
                <w:szCs w:val="20"/>
              </w:rPr>
              <w:t>最高允许排放速率</w:t>
            </w:r>
          </w:p>
        </w:tc>
        <w:tc>
          <w:tcPr>
            <w:tcW w:w="1518" w:type="dxa"/>
            <w:gridSpan w:val="3"/>
            <w:vAlign w:val="top"/>
          </w:tcPr>
          <w:p w14:paraId="028BF818">
            <w:pPr>
              <w:pStyle w:val="6"/>
              <w:spacing w:before="71" w:line="242" w:lineRule="auto"/>
              <w:ind w:left="231" w:right="32" w:hanging="143"/>
              <w:rPr>
                <w:sz w:val="20"/>
                <w:szCs w:val="20"/>
              </w:rPr>
            </w:pPr>
            <w:r>
              <w:rPr>
                <w:spacing w:val="-2"/>
                <w:sz w:val="20"/>
                <w:szCs w:val="20"/>
              </w:rPr>
              <w:t>周界外浓度最高</w:t>
            </w:r>
            <w:r>
              <w:rPr>
                <w:spacing w:val="4"/>
                <w:sz w:val="20"/>
                <w:szCs w:val="20"/>
              </w:rPr>
              <w:t xml:space="preserve"> </w:t>
            </w:r>
            <w:r>
              <w:rPr>
                <w:spacing w:val="-2"/>
                <w:sz w:val="20"/>
                <w:szCs w:val="20"/>
              </w:rPr>
              <w:t>点（</w:t>
            </w:r>
            <w:r>
              <w:rPr>
                <w:rFonts w:ascii="Times New Roman" w:hAnsi="Times New Roman" w:eastAsia="Times New Roman" w:cs="Times New Roman"/>
                <w:spacing w:val="-2"/>
                <w:sz w:val="20"/>
                <w:szCs w:val="20"/>
              </w:rPr>
              <w:t>mg/m</w:t>
            </w:r>
            <w:r>
              <w:rPr>
                <w:rFonts w:ascii="Times New Roman" w:hAnsi="Times New Roman" w:eastAsia="Times New Roman" w:cs="Times New Roman"/>
                <w:spacing w:val="-2"/>
                <w:position w:val="6"/>
                <w:sz w:val="12"/>
                <w:szCs w:val="12"/>
              </w:rPr>
              <w:t>3</w:t>
            </w:r>
            <w:r>
              <w:rPr>
                <w:spacing w:val="-2"/>
                <w:sz w:val="20"/>
                <w:szCs w:val="20"/>
              </w:rPr>
              <w:t>）</w:t>
            </w:r>
          </w:p>
        </w:tc>
        <w:tc>
          <w:tcPr>
            <w:tcW w:w="1746" w:type="dxa"/>
            <w:gridSpan w:val="3"/>
            <w:vMerge w:val="restart"/>
            <w:tcBorders>
              <w:bottom w:val="nil"/>
              <w:right w:val="nil"/>
            </w:tcBorders>
            <w:vAlign w:val="top"/>
          </w:tcPr>
          <w:p w14:paraId="27E94D39">
            <w:pPr>
              <w:spacing w:line="309" w:lineRule="auto"/>
              <w:rPr>
                <w:rFonts w:ascii="Arial"/>
                <w:sz w:val="21"/>
              </w:rPr>
            </w:pPr>
          </w:p>
          <w:p w14:paraId="23F69A2D">
            <w:pPr>
              <w:pStyle w:val="6"/>
              <w:spacing w:before="65" w:line="220" w:lineRule="auto"/>
              <w:ind w:left="504"/>
              <w:rPr>
                <w:sz w:val="20"/>
                <w:szCs w:val="20"/>
              </w:rPr>
            </w:pPr>
            <w:r>
              <w:rPr>
                <w:spacing w:val="-2"/>
                <w:sz w:val="20"/>
                <w:szCs w:val="20"/>
              </w:rPr>
              <w:t>执行标准</w:t>
            </w:r>
          </w:p>
        </w:tc>
        <w:tc>
          <w:tcPr>
            <w:tcW w:w="218" w:type="dxa"/>
            <w:gridSpan w:val="2"/>
            <w:vMerge w:val="restart"/>
            <w:tcBorders>
              <w:left w:val="nil"/>
              <w:bottom w:val="nil"/>
              <w:right w:val="single" w:color="000000" w:sz="6" w:space="0"/>
            </w:tcBorders>
            <w:vAlign w:val="top"/>
          </w:tcPr>
          <w:p w14:paraId="37C7ED61">
            <w:pPr>
              <w:rPr>
                <w:rFonts w:ascii="Arial"/>
                <w:sz w:val="21"/>
              </w:rPr>
            </w:pPr>
          </w:p>
        </w:tc>
      </w:tr>
      <w:tr w14:paraId="435F7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09" w:type="dxa"/>
            <w:vMerge w:val="continue"/>
            <w:tcBorders>
              <w:top w:val="nil"/>
              <w:left w:val="single" w:color="000000" w:sz="6" w:space="0"/>
              <w:bottom w:val="nil"/>
            </w:tcBorders>
            <w:vAlign w:val="top"/>
          </w:tcPr>
          <w:p w14:paraId="0D6981AE">
            <w:pPr>
              <w:rPr>
                <w:rFonts w:ascii="Arial"/>
                <w:sz w:val="21"/>
              </w:rPr>
            </w:pPr>
          </w:p>
        </w:tc>
        <w:tc>
          <w:tcPr>
            <w:tcW w:w="163" w:type="dxa"/>
            <w:vMerge w:val="continue"/>
            <w:tcBorders>
              <w:top w:val="nil"/>
              <w:bottom w:val="nil"/>
            </w:tcBorders>
            <w:vAlign w:val="top"/>
          </w:tcPr>
          <w:p w14:paraId="2965C5FC">
            <w:pPr>
              <w:rPr>
                <w:rFonts w:ascii="Arial"/>
                <w:sz w:val="21"/>
              </w:rPr>
            </w:pPr>
          </w:p>
        </w:tc>
        <w:tc>
          <w:tcPr>
            <w:tcW w:w="1433" w:type="dxa"/>
            <w:gridSpan w:val="2"/>
            <w:vMerge w:val="continue"/>
            <w:tcBorders>
              <w:top w:val="nil"/>
            </w:tcBorders>
            <w:vAlign w:val="top"/>
          </w:tcPr>
          <w:p w14:paraId="7267B918">
            <w:pPr>
              <w:rPr>
                <w:rFonts w:ascii="Arial"/>
                <w:sz w:val="21"/>
              </w:rPr>
            </w:pPr>
          </w:p>
        </w:tc>
        <w:tc>
          <w:tcPr>
            <w:tcW w:w="1290" w:type="dxa"/>
            <w:gridSpan w:val="2"/>
            <w:vMerge w:val="continue"/>
            <w:tcBorders>
              <w:top w:val="nil"/>
            </w:tcBorders>
            <w:vAlign w:val="top"/>
          </w:tcPr>
          <w:p w14:paraId="544BB33D">
            <w:pPr>
              <w:rPr>
                <w:rFonts w:ascii="Arial"/>
                <w:sz w:val="21"/>
              </w:rPr>
            </w:pPr>
          </w:p>
        </w:tc>
        <w:tc>
          <w:tcPr>
            <w:tcW w:w="1200" w:type="dxa"/>
            <w:gridSpan w:val="2"/>
            <w:vAlign w:val="top"/>
          </w:tcPr>
          <w:p w14:paraId="31F74F6D">
            <w:pPr>
              <w:pStyle w:val="6"/>
              <w:spacing w:before="69" w:line="207" w:lineRule="auto"/>
              <w:jc w:val="right"/>
              <w:rPr>
                <w:sz w:val="20"/>
                <w:szCs w:val="20"/>
              </w:rPr>
            </w:pPr>
            <w:r>
              <w:rPr>
                <w:spacing w:val="-4"/>
                <w:sz w:val="20"/>
                <w:szCs w:val="20"/>
              </w:rPr>
              <w:t>排气筒（</w:t>
            </w:r>
            <w:r>
              <w:rPr>
                <w:rFonts w:ascii="Times New Roman" w:hAnsi="Times New Roman" w:eastAsia="Times New Roman" w:cs="Times New Roman"/>
                <w:spacing w:val="-4"/>
                <w:sz w:val="20"/>
                <w:szCs w:val="20"/>
              </w:rPr>
              <w:t>m</w:t>
            </w:r>
            <w:r>
              <w:rPr>
                <w:spacing w:val="-4"/>
                <w:sz w:val="20"/>
                <w:szCs w:val="20"/>
              </w:rPr>
              <w:t>）</w:t>
            </w:r>
          </w:p>
        </w:tc>
        <w:tc>
          <w:tcPr>
            <w:tcW w:w="618" w:type="dxa"/>
            <w:gridSpan w:val="2"/>
            <w:vAlign w:val="top"/>
          </w:tcPr>
          <w:p w14:paraId="7EBBD09F">
            <w:pPr>
              <w:pStyle w:val="6"/>
              <w:spacing w:before="69" w:line="207" w:lineRule="auto"/>
              <w:ind w:left="140"/>
              <w:rPr>
                <w:sz w:val="20"/>
                <w:szCs w:val="20"/>
              </w:rPr>
            </w:pPr>
            <w:r>
              <w:rPr>
                <w:spacing w:val="-3"/>
                <w:sz w:val="20"/>
                <w:szCs w:val="20"/>
              </w:rPr>
              <w:t>二级</w:t>
            </w:r>
          </w:p>
        </w:tc>
        <w:tc>
          <w:tcPr>
            <w:tcW w:w="1518" w:type="dxa"/>
            <w:gridSpan w:val="3"/>
            <w:vAlign w:val="top"/>
          </w:tcPr>
          <w:p w14:paraId="1DE80101">
            <w:pPr>
              <w:spacing w:before="103" w:line="199" w:lineRule="auto"/>
              <w:ind w:left="754"/>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1746" w:type="dxa"/>
            <w:gridSpan w:val="3"/>
            <w:vMerge w:val="continue"/>
            <w:tcBorders>
              <w:top w:val="nil"/>
              <w:right w:val="nil"/>
            </w:tcBorders>
            <w:vAlign w:val="top"/>
          </w:tcPr>
          <w:p w14:paraId="2F63FC6D">
            <w:pPr>
              <w:rPr>
                <w:rFonts w:ascii="Arial"/>
                <w:sz w:val="21"/>
              </w:rPr>
            </w:pPr>
          </w:p>
        </w:tc>
        <w:tc>
          <w:tcPr>
            <w:tcW w:w="218" w:type="dxa"/>
            <w:gridSpan w:val="2"/>
            <w:vMerge w:val="continue"/>
            <w:tcBorders>
              <w:top w:val="nil"/>
              <w:left w:val="nil"/>
              <w:right w:val="single" w:color="000000" w:sz="6" w:space="0"/>
            </w:tcBorders>
            <w:vAlign w:val="top"/>
          </w:tcPr>
          <w:p w14:paraId="467F39F2">
            <w:pPr>
              <w:rPr>
                <w:rFonts w:ascii="Arial"/>
                <w:sz w:val="21"/>
              </w:rPr>
            </w:pPr>
          </w:p>
        </w:tc>
      </w:tr>
      <w:tr w14:paraId="0A538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809" w:type="dxa"/>
            <w:vMerge w:val="continue"/>
            <w:tcBorders>
              <w:top w:val="nil"/>
              <w:left w:val="single" w:color="000000" w:sz="6" w:space="0"/>
              <w:bottom w:val="nil"/>
            </w:tcBorders>
            <w:vAlign w:val="top"/>
          </w:tcPr>
          <w:p w14:paraId="166B29B5">
            <w:pPr>
              <w:rPr>
                <w:rFonts w:ascii="Arial"/>
                <w:sz w:val="21"/>
              </w:rPr>
            </w:pPr>
          </w:p>
        </w:tc>
        <w:tc>
          <w:tcPr>
            <w:tcW w:w="163" w:type="dxa"/>
            <w:vMerge w:val="continue"/>
            <w:tcBorders>
              <w:top w:val="nil"/>
              <w:bottom w:val="nil"/>
            </w:tcBorders>
            <w:vAlign w:val="top"/>
          </w:tcPr>
          <w:p w14:paraId="54333BFD">
            <w:pPr>
              <w:rPr>
                <w:rFonts w:ascii="Arial"/>
                <w:sz w:val="21"/>
              </w:rPr>
            </w:pPr>
          </w:p>
        </w:tc>
        <w:tc>
          <w:tcPr>
            <w:tcW w:w="1433" w:type="dxa"/>
            <w:gridSpan w:val="2"/>
            <w:vAlign w:val="top"/>
          </w:tcPr>
          <w:p w14:paraId="73795F27">
            <w:pPr>
              <w:spacing w:line="303" w:lineRule="auto"/>
              <w:rPr>
                <w:rFonts w:ascii="Arial"/>
                <w:sz w:val="21"/>
              </w:rPr>
            </w:pPr>
          </w:p>
          <w:p w14:paraId="1A407F75">
            <w:pPr>
              <w:pStyle w:val="6"/>
              <w:spacing w:before="65" w:line="221" w:lineRule="auto"/>
              <w:ind w:left="437"/>
              <w:rPr>
                <w:sz w:val="20"/>
                <w:szCs w:val="20"/>
              </w:rPr>
            </w:pPr>
            <w:r>
              <w:rPr>
                <w:spacing w:val="-2"/>
                <w:sz w:val="20"/>
                <w:szCs w:val="20"/>
              </w:rPr>
              <w:t>颗粒物</w:t>
            </w:r>
          </w:p>
        </w:tc>
        <w:tc>
          <w:tcPr>
            <w:tcW w:w="1290" w:type="dxa"/>
            <w:gridSpan w:val="2"/>
            <w:vAlign w:val="top"/>
          </w:tcPr>
          <w:p w14:paraId="4D567148">
            <w:pPr>
              <w:spacing w:line="344" w:lineRule="auto"/>
              <w:rPr>
                <w:rFonts w:ascii="Arial"/>
                <w:sz w:val="21"/>
              </w:rPr>
            </w:pPr>
          </w:p>
          <w:p w14:paraId="7FB33769">
            <w:pPr>
              <w:spacing w:before="57" w:line="233" w:lineRule="auto"/>
              <w:ind w:left="534"/>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120</w:t>
            </w:r>
          </w:p>
        </w:tc>
        <w:tc>
          <w:tcPr>
            <w:tcW w:w="1200" w:type="dxa"/>
            <w:gridSpan w:val="2"/>
            <w:vAlign w:val="top"/>
          </w:tcPr>
          <w:p w14:paraId="4BD3EA66">
            <w:pPr>
              <w:spacing w:line="344" w:lineRule="auto"/>
              <w:rPr>
                <w:rFonts w:ascii="Arial"/>
                <w:sz w:val="21"/>
              </w:rPr>
            </w:pPr>
          </w:p>
          <w:p w14:paraId="61C3D99D">
            <w:pPr>
              <w:spacing w:before="57" w:line="233" w:lineRule="auto"/>
              <w:ind w:left="541"/>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15</w:t>
            </w:r>
          </w:p>
        </w:tc>
        <w:tc>
          <w:tcPr>
            <w:tcW w:w="618" w:type="dxa"/>
            <w:gridSpan w:val="2"/>
            <w:vAlign w:val="top"/>
          </w:tcPr>
          <w:p w14:paraId="510E920E">
            <w:pPr>
              <w:spacing w:line="344" w:lineRule="auto"/>
              <w:rPr>
                <w:rFonts w:ascii="Arial"/>
                <w:sz w:val="21"/>
              </w:rPr>
            </w:pPr>
          </w:p>
          <w:p w14:paraId="0DF10FFC">
            <w:pPr>
              <w:spacing w:before="58" w:line="232" w:lineRule="auto"/>
              <w:ind w:left="21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3.5</w:t>
            </w:r>
          </w:p>
        </w:tc>
        <w:tc>
          <w:tcPr>
            <w:tcW w:w="1518" w:type="dxa"/>
            <w:gridSpan w:val="3"/>
            <w:vAlign w:val="top"/>
          </w:tcPr>
          <w:p w14:paraId="5E436E10">
            <w:pPr>
              <w:spacing w:line="344" w:lineRule="auto"/>
              <w:rPr>
                <w:rFonts w:ascii="Arial"/>
                <w:sz w:val="21"/>
              </w:rPr>
            </w:pPr>
          </w:p>
          <w:p w14:paraId="45BBCE58">
            <w:pPr>
              <w:spacing w:before="58" w:line="232" w:lineRule="auto"/>
              <w:ind w:left="68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1.0</w:t>
            </w:r>
          </w:p>
        </w:tc>
        <w:tc>
          <w:tcPr>
            <w:tcW w:w="1746" w:type="dxa"/>
            <w:gridSpan w:val="3"/>
            <w:tcBorders>
              <w:right w:val="single" w:color="000000" w:sz="8" w:space="0"/>
            </w:tcBorders>
            <w:vAlign w:val="top"/>
          </w:tcPr>
          <w:p w14:paraId="517BB82B">
            <w:pPr>
              <w:pStyle w:val="6"/>
              <w:spacing w:before="70" w:line="221" w:lineRule="auto"/>
              <w:ind w:left="106"/>
              <w:rPr>
                <w:sz w:val="20"/>
                <w:szCs w:val="20"/>
              </w:rPr>
            </w:pPr>
            <w:r>
              <w:rPr>
                <w:spacing w:val="-2"/>
                <w:sz w:val="20"/>
                <w:szCs w:val="20"/>
              </w:rPr>
              <w:t>《大气污染物综合</w:t>
            </w:r>
          </w:p>
          <w:p w14:paraId="2B29C650">
            <w:pPr>
              <w:pStyle w:val="6"/>
              <w:spacing w:before="61" w:line="213" w:lineRule="auto"/>
              <w:ind w:left="233"/>
              <w:rPr>
                <w:rFonts w:ascii="Times New Roman" w:hAnsi="Times New Roman" w:eastAsia="Times New Roman" w:cs="Times New Roman"/>
                <w:sz w:val="20"/>
                <w:szCs w:val="20"/>
              </w:rPr>
            </w:pPr>
            <w:r>
              <w:rPr>
                <w:spacing w:val="-1"/>
                <w:sz w:val="20"/>
                <w:szCs w:val="20"/>
              </w:rPr>
              <w:t>排放标准》</w:t>
            </w:r>
            <w:r>
              <w:rPr>
                <w:rFonts w:hint="eastAsia"/>
                <w:spacing w:val="-1"/>
                <w:sz w:val="20"/>
                <w:szCs w:val="20"/>
                <w:lang w:eastAsia="zh-CN"/>
              </w:rPr>
              <w:t>（</w:t>
            </w:r>
            <w:r>
              <w:rPr>
                <w:rFonts w:ascii="Times New Roman" w:hAnsi="Times New Roman" w:eastAsia="Times New Roman" w:cs="Times New Roman"/>
                <w:spacing w:val="-1"/>
                <w:sz w:val="20"/>
                <w:szCs w:val="20"/>
              </w:rPr>
              <w:t>GB</w:t>
            </w:r>
          </w:p>
          <w:p w14:paraId="7E0FDDDE">
            <w:pPr>
              <w:spacing w:before="102" w:line="191" w:lineRule="auto"/>
              <w:ind w:left="40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16297-1996)</w:t>
            </w:r>
          </w:p>
        </w:tc>
        <w:tc>
          <w:tcPr>
            <w:tcW w:w="218" w:type="dxa"/>
            <w:gridSpan w:val="2"/>
            <w:tcBorders>
              <w:left w:val="single" w:color="000000" w:sz="8" w:space="0"/>
              <w:right w:val="single" w:color="000000" w:sz="6" w:space="0"/>
            </w:tcBorders>
            <w:vAlign w:val="top"/>
          </w:tcPr>
          <w:p w14:paraId="7E7FB642">
            <w:pPr>
              <w:rPr>
                <w:rFonts w:ascii="Arial"/>
                <w:sz w:val="21"/>
              </w:rPr>
            </w:pPr>
          </w:p>
        </w:tc>
      </w:tr>
      <w:tr w14:paraId="3E861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809" w:type="dxa"/>
            <w:vMerge w:val="continue"/>
            <w:tcBorders>
              <w:top w:val="nil"/>
              <w:left w:val="single" w:color="000000" w:sz="6" w:space="0"/>
              <w:bottom w:val="nil"/>
            </w:tcBorders>
            <w:vAlign w:val="top"/>
          </w:tcPr>
          <w:p w14:paraId="59AE108B">
            <w:pPr>
              <w:rPr>
                <w:rFonts w:ascii="Arial"/>
                <w:sz w:val="21"/>
              </w:rPr>
            </w:pPr>
          </w:p>
        </w:tc>
        <w:tc>
          <w:tcPr>
            <w:tcW w:w="163" w:type="dxa"/>
            <w:vMerge w:val="continue"/>
            <w:tcBorders>
              <w:top w:val="nil"/>
              <w:bottom w:val="nil"/>
            </w:tcBorders>
            <w:vAlign w:val="top"/>
          </w:tcPr>
          <w:p w14:paraId="6D27A863">
            <w:pPr>
              <w:rPr>
                <w:rFonts w:ascii="Arial"/>
                <w:sz w:val="21"/>
              </w:rPr>
            </w:pPr>
          </w:p>
        </w:tc>
        <w:tc>
          <w:tcPr>
            <w:tcW w:w="1433" w:type="dxa"/>
            <w:gridSpan w:val="2"/>
            <w:vAlign w:val="top"/>
          </w:tcPr>
          <w:p w14:paraId="7A6D74DC">
            <w:pPr>
              <w:pStyle w:val="6"/>
              <w:spacing w:before="72" w:line="206" w:lineRule="auto"/>
              <w:ind w:left="342"/>
              <w:rPr>
                <w:sz w:val="20"/>
                <w:szCs w:val="20"/>
              </w:rPr>
            </w:pPr>
            <w:r>
              <w:rPr>
                <w:spacing w:val="-2"/>
                <w:sz w:val="20"/>
                <w:szCs w:val="20"/>
              </w:rPr>
              <w:t>二氧化硫</w:t>
            </w:r>
          </w:p>
        </w:tc>
        <w:tc>
          <w:tcPr>
            <w:tcW w:w="1290" w:type="dxa"/>
            <w:gridSpan w:val="2"/>
            <w:vAlign w:val="top"/>
          </w:tcPr>
          <w:p w14:paraId="3F151F41">
            <w:pPr>
              <w:spacing w:before="106" w:line="198" w:lineRule="auto"/>
              <w:ind w:left="51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200</w:t>
            </w:r>
          </w:p>
        </w:tc>
        <w:tc>
          <w:tcPr>
            <w:tcW w:w="1200" w:type="dxa"/>
            <w:gridSpan w:val="2"/>
            <w:vAlign w:val="top"/>
          </w:tcPr>
          <w:p w14:paraId="0E929104">
            <w:pPr>
              <w:spacing w:before="106" w:line="198" w:lineRule="auto"/>
              <w:ind w:left="591"/>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618" w:type="dxa"/>
            <w:gridSpan w:val="2"/>
            <w:vAlign w:val="top"/>
          </w:tcPr>
          <w:p w14:paraId="18CE17E9">
            <w:pPr>
              <w:spacing w:before="106" w:line="198" w:lineRule="auto"/>
              <w:ind w:left="301"/>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1518" w:type="dxa"/>
            <w:gridSpan w:val="3"/>
            <w:vAlign w:val="top"/>
          </w:tcPr>
          <w:p w14:paraId="2A3FB8F3">
            <w:pPr>
              <w:spacing w:before="106" w:line="198" w:lineRule="auto"/>
              <w:ind w:left="754"/>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1746" w:type="dxa"/>
            <w:gridSpan w:val="3"/>
            <w:vMerge w:val="restart"/>
            <w:tcBorders>
              <w:bottom w:val="nil"/>
              <w:right w:val="nil"/>
            </w:tcBorders>
            <w:vAlign w:val="top"/>
          </w:tcPr>
          <w:p w14:paraId="582CB57C">
            <w:pPr>
              <w:pStyle w:val="6"/>
              <w:spacing w:before="72" w:line="220" w:lineRule="auto"/>
              <w:ind w:left="106"/>
              <w:rPr>
                <w:sz w:val="20"/>
                <w:szCs w:val="20"/>
              </w:rPr>
            </w:pPr>
            <w:r>
              <w:rPr>
                <w:spacing w:val="-2"/>
                <w:sz w:val="20"/>
                <w:szCs w:val="20"/>
              </w:rPr>
              <w:t>《四川省工业炉窑</w:t>
            </w:r>
          </w:p>
          <w:p w14:paraId="1F49AA2F">
            <w:pPr>
              <w:pStyle w:val="6"/>
              <w:spacing w:before="61" w:line="221" w:lineRule="auto"/>
              <w:ind w:left="107"/>
              <w:rPr>
                <w:sz w:val="20"/>
                <w:szCs w:val="20"/>
              </w:rPr>
            </w:pPr>
            <w:r>
              <w:rPr>
                <w:spacing w:val="-2"/>
                <w:sz w:val="20"/>
                <w:szCs w:val="20"/>
              </w:rPr>
              <w:t>大气污染综合治理</w:t>
            </w:r>
          </w:p>
          <w:p w14:paraId="490B041C">
            <w:pPr>
              <w:pStyle w:val="6"/>
              <w:spacing w:before="61" w:line="206" w:lineRule="auto"/>
              <w:ind w:left="410"/>
              <w:rPr>
                <w:sz w:val="20"/>
                <w:szCs w:val="20"/>
              </w:rPr>
            </w:pPr>
            <w:r>
              <w:rPr>
                <w:spacing w:val="-3"/>
                <w:sz w:val="20"/>
                <w:szCs w:val="20"/>
              </w:rPr>
              <w:t>实施清单》</w:t>
            </w:r>
          </w:p>
        </w:tc>
        <w:tc>
          <w:tcPr>
            <w:tcW w:w="218" w:type="dxa"/>
            <w:gridSpan w:val="2"/>
            <w:vMerge w:val="restart"/>
            <w:tcBorders>
              <w:left w:val="nil"/>
              <w:bottom w:val="nil"/>
              <w:right w:val="single" w:color="000000" w:sz="6" w:space="0"/>
            </w:tcBorders>
            <w:vAlign w:val="top"/>
          </w:tcPr>
          <w:p w14:paraId="45FF3A5B">
            <w:pPr>
              <w:rPr>
                <w:rFonts w:ascii="Arial"/>
                <w:sz w:val="21"/>
              </w:rPr>
            </w:pPr>
          </w:p>
        </w:tc>
      </w:tr>
      <w:tr w14:paraId="701F1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809" w:type="dxa"/>
            <w:vMerge w:val="continue"/>
            <w:tcBorders>
              <w:top w:val="nil"/>
              <w:left w:val="single" w:color="000000" w:sz="6" w:space="0"/>
              <w:bottom w:val="nil"/>
            </w:tcBorders>
            <w:vAlign w:val="top"/>
          </w:tcPr>
          <w:p w14:paraId="4C7BAE44">
            <w:pPr>
              <w:rPr>
                <w:rFonts w:ascii="Arial"/>
                <w:sz w:val="21"/>
              </w:rPr>
            </w:pPr>
          </w:p>
        </w:tc>
        <w:tc>
          <w:tcPr>
            <w:tcW w:w="163" w:type="dxa"/>
            <w:vMerge w:val="continue"/>
            <w:tcBorders>
              <w:top w:val="nil"/>
              <w:bottom w:val="nil"/>
            </w:tcBorders>
            <w:vAlign w:val="top"/>
          </w:tcPr>
          <w:p w14:paraId="6A844769">
            <w:pPr>
              <w:rPr>
                <w:rFonts w:ascii="Arial"/>
                <w:sz w:val="21"/>
              </w:rPr>
            </w:pPr>
          </w:p>
        </w:tc>
        <w:tc>
          <w:tcPr>
            <w:tcW w:w="1433" w:type="dxa"/>
            <w:gridSpan w:val="2"/>
            <w:vAlign w:val="top"/>
          </w:tcPr>
          <w:p w14:paraId="149C0632">
            <w:pPr>
              <w:pStyle w:val="6"/>
              <w:spacing w:before="216" w:line="219" w:lineRule="auto"/>
              <w:ind w:left="337"/>
              <w:rPr>
                <w:sz w:val="20"/>
                <w:szCs w:val="20"/>
              </w:rPr>
            </w:pPr>
            <w:r>
              <w:rPr>
                <w:spacing w:val="-1"/>
                <w:sz w:val="20"/>
                <w:szCs w:val="20"/>
              </w:rPr>
              <w:t>氮氧化物</w:t>
            </w:r>
          </w:p>
        </w:tc>
        <w:tc>
          <w:tcPr>
            <w:tcW w:w="1290" w:type="dxa"/>
            <w:gridSpan w:val="2"/>
            <w:vAlign w:val="top"/>
          </w:tcPr>
          <w:p w14:paraId="318F3A3F">
            <w:pPr>
              <w:spacing w:before="249" w:line="233" w:lineRule="auto"/>
              <w:ind w:left="51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300</w:t>
            </w:r>
          </w:p>
        </w:tc>
        <w:tc>
          <w:tcPr>
            <w:tcW w:w="1200" w:type="dxa"/>
            <w:gridSpan w:val="2"/>
            <w:vAlign w:val="top"/>
          </w:tcPr>
          <w:p w14:paraId="22BF1647">
            <w:pPr>
              <w:spacing w:before="250" w:line="232" w:lineRule="auto"/>
              <w:ind w:left="591"/>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618" w:type="dxa"/>
            <w:gridSpan w:val="2"/>
            <w:vAlign w:val="top"/>
          </w:tcPr>
          <w:p w14:paraId="5DFCA069">
            <w:pPr>
              <w:spacing w:before="250" w:line="232" w:lineRule="auto"/>
              <w:ind w:left="301"/>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1518" w:type="dxa"/>
            <w:gridSpan w:val="3"/>
            <w:vAlign w:val="top"/>
          </w:tcPr>
          <w:p w14:paraId="0BDEF01B">
            <w:pPr>
              <w:spacing w:before="250" w:line="232" w:lineRule="auto"/>
              <w:ind w:left="754"/>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1746" w:type="dxa"/>
            <w:gridSpan w:val="3"/>
            <w:vMerge w:val="continue"/>
            <w:tcBorders>
              <w:top w:val="nil"/>
              <w:right w:val="nil"/>
            </w:tcBorders>
            <w:vAlign w:val="top"/>
          </w:tcPr>
          <w:p w14:paraId="2263686A">
            <w:pPr>
              <w:rPr>
                <w:rFonts w:ascii="Arial"/>
                <w:sz w:val="21"/>
              </w:rPr>
            </w:pPr>
          </w:p>
        </w:tc>
        <w:tc>
          <w:tcPr>
            <w:tcW w:w="218" w:type="dxa"/>
            <w:gridSpan w:val="2"/>
            <w:vMerge w:val="continue"/>
            <w:tcBorders>
              <w:top w:val="nil"/>
              <w:left w:val="nil"/>
              <w:right w:val="single" w:color="000000" w:sz="6" w:space="0"/>
            </w:tcBorders>
            <w:vAlign w:val="top"/>
          </w:tcPr>
          <w:p w14:paraId="22D74ADB">
            <w:pPr>
              <w:rPr>
                <w:rFonts w:ascii="Arial"/>
                <w:sz w:val="21"/>
              </w:rPr>
            </w:pPr>
          </w:p>
        </w:tc>
      </w:tr>
      <w:tr w14:paraId="18E38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809" w:type="dxa"/>
            <w:vMerge w:val="continue"/>
            <w:tcBorders>
              <w:top w:val="nil"/>
              <w:left w:val="single" w:color="000000" w:sz="6" w:space="0"/>
              <w:bottom w:val="nil"/>
            </w:tcBorders>
            <w:vAlign w:val="top"/>
          </w:tcPr>
          <w:p w14:paraId="744C3A9F">
            <w:pPr>
              <w:rPr>
                <w:rFonts w:ascii="Arial"/>
                <w:sz w:val="21"/>
              </w:rPr>
            </w:pPr>
          </w:p>
        </w:tc>
        <w:tc>
          <w:tcPr>
            <w:tcW w:w="163" w:type="dxa"/>
            <w:vMerge w:val="continue"/>
            <w:tcBorders>
              <w:top w:val="nil"/>
              <w:bottom w:val="nil"/>
            </w:tcBorders>
            <w:vAlign w:val="top"/>
          </w:tcPr>
          <w:p w14:paraId="0625B5B6">
            <w:pPr>
              <w:rPr>
                <w:rFonts w:ascii="Arial"/>
                <w:sz w:val="21"/>
              </w:rPr>
            </w:pPr>
          </w:p>
        </w:tc>
        <w:tc>
          <w:tcPr>
            <w:tcW w:w="1433" w:type="dxa"/>
            <w:gridSpan w:val="2"/>
            <w:vAlign w:val="top"/>
          </w:tcPr>
          <w:p w14:paraId="2382D102">
            <w:pPr>
              <w:pStyle w:val="6"/>
              <w:spacing w:before="221" w:line="220" w:lineRule="auto"/>
              <w:jc w:val="right"/>
              <w:rPr>
                <w:sz w:val="20"/>
                <w:szCs w:val="20"/>
              </w:rPr>
            </w:pPr>
            <w:r>
              <w:rPr>
                <w:spacing w:val="-2"/>
                <w:sz w:val="20"/>
                <w:szCs w:val="20"/>
              </w:rPr>
              <w:t>烟气黑度（林格</w:t>
            </w:r>
          </w:p>
          <w:p w14:paraId="3170C253">
            <w:pPr>
              <w:pStyle w:val="6"/>
              <w:spacing w:before="62" w:line="221" w:lineRule="auto"/>
              <w:ind w:left="441"/>
              <w:rPr>
                <w:sz w:val="20"/>
                <w:szCs w:val="20"/>
              </w:rPr>
            </w:pPr>
            <w:r>
              <w:rPr>
                <w:spacing w:val="-6"/>
                <w:sz w:val="20"/>
                <w:szCs w:val="20"/>
              </w:rPr>
              <w:t>曼级）</w:t>
            </w:r>
          </w:p>
        </w:tc>
        <w:tc>
          <w:tcPr>
            <w:tcW w:w="1290" w:type="dxa"/>
            <w:gridSpan w:val="2"/>
            <w:vAlign w:val="top"/>
          </w:tcPr>
          <w:p w14:paraId="5C46FCBB">
            <w:pPr>
              <w:spacing w:line="345" w:lineRule="auto"/>
              <w:rPr>
                <w:rFonts w:ascii="Arial"/>
                <w:sz w:val="21"/>
              </w:rPr>
            </w:pPr>
          </w:p>
          <w:p w14:paraId="4EF77605">
            <w:pPr>
              <w:spacing w:before="57" w:line="235" w:lineRule="auto"/>
              <w:ind w:left="63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200" w:type="dxa"/>
            <w:gridSpan w:val="2"/>
            <w:vAlign w:val="top"/>
          </w:tcPr>
          <w:p w14:paraId="755315B0">
            <w:pPr>
              <w:spacing w:line="345" w:lineRule="auto"/>
              <w:rPr>
                <w:rFonts w:ascii="Arial"/>
                <w:sz w:val="21"/>
              </w:rPr>
            </w:pPr>
          </w:p>
          <w:p w14:paraId="02838DB0">
            <w:pPr>
              <w:spacing w:before="57" w:line="232" w:lineRule="auto"/>
              <w:ind w:left="591"/>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618" w:type="dxa"/>
            <w:gridSpan w:val="2"/>
            <w:vAlign w:val="top"/>
          </w:tcPr>
          <w:p w14:paraId="79D06142">
            <w:pPr>
              <w:spacing w:line="345" w:lineRule="auto"/>
              <w:rPr>
                <w:rFonts w:ascii="Arial"/>
                <w:sz w:val="21"/>
              </w:rPr>
            </w:pPr>
          </w:p>
          <w:p w14:paraId="35C7D60D">
            <w:pPr>
              <w:spacing w:before="57" w:line="232" w:lineRule="auto"/>
              <w:ind w:left="301"/>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1518" w:type="dxa"/>
            <w:gridSpan w:val="3"/>
            <w:vAlign w:val="top"/>
          </w:tcPr>
          <w:p w14:paraId="2280AEE9">
            <w:pPr>
              <w:spacing w:line="345" w:lineRule="auto"/>
              <w:rPr>
                <w:rFonts w:ascii="Arial"/>
                <w:sz w:val="21"/>
              </w:rPr>
            </w:pPr>
          </w:p>
          <w:p w14:paraId="445849F4">
            <w:pPr>
              <w:spacing w:before="57" w:line="232" w:lineRule="auto"/>
              <w:ind w:left="754"/>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1964" w:type="dxa"/>
            <w:gridSpan w:val="5"/>
            <w:tcBorders>
              <w:right w:val="single" w:color="000000" w:sz="6" w:space="0"/>
            </w:tcBorders>
            <w:vAlign w:val="top"/>
          </w:tcPr>
          <w:p w14:paraId="14EF7B7C">
            <w:pPr>
              <w:pStyle w:val="6"/>
              <w:spacing w:before="70" w:line="221" w:lineRule="auto"/>
              <w:ind w:left="106"/>
              <w:rPr>
                <w:sz w:val="20"/>
                <w:szCs w:val="20"/>
              </w:rPr>
            </w:pPr>
            <w:r>
              <w:rPr>
                <w:spacing w:val="-2"/>
                <w:sz w:val="20"/>
                <w:szCs w:val="20"/>
              </w:rPr>
              <w:t>《工业炉窑大气污</w:t>
            </w:r>
          </w:p>
          <w:p w14:paraId="392C1AB9">
            <w:pPr>
              <w:pStyle w:val="6"/>
              <w:spacing w:before="61" w:line="213" w:lineRule="auto"/>
              <w:ind w:left="36"/>
              <w:rPr>
                <w:rFonts w:ascii="Times New Roman" w:hAnsi="Times New Roman" w:eastAsia="Times New Roman" w:cs="Times New Roman"/>
                <w:sz w:val="20"/>
                <w:szCs w:val="20"/>
              </w:rPr>
            </w:pPr>
            <w:r>
              <w:pict>
                <v:shape id="_x0000_s1058" o:spid="_x0000_s1058" style="position:absolute;left:0pt;margin-left:88.45pt;margin-top:-15.3pt;height:45pt;width:0.5pt;z-index:251699200;mso-width-relative:page;mso-height-relative:page;" fillcolor="#000000" filled="t" stroked="f" coordsize="10,900" path="m0,900l9,900,9,0,0,0,0,900xe">
                  <v:path/>
                  <v:fill on="t" focussize="0,0"/>
                  <v:stroke on="f"/>
                  <v:imagedata o:title=""/>
                  <o:lock v:ext="edit"/>
                </v:shape>
              </w:pict>
            </w:r>
            <w:r>
              <w:rPr>
                <w:spacing w:val="-2"/>
                <w:sz w:val="20"/>
                <w:szCs w:val="20"/>
              </w:rPr>
              <w:t>染物排放标准》</w:t>
            </w:r>
            <w:r>
              <w:rPr>
                <w:rFonts w:hint="eastAsia"/>
                <w:spacing w:val="-2"/>
                <w:sz w:val="20"/>
                <w:szCs w:val="20"/>
                <w:lang w:eastAsia="zh-CN"/>
              </w:rPr>
              <w:t>（</w:t>
            </w:r>
            <w:r>
              <w:rPr>
                <w:rFonts w:ascii="Times New Roman" w:hAnsi="Times New Roman" w:eastAsia="Times New Roman" w:cs="Times New Roman"/>
                <w:spacing w:val="-2"/>
                <w:sz w:val="20"/>
                <w:szCs w:val="20"/>
              </w:rPr>
              <w:t>GB</w:t>
            </w:r>
          </w:p>
          <w:p w14:paraId="5A4D0527">
            <w:pPr>
              <w:spacing w:before="102" w:line="191" w:lineRule="auto"/>
              <w:ind w:left="43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9078-1996)</w:t>
            </w:r>
          </w:p>
        </w:tc>
      </w:tr>
      <w:tr w14:paraId="27B0B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5" w:hRule="atLeast"/>
        </w:trPr>
        <w:tc>
          <w:tcPr>
            <w:tcW w:w="809" w:type="dxa"/>
            <w:vMerge w:val="continue"/>
            <w:tcBorders>
              <w:top w:val="nil"/>
              <w:left w:val="single" w:color="000000" w:sz="6" w:space="0"/>
              <w:bottom w:val="nil"/>
            </w:tcBorders>
            <w:vAlign w:val="top"/>
          </w:tcPr>
          <w:p w14:paraId="15F4420A">
            <w:pPr>
              <w:rPr>
                <w:rFonts w:ascii="Arial"/>
                <w:sz w:val="21"/>
              </w:rPr>
            </w:pPr>
          </w:p>
        </w:tc>
        <w:tc>
          <w:tcPr>
            <w:tcW w:w="8186" w:type="dxa"/>
            <w:gridSpan w:val="17"/>
            <w:tcBorders>
              <w:right w:val="single" w:color="000000" w:sz="6" w:space="0"/>
            </w:tcBorders>
            <w:vAlign w:val="top"/>
          </w:tcPr>
          <w:p w14:paraId="1ACBBADF">
            <w:pPr>
              <w:spacing w:before="135" w:line="242" w:lineRule="auto"/>
              <w:ind w:left="214"/>
              <w:rPr>
                <w:rFonts w:ascii="黑体" w:hAnsi="黑体" w:eastAsia="黑体" w:cs="黑体"/>
                <w:sz w:val="21"/>
                <w:szCs w:val="21"/>
              </w:rPr>
            </w:pPr>
            <w:r>
              <w:rPr>
                <w:rFonts w:ascii="Times New Roman" w:hAnsi="Times New Roman" w:eastAsia="Times New Roman" w:cs="Times New Roman"/>
                <w:spacing w:val="5"/>
                <w:sz w:val="21"/>
                <w:szCs w:val="21"/>
              </w:rPr>
              <w:t>2</w:t>
            </w:r>
            <w:r>
              <w:rPr>
                <w:rFonts w:ascii="黑体" w:hAnsi="黑体" w:eastAsia="黑体" w:cs="黑体"/>
                <w:spacing w:val="5"/>
                <w:sz w:val="21"/>
                <w:szCs w:val="21"/>
              </w:rPr>
              <w:t>、废水</w:t>
            </w:r>
          </w:p>
          <w:p w14:paraId="42AAE3F8">
            <w:pPr>
              <w:pStyle w:val="6"/>
              <w:spacing w:before="132" w:line="353" w:lineRule="auto"/>
              <w:ind w:left="108" w:right="114" w:firstLine="420"/>
              <w:jc w:val="both"/>
            </w:pPr>
            <w:r>
              <w:rPr>
                <w:spacing w:val="-1"/>
              </w:rPr>
              <w:t>本项目生产废水循环使用不外排；生活污水经亚飞玻璃公司已建的化粪池收集后，</w:t>
            </w:r>
            <w:r>
              <w:rPr>
                <w:spacing w:val="8"/>
              </w:rPr>
              <w:t xml:space="preserve"> </w:t>
            </w:r>
            <w:r>
              <w:rPr>
                <w:sz w:val="20"/>
                <w:szCs w:val="20"/>
              </w:rPr>
              <w:t>经场镇污水管网进入东岳场镇生活污水处理厂处</w:t>
            </w:r>
            <w:r>
              <w:rPr>
                <w:spacing w:val="-1"/>
                <w:sz w:val="20"/>
                <w:szCs w:val="20"/>
              </w:rPr>
              <w:t>理</w:t>
            </w:r>
            <w:r>
              <w:rPr>
                <w:spacing w:val="-1"/>
              </w:rPr>
              <w:t>。废水排放执行《污水综合排放标准》</w:t>
            </w:r>
            <w:r>
              <w:t xml:space="preserve"> </w:t>
            </w:r>
            <w:r>
              <w:fldChar w:fldCharType="begin"/>
            </w:r>
            <w:r>
              <w:instrText xml:space="preserve"> HYPERLINK "http://www.baidu.com/link?url=7tsbnW_2QlYqlRm1s5LoQiXq21nuMYpxXCiEB9RpeGN0OBq1RcmmmkuwEjH4i89-K2NK94lMRWHjREIJXet-EK" </w:instrText>
            </w:r>
            <w:r>
              <w:fldChar w:fldCharType="separate"/>
            </w:r>
            <w:r>
              <w:rPr>
                <w:rFonts w:ascii="Times New Roman" w:hAnsi="Times New Roman" w:eastAsia="Times New Roman" w:cs="Times New Roman"/>
                <w:spacing w:val="-2"/>
              </w:rPr>
              <w:t>(GB8978-1996</w:t>
            </w:r>
            <w:r>
              <w:rPr>
                <w:rFonts w:hint="eastAsia" w:ascii="Times New Roman" w:hAnsi="Times New Roman" w:eastAsia="宋体" w:cs="Times New Roman"/>
                <w:spacing w:val="-2"/>
                <w:lang w:eastAsia="zh-CN"/>
              </w:rPr>
              <w:t>）</w:t>
            </w:r>
            <w:r>
              <w:rPr>
                <w:rFonts w:ascii="Times New Roman" w:hAnsi="Times New Roman" w:eastAsia="Times New Roman" w:cs="Times New Roman"/>
                <w:spacing w:val="-2"/>
              </w:rPr>
              <w:fldChar w:fldCharType="end"/>
            </w:r>
            <w:r>
              <w:rPr>
                <w:spacing w:val="-2"/>
              </w:rPr>
              <w:t>表</w:t>
            </w:r>
            <w:r>
              <w:rPr>
                <w:rFonts w:ascii="Times New Roman" w:hAnsi="Times New Roman" w:eastAsia="Times New Roman" w:cs="Times New Roman"/>
                <w:spacing w:val="-2"/>
              </w:rPr>
              <w:t>4</w:t>
            </w:r>
            <w:r>
              <w:rPr>
                <w:spacing w:val="-2"/>
              </w:rPr>
              <w:t>中三级标准。</w:t>
            </w:r>
          </w:p>
          <w:p w14:paraId="10A10664">
            <w:pPr>
              <w:spacing w:before="5" w:line="223" w:lineRule="auto"/>
              <w:ind w:left="3363"/>
              <w:rPr>
                <w:rFonts w:ascii="黑体" w:hAnsi="黑体" w:eastAsia="黑体" w:cs="黑体"/>
                <w:sz w:val="20"/>
                <w:szCs w:val="20"/>
              </w:rPr>
            </w:pPr>
            <w:r>
              <w:rPr>
                <w:rFonts w:ascii="黑体" w:hAnsi="黑体" w:eastAsia="黑体" w:cs="黑体"/>
                <w:spacing w:val="-1"/>
                <w:sz w:val="20"/>
                <w:szCs w:val="20"/>
              </w:rPr>
              <w:t>表</w:t>
            </w:r>
            <w:r>
              <w:rPr>
                <w:rFonts w:ascii="Times New Roman" w:hAnsi="Times New Roman" w:eastAsia="Times New Roman" w:cs="Times New Roman"/>
                <w:spacing w:val="-1"/>
                <w:sz w:val="20"/>
                <w:szCs w:val="20"/>
              </w:rPr>
              <w:t xml:space="preserve">3-7    </w:t>
            </w:r>
            <w:r>
              <w:rPr>
                <w:rFonts w:ascii="黑体" w:hAnsi="黑体" w:eastAsia="黑体" w:cs="黑体"/>
                <w:spacing w:val="-1"/>
                <w:sz w:val="20"/>
                <w:szCs w:val="20"/>
              </w:rPr>
              <w:t>废水排放标准</w:t>
            </w:r>
          </w:p>
        </w:tc>
      </w:tr>
      <w:tr w14:paraId="44665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809" w:type="dxa"/>
            <w:vMerge w:val="continue"/>
            <w:tcBorders>
              <w:top w:val="nil"/>
              <w:left w:val="single" w:color="000000" w:sz="6" w:space="0"/>
              <w:bottom w:val="nil"/>
            </w:tcBorders>
            <w:vAlign w:val="top"/>
          </w:tcPr>
          <w:p w14:paraId="0DEEFEB1">
            <w:pPr>
              <w:rPr>
                <w:rFonts w:ascii="Arial"/>
                <w:sz w:val="21"/>
              </w:rPr>
            </w:pPr>
          </w:p>
        </w:tc>
        <w:tc>
          <w:tcPr>
            <w:tcW w:w="2671" w:type="dxa"/>
            <w:gridSpan w:val="4"/>
            <w:vAlign w:val="top"/>
          </w:tcPr>
          <w:p w14:paraId="6F4C31C6">
            <w:pPr>
              <w:pStyle w:val="6"/>
              <w:spacing w:before="101" w:line="220" w:lineRule="auto"/>
              <w:ind w:left="937"/>
              <w:rPr>
                <w:sz w:val="18"/>
                <w:szCs w:val="18"/>
              </w:rPr>
            </w:pPr>
            <w:r>
              <w:pict>
                <v:shape id="_x0000_s1059" o:spid="_x0000_s1059" style="position:absolute;left:0pt;margin-left:4.8pt;margin-top:0.45pt;height:18.25pt;width:0.5pt;mso-position-horizontal-relative:page;mso-position-vertical-relative:page;z-index:251697152;mso-width-relative:page;mso-height-relative:page;" fillcolor="#000000" filled="t" stroked="f" coordsize="10,365" path="m0,364l9,364,9,0,0,0,0,364xe">
                  <v:path/>
                  <v:fill on="t" focussize="0,0"/>
                  <v:stroke on="f"/>
                  <v:imagedata o:title=""/>
                  <o:lock v:ext="edit"/>
                </v:shape>
              </w:pict>
            </w:r>
            <w:r>
              <w:rPr>
                <w:b/>
                <w:bCs/>
                <w:spacing w:val="-3"/>
                <w:sz w:val="18"/>
                <w:szCs w:val="18"/>
              </w:rPr>
              <w:t>污染物类别</w:t>
            </w:r>
          </w:p>
        </w:tc>
        <w:tc>
          <w:tcPr>
            <w:tcW w:w="858" w:type="dxa"/>
            <w:gridSpan w:val="2"/>
            <w:vAlign w:val="top"/>
          </w:tcPr>
          <w:p w14:paraId="1DA9DA9E">
            <w:pPr>
              <w:spacing w:before="134" w:line="186" w:lineRule="auto"/>
              <w:ind w:left="333"/>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SS</w:t>
            </w:r>
          </w:p>
        </w:tc>
        <w:tc>
          <w:tcPr>
            <w:tcW w:w="1033" w:type="dxa"/>
            <w:gridSpan w:val="2"/>
            <w:vAlign w:val="top"/>
          </w:tcPr>
          <w:p w14:paraId="537C7B92">
            <w:pPr>
              <w:spacing w:before="134" w:line="224" w:lineRule="auto"/>
              <w:ind w:left="291"/>
              <w:rPr>
                <w:rFonts w:ascii="Times New Roman" w:hAnsi="Times New Roman" w:eastAsia="Times New Roman" w:cs="Times New Roman"/>
                <w:sz w:val="12"/>
                <w:szCs w:val="12"/>
              </w:rPr>
            </w:pPr>
            <w:r>
              <w:rPr>
                <w:rFonts w:ascii="Times New Roman" w:hAnsi="Times New Roman" w:eastAsia="Times New Roman" w:cs="Times New Roman"/>
                <w:b/>
                <w:bCs/>
                <w:spacing w:val="-1"/>
                <w:sz w:val="18"/>
                <w:szCs w:val="18"/>
              </w:rPr>
              <w:t>BOD</w:t>
            </w:r>
            <w:r>
              <w:rPr>
                <w:rFonts w:ascii="Times New Roman" w:hAnsi="Times New Roman" w:eastAsia="Times New Roman" w:cs="Times New Roman"/>
                <w:b/>
                <w:bCs/>
                <w:spacing w:val="-1"/>
                <w:sz w:val="12"/>
                <w:szCs w:val="12"/>
              </w:rPr>
              <w:t>5</w:t>
            </w:r>
          </w:p>
        </w:tc>
        <w:tc>
          <w:tcPr>
            <w:tcW w:w="1124" w:type="dxa"/>
            <w:gridSpan w:val="2"/>
            <w:vAlign w:val="top"/>
          </w:tcPr>
          <w:p w14:paraId="05C33789">
            <w:pPr>
              <w:spacing w:before="134" w:line="186" w:lineRule="auto"/>
              <w:ind w:left="287"/>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CODcr</w:t>
            </w:r>
          </w:p>
        </w:tc>
        <w:tc>
          <w:tcPr>
            <w:tcW w:w="1297" w:type="dxa"/>
            <w:gridSpan w:val="3"/>
            <w:vAlign w:val="top"/>
          </w:tcPr>
          <w:p w14:paraId="36A5B61F">
            <w:pPr>
              <w:pStyle w:val="6"/>
              <w:spacing w:before="101" w:line="220" w:lineRule="auto"/>
              <w:ind w:left="295"/>
              <w:rPr>
                <w:sz w:val="18"/>
                <w:szCs w:val="18"/>
              </w:rPr>
            </w:pPr>
            <w:r>
              <w:rPr>
                <w:b/>
                <w:bCs/>
                <w:spacing w:val="-4"/>
                <w:sz w:val="18"/>
                <w:szCs w:val="18"/>
              </w:rPr>
              <w:t>动植物油</w:t>
            </w:r>
          </w:p>
        </w:tc>
        <w:tc>
          <w:tcPr>
            <w:tcW w:w="1203" w:type="dxa"/>
            <w:gridSpan w:val="4"/>
            <w:tcBorders>
              <w:right w:val="single" w:color="000000" w:sz="6" w:space="0"/>
            </w:tcBorders>
            <w:vAlign w:val="top"/>
          </w:tcPr>
          <w:p w14:paraId="1C9DF897">
            <w:pPr>
              <w:spacing w:before="137" w:line="183" w:lineRule="auto"/>
              <w:ind w:left="425"/>
              <w:rPr>
                <w:rFonts w:ascii="Times New Roman" w:hAnsi="Times New Roman" w:eastAsia="Times New Roman" w:cs="Times New Roman"/>
                <w:sz w:val="18"/>
                <w:szCs w:val="18"/>
              </w:rPr>
            </w:pPr>
            <w:r>
              <w:pict>
                <v:shape id="_x0000_s1060" o:spid="_x0000_s1060" style="position:absolute;left:0pt;margin-left:54.55pt;margin-top:0.45pt;height:18.25pt;width:0.5pt;mso-position-horizontal-relative:page;mso-position-vertical-relative:page;z-index:251698176;mso-width-relative:page;mso-height-relative:page;" fillcolor="#000000" filled="t" stroked="f" coordsize="10,365" path="m0,364l9,364,9,0,0,0,0,364xe">
                  <v:path/>
                  <v:fill on="t" focussize="0,0"/>
                  <v:stroke on="f"/>
                  <v:imagedata o:title=""/>
                  <o:lock v:ext="edit"/>
                </v:shape>
              </w:pict>
            </w:r>
            <w:r>
              <w:rPr>
                <w:rFonts w:ascii="Times New Roman" w:hAnsi="Times New Roman" w:eastAsia="Times New Roman" w:cs="Times New Roman"/>
                <w:b/>
                <w:bCs/>
                <w:spacing w:val="-1"/>
                <w:sz w:val="18"/>
                <w:szCs w:val="18"/>
              </w:rPr>
              <w:t>PH</w:t>
            </w:r>
          </w:p>
        </w:tc>
      </w:tr>
      <w:tr w14:paraId="3EEAB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09" w:type="dxa"/>
            <w:vMerge w:val="continue"/>
            <w:tcBorders>
              <w:top w:val="nil"/>
              <w:left w:val="single" w:color="000000" w:sz="6" w:space="0"/>
              <w:bottom w:val="nil"/>
            </w:tcBorders>
            <w:vAlign w:val="top"/>
          </w:tcPr>
          <w:p w14:paraId="0241A690">
            <w:pPr>
              <w:rPr>
                <w:rFonts w:ascii="Arial"/>
                <w:sz w:val="21"/>
              </w:rPr>
            </w:pPr>
          </w:p>
        </w:tc>
        <w:tc>
          <w:tcPr>
            <w:tcW w:w="2671" w:type="dxa"/>
            <w:gridSpan w:val="4"/>
            <w:vAlign w:val="top"/>
          </w:tcPr>
          <w:p w14:paraId="556C499A">
            <w:pPr>
              <w:pStyle w:val="6"/>
              <w:spacing w:before="116" w:line="212" w:lineRule="auto"/>
              <w:ind w:left="652"/>
              <w:rPr>
                <w:sz w:val="18"/>
                <w:szCs w:val="18"/>
              </w:rPr>
            </w:pPr>
            <w:r>
              <w:pict>
                <v:shape id="_x0000_s1061" o:spid="_x0000_s1061" style="position:absolute;left:0pt;margin-left:4.8pt;margin-top:0.45pt;height:19.7pt;width:0.5pt;mso-position-horizontal-relative:page;mso-position-vertical-relative:page;z-index:251695104;mso-width-relative:page;mso-height-relative:page;" fillcolor="#000000" filled="t" stroked="f" coordsize="10,394" path="m0,393l9,393,9,0,0,0,0,393xe">
                  <v:path/>
                  <v:fill on="t" focussize="0,0"/>
                  <v:stroke on="f"/>
                  <v:imagedata o:title=""/>
                  <o:lock v:ext="edit"/>
                </v:shape>
              </w:pict>
            </w:r>
            <w:r>
              <w:rPr>
                <w:spacing w:val="-1"/>
                <w:sz w:val="18"/>
                <w:szCs w:val="18"/>
              </w:rPr>
              <w:t>排放浓度（</w:t>
            </w:r>
            <w:r>
              <w:rPr>
                <w:rFonts w:ascii="Times New Roman" w:hAnsi="Times New Roman" w:eastAsia="Times New Roman" w:cs="Times New Roman"/>
                <w:spacing w:val="-1"/>
                <w:sz w:val="18"/>
                <w:szCs w:val="18"/>
              </w:rPr>
              <w:t>mg/L</w:t>
            </w:r>
            <w:r>
              <w:rPr>
                <w:spacing w:val="-1"/>
                <w:sz w:val="18"/>
                <w:szCs w:val="18"/>
              </w:rPr>
              <w:t>）</w:t>
            </w:r>
          </w:p>
        </w:tc>
        <w:tc>
          <w:tcPr>
            <w:tcW w:w="858" w:type="dxa"/>
            <w:gridSpan w:val="2"/>
            <w:vAlign w:val="top"/>
          </w:tcPr>
          <w:p w14:paraId="1E9EB9EF">
            <w:pPr>
              <w:spacing w:before="146" w:line="232" w:lineRule="auto"/>
              <w:ind w:left="29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400</w:t>
            </w:r>
          </w:p>
        </w:tc>
        <w:tc>
          <w:tcPr>
            <w:tcW w:w="1033" w:type="dxa"/>
            <w:gridSpan w:val="2"/>
            <w:vAlign w:val="top"/>
          </w:tcPr>
          <w:p w14:paraId="04BBA4B9">
            <w:pPr>
              <w:spacing w:before="146" w:line="232" w:lineRule="auto"/>
              <w:ind w:left="3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300</w:t>
            </w:r>
          </w:p>
        </w:tc>
        <w:tc>
          <w:tcPr>
            <w:tcW w:w="1124" w:type="dxa"/>
            <w:gridSpan w:val="2"/>
            <w:vAlign w:val="top"/>
          </w:tcPr>
          <w:p w14:paraId="4CC41344">
            <w:pPr>
              <w:spacing w:before="146" w:line="232" w:lineRule="auto"/>
              <w:ind w:left="4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500</w:t>
            </w:r>
          </w:p>
        </w:tc>
        <w:tc>
          <w:tcPr>
            <w:tcW w:w="1297" w:type="dxa"/>
            <w:gridSpan w:val="3"/>
            <w:vAlign w:val="top"/>
          </w:tcPr>
          <w:p w14:paraId="41B7C683">
            <w:pPr>
              <w:spacing w:before="146" w:line="232" w:lineRule="auto"/>
              <w:ind w:left="53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100</w:t>
            </w:r>
          </w:p>
        </w:tc>
        <w:tc>
          <w:tcPr>
            <w:tcW w:w="1203" w:type="dxa"/>
            <w:gridSpan w:val="4"/>
            <w:tcBorders>
              <w:right w:val="single" w:color="000000" w:sz="6" w:space="0"/>
            </w:tcBorders>
            <w:vAlign w:val="top"/>
          </w:tcPr>
          <w:p w14:paraId="4716BC67">
            <w:pPr>
              <w:pStyle w:val="6"/>
              <w:spacing w:before="116" w:line="243" w:lineRule="exact"/>
              <w:ind w:left="373"/>
              <w:rPr>
                <w:rFonts w:ascii="Times New Roman" w:hAnsi="Times New Roman" w:eastAsia="Times New Roman" w:cs="Times New Roman"/>
                <w:sz w:val="18"/>
                <w:szCs w:val="18"/>
              </w:rPr>
            </w:pPr>
            <w:r>
              <w:pict>
                <v:shape id="_x0000_s1062" o:spid="_x0000_s1062" style="position:absolute;left:0pt;margin-left:54.55pt;margin-top:0.45pt;height:19.7pt;width:0.5pt;mso-position-horizontal-relative:page;mso-position-vertical-relative:page;z-index:251696128;mso-width-relative:page;mso-height-relative:page;" fillcolor="#000000" filled="t" stroked="f" coordsize="10,394" path="m0,393l9,393,9,0,0,0,0,393xe">
                  <v:path/>
                  <v:fill on="t" focussize="0,0"/>
                  <v:stroke on="f"/>
                  <v:imagedata o:title=""/>
                  <o:lock v:ext="edit"/>
                </v:shape>
              </w:pict>
            </w:r>
            <w:r>
              <w:rPr>
                <w:rFonts w:ascii="Times New Roman" w:hAnsi="Times New Roman" w:eastAsia="Times New Roman" w:cs="Times New Roman"/>
                <w:spacing w:val="-3"/>
                <w:position w:val="1"/>
                <w:sz w:val="18"/>
                <w:szCs w:val="18"/>
              </w:rPr>
              <w:t>6</w:t>
            </w:r>
            <w:r>
              <w:rPr>
                <w:rFonts w:hint="eastAsia" w:ascii="Times New Roman" w:hAnsi="Times New Roman" w:eastAsia="宋体" w:cs="Times New Roman"/>
                <w:spacing w:val="-3"/>
                <w:position w:val="1"/>
                <w:sz w:val="18"/>
                <w:szCs w:val="18"/>
                <w:lang w:eastAsia="zh-CN"/>
              </w:rPr>
              <w:t>~</w:t>
            </w:r>
            <w:r>
              <w:rPr>
                <w:rFonts w:ascii="Times New Roman" w:hAnsi="Times New Roman" w:eastAsia="Times New Roman" w:cs="Times New Roman"/>
                <w:spacing w:val="-3"/>
                <w:position w:val="1"/>
                <w:sz w:val="18"/>
                <w:szCs w:val="18"/>
              </w:rPr>
              <w:t>9</w:t>
            </w:r>
          </w:p>
        </w:tc>
      </w:tr>
      <w:tr w14:paraId="4F1D2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809" w:type="dxa"/>
            <w:vMerge w:val="continue"/>
            <w:tcBorders>
              <w:top w:val="nil"/>
              <w:left w:val="single" w:color="000000" w:sz="6" w:space="0"/>
            </w:tcBorders>
            <w:vAlign w:val="top"/>
          </w:tcPr>
          <w:p w14:paraId="026DF0A6">
            <w:pPr>
              <w:rPr>
                <w:rFonts w:ascii="Arial"/>
                <w:sz w:val="21"/>
              </w:rPr>
            </w:pPr>
          </w:p>
        </w:tc>
        <w:tc>
          <w:tcPr>
            <w:tcW w:w="8186" w:type="dxa"/>
            <w:gridSpan w:val="17"/>
            <w:tcBorders>
              <w:right w:val="single" w:color="000000" w:sz="6" w:space="0"/>
            </w:tcBorders>
            <w:vAlign w:val="top"/>
          </w:tcPr>
          <w:p w14:paraId="1EA4C86C">
            <w:pPr>
              <w:spacing w:before="136" w:line="231" w:lineRule="auto"/>
              <w:ind w:left="108"/>
              <w:rPr>
                <w:rFonts w:ascii="黑体" w:hAnsi="黑体" w:eastAsia="黑体" w:cs="黑体"/>
                <w:sz w:val="21"/>
                <w:szCs w:val="21"/>
              </w:rPr>
            </w:pPr>
            <w:r>
              <w:rPr>
                <w:rFonts w:ascii="Times New Roman" w:hAnsi="Times New Roman" w:eastAsia="Times New Roman" w:cs="Times New Roman"/>
                <w:spacing w:val="2"/>
                <w:sz w:val="21"/>
                <w:szCs w:val="21"/>
              </w:rPr>
              <w:t>3</w:t>
            </w:r>
            <w:r>
              <w:rPr>
                <w:rFonts w:ascii="黑体" w:hAnsi="黑体" w:eastAsia="黑体" w:cs="黑体"/>
                <w:spacing w:val="2"/>
                <w:sz w:val="21"/>
                <w:szCs w:val="21"/>
              </w:rPr>
              <w:t>、噪声</w:t>
            </w:r>
          </w:p>
        </w:tc>
      </w:tr>
    </w:tbl>
    <w:p w14:paraId="6571C7CF">
      <w:pPr>
        <w:rPr>
          <w:rFonts w:ascii="Arial"/>
          <w:sz w:val="21"/>
        </w:rPr>
      </w:pPr>
    </w:p>
    <w:p w14:paraId="37344ED0">
      <w:pPr>
        <w:rPr>
          <w:rFonts w:ascii="Arial" w:hAnsi="Arial" w:eastAsia="Arial" w:cs="Arial"/>
          <w:sz w:val="21"/>
          <w:szCs w:val="21"/>
        </w:rPr>
        <w:sectPr>
          <w:footerReference r:id="rId52" w:type="default"/>
          <w:pgSz w:w="11908" w:h="16840"/>
          <w:pgMar w:top="1431" w:right="1448" w:bottom="1053" w:left="1448" w:header="0" w:footer="801" w:gutter="0"/>
          <w:cols w:space="720" w:num="1"/>
        </w:sectPr>
      </w:pPr>
    </w:p>
    <w:p w14:paraId="6190C52F">
      <w:pPr>
        <w:spacing w:before="28"/>
      </w:pPr>
    </w:p>
    <w:tbl>
      <w:tblPr>
        <w:tblStyle w:val="5"/>
        <w:tblW w:w="899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8"/>
        <w:gridCol w:w="8187"/>
      </w:tblGrid>
      <w:tr w14:paraId="47FEC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0" w:hRule="atLeast"/>
        </w:trPr>
        <w:tc>
          <w:tcPr>
            <w:tcW w:w="808" w:type="dxa"/>
            <w:tcBorders>
              <w:left w:val="single" w:color="000000" w:sz="6" w:space="0"/>
            </w:tcBorders>
            <w:vAlign w:val="top"/>
          </w:tcPr>
          <w:p w14:paraId="3845E26C">
            <w:pPr>
              <w:rPr>
                <w:rFonts w:ascii="Arial"/>
                <w:sz w:val="21"/>
              </w:rPr>
            </w:pPr>
          </w:p>
        </w:tc>
        <w:tc>
          <w:tcPr>
            <w:tcW w:w="8187" w:type="dxa"/>
            <w:tcBorders>
              <w:right w:val="single" w:color="000000" w:sz="6" w:space="0"/>
            </w:tcBorders>
            <w:vAlign w:val="top"/>
          </w:tcPr>
          <w:p w14:paraId="6066FFEC">
            <w:pPr>
              <w:pStyle w:val="6"/>
              <w:spacing w:before="144" w:line="213" w:lineRule="auto"/>
              <w:ind w:left="527"/>
            </w:pPr>
            <w:r>
              <w:rPr>
                <w:spacing w:val="-1"/>
              </w:rPr>
              <w:t>施工期噪声：执行《建筑施工场界环境噪声排放标准》</w:t>
            </w:r>
            <w:r>
              <w:rPr>
                <w:rFonts w:hint="eastAsia"/>
                <w:spacing w:val="-1"/>
                <w:lang w:eastAsia="zh-CN"/>
              </w:rPr>
              <w:t>（</w:t>
            </w:r>
            <w:r>
              <w:rPr>
                <w:rFonts w:ascii="Times New Roman" w:hAnsi="Times New Roman" w:eastAsia="Times New Roman" w:cs="Times New Roman"/>
                <w:spacing w:val="-1"/>
              </w:rPr>
              <w:t>GB12523</w:t>
            </w:r>
            <w:r>
              <w:rPr>
                <w:spacing w:val="-1"/>
              </w:rPr>
              <w:t>－</w:t>
            </w:r>
            <w:r>
              <w:rPr>
                <w:rFonts w:ascii="Times New Roman" w:hAnsi="Times New Roman" w:eastAsia="Times New Roman" w:cs="Times New Roman"/>
                <w:spacing w:val="-1"/>
              </w:rPr>
              <w:t>2011</w:t>
            </w:r>
            <w:r>
              <w:rPr>
                <w:rFonts w:hint="eastAsia" w:ascii="Times New Roman" w:hAnsi="Times New Roman" w:eastAsia="宋体" w:cs="Times New Roman"/>
                <w:spacing w:val="-1"/>
                <w:lang w:eastAsia="zh-CN"/>
              </w:rPr>
              <w:t>）</w:t>
            </w:r>
            <w:r>
              <w:rPr>
                <w:spacing w:val="-1"/>
              </w:rPr>
              <w:t>标准。</w:t>
            </w:r>
          </w:p>
          <w:p w14:paraId="359F6347">
            <w:pPr>
              <w:pStyle w:val="6"/>
              <w:spacing w:before="157" w:line="213" w:lineRule="auto"/>
              <w:ind w:left="2672"/>
              <w:rPr>
                <w:rFonts w:ascii="Times New Roman" w:hAnsi="Times New Roman" w:eastAsia="Times New Roman" w:cs="Times New Roman"/>
              </w:rPr>
            </w:pPr>
            <w:r>
              <w:rPr>
                <w:rFonts w:ascii="Times New Roman" w:hAnsi="Times New Roman" w:eastAsia="Times New Roman" w:cs="Times New Roman"/>
              </w:rPr>
              <w:t>LAeq</w:t>
            </w:r>
            <w:r>
              <w:t>：昼间</w:t>
            </w:r>
            <w:r>
              <w:rPr>
                <w:rFonts w:ascii="Times New Roman" w:hAnsi="Times New Roman" w:eastAsia="Times New Roman" w:cs="Times New Roman"/>
              </w:rPr>
              <w:t>&lt;70dB(A</w:t>
            </w:r>
            <w:r>
              <w:rPr>
                <w:rFonts w:hint="eastAsia" w:ascii="Times New Roman" w:hAnsi="Times New Roman" w:eastAsia="宋体" w:cs="Times New Roman"/>
                <w:lang w:eastAsia="zh-CN"/>
              </w:rPr>
              <w:t>）</w:t>
            </w:r>
            <w:r>
              <w:t>夜间</w:t>
            </w:r>
            <w:r>
              <w:rPr>
                <w:rFonts w:ascii="Times New Roman" w:hAnsi="Times New Roman" w:eastAsia="Times New Roman" w:cs="Times New Roman"/>
              </w:rPr>
              <w:t>&lt;55</w:t>
            </w:r>
            <w:r>
              <w:rPr>
                <w:rFonts w:ascii="Times New Roman" w:hAnsi="Times New Roman" w:eastAsia="Times New Roman" w:cs="Times New Roman"/>
                <w:spacing w:val="-1"/>
              </w:rPr>
              <w:t>dB(A)</w:t>
            </w:r>
          </w:p>
          <w:p w14:paraId="3DDD1221">
            <w:pPr>
              <w:pStyle w:val="6"/>
              <w:spacing w:before="158" w:line="213" w:lineRule="auto"/>
              <w:ind w:left="535"/>
            </w:pPr>
            <w:r>
              <w:t>营运期执行《工业企业厂界环境噪声排放标准》</w:t>
            </w:r>
            <w:r>
              <w:rPr>
                <w:rFonts w:hint="eastAsia"/>
                <w:lang w:eastAsia="zh-CN"/>
              </w:rPr>
              <w:t>（</w:t>
            </w:r>
            <w:r>
              <w:rPr>
                <w:rFonts w:ascii="Times New Roman" w:hAnsi="Times New Roman" w:eastAsia="Times New Roman" w:cs="Times New Roman"/>
              </w:rPr>
              <w:t>GBl</w:t>
            </w:r>
            <w:r>
              <w:rPr>
                <w:rFonts w:ascii="Times New Roman" w:hAnsi="Times New Roman" w:eastAsia="Times New Roman" w:cs="Times New Roman"/>
                <w:spacing w:val="-1"/>
              </w:rPr>
              <w:t>2348-2008)3</w:t>
            </w:r>
            <w:r>
              <w:rPr>
                <w:spacing w:val="-1"/>
              </w:rPr>
              <w:t>类标准。</w:t>
            </w:r>
          </w:p>
          <w:p w14:paraId="72B7B790">
            <w:pPr>
              <w:pStyle w:val="6"/>
              <w:spacing w:before="157" w:line="213" w:lineRule="auto"/>
              <w:ind w:left="2672"/>
              <w:rPr>
                <w:rFonts w:ascii="Times New Roman" w:hAnsi="Times New Roman" w:eastAsia="Times New Roman" w:cs="Times New Roman"/>
              </w:rPr>
            </w:pPr>
            <w:r>
              <w:rPr>
                <w:rFonts w:ascii="Times New Roman" w:hAnsi="Times New Roman" w:eastAsia="Times New Roman" w:cs="Times New Roman"/>
              </w:rPr>
              <w:t>LAeq</w:t>
            </w:r>
            <w:r>
              <w:t>：昼间</w:t>
            </w:r>
            <w:r>
              <w:rPr>
                <w:rFonts w:ascii="Times New Roman" w:hAnsi="Times New Roman" w:eastAsia="Times New Roman" w:cs="Times New Roman"/>
              </w:rPr>
              <w:t>&lt;65dB(A</w:t>
            </w:r>
            <w:r>
              <w:rPr>
                <w:rFonts w:hint="eastAsia" w:ascii="Times New Roman" w:hAnsi="Times New Roman" w:eastAsia="宋体" w:cs="Times New Roman"/>
                <w:lang w:eastAsia="zh-CN"/>
              </w:rPr>
              <w:t>）</w:t>
            </w:r>
            <w:r>
              <w:t>夜间</w:t>
            </w:r>
            <w:r>
              <w:rPr>
                <w:rFonts w:ascii="Times New Roman" w:hAnsi="Times New Roman" w:eastAsia="Times New Roman" w:cs="Times New Roman"/>
              </w:rPr>
              <w:t>&lt;55</w:t>
            </w:r>
            <w:r>
              <w:rPr>
                <w:rFonts w:ascii="Times New Roman" w:hAnsi="Times New Roman" w:eastAsia="Times New Roman" w:cs="Times New Roman"/>
                <w:spacing w:val="-1"/>
              </w:rPr>
              <w:t>dB(A)</w:t>
            </w:r>
          </w:p>
          <w:p w14:paraId="660B3E98">
            <w:pPr>
              <w:spacing w:before="149" w:line="236" w:lineRule="auto"/>
              <w:ind w:left="103"/>
              <w:rPr>
                <w:rFonts w:ascii="黑体" w:hAnsi="黑体" w:eastAsia="黑体" w:cs="黑体"/>
                <w:sz w:val="21"/>
                <w:szCs w:val="21"/>
              </w:rPr>
            </w:pPr>
            <w:r>
              <w:rPr>
                <w:rFonts w:ascii="Times New Roman" w:hAnsi="Times New Roman" w:eastAsia="Times New Roman" w:cs="Times New Roman"/>
                <w:spacing w:val="2"/>
                <w:sz w:val="21"/>
                <w:szCs w:val="21"/>
              </w:rPr>
              <w:t>4</w:t>
            </w:r>
            <w:r>
              <w:rPr>
                <w:rFonts w:ascii="Times New Roman" w:hAnsi="Times New Roman" w:eastAsia="Times New Roman" w:cs="Times New Roman"/>
                <w:spacing w:val="-16"/>
                <w:sz w:val="21"/>
                <w:szCs w:val="21"/>
              </w:rPr>
              <w:t xml:space="preserve"> </w:t>
            </w:r>
            <w:r>
              <w:rPr>
                <w:rFonts w:ascii="黑体" w:hAnsi="黑体" w:eastAsia="黑体" w:cs="黑体"/>
                <w:spacing w:val="2"/>
                <w:sz w:val="21"/>
                <w:szCs w:val="21"/>
              </w:rPr>
              <w:t>、固体废物</w:t>
            </w:r>
          </w:p>
          <w:p w14:paraId="38D1D506">
            <w:pPr>
              <w:pStyle w:val="6"/>
              <w:spacing w:before="141" w:line="283" w:lineRule="auto"/>
              <w:ind w:left="110" w:right="28" w:firstLine="421"/>
            </w:pPr>
            <w:r>
              <w:rPr>
                <w:spacing w:val="-2"/>
              </w:rPr>
              <w:t>一般固废执行</w:t>
            </w:r>
            <w:r>
              <w:fldChar w:fldCharType="begin"/>
            </w:r>
            <w:r>
              <w:instrText xml:space="preserve"> HYPERLINK "http://www.baidu.com/link?url=h3uy-Lg1O93p1GR0nnb3fFXaBsbTWM7pcLhO6qnEqs2oEhVNWcHe6c425aj7PhxKpsVRt1AxshnEzbJhfeOtoGW0ozVPNchMEDJFRcZcp4kLrEiXeGVQbpCl91zYLDGP" </w:instrText>
            </w:r>
            <w:r>
              <w:fldChar w:fldCharType="separate"/>
            </w:r>
            <w:r>
              <w:rPr>
                <w:spacing w:val="-2"/>
              </w:rPr>
              <w:t>《一般工业固体废物贮存和填埋污染控制标准》</w:t>
            </w:r>
            <w:r>
              <w:rPr>
                <w:spacing w:val="-2"/>
              </w:rPr>
              <w:fldChar w:fldCharType="end"/>
            </w:r>
            <w:r>
              <w:rPr>
                <w:spacing w:val="-2"/>
              </w:rPr>
              <w:t>（</w:t>
            </w:r>
            <w:r>
              <w:rPr>
                <w:rFonts w:ascii="Times New Roman" w:hAnsi="Times New Roman" w:eastAsia="Times New Roman" w:cs="Times New Roman"/>
                <w:spacing w:val="-2"/>
              </w:rPr>
              <w:t>GB18599-2020</w:t>
            </w:r>
            <w:r>
              <w:rPr>
                <w:spacing w:val="-2"/>
              </w:rPr>
              <w:t>）要</w:t>
            </w:r>
            <w:r>
              <w:rPr>
                <w:spacing w:val="9"/>
              </w:rPr>
              <w:t xml:space="preserve"> </w:t>
            </w:r>
            <w:r>
              <w:rPr>
                <w:spacing w:val="-2"/>
              </w:rPr>
              <w:t>求。危险废物处置执行《危险废物贮存污染控制标准》（</w:t>
            </w:r>
            <w:r>
              <w:rPr>
                <w:rFonts w:ascii="Times New Roman" w:hAnsi="Times New Roman" w:eastAsia="Times New Roman" w:cs="Times New Roman"/>
                <w:spacing w:val="-2"/>
              </w:rPr>
              <w:t>GB1859-2023</w:t>
            </w:r>
            <w:r>
              <w:rPr>
                <w:spacing w:val="-2"/>
              </w:rPr>
              <w:t>）</w:t>
            </w:r>
            <w:r>
              <w:rPr>
                <w:spacing w:val="-3"/>
              </w:rPr>
              <w:t>中的有关规定。</w:t>
            </w:r>
          </w:p>
        </w:tc>
      </w:tr>
      <w:tr w14:paraId="45B17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4" w:hRule="atLeast"/>
        </w:trPr>
        <w:tc>
          <w:tcPr>
            <w:tcW w:w="808" w:type="dxa"/>
            <w:tcBorders>
              <w:left w:val="single" w:color="000000" w:sz="6" w:space="0"/>
              <w:bottom w:val="single" w:color="000000" w:sz="6" w:space="0"/>
            </w:tcBorders>
            <w:vAlign w:val="top"/>
          </w:tcPr>
          <w:p w14:paraId="72482E69">
            <w:pPr>
              <w:spacing w:line="298" w:lineRule="auto"/>
              <w:rPr>
                <w:rFonts w:ascii="Arial"/>
                <w:sz w:val="21"/>
              </w:rPr>
            </w:pPr>
          </w:p>
          <w:p w14:paraId="3A84DE9B">
            <w:pPr>
              <w:pStyle w:val="6"/>
              <w:spacing w:before="78" w:line="225" w:lineRule="auto"/>
              <w:ind w:left="168"/>
              <w:rPr>
                <w:sz w:val="24"/>
                <w:szCs w:val="24"/>
              </w:rPr>
            </w:pPr>
            <w:r>
              <w:rPr>
                <w:b/>
                <w:bCs/>
                <w:spacing w:val="-7"/>
                <w:sz w:val="24"/>
                <w:szCs w:val="24"/>
              </w:rPr>
              <w:t>总量</w:t>
            </w:r>
          </w:p>
          <w:p w14:paraId="2326468B">
            <w:pPr>
              <w:pStyle w:val="6"/>
              <w:spacing w:before="18" w:line="220" w:lineRule="auto"/>
              <w:ind w:left="161"/>
              <w:rPr>
                <w:sz w:val="24"/>
                <w:szCs w:val="24"/>
              </w:rPr>
            </w:pPr>
            <w:r>
              <w:rPr>
                <w:b/>
                <w:bCs/>
                <w:spacing w:val="-5"/>
                <w:sz w:val="24"/>
                <w:szCs w:val="24"/>
              </w:rPr>
              <w:t>控制</w:t>
            </w:r>
          </w:p>
          <w:p w14:paraId="30BBFF7B">
            <w:pPr>
              <w:pStyle w:val="6"/>
              <w:spacing w:before="25" w:line="220" w:lineRule="auto"/>
              <w:ind w:left="165"/>
              <w:rPr>
                <w:sz w:val="24"/>
                <w:szCs w:val="24"/>
              </w:rPr>
            </w:pPr>
            <w:r>
              <w:rPr>
                <w:b/>
                <w:bCs/>
                <w:spacing w:val="-6"/>
                <w:sz w:val="24"/>
                <w:szCs w:val="24"/>
              </w:rPr>
              <w:t>指标</w:t>
            </w:r>
          </w:p>
        </w:tc>
        <w:tc>
          <w:tcPr>
            <w:tcW w:w="8187" w:type="dxa"/>
            <w:tcBorders>
              <w:bottom w:val="single" w:color="000000" w:sz="6" w:space="0"/>
              <w:right w:val="single" w:color="000000" w:sz="6" w:space="0"/>
            </w:tcBorders>
            <w:vAlign w:val="top"/>
          </w:tcPr>
          <w:p w14:paraId="37F1BB56">
            <w:pPr>
              <w:pStyle w:val="6"/>
              <w:spacing w:before="149" w:line="352" w:lineRule="auto"/>
              <w:ind w:left="107" w:right="102" w:firstLine="422"/>
              <w:jc w:val="both"/>
            </w:pPr>
            <w:r>
              <w:t>本项目生产废水能够实现循环回用不外排，仅少量生活污水</w:t>
            </w:r>
            <w:r>
              <w:rPr>
                <w:spacing w:val="-1"/>
              </w:rPr>
              <w:t>排入化粪池处理后，</w:t>
            </w:r>
            <w:r>
              <w:rPr>
                <w:spacing w:val="-1"/>
                <w:sz w:val="20"/>
                <w:szCs w:val="20"/>
              </w:rPr>
              <w:t>经</w:t>
            </w:r>
            <w:r>
              <w:rPr>
                <w:sz w:val="20"/>
                <w:szCs w:val="20"/>
              </w:rPr>
              <w:t xml:space="preserve"> 场镇污水管网进入东岳场镇生活污水处理厂处理</w:t>
            </w:r>
            <w:r>
              <w:t>。本项目</w:t>
            </w:r>
            <w:r>
              <w:rPr>
                <w:spacing w:val="-1"/>
              </w:rPr>
              <w:t>排放的废气污染物涉及总量控制</w:t>
            </w:r>
            <w:r>
              <w:t xml:space="preserve"> </w:t>
            </w:r>
            <w:r>
              <w:rPr>
                <w:spacing w:val="-2"/>
              </w:rPr>
              <w:t>指标的是</w:t>
            </w:r>
            <w:r>
              <w:rPr>
                <w:rFonts w:ascii="Times New Roman" w:hAnsi="Times New Roman" w:eastAsia="Times New Roman" w:cs="Times New Roman"/>
                <w:spacing w:val="-2"/>
              </w:rPr>
              <w:t>NO</w:t>
            </w:r>
            <w:r>
              <w:rPr>
                <w:rFonts w:ascii="Times New Roman" w:hAnsi="Times New Roman" w:eastAsia="Times New Roman" w:cs="Times New Roman"/>
                <w:spacing w:val="-2"/>
                <w:position w:val="-1"/>
                <w:sz w:val="14"/>
                <w:szCs w:val="14"/>
              </w:rPr>
              <w:t>x</w:t>
            </w:r>
            <w:r>
              <w:rPr>
                <w:rFonts w:ascii="Times New Roman" w:hAnsi="Times New Roman" w:eastAsia="Times New Roman" w:cs="Times New Roman"/>
                <w:spacing w:val="-1"/>
                <w:position w:val="-1"/>
                <w:sz w:val="14"/>
                <w:szCs w:val="14"/>
              </w:rPr>
              <w:t xml:space="preserve"> </w:t>
            </w:r>
            <w:r>
              <w:rPr>
                <w:spacing w:val="-2"/>
              </w:rPr>
              <w:t>，排放量约</w:t>
            </w:r>
            <w:r>
              <w:rPr>
                <w:rFonts w:ascii="Times New Roman" w:hAnsi="Times New Roman" w:eastAsia="Times New Roman" w:cs="Times New Roman"/>
                <w:spacing w:val="-2"/>
              </w:rPr>
              <w:t>2.413t/a</w:t>
            </w:r>
            <w:r>
              <w:rPr>
                <w:spacing w:val="-2"/>
              </w:rPr>
              <w:t>。</w:t>
            </w:r>
          </w:p>
          <w:p w14:paraId="6B685627">
            <w:pPr>
              <w:pStyle w:val="6"/>
              <w:spacing w:before="1" w:line="222" w:lineRule="auto"/>
              <w:jc w:val="right"/>
            </w:pPr>
            <w:r>
              <w:rPr>
                <w:spacing w:val="-5"/>
              </w:rPr>
              <w:t>因此，建议达州市通川生态环境局对本项目下达的总量控制指标为：</w:t>
            </w:r>
            <w:r>
              <w:rPr>
                <w:rFonts w:ascii="Times New Roman" w:hAnsi="Times New Roman" w:eastAsia="Times New Roman" w:cs="Times New Roman"/>
                <w:spacing w:val="-5"/>
              </w:rPr>
              <w:t>NO</w:t>
            </w:r>
            <w:r>
              <w:rPr>
                <w:rFonts w:ascii="Times New Roman" w:hAnsi="Times New Roman" w:eastAsia="Times New Roman" w:cs="Times New Roman"/>
                <w:spacing w:val="-5"/>
                <w:position w:val="-2"/>
                <w:sz w:val="14"/>
                <w:szCs w:val="14"/>
              </w:rPr>
              <w:t>x</w:t>
            </w:r>
            <w:r>
              <w:rPr>
                <w:rFonts w:ascii="Times New Roman" w:hAnsi="Times New Roman" w:eastAsia="Times New Roman" w:cs="Times New Roman"/>
                <w:spacing w:val="7"/>
                <w:position w:val="-2"/>
                <w:sz w:val="14"/>
                <w:szCs w:val="14"/>
              </w:rPr>
              <w:t xml:space="preserve"> </w:t>
            </w:r>
            <w:r>
              <w:rPr>
                <w:spacing w:val="-5"/>
              </w:rPr>
              <w:t>≤</w:t>
            </w:r>
            <w:r>
              <w:rPr>
                <w:rFonts w:ascii="Times New Roman" w:hAnsi="Times New Roman" w:eastAsia="Times New Roman" w:cs="Times New Roman"/>
                <w:spacing w:val="-5"/>
              </w:rPr>
              <w:t>2.413t/a</w:t>
            </w:r>
            <w:r>
              <w:rPr>
                <w:spacing w:val="-5"/>
              </w:rPr>
              <w:t>。</w:t>
            </w:r>
          </w:p>
        </w:tc>
      </w:tr>
    </w:tbl>
    <w:p w14:paraId="5FEF9CE7">
      <w:pPr>
        <w:rPr>
          <w:rFonts w:ascii="Arial"/>
          <w:sz w:val="21"/>
        </w:rPr>
      </w:pPr>
    </w:p>
    <w:p w14:paraId="2F1F51B1">
      <w:pPr>
        <w:rPr>
          <w:rFonts w:ascii="Arial" w:hAnsi="Arial" w:eastAsia="Arial" w:cs="Arial"/>
          <w:sz w:val="21"/>
          <w:szCs w:val="21"/>
        </w:rPr>
        <w:sectPr>
          <w:footerReference r:id="rId53" w:type="default"/>
          <w:pgSz w:w="11908" w:h="16840"/>
          <w:pgMar w:top="1431" w:right="1448" w:bottom="1053" w:left="1448" w:header="0" w:footer="801" w:gutter="0"/>
          <w:cols w:space="720" w:num="1"/>
        </w:sectPr>
      </w:pPr>
    </w:p>
    <w:p w14:paraId="2AD9B09D">
      <w:pPr>
        <w:spacing w:line="247" w:lineRule="auto"/>
        <w:rPr>
          <w:rFonts w:ascii="Arial"/>
          <w:sz w:val="21"/>
        </w:rPr>
      </w:pPr>
    </w:p>
    <w:p w14:paraId="39F1CF5D">
      <w:pPr>
        <w:spacing w:line="247" w:lineRule="auto"/>
        <w:rPr>
          <w:rFonts w:ascii="Arial"/>
          <w:sz w:val="21"/>
        </w:rPr>
      </w:pPr>
    </w:p>
    <w:p w14:paraId="5C235213">
      <w:pPr>
        <w:spacing w:before="98" w:line="219" w:lineRule="auto"/>
        <w:ind w:left="2543"/>
        <w:rPr>
          <w:rFonts w:ascii="黑体" w:hAnsi="黑体" w:eastAsia="黑体" w:cs="黑体"/>
          <w:sz w:val="30"/>
          <w:szCs w:val="30"/>
        </w:rPr>
      </w:pPr>
      <w:r>
        <w:rPr>
          <w:rFonts w:ascii="黑体" w:hAnsi="黑体" w:eastAsia="黑体" w:cs="黑体"/>
          <w:spacing w:val="-3"/>
          <w:sz w:val="30"/>
          <w:szCs w:val="30"/>
        </w:rPr>
        <w:t>四、主要环境影响和保护措施</w:t>
      </w:r>
    </w:p>
    <w:p w14:paraId="75BF94E7">
      <w:pPr>
        <w:spacing w:before="25"/>
      </w:pPr>
    </w:p>
    <w:tbl>
      <w:tblPr>
        <w:tblStyle w:val="5"/>
        <w:tblW w:w="891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0"/>
        <w:gridCol w:w="8163"/>
      </w:tblGrid>
      <w:tr w14:paraId="286F1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97" w:hRule="atLeast"/>
        </w:trPr>
        <w:tc>
          <w:tcPr>
            <w:tcW w:w="750" w:type="dxa"/>
            <w:tcBorders>
              <w:bottom w:val="single" w:color="000000" w:sz="2" w:space="0"/>
              <w:right w:val="single" w:color="000000" w:sz="2" w:space="0"/>
            </w:tcBorders>
            <w:vAlign w:val="top"/>
          </w:tcPr>
          <w:p w14:paraId="5554AD08">
            <w:pPr>
              <w:spacing w:line="249" w:lineRule="auto"/>
              <w:rPr>
                <w:rFonts w:ascii="Arial"/>
                <w:sz w:val="21"/>
              </w:rPr>
            </w:pPr>
          </w:p>
          <w:p w14:paraId="01CEAD3F">
            <w:pPr>
              <w:spacing w:line="249" w:lineRule="auto"/>
              <w:rPr>
                <w:rFonts w:ascii="Arial"/>
                <w:sz w:val="21"/>
              </w:rPr>
            </w:pPr>
          </w:p>
          <w:p w14:paraId="04AEF278">
            <w:pPr>
              <w:spacing w:line="250" w:lineRule="auto"/>
              <w:rPr>
                <w:rFonts w:ascii="Arial"/>
                <w:sz w:val="21"/>
              </w:rPr>
            </w:pPr>
          </w:p>
          <w:p w14:paraId="2E63BE8E">
            <w:pPr>
              <w:spacing w:line="250" w:lineRule="auto"/>
              <w:rPr>
                <w:rFonts w:ascii="Arial"/>
                <w:sz w:val="21"/>
              </w:rPr>
            </w:pPr>
          </w:p>
          <w:p w14:paraId="7C7AD077">
            <w:pPr>
              <w:spacing w:line="250" w:lineRule="auto"/>
              <w:rPr>
                <w:rFonts w:ascii="Arial"/>
                <w:sz w:val="21"/>
              </w:rPr>
            </w:pPr>
          </w:p>
          <w:p w14:paraId="2E08A98E">
            <w:pPr>
              <w:spacing w:line="250" w:lineRule="auto"/>
              <w:rPr>
                <w:rFonts w:ascii="Arial"/>
                <w:sz w:val="21"/>
              </w:rPr>
            </w:pPr>
          </w:p>
          <w:p w14:paraId="367019D2">
            <w:pPr>
              <w:spacing w:line="250" w:lineRule="auto"/>
              <w:rPr>
                <w:rFonts w:ascii="Arial"/>
                <w:sz w:val="21"/>
              </w:rPr>
            </w:pPr>
          </w:p>
          <w:p w14:paraId="4C1745F1">
            <w:pPr>
              <w:spacing w:line="250" w:lineRule="auto"/>
              <w:rPr>
                <w:rFonts w:ascii="Arial"/>
                <w:sz w:val="21"/>
              </w:rPr>
            </w:pPr>
          </w:p>
          <w:p w14:paraId="19E98A03">
            <w:pPr>
              <w:spacing w:line="250" w:lineRule="auto"/>
              <w:rPr>
                <w:rFonts w:ascii="Arial"/>
                <w:sz w:val="21"/>
              </w:rPr>
            </w:pPr>
          </w:p>
          <w:p w14:paraId="2151CDA9">
            <w:pPr>
              <w:spacing w:line="250" w:lineRule="auto"/>
              <w:rPr>
                <w:rFonts w:ascii="Arial"/>
                <w:sz w:val="21"/>
              </w:rPr>
            </w:pPr>
          </w:p>
          <w:p w14:paraId="6F06C6A3">
            <w:pPr>
              <w:spacing w:line="250" w:lineRule="auto"/>
              <w:rPr>
                <w:rFonts w:ascii="Arial"/>
                <w:sz w:val="21"/>
              </w:rPr>
            </w:pPr>
          </w:p>
          <w:p w14:paraId="4422E7E9">
            <w:pPr>
              <w:spacing w:line="250" w:lineRule="auto"/>
              <w:rPr>
                <w:rFonts w:ascii="Arial"/>
                <w:sz w:val="21"/>
              </w:rPr>
            </w:pPr>
          </w:p>
          <w:p w14:paraId="33EE330F">
            <w:pPr>
              <w:spacing w:line="250" w:lineRule="auto"/>
              <w:rPr>
                <w:rFonts w:ascii="Arial"/>
                <w:sz w:val="21"/>
              </w:rPr>
            </w:pPr>
          </w:p>
          <w:p w14:paraId="6F70F191">
            <w:pPr>
              <w:spacing w:line="250" w:lineRule="auto"/>
              <w:rPr>
                <w:rFonts w:ascii="Arial"/>
                <w:sz w:val="21"/>
              </w:rPr>
            </w:pPr>
          </w:p>
          <w:p w14:paraId="484D68C3">
            <w:pPr>
              <w:spacing w:line="250" w:lineRule="auto"/>
              <w:rPr>
                <w:rFonts w:ascii="Arial"/>
                <w:sz w:val="21"/>
              </w:rPr>
            </w:pPr>
          </w:p>
          <w:p w14:paraId="28205C7F">
            <w:pPr>
              <w:spacing w:line="250" w:lineRule="auto"/>
              <w:rPr>
                <w:rFonts w:ascii="Arial"/>
                <w:sz w:val="21"/>
              </w:rPr>
            </w:pPr>
          </w:p>
          <w:p w14:paraId="16B84D08">
            <w:pPr>
              <w:spacing w:line="250" w:lineRule="auto"/>
              <w:rPr>
                <w:rFonts w:ascii="Arial"/>
                <w:sz w:val="21"/>
              </w:rPr>
            </w:pPr>
          </w:p>
          <w:p w14:paraId="168519EA">
            <w:pPr>
              <w:spacing w:line="250" w:lineRule="auto"/>
              <w:rPr>
                <w:rFonts w:ascii="Arial"/>
                <w:sz w:val="21"/>
              </w:rPr>
            </w:pPr>
          </w:p>
          <w:p w14:paraId="38835FFC">
            <w:pPr>
              <w:spacing w:line="250" w:lineRule="auto"/>
              <w:rPr>
                <w:rFonts w:ascii="Arial"/>
                <w:sz w:val="21"/>
              </w:rPr>
            </w:pPr>
          </w:p>
          <w:p w14:paraId="1367E05B">
            <w:pPr>
              <w:spacing w:line="250" w:lineRule="auto"/>
              <w:rPr>
                <w:rFonts w:ascii="Arial"/>
                <w:sz w:val="21"/>
              </w:rPr>
            </w:pPr>
          </w:p>
          <w:p w14:paraId="7C43A269">
            <w:pPr>
              <w:spacing w:line="250" w:lineRule="auto"/>
              <w:rPr>
                <w:rFonts w:ascii="Arial"/>
                <w:sz w:val="21"/>
              </w:rPr>
            </w:pPr>
          </w:p>
          <w:p w14:paraId="3A5DE82E">
            <w:pPr>
              <w:pStyle w:val="6"/>
              <w:spacing w:before="69" w:line="222" w:lineRule="auto"/>
              <w:ind w:left="161"/>
            </w:pPr>
            <w:r>
              <w:rPr>
                <w:b/>
                <w:bCs/>
                <w:spacing w:val="-4"/>
              </w:rPr>
              <w:t>施工</w:t>
            </w:r>
          </w:p>
          <w:p w14:paraId="34AD4EC0">
            <w:pPr>
              <w:pStyle w:val="6"/>
              <w:spacing w:before="19" w:line="220" w:lineRule="auto"/>
              <w:ind w:left="164"/>
            </w:pPr>
            <w:r>
              <w:rPr>
                <w:b/>
                <w:bCs/>
                <w:spacing w:val="-5"/>
              </w:rPr>
              <w:t>期环</w:t>
            </w:r>
          </w:p>
          <w:p w14:paraId="7D4E8AA2">
            <w:pPr>
              <w:pStyle w:val="6"/>
              <w:spacing w:before="22" w:line="220" w:lineRule="auto"/>
              <w:ind w:left="163"/>
            </w:pPr>
            <w:r>
              <w:rPr>
                <w:b/>
                <w:bCs/>
                <w:spacing w:val="-5"/>
              </w:rPr>
              <w:t>境保</w:t>
            </w:r>
          </w:p>
          <w:p w14:paraId="2E886D14">
            <w:pPr>
              <w:pStyle w:val="6"/>
              <w:spacing w:before="21" w:line="243" w:lineRule="auto"/>
              <w:ind w:left="265" w:right="164" w:hanging="102"/>
            </w:pPr>
            <w:r>
              <w:rPr>
                <w:b/>
                <w:bCs/>
                <w:spacing w:val="-7"/>
              </w:rPr>
              <w:t>护措</w:t>
            </w:r>
            <w:r>
              <w:t xml:space="preserve"> </w:t>
            </w:r>
            <w:r>
              <w:rPr>
                <w:b/>
                <w:bCs/>
                <w:spacing w:val="-3"/>
              </w:rPr>
              <w:t>施</w:t>
            </w:r>
          </w:p>
        </w:tc>
        <w:tc>
          <w:tcPr>
            <w:tcW w:w="8163" w:type="dxa"/>
            <w:tcBorders>
              <w:left w:val="single" w:color="000000" w:sz="2" w:space="0"/>
              <w:bottom w:val="single" w:color="000000" w:sz="2" w:space="0"/>
            </w:tcBorders>
            <w:vAlign w:val="top"/>
          </w:tcPr>
          <w:p w14:paraId="0B17FA75">
            <w:pPr>
              <w:spacing w:before="259" w:line="242" w:lineRule="auto"/>
              <w:ind w:left="72"/>
              <w:rPr>
                <w:rFonts w:ascii="黑体" w:hAnsi="黑体" w:eastAsia="黑体" w:cs="黑体"/>
                <w:sz w:val="21"/>
                <w:szCs w:val="21"/>
              </w:rPr>
            </w:pPr>
            <w:r>
              <w:rPr>
                <w:rFonts w:ascii="Times New Roman" w:hAnsi="Times New Roman" w:eastAsia="Times New Roman" w:cs="Times New Roman"/>
                <w:spacing w:val="-6"/>
                <w:sz w:val="21"/>
                <w:szCs w:val="21"/>
              </w:rPr>
              <w:t>1</w:t>
            </w:r>
            <w:r>
              <w:rPr>
                <w:rFonts w:ascii="Times New Roman" w:hAnsi="Times New Roman" w:eastAsia="Times New Roman" w:cs="Times New Roman"/>
                <w:spacing w:val="-20"/>
                <w:sz w:val="21"/>
                <w:szCs w:val="21"/>
              </w:rPr>
              <w:t xml:space="preserve"> </w:t>
            </w:r>
            <w:r>
              <w:rPr>
                <w:rFonts w:ascii="黑体" w:hAnsi="黑体" w:eastAsia="黑体" w:cs="黑体"/>
                <w:spacing w:val="-6"/>
                <w:sz w:val="21"/>
                <w:szCs w:val="21"/>
              </w:rPr>
              <w:t>、废气</w:t>
            </w:r>
          </w:p>
          <w:p w14:paraId="4C5F8C33">
            <w:pPr>
              <w:pStyle w:val="6"/>
              <w:spacing w:before="134" w:line="351" w:lineRule="auto"/>
              <w:ind w:left="107" w:right="101" w:firstLine="420"/>
            </w:pPr>
            <w:r>
              <w:rPr>
                <w:spacing w:val="-5"/>
              </w:rPr>
              <w:t>本项目施工期间排放的大气污染物主要为车间改造、物料运输、</w:t>
            </w:r>
            <w:r>
              <w:rPr>
                <w:spacing w:val="36"/>
              </w:rPr>
              <w:t xml:space="preserve"> </w:t>
            </w:r>
            <w:r>
              <w:rPr>
                <w:spacing w:val="-5"/>
              </w:rPr>
              <w:t>设备安装时打孔等</w:t>
            </w:r>
            <w:r>
              <w:t xml:space="preserve"> </w:t>
            </w:r>
            <w:r>
              <w:rPr>
                <w:spacing w:val="-3"/>
              </w:rPr>
              <w:t>产生的粉尘、运输车辆产生的尾气等。</w:t>
            </w:r>
          </w:p>
          <w:p w14:paraId="6C5D6FBE">
            <w:pPr>
              <w:pStyle w:val="6"/>
              <w:spacing w:before="2" w:line="351" w:lineRule="auto"/>
              <w:ind w:left="106" w:right="28" w:firstLine="419"/>
            </w:pPr>
            <w:r>
              <w:t>施工现场应采取的污染防治措施如下：车间内施工作业开展</w:t>
            </w:r>
            <w:r>
              <w:rPr>
                <w:spacing w:val="-1"/>
              </w:rPr>
              <w:t>时可采取洒水降尘措</w:t>
            </w:r>
            <w:r>
              <w:t xml:space="preserve">   </w:t>
            </w:r>
            <w:r>
              <w:rPr>
                <w:spacing w:val="-4"/>
              </w:rPr>
              <w:t>施，或者给施工人员发放阻尘口罩，避免造成局</w:t>
            </w:r>
            <w:r>
              <w:rPr>
                <w:spacing w:val="-5"/>
              </w:rPr>
              <w:t>部粉尘污染和危害施工人员的身体健康。</w:t>
            </w:r>
            <w:r>
              <w:t xml:space="preserve"> </w:t>
            </w:r>
            <w:r>
              <w:rPr>
                <w:spacing w:val="-2"/>
              </w:rPr>
              <w:t>加强运输车辆管理，运输车辆限制车速等方式。</w:t>
            </w:r>
          </w:p>
          <w:p w14:paraId="235A7AF0">
            <w:pPr>
              <w:pStyle w:val="6"/>
              <w:spacing w:line="218" w:lineRule="auto"/>
              <w:ind w:left="527"/>
            </w:pPr>
            <w:r>
              <w:rPr>
                <w:spacing w:val="-1"/>
              </w:rPr>
              <w:t>通过采取上述废气治理措施，项目施工期废气对</w:t>
            </w:r>
            <w:r>
              <w:rPr>
                <w:spacing w:val="-2"/>
              </w:rPr>
              <w:t>周围环境影响较小。</w:t>
            </w:r>
          </w:p>
          <w:p w14:paraId="4C9D52EB">
            <w:pPr>
              <w:spacing w:before="143" w:line="242" w:lineRule="auto"/>
              <w:ind w:left="51"/>
              <w:rPr>
                <w:rFonts w:ascii="黑体" w:hAnsi="黑体" w:eastAsia="黑体" w:cs="黑体"/>
                <w:sz w:val="21"/>
                <w:szCs w:val="21"/>
              </w:rPr>
            </w:pPr>
            <w:r>
              <w:rPr>
                <w:rFonts w:ascii="Times New Roman" w:hAnsi="Times New Roman" w:eastAsia="Times New Roman" w:cs="Times New Roman"/>
                <w:spacing w:val="-1"/>
                <w:sz w:val="21"/>
                <w:szCs w:val="21"/>
              </w:rPr>
              <w:t>2</w:t>
            </w:r>
            <w:r>
              <w:rPr>
                <w:rFonts w:ascii="Times New Roman" w:hAnsi="Times New Roman" w:eastAsia="Times New Roman" w:cs="Times New Roman"/>
                <w:spacing w:val="-20"/>
                <w:sz w:val="21"/>
                <w:szCs w:val="21"/>
              </w:rPr>
              <w:t xml:space="preserve"> </w:t>
            </w:r>
            <w:r>
              <w:rPr>
                <w:rFonts w:ascii="黑体" w:hAnsi="黑体" w:eastAsia="黑体" w:cs="黑体"/>
                <w:spacing w:val="-1"/>
                <w:sz w:val="21"/>
                <w:szCs w:val="21"/>
              </w:rPr>
              <w:t>、废水</w:t>
            </w:r>
          </w:p>
          <w:p w14:paraId="685DD60A">
            <w:pPr>
              <w:pStyle w:val="6"/>
              <w:spacing w:before="132" w:line="352" w:lineRule="auto"/>
              <w:ind w:left="109" w:right="101" w:firstLine="421"/>
              <w:jc w:val="both"/>
            </w:pPr>
            <w:r>
              <w:rPr>
                <w:spacing w:val="-1"/>
              </w:rPr>
              <w:t>项目施工过程产生的施工废水主要污染物为悬浮物。通过设置临时沉砂</w:t>
            </w:r>
            <w:r>
              <w:rPr>
                <w:spacing w:val="-2"/>
              </w:rPr>
              <w:t>池收集处理</w:t>
            </w:r>
            <w:r>
              <w:t xml:space="preserve"> </w:t>
            </w:r>
            <w:r>
              <w:rPr>
                <w:spacing w:val="-5"/>
              </w:rPr>
              <w:t>后回用于场地洒水、工具清洗等环节不外排。</w:t>
            </w:r>
            <w:r>
              <w:rPr>
                <w:spacing w:val="45"/>
              </w:rPr>
              <w:t xml:space="preserve"> </w:t>
            </w:r>
            <w:r>
              <w:rPr>
                <w:spacing w:val="-5"/>
              </w:rPr>
              <w:t>施工人员产生的少量生活污水，利用厂区</w:t>
            </w:r>
            <w:r>
              <w:t xml:space="preserve"> 已建化粪池收集处理后，</w:t>
            </w:r>
            <w:r>
              <w:rPr>
                <w:sz w:val="20"/>
                <w:szCs w:val="20"/>
              </w:rPr>
              <w:t>经场镇污水管网进入东岳场</w:t>
            </w:r>
            <w:r>
              <w:rPr>
                <w:spacing w:val="-1"/>
                <w:sz w:val="20"/>
                <w:szCs w:val="20"/>
              </w:rPr>
              <w:t>镇生活污水处理厂处理</w:t>
            </w:r>
            <w:r>
              <w:rPr>
                <w:spacing w:val="-1"/>
              </w:rPr>
              <w:t>。</w:t>
            </w:r>
          </w:p>
          <w:p w14:paraId="0A9E53B3">
            <w:pPr>
              <w:pStyle w:val="6"/>
              <w:spacing w:before="1" w:line="218" w:lineRule="auto"/>
              <w:ind w:left="527"/>
            </w:pPr>
            <w:r>
              <w:rPr>
                <w:spacing w:val="-1"/>
              </w:rPr>
              <w:t>通过采取以上措施后，能够避免施工废水对周围环境</w:t>
            </w:r>
            <w:r>
              <w:rPr>
                <w:spacing w:val="-2"/>
              </w:rPr>
              <w:t>造成污染性影响。</w:t>
            </w:r>
          </w:p>
          <w:p w14:paraId="0741BE51">
            <w:pPr>
              <w:spacing w:before="143" w:line="242" w:lineRule="auto"/>
              <w:ind w:left="55"/>
              <w:rPr>
                <w:rFonts w:ascii="黑体" w:hAnsi="黑体" w:eastAsia="黑体" w:cs="黑体"/>
                <w:sz w:val="21"/>
                <w:szCs w:val="21"/>
              </w:rPr>
            </w:pPr>
            <w:r>
              <w:rPr>
                <w:rFonts w:ascii="Times New Roman" w:hAnsi="Times New Roman" w:eastAsia="Times New Roman" w:cs="Times New Roman"/>
                <w:spacing w:val="-2"/>
                <w:sz w:val="21"/>
                <w:szCs w:val="21"/>
              </w:rPr>
              <w:t>3</w:t>
            </w:r>
            <w:r>
              <w:rPr>
                <w:rFonts w:ascii="Times New Roman" w:hAnsi="Times New Roman" w:eastAsia="Times New Roman" w:cs="Times New Roman"/>
                <w:spacing w:val="-20"/>
                <w:sz w:val="21"/>
                <w:szCs w:val="21"/>
              </w:rPr>
              <w:t xml:space="preserve"> </w:t>
            </w:r>
            <w:r>
              <w:rPr>
                <w:rFonts w:ascii="黑体" w:hAnsi="黑体" w:eastAsia="黑体" w:cs="黑体"/>
                <w:spacing w:val="-2"/>
                <w:sz w:val="21"/>
                <w:szCs w:val="21"/>
              </w:rPr>
              <w:t>、噪声</w:t>
            </w:r>
          </w:p>
          <w:p w14:paraId="625E283D">
            <w:pPr>
              <w:pStyle w:val="6"/>
              <w:spacing w:before="134" w:line="351" w:lineRule="auto"/>
              <w:ind w:left="111" w:right="102" w:firstLine="414"/>
            </w:pPr>
            <w:r>
              <w:rPr>
                <w:spacing w:val="-1"/>
              </w:rPr>
              <w:t>施工机械噪声是项目施工建设中主要污染因子。施工机械作业一般位于露天，</w:t>
            </w:r>
            <w:r>
              <w:rPr>
                <w:spacing w:val="-2"/>
              </w:rPr>
              <w:t>其噪</w:t>
            </w:r>
            <w:r>
              <w:t xml:space="preserve"> </w:t>
            </w:r>
            <w:r>
              <w:rPr>
                <w:spacing w:val="-2"/>
              </w:rPr>
              <w:t>声传播距离远，影响范围大，是重要的临时性声源。</w:t>
            </w:r>
          </w:p>
          <w:p w14:paraId="67B5672C">
            <w:pPr>
              <w:pStyle w:val="6"/>
              <w:spacing w:before="2" w:line="343" w:lineRule="auto"/>
              <w:ind w:left="108" w:right="119" w:firstLine="423"/>
            </w:pPr>
            <w:r>
              <w:rPr>
                <w:spacing w:val="-4"/>
              </w:rPr>
              <w:t>项目施工期常用的施工机械有：钻机、空压机、切割机等，</w:t>
            </w:r>
            <w:r>
              <w:rPr>
                <w:spacing w:val="-5"/>
              </w:rPr>
              <w:t>产生的声源强度约为</w:t>
            </w:r>
            <w:r>
              <w:rPr>
                <w:rFonts w:ascii="Times New Roman" w:hAnsi="Times New Roman" w:eastAsia="Times New Roman" w:cs="Times New Roman"/>
                <w:spacing w:val="-5"/>
              </w:rPr>
              <w:t>85</w:t>
            </w:r>
            <w:r>
              <w:rPr>
                <w:spacing w:val="-5"/>
              </w:rPr>
              <w:t>~</w:t>
            </w:r>
            <w:r>
              <w:t xml:space="preserve"> </w:t>
            </w:r>
            <w:r>
              <w:rPr>
                <w:rFonts w:ascii="Times New Roman" w:hAnsi="Times New Roman" w:eastAsia="Times New Roman" w:cs="Times New Roman"/>
                <w:spacing w:val="-1"/>
              </w:rPr>
              <w:t>95dB</w:t>
            </w:r>
            <w:r>
              <w:rPr>
                <w:spacing w:val="-1"/>
              </w:rPr>
              <w:t>（</w:t>
            </w:r>
            <w:r>
              <w:rPr>
                <w:rFonts w:ascii="Times New Roman" w:hAnsi="Times New Roman" w:eastAsia="Times New Roman" w:cs="Times New Roman"/>
                <w:spacing w:val="-1"/>
              </w:rPr>
              <w:t>A</w:t>
            </w:r>
            <w:r>
              <w:rPr>
                <w:spacing w:val="1"/>
              </w:rPr>
              <w:t>），</w:t>
            </w:r>
            <w:r>
              <w:rPr>
                <w:spacing w:val="-1"/>
              </w:rPr>
              <w:t>均布置在厂房内部。另外，施工材料运输车辆也会产生一定的交通噪声。</w:t>
            </w:r>
          </w:p>
          <w:p w14:paraId="15A08161">
            <w:pPr>
              <w:pStyle w:val="6"/>
              <w:spacing w:before="19" w:line="353" w:lineRule="auto"/>
              <w:ind w:left="112" w:right="102" w:firstLine="415"/>
            </w:pPr>
            <w:r>
              <w:rPr>
                <w:spacing w:val="-1"/>
              </w:rPr>
              <w:t>本次环评采用衰减模式预测施工设备的噪声影响值，各设备声源在不同距离</w:t>
            </w:r>
            <w:r>
              <w:rPr>
                <w:spacing w:val="-2"/>
              </w:rPr>
              <w:t>的衰减</w:t>
            </w:r>
            <w:r>
              <w:t xml:space="preserve"> </w:t>
            </w:r>
            <w:r>
              <w:rPr>
                <w:spacing w:val="-7"/>
              </w:rPr>
              <w:t>结果见下表。</w:t>
            </w:r>
          </w:p>
          <w:p w14:paraId="22DEAE22">
            <w:pPr>
              <w:spacing w:before="5" w:line="213" w:lineRule="auto"/>
              <w:ind w:left="1371"/>
              <w:rPr>
                <w:rFonts w:ascii="Times New Roman" w:hAnsi="Times New Roman" w:eastAsia="Times New Roman" w:cs="Times New Roman"/>
                <w:sz w:val="20"/>
                <w:szCs w:val="20"/>
              </w:rPr>
            </w:pPr>
            <w:r>
              <w:rPr>
                <w:rFonts w:ascii="黑体" w:hAnsi="黑体" w:eastAsia="黑体" w:cs="黑体"/>
                <w:sz w:val="20"/>
                <w:szCs w:val="20"/>
              </w:rPr>
              <w:t>表</w:t>
            </w:r>
            <w:r>
              <w:rPr>
                <w:rFonts w:ascii="黑体" w:hAnsi="黑体" w:eastAsia="黑体" w:cs="黑体"/>
                <w:spacing w:val="-47"/>
                <w:sz w:val="20"/>
                <w:szCs w:val="20"/>
              </w:rPr>
              <w:t xml:space="preserve"> </w:t>
            </w:r>
            <w:r>
              <w:rPr>
                <w:rFonts w:ascii="Times New Roman" w:hAnsi="Times New Roman" w:eastAsia="Times New Roman" w:cs="Times New Roman"/>
                <w:sz w:val="20"/>
                <w:szCs w:val="20"/>
              </w:rPr>
              <w:t xml:space="preserve">4-1        </w:t>
            </w:r>
            <w:r>
              <w:rPr>
                <w:rFonts w:ascii="黑体" w:hAnsi="黑体" w:eastAsia="黑体" w:cs="黑体"/>
                <w:sz w:val="20"/>
                <w:szCs w:val="20"/>
              </w:rPr>
              <w:t>项目各声源在不同距离的</w:t>
            </w:r>
            <w:r>
              <w:rPr>
                <w:rFonts w:ascii="黑体" w:hAnsi="黑体" w:eastAsia="黑体" w:cs="黑体"/>
                <w:spacing w:val="-1"/>
                <w:sz w:val="20"/>
                <w:szCs w:val="20"/>
              </w:rPr>
              <w:t>噪声预测结果单位：</w:t>
            </w:r>
            <w:r>
              <w:rPr>
                <w:rFonts w:ascii="Times New Roman" w:hAnsi="Times New Roman" w:eastAsia="Times New Roman" w:cs="Times New Roman"/>
                <w:spacing w:val="-1"/>
                <w:sz w:val="20"/>
                <w:szCs w:val="20"/>
              </w:rPr>
              <w:t>dB(A)</w:t>
            </w:r>
          </w:p>
          <w:p w14:paraId="432AE990">
            <w:pPr>
              <w:spacing w:line="20" w:lineRule="exact"/>
            </w:pPr>
          </w:p>
          <w:tbl>
            <w:tblPr>
              <w:tblStyle w:val="5"/>
              <w:tblW w:w="7723" w:type="dxa"/>
              <w:tblInd w:w="2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5"/>
              <w:gridCol w:w="1317"/>
              <w:gridCol w:w="641"/>
              <w:gridCol w:w="601"/>
              <w:gridCol w:w="601"/>
              <w:gridCol w:w="751"/>
              <w:gridCol w:w="752"/>
              <w:gridCol w:w="601"/>
              <w:gridCol w:w="637"/>
              <w:gridCol w:w="797"/>
            </w:tblGrid>
            <w:tr w14:paraId="382B1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1025" w:type="dxa"/>
                  <w:vMerge w:val="restart"/>
                  <w:tcBorders>
                    <w:bottom w:val="nil"/>
                  </w:tcBorders>
                  <w:vAlign w:val="top"/>
                </w:tcPr>
                <w:p w14:paraId="32A454FD">
                  <w:pPr>
                    <w:pStyle w:val="6"/>
                    <w:spacing w:before="160" w:line="221" w:lineRule="auto"/>
                    <w:ind w:left="225"/>
                    <w:rPr>
                      <w:sz w:val="20"/>
                      <w:szCs w:val="20"/>
                    </w:rPr>
                  </w:pPr>
                  <w:r>
                    <w:rPr>
                      <w:spacing w:val="-4"/>
                      <w:sz w:val="20"/>
                      <w:szCs w:val="20"/>
                    </w:rPr>
                    <w:t>噪声源</w:t>
                  </w:r>
                </w:p>
              </w:tc>
              <w:tc>
                <w:tcPr>
                  <w:tcW w:w="1317" w:type="dxa"/>
                  <w:vMerge w:val="restart"/>
                  <w:tcBorders>
                    <w:bottom w:val="nil"/>
                  </w:tcBorders>
                  <w:vAlign w:val="top"/>
                </w:tcPr>
                <w:p w14:paraId="64508F17">
                  <w:pPr>
                    <w:pStyle w:val="6"/>
                    <w:spacing w:before="161" w:line="220" w:lineRule="auto"/>
                    <w:ind w:left="360"/>
                    <w:rPr>
                      <w:sz w:val="20"/>
                      <w:szCs w:val="20"/>
                    </w:rPr>
                  </w:pPr>
                  <w:r>
                    <w:rPr>
                      <w:spacing w:val="-3"/>
                      <w:sz w:val="20"/>
                      <w:szCs w:val="20"/>
                    </w:rPr>
                    <w:t>声源值</w:t>
                  </w:r>
                </w:p>
              </w:tc>
              <w:tc>
                <w:tcPr>
                  <w:tcW w:w="5381" w:type="dxa"/>
                  <w:gridSpan w:val="8"/>
                  <w:vAlign w:val="top"/>
                </w:tcPr>
                <w:p w14:paraId="4C139DE3">
                  <w:pPr>
                    <w:pStyle w:val="6"/>
                    <w:spacing w:before="33" w:line="206" w:lineRule="auto"/>
                    <w:ind w:left="2209"/>
                    <w:rPr>
                      <w:sz w:val="20"/>
                      <w:szCs w:val="20"/>
                    </w:rPr>
                  </w:pPr>
                  <w:r>
                    <w:rPr>
                      <w:spacing w:val="-2"/>
                      <w:sz w:val="20"/>
                      <w:szCs w:val="20"/>
                    </w:rPr>
                    <w:t>距离（</w:t>
                  </w:r>
                  <w:r>
                    <w:rPr>
                      <w:rFonts w:ascii="Times New Roman" w:hAnsi="Times New Roman" w:eastAsia="Times New Roman" w:cs="Times New Roman"/>
                      <w:spacing w:val="-2"/>
                      <w:sz w:val="20"/>
                      <w:szCs w:val="20"/>
                    </w:rPr>
                    <w:t>m</w:t>
                  </w:r>
                  <w:r>
                    <w:rPr>
                      <w:spacing w:val="-2"/>
                      <w:sz w:val="20"/>
                      <w:szCs w:val="20"/>
                    </w:rPr>
                    <w:t>）</w:t>
                  </w:r>
                </w:p>
              </w:tc>
            </w:tr>
            <w:tr w14:paraId="74331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 w:hRule="atLeast"/>
              </w:trPr>
              <w:tc>
                <w:tcPr>
                  <w:tcW w:w="1025" w:type="dxa"/>
                  <w:vMerge w:val="continue"/>
                  <w:tcBorders>
                    <w:top w:val="nil"/>
                  </w:tcBorders>
                  <w:vAlign w:val="top"/>
                </w:tcPr>
                <w:p w14:paraId="6165CA05">
                  <w:pPr>
                    <w:rPr>
                      <w:rFonts w:ascii="Arial"/>
                      <w:sz w:val="21"/>
                    </w:rPr>
                  </w:pPr>
                </w:p>
              </w:tc>
              <w:tc>
                <w:tcPr>
                  <w:tcW w:w="1317" w:type="dxa"/>
                  <w:vMerge w:val="continue"/>
                  <w:tcBorders>
                    <w:top w:val="nil"/>
                  </w:tcBorders>
                  <w:vAlign w:val="top"/>
                </w:tcPr>
                <w:p w14:paraId="3BA97147">
                  <w:pPr>
                    <w:rPr>
                      <w:rFonts w:ascii="Arial"/>
                      <w:sz w:val="21"/>
                    </w:rPr>
                  </w:pPr>
                </w:p>
              </w:tc>
              <w:tc>
                <w:tcPr>
                  <w:tcW w:w="641" w:type="dxa"/>
                  <w:vAlign w:val="top"/>
                </w:tcPr>
                <w:p w14:paraId="44933AF5">
                  <w:pPr>
                    <w:spacing w:before="56" w:line="189" w:lineRule="auto"/>
                    <w:ind w:left="270"/>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601" w:type="dxa"/>
                  <w:vAlign w:val="top"/>
                </w:tcPr>
                <w:p w14:paraId="46B8D146">
                  <w:pPr>
                    <w:spacing w:before="56" w:line="189" w:lineRule="auto"/>
                    <w:ind w:left="216"/>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10</w:t>
                  </w:r>
                </w:p>
              </w:tc>
              <w:tc>
                <w:tcPr>
                  <w:tcW w:w="601" w:type="dxa"/>
                  <w:vAlign w:val="top"/>
                </w:tcPr>
                <w:p w14:paraId="7AD87FB9">
                  <w:pPr>
                    <w:spacing w:before="56" w:line="189" w:lineRule="auto"/>
                    <w:ind w:left="19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20</w:t>
                  </w:r>
                </w:p>
              </w:tc>
              <w:tc>
                <w:tcPr>
                  <w:tcW w:w="751" w:type="dxa"/>
                  <w:vAlign w:val="top"/>
                </w:tcPr>
                <w:p w14:paraId="3DF230C3">
                  <w:pPr>
                    <w:spacing w:before="56" w:line="189" w:lineRule="auto"/>
                    <w:ind w:left="27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40</w:t>
                  </w:r>
                </w:p>
              </w:tc>
              <w:tc>
                <w:tcPr>
                  <w:tcW w:w="752" w:type="dxa"/>
                  <w:vAlign w:val="top"/>
                </w:tcPr>
                <w:p w14:paraId="2D247528">
                  <w:pPr>
                    <w:spacing w:before="56" w:line="189" w:lineRule="auto"/>
                    <w:ind w:left="27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45</w:t>
                  </w:r>
                </w:p>
              </w:tc>
              <w:tc>
                <w:tcPr>
                  <w:tcW w:w="601" w:type="dxa"/>
                  <w:vAlign w:val="top"/>
                </w:tcPr>
                <w:p w14:paraId="414B2E42">
                  <w:pPr>
                    <w:spacing w:before="56" w:line="189" w:lineRule="auto"/>
                    <w:ind w:left="20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60</w:t>
                  </w:r>
                </w:p>
              </w:tc>
              <w:tc>
                <w:tcPr>
                  <w:tcW w:w="637" w:type="dxa"/>
                  <w:vAlign w:val="top"/>
                </w:tcPr>
                <w:p w14:paraId="24E10D9B">
                  <w:pPr>
                    <w:spacing w:before="56" w:line="189" w:lineRule="auto"/>
                    <w:ind w:left="184"/>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100</w:t>
                  </w:r>
                </w:p>
              </w:tc>
              <w:tc>
                <w:tcPr>
                  <w:tcW w:w="797" w:type="dxa"/>
                  <w:vAlign w:val="top"/>
                </w:tcPr>
                <w:p w14:paraId="7FA5B8D6">
                  <w:pPr>
                    <w:spacing w:before="56" w:line="189" w:lineRule="auto"/>
                    <w:ind w:left="24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200</w:t>
                  </w:r>
                </w:p>
              </w:tc>
            </w:tr>
            <w:tr w14:paraId="748D2BDB">
              <w:tblPrEx>
                <w:tblCellMar>
                  <w:top w:w="0" w:type="dxa"/>
                  <w:left w:w="0" w:type="dxa"/>
                  <w:bottom w:w="0" w:type="dxa"/>
                  <w:right w:w="0" w:type="dxa"/>
                </w:tblCellMar>
              </w:tblPrEx>
              <w:trPr>
                <w:trHeight w:val="264" w:hRule="atLeast"/>
              </w:trPr>
              <w:tc>
                <w:tcPr>
                  <w:tcW w:w="1025" w:type="dxa"/>
                  <w:vAlign w:val="top"/>
                </w:tcPr>
                <w:p w14:paraId="73120D29">
                  <w:pPr>
                    <w:pStyle w:val="6"/>
                    <w:spacing w:before="31" w:line="205" w:lineRule="auto"/>
                    <w:ind w:left="317"/>
                    <w:rPr>
                      <w:sz w:val="20"/>
                      <w:szCs w:val="20"/>
                    </w:rPr>
                  </w:pPr>
                  <w:r>
                    <w:rPr>
                      <w:spacing w:val="-2"/>
                      <w:sz w:val="20"/>
                      <w:szCs w:val="20"/>
                    </w:rPr>
                    <w:t>钻机</w:t>
                  </w:r>
                </w:p>
              </w:tc>
              <w:tc>
                <w:tcPr>
                  <w:tcW w:w="1317" w:type="dxa"/>
                  <w:vAlign w:val="top"/>
                </w:tcPr>
                <w:p w14:paraId="1F72B925">
                  <w:pPr>
                    <w:spacing w:before="65" w:line="191" w:lineRule="auto"/>
                    <w:ind w:left="30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85dB(A)</w:t>
                  </w:r>
                </w:p>
              </w:tc>
              <w:tc>
                <w:tcPr>
                  <w:tcW w:w="641" w:type="dxa"/>
                  <w:vAlign w:val="top"/>
                </w:tcPr>
                <w:p w14:paraId="4ECE4F3E">
                  <w:pPr>
                    <w:spacing w:before="65" w:line="197" w:lineRule="auto"/>
                    <w:ind w:left="14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69.4</w:t>
                  </w:r>
                </w:p>
              </w:tc>
              <w:tc>
                <w:tcPr>
                  <w:tcW w:w="601" w:type="dxa"/>
                  <w:vAlign w:val="top"/>
                </w:tcPr>
                <w:p w14:paraId="4BE18A78">
                  <w:pPr>
                    <w:spacing w:before="65" w:line="197" w:lineRule="auto"/>
                    <w:ind w:left="20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65</w:t>
                  </w:r>
                </w:p>
              </w:tc>
              <w:tc>
                <w:tcPr>
                  <w:tcW w:w="601" w:type="dxa"/>
                  <w:vAlign w:val="top"/>
                </w:tcPr>
                <w:p w14:paraId="7A7B9844">
                  <w:pPr>
                    <w:spacing w:before="65" w:line="197" w:lineRule="auto"/>
                    <w:ind w:left="12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59.0</w:t>
                  </w:r>
                </w:p>
              </w:tc>
              <w:tc>
                <w:tcPr>
                  <w:tcW w:w="751" w:type="dxa"/>
                  <w:vAlign w:val="top"/>
                </w:tcPr>
                <w:p w14:paraId="7A5D4983">
                  <w:pPr>
                    <w:spacing w:before="65" w:line="197" w:lineRule="auto"/>
                    <w:ind w:left="20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52.9</w:t>
                  </w:r>
                </w:p>
              </w:tc>
              <w:tc>
                <w:tcPr>
                  <w:tcW w:w="752" w:type="dxa"/>
                  <w:vAlign w:val="top"/>
                </w:tcPr>
                <w:p w14:paraId="07031C43">
                  <w:pPr>
                    <w:spacing w:before="65" w:line="197" w:lineRule="auto"/>
                    <w:ind w:left="20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51.9</w:t>
                  </w:r>
                </w:p>
              </w:tc>
              <w:tc>
                <w:tcPr>
                  <w:tcW w:w="601" w:type="dxa"/>
                  <w:vAlign w:val="top"/>
                </w:tcPr>
                <w:p w14:paraId="0E711B5C">
                  <w:pPr>
                    <w:spacing w:before="65" w:line="197" w:lineRule="auto"/>
                    <w:ind w:left="12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49.4</w:t>
                  </w:r>
                </w:p>
              </w:tc>
              <w:tc>
                <w:tcPr>
                  <w:tcW w:w="637" w:type="dxa"/>
                  <w:vAlign w:val="top"/>
                </w:tcPr>
                <w:p w14:paraId="6AA787C0">
                  <w:pPr>
                    <w:spacing w:before="65" w:line="197" w:lineRule="auto"/>
                    <w:ind w:left="21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45</w:t>
                  </w:r>
                </w:p>
              </w:tc>
              <w:tc>
                <w:tcPr>
                  <w:tcW w:w="797" w:type="dxa"/>
                  <w:vAlign w:val="top"/>
                </w:tcPr>
                <w:p w14:paraId="00B24E52">
                  <w:pPr>
                    <w:spacing w:before="65" w:line="197" w:lineRule="auto"/>
                    <w:ind w:left="22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39.0</w:t>
                  </w:r>
                </w:p>
              </w:tc>
            </w:tr>
            <w:tr w14:paraId="44905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1025" w:type="dxa"/>
                  <w:vAlign w:val="top"/>
                </w:tcPr>
                <w:p w14:paraId="7019CBC4">
                  <w:pPr>
                    <w:pStyle w:val="6"/>
                    <w:spacing w:before="33" w:line="203" w:lineRule="auto"/>
                    <w:ind w:left="222"/>
                    <w:rPr>
                      <w:sz w:val="20"/>
                      <w:szCs w:val="20"/>
                    </w:rPr>
                  </w:pPr>
                  <w:r>
                    <w:rPr>
                      <w:spacing w:val="-3"/>
                      <w:sz w:val="20"/>
                      <w:szCs w:val="20"/>
                    </w:rPr>
                    <w:t>空压机</w:t>
                  </w:r>
                </w:p>
              </w:tc>
              <w:tc>
                <w:tcPr>
                  <w:tcW w:w="1317" w:type="dxa"/>
                  <w:vAlign w:val="top"/>
                </w:tcPr>
                <w:p w14:paraId="64DAB428">
                  <w:pPr>
                    <w:spacing w:before="66" w:line="191" w:lineRule="auto"/>
                    <w:ind w:left="30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95dB(A)</w:t>
                  </w:r>
                </w:p>
              </w:tc>
              <w:tc>
                <w:tcPr>
                  <w:tcW w:w="641" w:type="dxa"/>
                  <w:vAlign w:val="top"/>
                </w:tcPr>
                <w:p w14:paraId="5186B309">
                  <w:pPr>
                    <w:spacing w:before="66" w:line="195" w:lineRule="auto"/>
                    <w:ind w:left="14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79.4</w:t>
                  </w:r>
                </w:p>
              </w:tc>
              <w:tc>
                <w:tcPr>
                  <w:tcW w:w="601" w:type="dxa"/>
                  <w:vAlign w:val="top"/>
                </w:tcPr>
                <w:p w14:paraId="2E0B5730">
                  <w:pPr>
                    <w:spacing w:before="66" w:line="195" w:lineRule="auto"/>
                    <w:ind w:left="20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75</w:t>
                  </w:r>
                </w:p>
              </w:tc>
              <w:tc>
                <w:tcPr>
                  <w:tcW w:w="601" w:type="dxa"/>
                  <w:vAlign w:val="top"/>
                </w:tcPr>
                <w:p w14:paraId="0FA533CF">
                  <w:pPr>
                    <w:spacing w:before="66" w:line="195" w:lineRule="auto"/>
                    <w:ind w:left="12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68.9</w:t>
                  </w:r>
                </w:p>
              </w:tc>
              <w:tc>
                <w:tcPr>
                  <w:tcW w:w="751" w:type="dxa"/>
                  <w:vAlign w:val="top"/>
                </w:tcPr>
                <w:p w14:paraId="610629A4">
                  <w:pPr>
                    <w:spacing w:before="66" w:line="195" w:lineRule="auto"/>
                    <w:ind w:left="20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63.9</w:t>
                  </w:r>
                </w:p>
              </w:tc>
              <w:tc>
                <w:tcPr>
                  <w:tcW w:w="752" w:type="dxa"/>
                  <w:vAlign w:val="top"/>
                </w:tcPr>
                <w:p w14:paraId="721E055F">
                  <w:pPr>
                    <w:spacing w:before="66" w:line="195" w:lineRule="auto"/>
                    <w:ind w:left="20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61.9</w:t>
                  </w:r>
                </w:p>
              </w:tc>
              <w:tc>
                <w:tcPr>
                  <w:tcW w:w="601" w:type="dxa"/>
                  <w:vAlign w:val="top"/>
                </w:tcPr>
                <w:p w14:paraId="185647E6">
                  <w:pPr>
                    <w:spacing w:before="66" w:line="195" w:lineRule="auto"/>
                    <w:ind w:left="12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59.4</w:t>
                  </w:r>
                </w:p>
              </w:tc>
              <w:tc>
                <w:tcPr>
                  <w:tcW w:w="637" w:type="dxa"/>
                  <w:vAlign w:val="top"/>
                </w:tcPr>
                <w:p w14:paraId="52247AFD">
                  <w:pPr>
                    <w:spacing w:before="66" w:line="195" w:lineRule="auto"/>
                    <w:ind w:left="22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55</w:t>
                  </w:r>
                </w:p>
              </w:tc>
              <w:tc>
                <w:tcPr>
                  <w:tcW w:w="797" w:type="dxa"/>
                  <w:vAlign w:val="top"/>
                </w:tcPr>
                <w:p w14:paraId="3B617CC0">
                  <w:pPr>
                    <w:spacing w:before="66" w:line="195" w:lineRule="auto"/>
                    <w:ind w:left="21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49.0</w:t>
                  </w:r>
                </w:p>
              </w:tc>
            </w:tr>
            <w:tr w14:paraId="555DA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1025" w:type="dxa"/>
                  <w:vAlign w:val="top"/>
                </w:tcPr>
                <w:p w14:paraId="69C419E9">
                  <w:pPr>
                    <w:pStyle w:val="6"/>
                    <w:spacing w:before="33" w:line="208" w:lineRule="auto"/>
                    <w:ind w:left="215"/>
                    <w:rPr>
                      <w:sz w:val="20"/>
                      <w:szCs w:val="20"/>
                    </w:rPr>
                  </w:pPr>
                  <w:r>
                    <w:rPr>
                      <w:spacing w:val="-2"/>
                      <w:sz w:val="20"/>
                      <w:szCs w:val="20"/>
                    </w:rPr>
                    <w:t>切割机</w:t>
                  </w:r>
                </w:p>
              </w:tc>
              <w:tc>
                <w:tcPr>
                  <w:tcW w:w="1317" w:type="dxa"/>
                  <w:vAlign w:val="top"/>
                </w:tcPr>
                <w:p w14:paraId="217E0D6D">
                  <w:pPr>
                    <w:spacing w:before="66" w:line="191" w:lineRule="auto"/>
                    <w:ind w:left="30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90dB(A)</w:t>
                  </w:r>
                </w:p>
              </w:tc>
              <w:tc>
                <w:tcPr>
                  <w:tcW w:w="641" w:type="dxa"/>
                  <w:vAlign w:val="top"/>
                </w:tcPr>
                <w:p w14:paraId="19687603">
                  <w:pPr>
                    <w:spacing w:before="67" w:line="200" w:lineRule="auto"/>
                    <w:ind w:left="14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74.4</w:t>
                  </w:r>
                </w:p>
              </w:tc>
              <w:tc>
                <w:tcPr>
                  <w:tcW w:w="601" w:type="dxa"/>
                  <w:vAlign w:val="top"/>
                </w:tcPr>
                <w:p w14:paraId="1E9F28D5">
                  <w:pPr>
                    <w:spacing w:before="67" w:line="200" w:lineRule="auto"/>
                    <w:ind w:left="20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70</w:t>
                  </w:r>
                </w:p>
              </w:tc>
              <w:tc>
                <w:tcPr>
                  <w:tcW w:w="601" w:type="dxa"/>
                  <w:vAlign w:val="top"/>
                </w:tcPr>
                <w:p w14:paraId="363D8C6B">
                  <w:pPr>
                    <w:spacing w:before="67" w:line="200" w:lineRule="auto"/>
                    <w:ind w:left="12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64.0</w:t>
                  </w:r>
                </w:p>
              </w:tc>
              <w:tc>
                <w:tcPr>
                  <w:tcW w:w="751" w:type="dxa"/>
                  <w:vAlign w:val="top"/>
                </w:tcPr>
                <w:p w14:paraId="5E745215">
                  <w:pPr>
                    <w:spacing w:before="67" w:line="200" w:lineRule="auto"/>
                    <w:ind w:left="20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57.9</w:t>
                  </w:r>
                </w:p>
              </w:tc>
              <w:tc>
                <w:tcPr>
                  <w:tcW w:w="752" w:type="dxa"/>
                  <w:vAlign w:val="top"/>
                </w:tcPr>
                <w:p w14:paraId="11B1A941">
                  <w:pPr>
                    <w:spacing w:before="67" w:line="200" w:lineRule="auto"/>
                    <w:ind w:left="20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56.9</w:t>
                  </w:r>
                </w:p>
              </w:tc>
              <w:tc>
                <w:tcPr>
                  <w:tcW w:w="601" w:type="dxa"/>
                  <w:vAlign w:val="top"/>
                </w:tcPr>
                <w:p w14:paraId="71F75E91">
                  <w:pPr>
                    <w:spacing w:before="67" w:line="200" w:lineRule="auto"/>
                    <w:ind w:left="12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54.4</w:t>
                  </w:r>
                </w:p>
              </w:tc>
              <w:tc>
                <w:tcPr>
                  <w:tcW w:w="637" w:type="dxa"/>
                  <w:vAlign w:val="top"/>
                </w:tcPr>
                <w:p w14:paraId="6354CA89">
                  <w:pPr>
                    <w:spacing w:before="67" w:line="200" w:lineRule="auto"/>
                    <w:ind w:left="22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50</w:t>
                  </w:r>
                </w:p>
              </w:tc>
              <w:tc>
                <w:tcPr>
                  <w:tcW w:w="797" w:type="dxa"/>
                  <w:vAlign w:val="top"/>
                </w:tcPr>
                <w:p w14:paraId="071CADF9">
                  <w:pPr>
                    <w:spacing w:before="67" w:line="200" w:lineRule="auto"/>
                    <w:ind w:left="21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44.0</w:t>
                  </w:r>
                </w:p>
              </w:tc>
            </w:tr>
          </w:tbl>
          <w:p w14:paraId="79A3540A">
            <w:pPr>
              <w:pStyle w:val="6"/>
              <w:spacing w:before="139" w:line="346" w:lineRule="auto"/>
              <w:ind w:left="108" w:right="118" w:firstLine="421"/>
              <w:jc w:val="both"/>
            </w:pPr>
            <w:r>
              <w:t>从上表中可看出，施工机械噪声在昼间影响较小，一般在距</w:t>
            </w:r>
            <w:r>
              <w:rPr>
                <w:spacing w:val="-1"/>
              </w:rPr>
              <w:t>离噪声设备</w:t>
            </w:r>
            <w:r>
              <w:rPr>
                <w:rFonts w:ascii="Times New Roman" w:hAnsi="Times New Roman" w:eastAsia="Times New Roman" w:cs="Times New Roman"/>
                <w:spacing w:val="-1"/>
              </w:rPr>
              <w:t>20m</w:t>
            </w:r>
            <w:r>
              <w:rPr>
                <w:spacing w:val="-1"/>
              </w:rPr>
              <w:t>外，其</w:t>
            </w:r>
            <w:r>
              <w:t xml:space="preserve"> </w:t>
            </w:r>
            <w:r>
              <w:rPr>
                <w:spacing w:val="-1"/>
              </w:rPr>
              <w:t>设备噪声贡献值</w:t>
            </w:r>
            <w:r>
              <w:rPr>
                <w:rFonts w:hint="eastAsia"/>
                <w:spacing w:val="-1"/>
                <w:lang w:eastAsia="zh-CN"/>
              </w:rPr>
              <w:t>（</w:t>
            </w:r>
            <w:r>
              <w:rPr>
                <w:spacing w:val="-1"/>
              </w:rPr>
              <w:t>约</w:t>
            </w:r>
            <w:r>
              <w:rPr>
                <w:rFonts w:ascii="Times New Roman" w:hAnsi="Times New Roman" w:eastAsia="Times New Roman" w:cs="Times New Roman"/>
                <w:spacing w:val="-1"/>
              </w:rPr>
              <w:t>68.9dB(A)</w:t>
            </w:r>
            <w:r>
              <w:rPr>
                <w:rFonts w:hint="eastAsia" w:ascii="Times New Roman" w:hAnsi="Times New Roman" w:eastAsia="宋体" w:cs="Times New Roman"/>
                <w:spacing w:val="-1"/>
                <w:lang w:eastAsia="zh-CN"/>
              </w:rPr>
              <w:t>）</w:t>
            </w:r>
            <w:r>
              <w:rPr>
                <w:spacing w:val="-1"/>
              </w:rPr>
              <w:t>就可低于建筑施工场厂界昼间噪声限值</w:t>
            </w:r>
            <w:r>
              <w:rPr>
                <w:rFonts w:hint="eastAsia"/>
                <w:spacing w:val="-1"/>
                <w:lang w:eastAsia="zh-CN"/>
              </w:rPr>
              <w:t>（</w:t>
            </w:r>
            <w:r>
              <w:rPr>
                <w:rFonts w:ascii="Times New Roman" w:hAnsi="Times New Roman" w:eastAsia="Times New Roman" w:cs="Times New Roman"/>
                <w:spacing w:val="-1"/>
              </w:rPr>
              <w:t>70 dB(A)</w:t>
            </w:r>
            <w:r>
              <w:rPr>
                <w:rFonts w:hint="eastAsia" w:ascii="Times New Roman" w:hAnsi="Times New Roman" w:eastAsia="宋体" w:cs="Times New Roman"/>
                <w:spacing w:val="-1"/>
                <w:lang w:eastAsia="zh-CN"/>
              </w:rPr>
              <w:t>）</w:t>
            </w:r>
            <w:r>
              <w:rPr>
                <w:spacing w:val="-1"/>
              </w:rPr>
              <w:t>。夜间</w:t>
            </w:r>
            <w:r>
              <w:rPr>
                <w:spacing w:val="9"/>
              </w:rPr>
              <w:t xml:space="preserve">  </w:t>
            </w:r>
            <w:r>
              <w:rPr>
                <w:spacing w:val="-1"/>
              </w:rPr>
              <w:t>要求较严，噪声要在距离机械设备</w:t>
            </w:r>
            <w:r>
              <w:rPr>
                <w:rFonts w:ascii="Times New Roman" w:hAnsi="Times New Roman" w:eastAsia="Times New Roman" w:cs="Times New Roman"/>
                <w:spacing w:val="-1"/>
              </w:rPr>
              <w:t>100m</w:t>
            </w:r>
            <w:r>
              <w:rPr>
                <w:spacing w:val="-1"/>
              </w:rPr>
              <w:t>以外才可低于</w:t>
            </w:r>
            <w:r>
              <w:rPr>
                <w:rFonts w:ascii="Times New Roman" w:hAnsi="Times New Roman" w:eastAsia="Times New Roman" w:cs="Times New Roman"/>
                <w:spacing w:val="-1"/>
              </w:rPr>
              <w:t xml:space="preserve">55 </w:t>
            </w:r>
            <w:r>
              <w:rPr>
                <w:rFonts w:ascii="Times New Roman" w:hAnsi="Times New Roman" w:eastAsia="Times New Roman" w:cs="Times New Roman"/>
                <w:spacing w:val="-2"/>
              </w:rPr>
              <w:t>dB(A)</w:t>
            </w:r>
            <w:r>
              <w:rPr>
                <w:rFonts w:ascii="Times New Roman" w:hAnsi="Times New Roman" w:eastAsia="Times New Roman" w:cs="Times New Roman"/>
                <w:spacing w:val="13"/>
              </w:rPr>
              <w:t xml:space="preserve">  </w:t>
            </w:r>
            <w:r>
              <w:rPr>
                <w:spacing w:val="-2"/>
              </w:rPr>
              <w:t>的噪声控制值。</w:t>
            </w:r>
          </w:p>
          <w:p w14:paraId="7160CDE5">
            <w:pPr>
              <w:pStyle w:val="6"/>
              <w:spacing w:before="20" w:line="220" w:lineRule="auto"/>
              <w:ind w:left="530"/>
            </w:pPr>
            <w:r>
              <w:rPr>
                <w:spacing w:val="-2"/>
              </w:rPr>
              <w:t>为降低噪声污染影响，在施工过程中应严格落实以下噪声控制措施：</w:t>
            </w:r>
          </w:p>
          <w:p w14:paraId="6C5670B6">
            <w:pPr>
              <w:pStyle w:val="6"/>
              <w:spacing w:before="142" w:line="345" w:lineRule="auto"/>
              <w:ind w:left="107" w:right="103" w:firstLine="422"/>
            </w:pPr>
            <w:r>
              <w:rPr>
                <w:rFonts w:ascii="Cambria Math" w:hAnsi="Cambria Math" w:eastAsia="Cambria Math" w:cs="Cambria Math"/>
                <w:spacing w:val="-5"/>
              </w:rPr>
              <w:t>①</w:t>
            </w:r>
            <w:r>
              <w:rPr>
                <w:spacing w:val="-5"/>
              </w:rPr>
              <w:t>在满足工艺上散热要求的前提下，首先选用先进的、噪声较低的环保型设</w:t>
            </w:r>
            <w:r>
              <w:rPr>
                <w:spacing w:val="-6"/>
              </w:rPr>
              <w:t>备， 严</w:t>
            </w:r>
            <w:r>
              <w:t xml:space="preserve"> </w:t>
            </w:r>
            <w:r>
              <w:rPr>
                <w:spacing w:val="-2"/>
              </w:rPr>
              <w:t>格按操作规程使用各类机械，使机器设备处于良好的运行状态。</w:t>
            </w:r>
          </w:p>
        </w:tc>
      </w:tr>
    </w:tbl>
    <w:p w14:paraId="0B2CD9CB">
      <w:pPr>
        <w:rPr>
          <w:rFonts w:ascii="Arial"/>
          <w:sz w:val="21"/>
        </w:rPr>
      </w:pPr>
    </w:p>
    <w:p w14:paraId="59E60D79">
      <w:pPr>
        <w:rPr>
          <w:rFonts w:ascii="Arial" w:hAnsi="Arial" w:eastAsia="Arial" w:cs="Arial"/>
          <w:sz w:val="21"/>
          <w:szCs w:val="21"/>
        </w:rPr>
        <w:sectPr>
          <w:footerReference r:id="rId54" w:type="default"/>
          <w:pgSz w:w="11908" w:h="16840"/>
          <w:pgMar w:top="1431" w:right="1489" w:bottom="1053" w:left="1489" w:header="0" w:footer="801" w:gutter="0"/>
          <w:cols w:space="720" w:num="1"/>
        </w:sectPr>
      </w:pPr>
    </w:p>
    <w:p w14:paraId="07EE7FCE">
      <w:pPr>
        <w:spacing w:before="28"/>
      </w:pPr>
    </w:p>
    <w:tbl>
      <w:tblPr>
        <w:tblStyle w:val="5"/>
        <w:tblW w:w="891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0"/>
        <w:gridCol w:w="8163"/>
      </w:tblGrid>
      <w:tr w14:paraId="45AAE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24" w:hRule="atLeast"/>
        </w:trPr>
        <w:tc>
          <w:tcPr>
            <w:tcW w:w="750" w:type="dxa"/>
            <w:tcBorders>
              <w:bottom w:val="single" w:color="000000" w:sz="2" w:space="0"/>
              <w:right w:val="single" w:color="000000" w:sz="2" w:space="0"/>
            </w:tcBorders>
            <w:vAlign w:val="top"/>
          </w:tcPr>
          <w:p w14:paraId="6798F163">
            <w:pPr>
              <w:spacing w:line="254" w:lineRule="auto"/>
              <w:rPr>
                <w:rFonts w:ascii="Arial"/>
                <w:sz w:val="21"/>
              </w:rPr>
            </w:pPr>
          </w:p>
          <w:p w14:paraId="02A89625">
            <w:pPr>
              <w:spacing w:line="254" w:lineRule="auto"/>
              <w:rPr>
                <w:rFonts w:ascii="Arial"/>
                <w:sz w:val="21"/>
              </w:rPr>
            </w:pPr>
          </w:p>
          <w:p w14:paraId="12128C03">
            <w:pPr>
              <w:spacing w:line="255" w:lineRule="auto"/>
              <w:rPr>
                <w:rFonts w:ascii="Arial"/>
                <w:sz w:val="21"/>
              </w:rPr>
            </w:pPr>
          </w:p>
          <w:p w14:paraId="76BA4FF2">
            <w:pPr>
              <w:spacing w:line="255" w:lineRule="auto"/>
              <w:rPr>
                <w:rFonts w:ascii="Arial"/>
                <w:sz w:val="21"/>
              </w:rPr>
            </w:pPr>
          </w:p>
          <w:p w14:paraId="7FF63BDC">
            <w:pPr>
              <w:spacing w:line="255" w:lineRule="auto"/>
              <w:rPr>
                <w:rFonts w:ascii="Arial"/>
                <w:sz w:val="21"/>
              </w:rPr>
            </w:pPr>
          </w:p>
          <w:p w14:paraId="67F11165">
            <w:pPr>
              <w:spacing w:line="255" w:lineRule="auto"/>
              <w:rPr>
                <w:rFonts w:ascii="Arial"/>
                <w:sz w:val="21"/>
              </w:rPr>
            </w:pPr>
          </w:p>
          <w:p w14:paraId="06A91D0E">
            <w:pPr>
              <w:spacing w:line="255" w:lineRule="auto"/>
              <w:rPr>
                <w:rFonts w:ascii="Arial"/>
                <w:sz w:val="21"/>
              </w:rPr>
            </w:pPr>
          </w:p>
          <w:p w14:paraId="1AD8750B">
            <w:pPr>
              <w:spacing w:line="255" w:lineRule="auto"/>
              <w:rPr>
                <w:rFonts w:ascii="Arial"/>
                <w:sz w:val="21"/>
              </w:rPr>
            </w:pPr>
          </w:p>
          <w:p w14:paraId="1EEAB452">
            <w:pPr>
              <w:spacing w:line="255" w:lineRule="auto"/>
              <w:rPr>
                <w:rFonts w:ascii="Arial"/>
                <w:sz w:val="21"/>
              </w:rPr>
            </w:pPr>
          </w:p>
          <w:p w14:paraId="04268397">
            <w:pPr>
              <w:spacing w:line="255" w:lineRule="auto"/>
              <w:rPr>
                <w:rFonts w:ascii="Arial"/>
                <w:sz w:val="21"/>
              </w:rPr>
            </w:pPr>
          </w:p>
          <w:p w14:paraId="6B09C9BB">
            <w:pPr>
              <w:spacing w:line="255" w:lineRule="auto"/>
              <w:rPr>
                <w:rFonts w:ascii="Arial"/>
                <w:sz w:val="21"/>
              </w:rPr>
            </w:pPr>
          </w:p>
          <w:p w14:paraId="63B29E0E">
            <w:pPr>
              <w:spacing w:line="255" w:lineRule="auto"/>
              <w:rPr>
                <w:rFonts w:ascii="Arial"/>
                <w:sz w:val="21"/>
              </w:rPr>
            </w:pPr>
          </w:p>
          <w:p w14:paraId="2B885930">
            <w:pPr>
              <w:spacing w:line="255" w:lineRule="auto"/>
              <w:rPr>
                <w:rFonts w:ascii="Arial"/>
                <w:sz w:val="21"/>
              </w:rPr>
            </w:pPr>
          </w:p>
          <w:p w14:paraId="4373599A">
            <w:pPr>
              <w:spacing w:line="255" w:lineRule="auto"/>
              <w:rPr>
                <w:rFonts w:ascii="Arial"/>
                <w:sz w:val="21"/>
              </w:rPr>
            </w:pPr>
          </w:p>
          <w:p w14:paraId="1ED50D47">
            <w:pPr>
              <w:pStyle w:val="6"/>
              <w:spacing w:before="68" w:line="222" w:lineRule="auto"/>
              <w:ind w:left="161"/>
            </w:pPr>
            <w:r>
              <w:rPr>
                <w:b/>
                <w:bCs/>
                <w:spacing w:val="-4"/>
              </w:rPr>
              <w:t>施工</w:t>
            </w:r>
          </w:p>
          <w:p w14:paraId="5A65D1C3">
            <w:pPr>
              <w:pStyle w:val="6"/>
              <w:spacing w:before="19" w:line="220" w:lineRule="auto"/>
              <w:ind w:left="164"/>
            </w:pPr>
            <w:r>
              <w:rPr>
                <w:b/>
                <w:bCs/>
                <w:spacing w:val="-5"/>
              </w:rPr>
              <w:t>期环</w:t>
            </w:r>
          </w:p>
          <w:p w14:paraId="482F77A9">
            <w:pPr>
              <w:pStyle w:val="6"/>
              <w:spacing w:before="22" w:line="220" w:lineRule="auto"/>
              <w:ind w:left="163"/>
            </w:pPr>
            <w:r>
              <w:rPr>
                <w:b/>
                <w:bCs/>
                <w:spacing w:val="-5"/>
              </w:rPr>
              <w:t>境保</w:t>
            </w:r>
          </w:p>
          <w:p w14:paraId="2E65EDE9">
            <w:pPr>
              <w:pStyle w:val="6"/>
              <w:spacing w:before="20" w:line="243" w:lineRule="auto"/>
              <w:ind w:left="265" w:right="164" w:hanging="102"/>
            </w:pPr>
            <w:r>
              <w:rPr>
                <w:b/>
                <w:bCs/>
                <w:spacing w:val="-7"/>
              </w:rPr>
              <w:t>护措</w:t>
            </w:r>
            <w:r>
              <w:t xml:space="preserve"> </w:t>
            </w:r>
            <w:r>
              <w:rPr>
                <w:b/>
                <w:bCs/>
                <w:spacing w:val="-3"/>
              </w:rPr>
              <w:t>施</w:t>
            </w:r>
          </w:p>
        </w:tc>
        <w:tc>
          <w:tcPr>
            <w:tcW w:w="8163" w:type="dxa"/>
            <w:tcBorders>
              <w:left w:val="single" w:color="000000" w:sz="2" w:space="0"/>
              <w:bottom w:val="single" w:color="000000" w:sz="2" w:space="0"/>
            </w:tcBorders>
            <w:vAlign w:val="top"/>
          </w:tcPr>
          <w:p w14:paraId="4A58B9A1">
            <w:pPr>
              <w:pStyle w:val="6"/>
              <w:spacing w:before="136" w:line="310" w:lineRule="auto"/>
              <w:ind w:left="107" w:right="47" w:firstLine="422"/>
            </w:pPr>
            <w:r>
              <w:rPr>
                <w:rFonts w:ascii="Cambria Math" w:hAnsi="Cambria Math" w:eastAsia="Cambria Math" w:cs="Cambria Math"/>
                <w:spacing w:val="-2"/>
              </w:rPr>
              <w:t>②</w:t>
            </w:r>
            <w:r>
              <w:rPr>
                <w:spacing w:val="-2"/>
              </w:rPr>
              <w:t>合理安排工期，尽量缩短整个施工期；为确保项目施</w:t>
            </w:r>
            <w:r>
              <w:rPr>
                <w:spacing w:val="-3"/>
              </w:rPr>
              <w:t>工期场界噪声达标排放，建</w:t>
            </w:r>
            <w:r>
              <w:t xml:space="preserve"> </w:t>
            </w:r>
            <w:r>
              <w:rPr>
                <w:spacing w:val="-5"/>
              </w:rPr>
              <w:t>议严格控制施工时间，禁止夜间（</w:t>
            </w:r>
            <w:r>
              <w:rPr>
                <w:rFonts w:ascii="Times New Roman" w:hAnsi="Times New Roman" w:eastAsia="Times New Roman" w:cs="Times New Roman"/>
                <w:spacing w:val="-5"/>
              </w:rPr>
              <w:t>22:00</w:t>
            </w:r>
            <w:r>
              <w:rPr>
                <w:rFonts w:hint="eastAsia" w:ascii="Times New Roman" w:hAnsi="Times New Roman" w:eastAsia="宋体" w:cs="Times New Roman"/>
                <w:spacing w:val="-5"/>
                <w:lang w:eastAsia="zh-CN"/>
              </w:rPr>
              <w:t>－</w:t>
            </w:r>
            <w:r>
              <w:rPr>
                <w:spacing w:val="-5"/>
              </w:rPr>
              <w:t>次日</w:t>
            </w:r>
            <w:r>
              <w:rPr>
                <w:rFonts w:ascii="Times New Roman" w:hAnsi="Times New Roman" w:eastAsia="Times New Roman" w:cs="Times New Roman"/>
                <w:spacing w:val="-5"/>
              </w:rPr>
              <w:t>6</w:t>
            </w:r>
            <w:r>
              <w:rPr>
                <w:rFonts w:hint="eastAsia" w:ascii="Times New Roman" w:hAnsi="Times New Roman" w:eastAsia="宋体" w:cs="Times New Roman"/>
                <w:spacing w:val="-5"/>
                <w:lang w:eastAsia="zh-CN"/>
              </w:rPr>
              <w:t>:</w:t>
            </w:r>
            <w:r>
              <w:rPr>
                <w:rFonts w:ascii="Times New Roman" w:hAnsi="Times New Roman" w:eastAsia="Times New Roman" w:cs="Times New Roman"/>
                <w:spacing w:val="-5"/>
              </w:rPr>
              <w:t>00</w:t>
            </w:r>
            <w:r>
              <w:rPr>
                <w:spacing w:val="-5"/>
              </w:rPr>
              <w:t>）进行产生环境噪声污染的施工作业；</w:t>
            </w:r>
            <w:r>
              <w:rPr>
                <w:spacing w:val="3"/>
              </w:rPr>
              <w:t xml:space="preserve"> </w:t>
            </w:r>
            <w:r>
              <w:rPr>
                <w:spacing w:val="-3"/>
              </w:rPr>
              <w:t>应尽可能避免大量高噪声设备同时施工。</w:t>
            </w:r>
          </w:p>
          <w:p w14:paraId="0E850327">
            <w:pPr>
              <w:pStyle w:val="6"/>
              <w:spacing w:before="141" w:line="219" w:lineRule="auto"/>
              <w:ind w:left="529"/>
            </w:pPr>
            <w:r>
              <w:rPr>
                <w:rFonts w:ascii="Cambria Math" w:hAnsi="Cambria Math" w:eastAsia="Cambria Math" w:cs="Cambria Math"/>
                <w:spacing w:val="-2"/>
              </w:rPr>
              <w:t>③</w:t>
            </w:r>
            <w:r>
              <w:rPr>
                <w:spacing w:val="-2"/>
              </w:rPr>
              <w:t>坚持文明施工，降低人为噪声，搬运应该轻拿轻放。</w:t>
            </w:r>
          </w:p>
          <w:p w14:paraId="27BF1F24">
            <w:pPr>
              <w:pStyle w:val="6"/>
              <w:spacing w:before="151" w:line="219" w:lineRule="auto"/>
              <w:ind w:left="529"/>
            </w:pPr>
            <w:r>
              <w:rPr>
                <w:rFonts w:ascii="Cambria Math" w:hAnsi="Cambria Math" w:eastAsia="Cambria Math" w:cs="Cambria Math"/>
                <w:spacing w:val="-2"/>
              </w:rPr>
              <w:t>④</w:t>
            </w:r>
            <w:r>
              <w:rPr>
                <w:spacing w:val="-2"/>
              </w:rPr>
              <w:t>合理布局，避免在同一地点安排大量机械设备。</w:t>
            </w:r>
          </w:p>
          <w:p w14:paraId="1F78F375">
            <w:pPr>
              <w:pStyle w:val="6"/>
              <w:spacing w:before="150" w:line="289" w:lineRule="auto"/>
              <w:ind w:left="106" w:right="103" w:firstLine="422"/>
            </w:pPr>
            <w:r>
              <w:rPr>
                <w:rFonts w:ascii="Cambria Math" w:hAnsi="Cambria Math" w:eastAsia="Cambria Math" w:cs="Cambria Math"/>
                <w:spacing w:val="-5"/>
              </w:rPr>
              <w:t>⑤</w:t>
            </w:r>
            <w:r>
              <w:rPr>
                <w:spacing w:val="-5"/>
              </w:rPr>
              <w:t>运输物料的车辆进入现场应减速行驶、并禁止鸣笛。合理安排运输路线，</w:t>
            </w:r>
            <w:r>
              <w:rPr>
                <w:spacing w:val="-6"/>
              </w:rPr>
              <w:t xml:space="preserve"> 物料运</w:t>
            </w:r>
            <w:r>
              <w:t xml:space="preserve"> </w:t>
            </w:r>
            <w:r>
              <w:rPr>
                <w:spacing w:val="-2"/>
              </w:rPr>
              <w:t>输通道尽量避开居民区和环境噪声敏感区。</w:t>
            </w:r>
          </w:p>
          <w:p w14:paraId="3DA0D40C">
            <w:pPr>
              <w:pStyle w:val="6"/>
              <w:spacing w:before="151" w:line="349" w:lineRule="auto"/>
              <w:ind w:left="120" w:right="102" w:firstLine="407"/>
              <w:jc w:val="both"/>
            </w:pPr>
            <w:r>
              <w:rPr>
                <w:spacing w:val="-5"/>
              </w:rPr>
              <w:t>通过采取上述控制措施，能够起到较好的隔声降噪效果。根据类</w:t>
            </w:r>
            <w:r>
              <w:rPr>
                <w:spacing w:val="-6"/>
              </w:rPr>
              <w:t>比分析，</w:t>
            </w:r>
            <w:r>
              <w:rPr>
                <w:spacing w:val="44"/>
              </w:rPr>
              <w:t xml:space="preserve"> </w:t>
            </w:r>
            <w:r>
              <w:rPr>
                <w:spacing w:val="-6"/>
              </w:rPr>
              <w:t>施工噪声</w:t>
            </w:r>
            <w:r>
              <w:t xml:space="preserve"> 隔声量取</w:t>
            </w:r>
            <w:r>
              <w:rPr>
                <w:rFonts w:ascii="Times New Roman" w:hAnsi="Times New Roman" w:eastAsia="Times New Roman" w:cs="Times New Roman"/>
              </w:rPr>
              <w:t>15dB(A</w:t>
            </w:r>
            <w:r>
              <w:rPr>
                <w:rFonts w:hint="eastAsia" w:ascii="Times New Roman" w:hAnsi="Times New Roman" w:eastAsia="宋体" w:cs="Times New Roman"/>
                <w:lang w:eastAsia="zh-CN"/>
              </w:rPr>
              <w:t>）</w:t>
            </w:r>
            <w:r>
              <w:t>。项目在采取控制</w:t>
            </w:r>
            <w:r>
              <w:rPr>
                <w:spacing w:val="-1"/>
              </w:rPr>
              <w:t>措施后，夜间不安排施工。因此，本次环评仅对项</w:t>
            </w:r>
            <w:r>
              <w:t xml:space="preserve"> </w:t>
            </w:r>
            <w:r>
              <w:rPr>
                <w:spacing w:val="-4"/>
              </w:rPr>
              <w:t>目昼间施工噪声进行预测。预测结果如下：</w:t>
            </w:r>
          </w:p>
          <w:p w14:paraId="403684A8">
            <w:pPr>
              <w:spacing w:before="18" w:line="213" w:lineRule="auto"/>
              <w:ind w:left="1921"/>
              <w:rPr>
                <w:rFonts w:ascii="Times New Roman" w:hAnsi="Times New Roman" w:eastAsia="Times New Roman" w:cs="Times New Roman"/>
                <w:sz w:val="20"/>
                <w:szCs w:val="20"/>
              </w:rPr>
            </w:pPr>
            <w:r>
              <w:rPr>
                <w:rFonts w:ascii="黑体" w:hAnsi="黑体" w:eastAsia="黑体" w:cs="黑体"/>
                <w:spacing w:val="-1"/>
                <w:sz w:val="20"/>
                <w:szCs w:val="20"/>
              </w:rPr>
              <w:t>表</w:t>
            </w:r>
            <w:r>
              <w:rPr>
                <w:rFonts w:ascii="黑体" w:hAnsi="黑体" w:eastAsia="黑体" w:cs="黑体"/>
                <w:spacing w:val="-30"/>
                <w:sz w:val="20"/>
                <w:szCs w:val="20"/>
              </w:rPr>
              <w:t xml:space="preserve"> </w:t>
            </w:r>
            <w:r>
              <w:rPr>
                <w:rFonts w:ascii="Times New Roman" w:hAnsi="Times New Roman" w:eastAsia="Times New Roman" w:cs="Times New Roman"/>
                <w:spacing w:val="-1"/>
                <w:sz w:val="20"/>
                <w:szCs w:val="20"/>
              </w:rPr>
              <w:t xml:space="preserve">4-2      </w:t>
            </w:r>
            <w:r>
              <w:rPr>
                <w:rFonts w:ascii="黑体" w:hAnsi="黑体" w:eastAsia="黑体" w:cs="黑体"/>
                <w:spacing w:val="-1"/>
                <w:sz w:val="20"/>
                <w:szCs w:val="20"/>
              </w:rPr>
              <w:t>项目厂界处的噪声预测结果单位：</w:t>
            </w:r>
            <w:r>
              <w:rPr>
                <w:rFonts w:ascii="Times New Roman" w:hAnsi="Times New Roman" w:eastAsia="Times New Roman" w:cs="Times New Roman"/>
                <w:spacing w:val="-1"/>
                <w:sz w:val="20"/>
                <w:szCs w:val="20"/>
              </w:rPr>
              <w:t>dB(A)</w:t>
            </w:r>
          </w:p>
          <w:p w14:paraId="5D16B880">
            <w:pPr>
              <w:spacing w:line="20" w:lineRule="exact"/>
            </w:pPr>
          </w:p>
          <w:tbl>
            <w:tblPr>
              <w:tblStyle w:val="5"/>
              <w:tblW w:w="7743" w:type="dxa"/>
              <w:tblInd w:w="2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4"/>
              <w:gridCol w:w="846"/>
              <w:gridCol w:w="1028"/>
              <w:gridCol w:w="710"/>
              <w:gridCol w:w="715"/>
              <w:gridCol w:w="745"/>
              <w:gridCol w:w="809"/>
              <w:gridCol w:w="693"/>
              <w:gridCol w:w="722"/>
              <w:gridCol w:w="631"/>
            </w:tblGrid>
            <w:tr w14:paraId="2D8DC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844" w:type="dxa"/>
                  <w:vMerge w:val="restart"/>
                  <w:tcBorders>
                    <w:bottom w:val="nil"/>
                  </w:tcBorders>
                  <w:vAlign w:val="top"/>
                </w:tcPr>
                <w:p w14:paraId="73F08973">
                  <w:pPr>
                    <w:pStyle w:val="6"/>
                    <w:spacing w:before="168" w:line="221" w:lineRule="auto"/>
                    <w:ind w:left="230"/>
                    <w:rPr>
                      <w:sz w:val="20"/>
                      <w:szCs w:val="20"/>
                    </w:rPr>
                  </w:pPr>
                  <w:r>
                    <w:rPr>
                      <w:spacing w:val="-3"/>
                      <w:sz w:val="20"/>
                      <w:szCs w:val="20"/>
                    </w:rPr>
                    <w:t>项目</w:t>
                  </w:r>
                </w:p>
              </w:tc>
              <w:tc>
                <w:tcPr>
                  <w:tcW w:w="846" w:type="dxa"/>
                  <w:vMerge w:val="restart"/>
                  <w:tcBorders>
                    <w:bottom w:val="nil"/>
                  </w:tcBorders>
                  <w:vAlign w:val="top"/>
                </w:tcPr>
                <w:p w14:paraId="0E02A86E">
                  <w:pPr>
                    <w:pStyle w:val="6"/>
                    <w:spacing w:before="39" w:line="225" w:lineRule="auto"/>
                    <w:ind w:left="325" w:right="120" w:hanging="194"/>
                    <w:rPr>
                      <w:sz w:val="20"/>
                      <w:szCs w:val="20"/>
                    </w:rPr>
                  </w:pPr>
                  <w:r>
                    <w:rPr>
                      <w:spacing w:val="-4"/>
                      <w:sz w:val="20"/>
                      <w:szCs w:val="20"/>
                    </w:rPr>
                    <w:t>叠加声</w:t>
                  </w:r>
                  <w:r>
                    <w:rPr>
                      <w:sz w:val="20"/>
                      <w:szCs w:val="20"/>
                    </w:rPr>
                    <w:t xml:space="preserve"> 源</w:t>
                  </w:r>
                </w:p>
              </w:tc>
              <w:tc>
                <w:tcPr>
                  <w:tcW w:w="1028" w:type="dxa"/>
                  <w:vMerge w:val="restart"/>
                  <w:tcBorders>
                    <w:bottom w:val="nil"/>
                  </w:tcBorders>
                  <w:vAlign w:val="top"/>
                </w:tcPr>
                <w:p w14:paraId="6DB9C3B8">
                  <w:pPr>
                    <w:pStyle w:val="6"/>
                    <w:spacing w:before="38" w:line="221" w:lineRule="auto"/>
                    <w:ind w:left="122"/>
                    <w:rPr>
                      <w:sz w:val="20"/>
                      <w:szCs w:val="20"/>
                    </w:rPr>
                  </w:pPr>
                  <w:r>
                    <w:rPr>
                      <w:spacing w:val="-2"/>
                      <w:sz w:val="20"/>
                      <w:szCs w:val="20"/>
                    </w:rPr>
                    <w:t>与声源距</w:t>
                  </w:r>
                </w:p>
                <w:p w14:paraId="398D70EA">
                  <w:pPr>
                    <w:pStyle w:val="6"/>
                    <w:spacing w:before="20" w:line="211" w:lineRule="auto"/>
                    <w:ind w:left="422"/>
                    <w:rPr>
                      <w:sz w:val="20"/>
                      <w:szCs w:val="20"/>
                    </w:rPr>
                  </w:pPr>
                  <w:r>
                    <w:rPr>
                      <w:sz w:val="20"/>
                      <w:szCs w:val="20"/>
                    </w:rPr>
                    <w:t>离</w:t>
                  </w:r>
                </w:p>
              </w:tc>
              <w:tc>
                <w:tcPr>
                  <w:tcW w:w="710" w:type="dxa"/>
                  <w:vMerge w:val="restart"/>
                  <w:tcBorders>
                    <w:bottom w:val="nil"/>
                  </w:tcBorders>
                  <w:vAlign w:val="top"/>
                </w:tcPr>
                <w:p w14:paraId="3339A9D5">
                  <w:pPr>
                    <w:pStyle w:val="6"/>
                    <w:spacing w:before="39" w:line="225" w:lineRule="auto"/>
                    <w:ind w:left="259" w:right="151" w:hanging="97"/>
                    <w:rPr>
                      <w:sz w:val="20"/>
                      <w:szCs w:val="20"/>
                    </w:rPr>
                  </w:pPr>
                  <w:r>
                    <w:rPr>
                      <w:spacing w:val="-5"/>
                      <w:sz w:val="20"/>
                      <w:szCs w:val="20"/>
                    </w:rPr>
                    <w:t>贡献</w:t>
                  </w:r>
                  <w:r>
                    <w:rPr>
                      <w:sz w:val="20"/>
                      <w:szCs w:val="20"/>
                    </w:rPr>
                    <w:t xml:space="preserve"> 值</w:t>
                  </w:r>
                </w:p>
              </w:tc>
              <w:tc>
                <w:tcPr>
                  <w:tcW w:w="1460" w:type="dxa"/>
                  <w:gridSpan w:val="2"/>
                  <w:vAlign w:val="top"/>
                </w:tcPr>
                <w:p w14:paraId="49EDAB82">
                  <w:pPr>
                    <w:pStyle w:val="6"/>
                    <w:spacing w:before="33" w:line="207" w:lineRule="auto"/>
                    <w:ind w:left="438"/>
                    <w:rPr>
                      <w:sz w:val="20"/>
                      <w:szCs w:val="20"/>
                    </w:rPr>
                  </w:pPr>
                  <w:r>
                    <w:rPr>
                      <w:spacing w:val="-3"/>
                      <w:sz w:val="20"/>
                      <w:szCs w:val="20"/>
                    </w:rPr>
                    <w:t>背景值</w:t>
                  </w:r>
                </w:p>
              </w:tc>
              <w:tc>
                <w:tcPr>
                  <w:tcW w:w="1502" w:type="dxa"/>
                  <w:gridSpan w:val="2"/>
                  <w:vAlign w:val="top"/>
                </w:tcPr>
                <w:p w14:paraId="1EC09E2B">
                  <w:pPr>
                    <w:pStyle w:val="6"/>
                    <w:spacing w:before="33" w:line="207" w:lineRule="auto"/>
                    <w:ind w:left="358"/>
                    <w:rPr>
                      <w:sz w:val="20"/>
                      <w:szCs w:val="20"/>
                    </w:rPr>
                  </w:pPr>
                  <w:r>
                    <w:rPr>
                      <w:spacing w:val="-2"/>
                      <w:sz w:val="20"/>
                      <w:szCs w:val="20"/>
                    </w:rPr>
                    <w:t>执行标准</w:t>
                  </w:r>
                </w:p>
              </w:tc>
              <w:tc>
                <w:tcPr>
                  <w:tcW w:w="1353" w:type="dxa"/>
                  <w:gridSpan w:val="2"/>
                  <w:vAlign w:val="top"/>
                </w:tcPr>
                <w:p w14:paraId="5F073542">
                  <w:pPr>
                    <w:pStyle w:val="6"/>
                    <w:spacing w:before="33" w:line="207" w:lineRule="auto"/>
                    <w:ind w:left="280"/>
                    <w:rPr>
                      <w:sz w:val="20"/>
                      <w:szCs w:val="20"/>
                    </w:rPr>
                  </w:pPr>
                  <w:r>
                    <w:rPr>
                      <w:spacing w:val="-2"/>
                      <w:sz w:val="20"/>
                      <w:szCs w:val="20"/>
                    </w:rPr>
                    <w:t>达标情况</w:t>
                  </w:r>
                </w:p>
              </w:tc>
            </w:tr>
            <w:tr w14:paraId="0924B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844" w:type="dxa"/>
                  <w:vMerge w:val="continue"/>
                  <w:tcBorders>
                    <w:top w:val="nil"/>
                  </w:tcBorders>
                  <w:vAlign w:val="top"/>
                </w:tcPr>
                <w:p w14:paraId="5087D7F1">
                  <w:pPr>
                    <w:rPr>
                      <w:rFonts w:ascii="Arial"/>
                      <w:sz w:val="21"/>
                    </w:rPr>
                  </w:pPr>
                </w:p>
              </w:tc>
              <w:tc>
                <w:tcPr>
                  <w:tcW w:w="846" w:type="dxa"/>
                  <w:vMerge w:val="continue"/>
                  <w:tcBorders>
                    <w:top w:val="nil"/>
                  </w:tcBorders>
                  <w:vAlign w:val="top"/>
                </w:tcPr>
                <w:p w14:paraId="09ADB951">
                  <w:pPr>
                    <w:rPr>
                      <w:rFonts w:ascii="Arial"/>
                      <w:sz w:val="21"/>
                    </w:rPr>
                  </w:pPr>
                </w:p>
              </w:tc>
              <w:tc>
                <w:tcPr>
                  <w:tcW w:w="1028" w:type="dxa"/>
                  <w:vMerge w:val="continue"/>
                  <w:tcBorders>
                    <w:top w:val="nil"/>
                  </w:tcBorders>
                  <w:vAlign w:val="top"/>
                </w:tcPr>
                <w:p w14:paraId="327BA5A7">
                  <w:pPr>
                    <w:rPr>
                      <w:rFonts w:ascii="Arial"/>
                      <w:sz w:val="21"/>
                    </w:rPr>
                  </w:pPr>
                </w:p>
              </w:tc>
              <w:tc>
                <w:tcPr>
                  <w:tcW w:w="710" w:type="dxa"/>
                  <w:vMerge w:val="continue"/>
                  <w:tcBorders>
                    <w:top w:val="nil"/>
                  </w:tcBorders>
                  <w:vAlign w:val="top"/>
                </w:tcPr>
                <w:p w14:paraId="18C3DC58">
                  <w:pPr>
                    <w:rPr>
                      <w:rFonts w:ascii="Arial"/>
                      <w:sz w:val="21"/>
                    </w:rPr>
                  </w:pPr>
                </w:p>
              </w:tc>
              <w:tc>
                <w:tcPr>
                  <w:tcW w:w="715" w:type="dxa"/>
                  <w:vAlign w:val="top"/>
                </w:tcPr>
                <w:p w14:paraId="2F56CD86">
                  <w:pPr>
                    <w:pStyle w:val="6"/>
                    <w:spacing w:before="30" w:line="206" w:lineRule="auto"/>
                    <w:ind w:left="162"/>
                    <w:rPr>
                      <w:sz w:val="20"/>
                      <w:szCs w:val="20"/>
                    </w:rPr>
                  </w:pPr>
                  <w:r>
                    <w:rPr>
                      <w:spacing w:val="-2"/>
                      <w:sz w:val="20"/>
                      <w:szCs w:val="20"/>
                    </w:rPr>
                    <w:t>昼间</w:t>
                  </w:r>
                </w:p>
              </w:tc>
              <w:tc>
                <w:tcPr>
                  <w:tcW w:w="745" w:type="dxa"/>
                  <w:vAlign w:val="top"/>
                </w:tcPr>
                <w:p w14:paraId="42F4EF6F">
                  <w:pPr>
                    <w:pStyle w:val="6"/>
                    <w:spacing w:before="30" w:line="206" w:lineRule="auto"/>
                    <w:ind w:left="181"/>
                    <w:rPr>
                      <w:sz w:val="20"/>
                      <w:szCs w:val="20"/>
                    </w:rPr>
                  </w:pPr>
                  <w:r>
                    <w:rPr>
                      <w:spacing w:val="-3"/>
                      <w:sz w:val="20"/>
                      <w:szCs w:val="20"/>
                    </w:rPr>
                    <w:t>夜间</w:t>
                  </w:r>
                </w:p>
              </w:tc>
              <w:tc>
                <w:tcPr>
                  <w:tcW w:w="809" w:type="dxa"/>
                  <w:vAlign w:val="top"/>
                </w:tcPr>
                <w:p w14:paraId="7E4B91D7">
                  <w:pPr>
                    <w:pStyle w:val="6"/>
                    <w:spacing w:before="30" w:line="206" w:lineRule="auto"/>
                    <w:ind w:left="210"/>
                    <w:rPr>
                      <w:sz w:val="20"/>
                      <w:szCs w:val="20"/>
                    </w:rPr>
                  </w:pPr>
                  <w:r>
                    <w:rPr>
                      <w:spacing w:val="-2"/>
                      <w:sz w:val="20"/>
                      <w:szCs w:val="20"/>
                    </w:rPr>
                    <w:t>昼间</w:t>
                  </w:r>
                </w:p>
              </w:tc>
              <w:tc>
                <w:tcPr>
                  <w:tcW w:w="693" w:type="dxa"/>
                  <w:vAlign w:val="top"/>
                </w:tcPr>
                <w:p w14:paraId="703F97A0">
                  <w:pPr>
                    <w:pStyle w:val="6"/>
                    <w:spacing w:before="30" w:line="206" w:lineRule="auto"/>
                    <w:ind w:left="157"/>
                    <w:rPr>
                      <w:sz w:val="20"/>
                      <w:szCs w:val="20"/>
                    </w:rPr>
                  </w:pPr>
                  <w:r>
                    <w:rPr>
                      <w:spacing w:val="-3"/>
                      <w:sz w:val="20"/>
                      <w:szCs w:val="20"/>
                    </w:rPr>
                    <w:t>夜间</w:t>
                  </w:r>
                </w:p>
              </w:tc>
              <w:tc>
                <w:tcPr>
                  <w:tcW w:w="722" w:type="dxa"/>
                  <w:vAlign w:val="top"/>
                </w:tcPr>
                <w:p w14:paraId="7BAE8FFD">
                  <w:pPr>
                    <w:pStyle w:val="6"/>
                    <w:spacing w:before="30" w:line="206" w:lineRule="auto"/>
                    <w:ind w:left="168"/>
                    <w:rPr>
                      <w:sz w:val="20"/>
                      <w:szCs w:val="20"/>
                    </w:rPr>
                  </w:pPr>
                  <w:r>
                    <w:rPr>
                      <w:spacing w:val="-2"/>
                      <w:sz w:val="20"/>
                      <w:szCs w:val="20"/>
                    </w:rPr>
                    <w:t>昼间</w:t>
                  </w:r>
                </w:p>
              </w:tc>
              <w:tc>
                <w:tcPr>
                  <w:tcW w:w="631" w:type="dxa"/>
                  <w:vAlign w:val="top"/>
                </w:tcPr>
                <w:p w14:paraId="2FD7782A">
                  <w:pPr>
                    <w:pStyle w:val="6"/>
                    <w:spacing w:before="30" w:line="206" w:lineRule="auto"/>
                    <w:ind w:left="124"/>
                    <w:rPr>
                      <w:sz w:val="20"/>
                      <w:szCs w:val="20"/>
                    </w:rPr>
                  </w:pPr>
                  <w:r>
                    <w:rPr>
                      <w:spacing w:val="-3"/>
                      <w:sz w:val="20"/>
                      <w:szCs w:val="20"/>
                    </w:rPr>
                    <w:t>夜间</w:t>
                  </w:r>
                </w:p>
              </w:tc>
            </w:tr>
            <w:tr w14:paraId="1FC93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844" w:type="dxa"/>
                  <w:vAlign w:val="top"/>
                </w:tcPr>
                <w:p w14:paraId="62990F8E">
                  <w:pPr>
                    <w:pStyle w:val="6"/>
                    <w:spacing w:before="30" w:line="205" w:lineRule="auto"/>
                    <w:ind w:left="134"/>
                    <w:rPr>
                      <w:sz w:val="20"/>
                      <w:szCs w:val="20"/>
                    </w:rPr>
                  </w:pPr>
                  <w:r>
                    <w:rPr>
                      <w:spacing w:val="-4"/>
                      <w:sz w:val="20"/>
                      <w:szCs w:val="20"/>
                    </w:rPr>
                    <w:t>东厂界</w:t>
                  </w:r>
                </w:p>
              </w:tc>
              <w:tc>
                <w:tcPr>
                  <w:tcW w:w="846" w:type="dxa"/>
                  <w:vAlign w:val="top"/>
                </w:tcPr>
                <w:p w14:paraId="22C679CE">
                  <w:pPr>
                    <w:spacing w:before="64" w:line="197" w:lineRule="auto"/>
                    <w:ind w:left="25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81.5</w:t>
                  </w:r>
                </w:p>
              </w:tc>
              <w:tc>
                <w:tcPr>
                  <w:tcW w:w="1028" w:type="dxa"/>
                  <w:vAlign w:val="top"/>
                </w:tcPr>
                <w:p w14:paraId="41B1AA91">
                  <w:pPr>
                    <w:spacing w:before="64" w:line="197" w:lineRule="auto"/>
                    <w:ind w:left="34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38m</w:t>
                  </w:r>
                </w:p>
              </w:tc>
              <w:tc>
                <w:tcPr>
                  <w:tcW w:w="710" w:type="dxa"/>
                  <w:vAlign w:val="top"/>
                </w:tcPr>
                <w:p w14:paraId="186057EB">
                  <w:pPr>
                    <w:spacing w:before="64" w:line="197" w:lineRule="auto"/>
                    <w:ind w:left="17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49.9</w:t>
                  </w:r>
                </w:p>
              </w:tc>
              <w:tc>
                <w:tcPr>
                  <w:tcW w:w="715" w:type="dxa"/>
                  <w:vAlign w:val="top"/>
                </w:tcPr>
                <w:p w14:paraId="1333A72F">
                  <w:pPr>
                    <w:spacing w:before="64" w:line="197" w:lineRule="auto"/>
                    <w:ind w:left="327"/>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745" w:type="dxa"/>
                  <w:vAlign w:val="top"/>
                </w:tcPr>
                <w:p w14:paraId="5ED9D53B">
                  <w:pPr>
                    <w:spacing w:before="64" w:line="197" w:lineRule="auto"/>
                    <w:ind w:left="342"/>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809" w:type="dxa"/>
                  <w:vAlign w:val="top"/>
                </w:tcPr>
                <w:p w14:paraId="0A79044B">
                  <w:pPr>
                    <w:spacing w:before="64" w:line="197" w:lineRule="auto"/>
                    <w:ind w:left="31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70</w:t>
                  </w:r>
                </w:p>
              </w:tc>
              <w:tc>
                <w:tcPr>
                  <w:tcW w:w="693" w:type="dxa"/>
                  <w:vAlign w:val="top"/>
                </w:tcPr>
                <w:p w14:paraId="0669D4A9">
                  <w:pPr>
                    <w:spacing w:before="64" w:line="197" w:lineRule="auto"/>
                    <w:ind w:left="25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55</w:t>
                  </w:r>
                </w:p>
              </w:tc>
              <w:tc>
                <w:tcPr>
                  <w:tcW w:w="722" w:type="dxa"/>
                  <w:vAlign w:val="top"/>
                </w:tcPr>
                <w:p w14:paraId="29CFD520">
                  <w:pPr>
                    <w:pStyle w:val="6"/>
                    <w:spacing w:before="30" w:line="205" w:lineRule="auto"/>
                    <w:ind w:left="168"/>
                    <w:rPr>
                      <w:sz w:val="20"/>
                      <w:szCs w:val="20"/>
                    </w:rPr>
                  </w:pPr>
                  <w:r>
                    <w:rPr>
                      <w:spacing w:val="-2"/>
                      <w:sz w:val="20"/>
                      <w:szCs w:val="20"/>
                    </w:rPr>
                    <w:t>达标</w:t>
                  </w:r>
                </w:p>
              </w:tc>
              <w:tc>
                <w:tcPr>
                  <w:tcW w:w="631" w:type="dxa"/>
                  <w:vAlign w:val="top"/>
                </w:tcPr>
                <w:p w14:paraId="17D069AA">
                  <w:pPr>
                    <w:spacing w:before="64" w:line="197" w:lineRule="auto"/>
                    <w:ind w:left="286"/>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r>
            <w:tr w14:paraId="6A9E8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844" w:type="dxa"/>
                  <w:vAlign w:val="top"/>
                </w:tcPr>
                <w:p w14:paraId="48CBC4A9">
                  <w:pPr>
                    <w:pStyle w:val="6"/>
                    <w:spacing w:before="33" w:line="204" w:lineRule="auto"/>
                    <w:ind w:left="130"/>
                    <w:rPr>
                      <w:sz w:val="20"/>
                      <w:szCs w:val="20"/>
                    </w:rPr>
                  </w:pPr>
                  <w:r>
                    <w:rPr>
                      <w:spacing w:val="-3"/>
                      <w:sz w:val="20"/>
                      <w:szCs w:val="20"/>
                    </w:rPr>
                    <w:t>南厂界</w:t>
                  </w:r>
                </w:p>
              </w:tc>
              <w:tc>
                <w:tcPr>
                  <w:tcW w:w="846" w:type="dxa"/>
                  <w:vAlign w:val="top"/>
                </w:tcPr>
                <w:p w14:paraId="23B03336">
                  <w:pPr>
                    <w:spacing w:before="66" w:line="196" w:lineRule="auto"/>
                    <w:ind w:left="25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81.5</w:t>
                  </w:r>
                </w:p>
              </w:tc>
              <w:tc>
                <w:tcPr>
                  <w:tcW w:w="1028" w:type="dxa"/>
                  <w:vAlign w:val="top"/>
                </w:tcPr>
                <w:p w14:paraId="2E55F5B1">
                  <w:pPr>
                    <w:spacing w:before="66" w:line="196" w:lineRule="auto"/>
                    <w:ind w:left="34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90m</w:t>
                  </w:r>
                </w:p>
              </w:tc>
              <w:tc>
                <w:tcPr>
                  <w:tcW w:w="710" w:type="dxa"/>
                  <w:vAlign w:val="top"/>
                </w:tcPr>
                <w:p w14:paraId="43ECBD59">
                  <w:pPr>
                    <w:spacing w:before="66" w:line="196" w:lineRule="auto"/>
                    <w:ind w:left="17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42.4</w:t>
                  </w:r>
                </w:p>
              </w:tc>
              <w:tc>
                <w:tcPr>
                  <w:tcW w:w="715" w:type="dxa"/>
                  <w:vAlign w:val="top"/>
                </w:tcPr>
                <w:p w14:paraId="71012249">
                  <w:pPr>
                    <w:spacing w:before="66" w:line="196" w:lineRule="auto"/>
                    <w:ind w:left="327"/>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745" w:type="dxa"/>
                  <w:vAlign w:val="top"/>
                </w:tcPr>
                <w:p w14:paraId="35C36CEC">
                  <w:pPr>
                    <w:spacing w:before="66" w:line="196" w:lineRule="auto"/>
                    <w:ind w:left="342"/>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809" w:type="dxa"/>
                  <w:vAlign w:val="top"/>
                </w:tcPr>
                <w:p w14:paraId="1EA0137F">
                  <w:pPr>
                    <w:spacing w:before="66" w:line="196" w:lineRule="auto"/>
                    <w:ind w:left="31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70</w:t>
                  </w:r>
                </w:p>
              </w:tc>
              <w:tc>
                <w:tcPr>
                  <w:tcW w:w="693" w:type="dxa"/>
                  <w:vAlign w:val="top"/>
                </w:tcPr>
                <w:p w14:paraId="749D9806">
                  <w:pPr>
                    <w:spacing w:before="66" w:line="196" w:lineRule="auto"/>
                    <w:ind w:left="25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55</w:t>
                  </w:r>
                </w:p>
              </w:tc>
              <w:tc>
                <w:tcPr>
                  <w:tcW w:w="722" w:type="dxa"/>
                  <w:vAlign w:val="top"/>
                </w:tcPr>
                <w:p w14:paraId="2BE29110">
                  <w:pPr>
                    <w:pStyle w:val="6"/>
                    <w:spacing w:before="33" w:line="204" w:lineRule="auto"/>
                    <w:ind w:left="168"/>
                    <w:rPr>
                      <w:sz w:val="20"/>
                      <w:szCs w:val="20"/>
                    </w:rPr>
                  </w:pPr>
                  <w:r>
                    <w:rPr>
                      <w:spacing w:val="-2"/>
                      <w:sz w:val="20"/>
                      <w:szCs w:val="20"/>
                    </w:rPr>
                    <w:t>达标</w:t>
                  </w:r>
                </w:p>
              </w:tc>
              <w:tc>
                <w:tcPr>
                  <w:tcW w:w="631" w:type="dxa"/>
                  <w:vAlign w:val="top"/>
                </w:tcPr>
                <w:p w14:paraId="249C36BA">
                  <w:pPr>
                    <w:spacing w:before="66" w:line="196" w:lineRule="auto"/>
                    <w:ind w:left="286"/>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r>
            <w:tr w14:paraId="29618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844" w:type="dxa"/>
                  <w:vAlign w:val="top"/>
                </w:tcPr>
                <w:p w14:paraId="77228892">
                  <w:pPr>
                    <w:pStyle w:val="6"/>
                    <w:spacing w:before="33" w:line="203" w:lineRule="auto"/>
                    <w:ind w:left="132"/>
                    <w:rPr>
                      <w:sz w:val="20"/>
                      <w:szCs w:val="20"/>
                    </w:rPr>
                  </w:pPr>
                  <w:r>
                    <w:rPr>
                      <w:spacing w:val="-3"/>
                      <w:sz w:val="20"/>
                      <w:szCs w:val="20"/>
                    </w:rPr>
                    <w:t>西厂界</w:t>
                  </w:r>
                </w:p>
              </w:tc>
              <w:tc>
                <w:tcPr>
                  <w:tcW w:w="846" w:type="dxa"/>
                  <w:vAlign w:val="top"/>
                </w:tcPr>
                <w:p w14:paraId="207B8EA8">
                  <w:pPr>
                    <w:spacing w:before="66" w:line="195" w:lineRule="auto"/>
                    <w:ind w:left="25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81.5</w:t>
                  </w:r>
                </w:p>
              </w:tc>
              <w:tc>
                <w:tcPr>
                  <w:tcW w:w="1028" w:type="dxa"/>
                  <w:vAlign w:val="top"/>
                </w:tcPr>
                <w:p w14:paraId="3A3D2378">
                  <w:pPr>
                    <w:spacing w:before="66" w:line="195" w:lineRule="auto"/>
                    <w:ind w:left="33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25m</w:t>
                  </w:r>
                </w:p>
              </w:tc>
              <w:tc>
                <w:tcPr>
                  <w:tcW w:w="710" w:type="dxa"/>
                  <w:vAlign w:val="top"/>
                </w:tcPr>
                <w:p w14:paraId="18E08734">
                  <w:pPr>
                    <w:spacing w:before="66" w:line="195" w:lineRule="auto"/>
                    <w:ind w:left="18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53.5</w:t>
                  </w:r>
                </w:p>
              </w:tc>
              <w:tc>
                <w:tcPr>
                  <w:tcW w:w="715" w:type="dxa"/>
                  <w:vAlign w:val="top"/>
                </w:tcPr>
                <w:p w14:paraId="12BCF775">
                  <w:pPr>
                    <w:spacing w:before="66" w:line="195" w:lineRule="auto"/>
                    <w:ind w:left="327"/>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745" w:type="dxa"/>
                  <w:vAlign w:val="top"/>
                </w:tcPr>
                <w:p w14:paraId="692DA06A">
                  <w:pPr>
                    <w:spacing w:before="66" w:line="195" w:lineRule="auto"/>
                    <w:ind w:left="342"/>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809" w:type="dxa"/>
                  <w:vAlign w:val="top"/>
                </w:tcPr>
                <w:p w14:paraId="50228EB5">
                  <w:pPr>
                    <w:spacing w:before="66" w:line="195" w:lineRule="auto"/>
                    <w:ind w:left="31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70</w:t>
                  </w:r>
                </w:p>
              </w:tc>
              <w:tc>
                <w:tcPr>
                  <w:tcW w:w="693" w:type="dxa"/>
                  <w:vAlign w:val="top"/>
                </w:tcPr>
                <w:p w14:paraId="7A9E4C08">
                  <w:pPr>
                    <w:spacing w:before="66" w:line="195" w:lineRule="auto"/>
                    <w:ind w:left="25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55</w:t>
                  </w:r>
                </w:p>
              </w:tc>
              <w:tc>
                <w:tcPr>
                  <w:tcW w:w="722" w:type="dxa"/>
                  <w:vAlign w:val="top"/>
                </w:tcPr>
                <w:p w14:paraId="74D3BFDA">
                  <w:pPr>
                    <w:pStyle w:val="6"/>
                    <w:spacing w:before="33" w:line="203" w:lineRule="auto"/>
                    <w:ind w:left="168"/>
                    <w:rPr>
                      <w:sz w:val="20"/>
                      <w:szCs w:val="20"/>
                    </w:rPr>
                  </w:pPr>
                  <w:r>
                    <w:rPr>
                      <w:spacing w:val="-2"/>
                      <w:sz w:val="20"/>
                      <w:szCs w:val="20"/>
                    </w:rPr>
                    <w:t>达标</w:t>
                  </w:r>
                </w:p>
              </w:tc>
              <w:tc>
                <w:tcPr>
                  <w:tcW w:w="631" w:type="dxa"/>
                  <w:vAlign w:val="top"/>
                </w:tcPr>
                <w:p w14:paraId="097294E2">
                  <w:pPr>
                    <w:spacing w:before="66" w:line="195" w:lineRule="auto"/>
                    <w:ind w:left="286"/>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r>
            <w:tr w14:paraId="0B01C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844" w:type="dxa"/>
                  <w:vAlign w:val="top"/>
                </w:tcPr>
                <w:p w14:paraId="0879AEF9">
                  <w:pPr>
                    <w:pStyle w:val="6"/>
                    <w:spacing w:before="34" w:line="207" w:lineRule="auto"/>
                    <w:ind w:left="130"/>
                    <w:rPr>
                      <w:sz w:val="20"/>
                      <w:szCs w:val="20"/>
                    </w:rPr>
                  </w:pPr>
                  <w:r>
                    <w:rPr>
                      <w:spacing w:val="-3"/>
                      <w:sz w:val="20"/>
                      <w:szCs w:val="20"/>
                    </w:rPr>
                    <w:t>北厂界</w:t>
                  </w:r>
                </w:p>
              </w:tc>
              <w:tc>
                <w:tcPr>
                  <w:tcW w:w="846" w:type="dxa"/>
                  <w:vAlign w:val="top"/>
                </w:tcPr>
                <w:p w14:paraId="02ADE21D">
                  <w:pPr>
                    <w:spacing w:before="66" w:line="201" w:lineRule="auto"/>
                    <w:ind w:left="25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81.5</w:t>
                  </w:r>
                </w:p>
              </w:tc>
              <w:tc>
                <w:tcPr>
                  <w:tcW w:w="1028" w:type="dxa"/>
                  <w:vAlign w:val="top"/>
                </w:tcPr>
                <w:p w14:paraId="5155CE3A">
                  <w:pPr>
                    <w:spacing w:before="66" w:line="201" w:lineRule="auto"/>
                    <w:ind w:left="34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95m</w:t>
                  </w:r>
                </w:p>
              </w:tc>
              <w:tc>
                <w:tcPr>
                  <w:tcW w:w="710" w:type="dxa"/>
                  <w:vAlign w:val="top"/>
                </w:tcPr>
                <w:p w14:paraId="6F6B6027">
                  <w:pPr>
                    <w:spacing w:before="66" w:line="201" w:lineRule="auto"/>
                    <w:ind w:left="17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41.9</w:t>
                  </w:r>
                </w:p>
              </w:tc>
              <w:tc>
                <w:tcPr>
                  <w:tcW w:w="715" w:type="dxa"/>
                  <w:vAlign w:val="top"/>
                </w:tcPr>
                <w:p w14:paraId="72B38255">
                  <w:pPr>
                    <w:spacing w:before="66" w:line="201" w:lineRule="auto"/>
                    <w:ind w:left="327"/>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745" w:type="dxa"/>
                  <w:vAlign w:val="top"/>
                </w:tcPr>
                <w:p w14:paraId="3F5CA106">
                  <w:pPr>
                    <w:spacing w:before="66" w:line="201" w:lineRule="auto"/>
                    <w:ind w:left="342"/>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809" w:type="dxa"/>
                  <w:vAlign w:val="top"/>
                </w:tcPr>
                <w:p w14:paraId="7B0CF8B6">
                  <w:pPr>
                    <w:spacing w:before="66" w:line="201" w:lineRule="auto"/>
                    <w:ind w:left="31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70</w:t>
                  </w:r>
                </w:p>
              </w:tc>
              <w:tc>
                <w:tcPr>
                  <w:tcW w:w="693" w:type="dxa"/>
                  <w:vAlign w:val="top"/>
                </w:tcPr>
                <w:p w14:paraId="7AFC1385">
                  <w:pPr>
                    <w:spacing w:before="66" w:line="201" w:lineRule="auto"/>
                    <w:ind w:left="25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55</w:t>
                  </w:r>
                </w:p>
              </w:tc>
              <w:tc>
                <w:tcPr>
                  <w:tcW w:w="722" w:type="dxa"/>
                  <w:vAlign w:val="top"/>
                </w:tcPr>
                <w:p w14:paraId="5ACC64C0">
                  <w:pPr>
                    <w:pStyle w:val="6"/>
                    <w:spacing w:before="34" w:line="207" w:lineRule="auto"/>
                    <w:ind w:left="168"/>
                    <w:rPr>
                      <w:sz w:val="20"/>
                      <w:szCs w:val="20"/>
                    </w:rPr>
                  </w:pPr>
                  <w:r>
                    <w:rPr>
                      <w:spacing w:val="-2"/>
                      <w:sz w:val="20"/>
                      <w:szCs w:val="20"/>
                    </w:rPr>
                    <w:t>达标</w:t>
                  </w:r>
                </w:p>
              </w:tc>
              <w:tc>
                <w:tcPr>
                  <w:tcW w:w="631" w:type="dxa"/>
                  <w:vAlign w:val="top"/>
                </w:tcPr>
                <w:p w14:paraId="75B5675B">
                  <w:pPr>
                    <w:spacing w:before="66" w:line="201" w:lineRule="auto"/>
                    <w:ind w:left="286"/>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r>
          </w:tbl>
          <w:p w14:paraId="513C7009">
            <w:pPr>
              <w:pStyle w:val="6"/>
              <w:spacing w:before="140" w:line="352" w:lineRule="auto"/>
              <w:ind w:left="106" w:right="102" w:firstLine="423"/>
            </w:pPr>
            <w:r>
              <w:rPr>
                <w:spacing w:val="-1"/>
              </w:rPr>
              <w:t>从上表预测结果可以看到，通过采取行之有效的噪声控制措施，项目施</w:t>
            </w:r>
            <w:r>
              <w:rPr>
                <w:spacing w:val="-2"/>
              </w:rPr>
              <w:t>工期噪声能</w:t>
            </w:r>
            <w:r>
              <w:t xml:space="preserve"> </w:t>
            </w:r>
            <w:r>
              <w:rPr>
                <w:spacing w:val="-4"/>
              </w:rPr>
              <w:t>够实现厂界达标排放。</w:t>
            </w:r>
          </w:p>
          <w:p w14:paraId="1848A4B4">
            <w:pPr>
              <w:pStyle w:val="6"/>
              <w:spacing w:before="3" w:line="351" w:lineRule="auto"/>
              <w:ind w:left="106" w:right="102" w:firstLine="423"/>
              <w:jc w:val="both"/>
            </w:pPr>
            <w:r>
              <w:rPr>
                <w:spacing w:val="-1"/>
              </w:rPr>
              <w:t>综上所述，只要采用适当的防振降噪措施，合理布置噪声设备位置和合</w:t>
            </w:r>
            <w:r>
              <w:rPr>
                <w:spacing w:val="-2"/>
              </w:rPr>
              <w:t>理安排施工</w:t>
            </w:r>
            <w:r>
              <w:t xml:space="preserve"> </w:t>
            </w:r>
            <w:r>
              <w:rPr>
                <w:spacing w:val="-1"/>
              </w:rPr>
              <w:t>时间，施工机械设备噪声的影响可降至低水平，达到建筑施工场界噪声限值要求，能够</w:t>
            </w:r>
            <w:r>
              <w:t xml:space="preserve"> </w:t>
            </w:r>
            <w:r>
              <w:rPr>
                <w:spacing w:val="-5"/>
              </w:rPr>
              <w:t>确保周边声环境保护目标的声环境质量达到标准限值。施工期噪声影响是暂时性的，</w:t>
            </w:r>
            <w:r>
              <w:rPr>
                <w:spacing w:val="47"/>
              </w:rPr>
              <w:t xml:space="preserve"> </w:t>
            </w:r>
            <w:r>
              <w:rPr>
                <w:spacing w:val="-5"/>
              </w:rPr>
              <w:t>在</w:t>
            </w:r>
            <w:r>
              <w:t xml:space="preserve"> </w:t>
            </w:r>
            <w:r>
              <w:rPr>
                <w:spacing w:val="-1"/>
              </w:rPr>
              <w:t>采取相应的管理措施后可减至最低，并随着施</w:t>
            </w:r>
            <w:r>
              <w:rPr>
                <w:spacing w:val="-2"/>
              </w:rPr>
              <w:t>工期的结束而消失。</w:t>
            </w:r>
          </w:p>
          <w:p w14:paraId="5059B34B">
            <w:pPr>
              <w:pStyle w:val="6"/>
              <w:spacing w:line="234" w:lineRule="auto"/>
              <w:ind w:left="104"/>
            </w:pPr>
            <w:r>
              <w:rPr>
                <w:rFonts w:ascii="Times New Roman" w:hAnsi="Times New Roman" w:eastAsia="Times New Roman" w:cs="Times New Roman"/>
                <w:b/>
                <w:bCs/>
                <w:spacing w:val="-3"/>
              </w:rPr>
              <w:t>4</w:t>
            </w:r>
            <w:r>
              <w:rPr>
                <w:b/>
                <w:bCs/>
                <w:spacing w:val="-3"/>
              </w:rPr>
              <w:t>、固体废物</w:t>
            </w:r>
          </w:p>
          <w:p w14:paraId="090E4929">
            <w:pPr>
              <w:pStyle w:val="6"/>
              <w:spacing w:before="132" w:line="352" w:lineRule="auto"/>
              <w:ind w:left="108" w:right="101" w:firstLine="418"/>
              <w:jc w:val="both"/>
            </w:pPr>
            <w:r>
              <w:rPr>
                <w:spacing w:val="-1"/>
              </w:rPr>
              <w:t>施工期固体废物主要包括：废弃包装材料、废弃建筑材料，以及施工人员的生活垃</w:t>
            </w:r>
            <w:r>
              <w:t xml:space="preserve"> </w:t>
            </w:r>
            <w:r>
              <w:rPr>
                <w:spacing w:val="-1"/>
              </w:rPr>
              <w:t>圾。施工期固废可统一收集，有利用价值的固废及时送至附近废弃资源回收站外售。生</w:t>
            </w:r>
            <w:r>
              <w:t xml:space="preserve"> </w:t>
            </w:r>
            <w:r>
              <w:rPr>
                <w:spacing w:val="-1"/>
              </w:rPr>
              <w:t>活垃圾袋装收集后送至附近场镇生活垃圾收集点，由环卫部门负</w:t>
            </w:r>
            <w:r>
              <w:rPr>
                <w:spacing w:val="-2"/>
              </w:rPr>
              <w:t>责清运处置。</w:t>
            </w:r>
          </w:p>
          <w:p w14:paraId="0AC39713">
            <w:pPr>
              <w:pStyle w:val="6"/>
              <w:spacing w:before="1" w:line="213" w:lineRule="auto"/>
              <w:ind w:left="526"/>
            </w:pPr>
            <w:r>
              <w:rPr>
                <w:spacing w:val="-1"/>
              </w:rPr>
              <w:t>采取上述措施后，项目施工期的固体废物不会对环</w:t>
            </w:r>
            <w:r>
              <w:rPr>
                <w:spacing w:val="-2"/>
              </w:rPr>
              <w:t>境产生不利影响。</w:t>
            </w:r>
          </w:p>
        </w:tc>
      </w:tr>
      <w:tr w14:paraId="31581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17" w:hRule="atLeast"/>
        </w:trPr>
        <w:tc>
          <w:tcPr>
            <w:tcW w:w="750" w:type="dxa"/>
            <w:tcBorders>
              <w:top w:val="single" w:color="000000" w:sz="2" w:space="0"/>
              <w:right w:val="single" w:color="000000" w:sz="2" w:space="0"/>
            </w:tcBorders>
            <w:vAlign w:val="top"/>
          </w:tcPr>
          <w:p w14:paraId="3F8017E2">
            <w:pPr>
              <w:pStyle w:val="6"/>
              <w:spacing w:before="306" w:line="220" w:lineRule="auto"/>
              <w:ind w:left="162"/>
            </w:pPr>
            <w:r>
              <w:rPr>
                <w:b/>
                <w:bCs/>
                <w:spacing w:val="-4"/>
              </w:rPr>
              <w:t>运营</w:t>
            </w:r>
          </w:p>
          <w:p w14:paraId="5C3E433F">
            <w:pPr>
              <w:pStyle w:val="6"/>
              <w:spacing w:before="20" w:line="220" w:lineRule="auto"/>
              <w:ind w:left="164"/>
            </w:pPr>
            <w:r>
              <w:rPr>
                <w:b/>
                <w:bCs/>
                <w:spacing w:val="-5"/>
              </w:rPr>
              <w:t>期环</w:t>
            </w:r>
          </w:p>
          <w:p w14:paraId="254B3515">
            <w:pPr>
              <w:pStyle w:val="6"/>
              <w:spacing w:before="22" w:line="220" w:lineRule="auto"/>
              <w:ind w:left="163"/>
            </w:pPr>
            <w:r>
              <w:rPr>
                <w:b/>
                <w:bCs/>
                <w:spacing w:val="-5"/>
              </w:rPr>
              <w:t>境影</w:t>
            </w:r>
          </w:p>
          <w:p w14:paraId="2E1B96DD">
            <w:pPr>
              <w:pStyle w:val="6"/>
              <w:spacing w:before="22" w:line="222" w:lineRule="auto"/>
              <w:ind w:left="173"/>
            </w:pPr>
            <w:r>
              <w:rPr>
                <w:b/>
                <w:bCs/>
                <w:spacing w:val="-7"/>
              </w:rPr>
              <w:t>响和</w:t>
            </w:r>
          </w:p>
          <w:p w14:paraId="5A44813E">
            <w:pPr>
              <w:pStyle w:val="6"/>
              <w:spacing w:before="19" w:line="220" w:lineRule="auto"/>
              <w:ind w:left="163"/>
            </w:pPr>
            <w:r>
              <w:rPr>
                <w:b/>
                <w:bCs/>
                <w:spacing w:val="-5"/>
              </w:rPr>
              <w:t>保护</w:t>
            </w:r>
          </w:p>
          <w:p w14:paraId="2F77339E">
            <w:pPr>
              <w:pStyle w:val="6"/>
              <w:spacing w:before="22" w:line="220" w:lineRule="auto"/>
              <w:ind w:left="162"/>
            </w:pPr>
            <w:r>
              <w:rPr>
                <w:b/>
                <w:bCs/>
                <w:spacing w:val="-4"/>
              </w:rPr>
              <w:t>措施</w:t>
            </w:r>
          </w:p>
        </w:tc>
        <w:tc>
          <w:tcPr>
            <w:tcW w:w="8163" w:type="dxa"/>
            <w:tcBorders>
              <w:top w:val="single" w:color="000000" w:sz="2" w:space="0"/>
              <w:left w:val="single" w:color="000000" w:sz="2" w:space="0"/>
            </w:tcBorders>
            <w:vAlign w:val="top"/>
          </w:tcPr>
          <w:p w14:paraId="05092205">
            <w:pPr>
              <w:spacing w:before="143" w:line="242" w:lineRule="auto"/>
              <w:ind w:left="72"/>
              <w:rPr>
                <w:rFonts w:ascii="黑体" w:hAnsi="黑体" w:eastAsia="黑体" w:cs="黑体"/>
                <w:sz w:val="21"/>
                <w:szCs w:val="21"/>
              </w:rPr>
            </w:pPr>
            <w:r>
              <w:rPr>
                <w:rFonts w:ascii="Times New Roman" w:hAnsi="Times New Roman" w:eastAsia="Times New Roman" w:cs="Times New Roman"/>
                <w:sz w:val="21"/>
                <w:szCs w:val="21"/>
              </w:rPr>
              <w:t>1</w:t>
            </w:r>
            <w:r>
              <w:rPr>
                <w:rFonts w:ascii="黑体" w:hAnsi="黑体" w:eastAsia="黑体" w:cs="黑体"/>
                <w:sz w:val="21"/>
                <w:szCs w:val="21"/>
              </w:rPr>
              <w:t>、废气</w:t>
            </w:r>
          </w:p>
          <w:p w14:paraId="5C8471F1">
            <w:pPr>
              <w:pStyle w:val="6"/>
              <w:spacing w:before="133" w:line="233" w:lineRule="auto"/>
              <w:ind w:left="113"/>
            </w:pPr>
            <w:r>
              <w:rPr>
                <w:rFonts w:ascii="Times New Roman" w:hAnsi="Times New Roman" w:eastAsia="Times New Roman" w:cs="Times New Roman"/>
                <w:b/>
                <w:bCs/>
                <w:spacing w:val="-3"/>
              </w:rPr>
              <w:t>1.1</w:t>
            </w:r>
            <w:r>
              <w:rPr>
                <w:b/>
                <w:bCs/>
                <w:spacing w:val="-3"/>
              </w:rPr>
              <w:t>污染物产生环节及源强</w:t>
            </w:r>
          </w:p>
          <w:p w14:paraId="7AEA8793">
            <w:pPr>
              <w:pStyle w:val="6"/>
              <w:spacing w:before="136" w:line="351" w:lineRule="auto"/>
              <w:ind w:left="107" w:right="102" w:firstLine="421"/>
            </w:pPr>
            <w:r>
              <w:rPr>
                <w:spacing w:val="-1"/>
              </w:rPr>
              <w:t>主要包括原料削片粉碎环节的粉尘、湿粉料烘干环节的烘干粉尘和热风炉</w:t>
            </w:r>
            <w:r>
              <w:rPr>
                <w:spacing w:val="-2"/>
              </w:rPr>
              <w:t>烟气、造</w:t>
            </w:r>
            <w:r>
              <w:t xml:space="preserve"> </w:t>
            </w:r>
            <w:r>
              <w:rPr>
                <w:spacing w:val="-1"/>
              </w:rPr>
              <w:t>粒环节的粉尘，以及物料输送、中间料堆放和包装环节的少</w:t>
            </w:r>
            <w:r>
              <w:rPr>
                <w:spacing w:val="-2"/>
              </w:rPr>
              <w:t>量粉尘。</w:t>
            </w:r>
          </w:p>
          <w:p w14:paraId="72F09B5F">
            <w:pPr>
              <w:pStyle w:val="6"/>
              <w:spacing w:line="233" w:lineRule="auto"/>
              <w:ind w:left="535"/>
            </w:pPr>
            <w:r>
              <w:rPr>
                <w:b/>
                <w:bCs/>
                <w:spacing w:val="-3"/>
              </w:rPr>
              <w:t>（</w:t>
            </w:r>
            <w:r>
              <w:rPr>
                <w:rFonts w:ascii="Times New Roman" w:hAnsi="Times New Roman" w:eastAsia="Times New Roman" w:cs="Times New Roman"/>
                <w:b/>
                <w:bCs/>
                <w:spacing w:val="-3"/>
              </w:rPr>
              <w:t>1</w:t>
            </w:r>
            <w:r>
              <w:rPr>
                <w:b/>
                <w:bCs/>
                <w:spacing w:val="-3"/>
              </w:rPr>
              <w:t>）削片粉碎、造粒粉尘</w:t>
            </w:r>
          </w:p>
          <w:p w14:paraId="465BDA29">
            <w:pPr>
              <w:pStyle w:val="6"/>
              <w:spacing w:before="135" w:line="219" w:lineRule="auto"/>
              <w:ind w:left="527"/>
            </w:pPr>
            <w:r>
              <w:rPr>
                <w:spacing w:val="-1"/>
              </w:rPr>
              <w:t>根据工程分析，本项目在生产过程涉及原料的削片粉碎、造粒等易产生粉尘的</w:t>
            </w:r>
            <w:r>
              <w:rPr>
                <w:spacing w:val="-2"/>
              </w:rPr>
              <w:t>工艺</w:t>
            </w:r>
          </w:p>
        </w:tc>
      </w:tr>
    </w:tbl>
    <w:p w14:paraId="5BC5A58E">
      <w:pPr>
        <w:rPr>
          <w:rFonts w:ascii="Arial"/>
          <w:sz w:val="21"/>
        </w:rPr>
      </w:pPr>
    </w:p>
    <w:p w14:paraId="4C6F1441">
      <w:pPr>
        <w:rPr>
          <w:rFonts w:ascii="Arial" w:hAnsi="Arial" w:eastAsia="Arial" w:cs="Arial"/>
          <w:sz w:val="21"/>
          <w:szCs w:val="21"/>
        </w:rPr>
        <w:sectPr>
          <w:footerReference r:id="rId55" w:type="default"/>
          <w:pgSz w:w="11908" w:h="16840"/>
          <w:pgMar w:top="1431" w:right="1489" w:bottom="1053" w:left="1489" w:header="0" w:footer="801" w:gutter="0"/>
          <w:cols w:space="720" w:num="1"/>
        </w:sectPr>
      </w:pPr>
    </w:p>
    <w:p w14:paraId="755F1D90">
      <w:pPr>
        <w:spacing w:before="28"/>
      </w:pPr>
    </w:p>
    <w:tbl>
      <w:tblPr>
        <w:tblStyle w:val="5"/>
        <w:tblW w:w="891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0"/>
        <w:gridCol w:w="8163"/>
      </w:tblGrid>
      <w:tr w14:paraId="69FBA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09" w:hRule="atLeast"/>
        </w:trPr>
        <w:tc>
          <w:tcPr>
            <w:tcW w:w="750" w:type="dxa"/>
            <w:tcBorders>
              <w:top w:val="single" w:color="000000" w:sz="2" w:space="0"/>
              <w:right w:val="single" w:color="000000" w:sz="2" w:space="0"/>
            </w:tcBorders>
            <w:vAlign w:val="top"/>
          </w:tcPr>
          <w:p w14:paraId="29622F67">
            <w:pPr>
              <w:spacing w:line="250" w:lineRule="auto"/>
              <w:rPr>
                <w:rFonts w:ascii="Arial"/>
                <w:sz w:val="21"/>
              </w:rPr>
            </w:pPr>
          </w:p>
          <w:p w14:paraId="23A622B7">
            <w:pPr>
              <w:spacing w:line="250" w:lineRule="auto"/>
              <w:rPr>
                <w:rFonts w:ascii="Arial"/>
                <w:sz w:val="21"/>
              </w:rPr>
            </w:pPr>
          </w:p>
          <w:p w14:paraId="5FC4E8EC">
            <w:pPr>
              <w:spacing w:line="250" w:lineRule="auto"/>
              <w:rPr>
                <w:rFonts w:ascii="Arial"/>
                <w:sz w:val="21"/>
              </w:rPr>
            </w:pPr>
          </w:p>
          <w:p w14:paraId="0B007F19">
            <w:pPr>
              <w:spacing w:line="250" w:lineRule="auto"/>
              <w:rPr>
                <w:rFonts w:ascii="Arial"/>
                <w:sz w:val="21"/>
              </w:rPr>
            </w:pPr>
          </w:p>
          <w:p w14:paraId="56643089">
            <w:pPr>
              <w:spacing w:line="250" w:lineRule="auto"/>
              <w:rPr>
                <w:rFonts w:ascii="Arial"/>
                <w:sz w:val="21"/>
              </w:rPr>
            </w:pPr>
          </w:p>
          <w:p w14:paraId="77FE1DE6">
            <w:pPr>
              <w:spacing w:line="250" w:lineRule="auto"/>
              <w:rPr>
                <w:rFonts w:ascii="Arial"/>
                <w:sz w:val="21"/>
              </w:rPr>
            </w:pPr>
          </w:p>
          <w:p w14:paraId="61B1857F">
            <w:pPr>
              <w:spacing w:line="250" w:lineRule="auto"/>
              <w:rPr>
                <w:rFonts w:ascii="Arial"/>
                <w:sz w:val="21"/>
              </w:rPr>
            </w:pPr>
          </w:p>
          <w:p w14:paraId="38AEB83C">
            <w:pPr>
              <w:spacing w:line="250" w:lineRule="auto"/>
              <w:rPr>
                <w:rFonts w:ascii="Arial"/>
                <w:sz w:val="21"/>
              </w:rPr>
            </w:pPr>
          </w:p>
          <w:p w14:paraId="45A053D8">
            <w:pPr>
              <w:spacing w:line="250" w:lineRule="auto"/>
              <w:rPr>
                <w:rFonts w:ascii="Arial"/>
                <w:sz w:val="21"/>
              </w:rPr>
            </w:pPr>
          </w:p>
          <w:p w14:paraId="5AA01A80">
            <w:pPr>
              <w:spacing w:line="250" w:lineRule="auto"/>
              <w:rPr>
                <w:rFonts w:ascii="Arial"/>
                <w:sz w:val="21"/>
              </w:rPr>
            </w:pPr>
          </w:p>
          <w:p w14:paraId="64A823F2">
            <w:pPr>
              <w:spacing w:line="250" w:lineRule="auto"/>
              <w:rPr>
                <w:rFonts w:ascii="Arial"/>
                <w:sz w:val="21"/>
              </w:rPr>
            </w:pPr>
          </w:p>
          <w:p w14:paraId="452ABB22">
            <w:pPr>
              <w:spacing w:line="250" w:lineRule="auto"/>
              <w:rPr>
                <w:rFonts w:ascii="Arial"/>
                <w:sz w:val="21"/>
              </w:rPr>
            </w:pPr>
          </w:p>
          <w:p w14:paraId="02ED7354">
            <w:pPr>
              <w:spacing w:line="251" w:lineRule="auto"/>
              <w:rPr>
                <w:rFonts w:ascii="Arial"/>
                <w:sz w:val="21"/>
              </w:rPr>
            </w:pPr>
          </w:p>
          <w:p w14:paraId="5BEA21D3">
            <w:pPr>
              <w:spacing w:line="251" w:lineRule="auto"/>
              <w:rPr>
                <w:rFonts w:ascii="Arial"/>
                <w:sz w:val="21"/>
              </w:rPr>
            </w:pPr>
          </w:p>
          <w:p w14:paraId="5B27BED8">
            <w:pPr>
              <w:spacing w:line="251" w:lineRule="auto"/>
              <w:rPr>
                <w:rFonts w:ascii="Arial"/>
                <w:sz w:val="21"/>
              </w:rPr>
            </w:pPr>
          </w:p>
          <w:p w14:paraId="3835D2BF">
            <w:pPr>
              <w:spacing w:line="251" w:lineRule="auto"/>
              <w:rPr>
                <w:rFonts w:ascii="Arial"/>
                <w:sz w:val="21"/>
              </w:rPr>
            </w:pPr>
          </w:p>
          <w:p w14:paraId="1785A943">
            <w:pPr>
              <w:spacing w:line="251" w:lineRule="auto"/>
              <w:rPr>
                <w:rFonts w:ascii="Arial"/>
                <w:sz w:val="21"/>
              </w:rPr>
            </w:pPr>
          </w:p>
          <w:p w14:paraId="279D2F7E">
            <w:pPr>
              <w:spacing w:line="251" w:lineRule="auto"/>
              <w:rPr>
                <w:rFonts w:ascii="Arial"/>
                <w:sz w:val="21"/>
              </w:rPr>
            </w:pPr>
          </w:p>
          <w:p w14:paraId="77176A06">
            <w:pPr>
              <w:spacing w:line="251" w:lineRule="auto"/>
              <w:rPr>
                <w:rFonts w:ascii="Arial"/>
                <w:sz w:val="21"/>
              </w:rPr>
            </w:pPr>
          </w:p>
          <w:p w14:paraId="61A429B0">
            <w:pPr>
              <w:spacing w:line="251" w:lineRule="auto"/>
              <w:rPr>
                <w:rFonts w:ascii="Arial"/>
                <w:sz w:val="21"/>
              </w:rPr>
            </w:pPr>
          </w:p>
          <w:p w14:paraId="26CB71E3">
            <w:pPr>
              <w:pStyle w:val="6"/>
              <w:spacing w:before="68" w:line="220" w:lineRule="auto"/>
              <w:ind w:left="162"/>
            </w:pPr>
            <w:r>
              <w:rPr>
                <w:b/>
                <w:bCs/>
                <w:spacing w:val="-4"/>
              </w:rPr>
              <w:t>运营</w:t>
            </w:r>
          </w:p>
          <w:p w14:paraId="65ABB0BB">
            <w:pPr>
              <w:pStyle w:val="6"/>
              <w:spacing w:before="22" w:line="220" w:lineRule="auto"/>
              <w:ind w:left="164"/>
            </w:pPr>
            <w:r>
              <w:rPr>
                <w:b/>
                <w:bCs/>
                <w:spacing w:val="-5"/>
              </w:rPr>
              <w:t>期环</w:t>
            </w:r>
          </w:p>
          <w:p w14:paraId="29B873C7">
            <w:pPr>
              <w:pStyle w:val="6"/>
              <w:spacing w:before="22" w:line="220" w:lineRule="auto"/>
              <w:ind w:left="163"/>
            </w:pPr>
            <w:r>
              <w:rPr>
                <w:b/>
                <w:bCs/>
                <w:spacing w:val="-5"/>
              </w:rPr>
              <w:t>境影</w:t>
            </w:r>
          </w:p>
          <w:p w14:paraId="67DD64B0">
            <w:pPr>
              <w:pStyle w:val="6"/>
              <w:spacing w:before="22" w:line="222" w:lineRule="auto"/>
              <w:ind w:left="173"/>
            </w:pPr>
            <w:r>
              <w:rPr>
                <w:b/>
                <w:bCs/>
                <w:spacing w:val="-7"/>
              </w:rPr>
              <w:t>响和</w:t>
            </w:r>
          </w:p>
          <w:p w14:paraId="057E41A3">
            <w:pPr>
              <w:pStyle w:val="6"/>
              <w:spacing w:before="18" w:line="220" w:lineRule="auto"/>
              <w:ind w:left="163"/>
            </w:pPr>
            <w:r>
              <w:rPr>
                <w:b/>
                <w:bCs/>
                <w:spacing w:val="-5"/>
              </w:rPr>
              <w:t>保护</w:t>
            </w:r>
          </w:p>
          <w:p w14:paraId="5B8AA866">
            <w:pPr>
              <w:pStyle w:val="6"/>
              <w:spacing w:before="22" w:line="220" w:lineRule="auto"/>
              <w:ind w:left="162"/>
            </w:pPr>
            <w:r>
              <w:rPr>
                <w:b/>
                <w:bCs/>
                <w:spacing w:val="-4"/>
              </w:rPr>
              <w:t>措施</w:t>
            </w:r>
          </w:p>
        </w:tc>
        <w:tc>
          <w:tcPr>
            <w:tcW w:w="8163" w:type="dxa"/>
            <w:tcBorders>
              <w:top w:val="single" w:color="000000" w:sz="2" w:space="0"/>
              <w:left w:val="single" w:color="000000" w:sz="2" w:space="0"/>
            </w:tcBorders>
            <w:vAlign w:val="top"/>
          </w:tcPr>
          <w:p w14:paraId="44AC1889">
            <w:pPr>
              <w:pStyle w:val="6"/>
              <w:spacing w:before="143" w:line="352" w:lineRule="auto"/>
              <w:ind w:left="106" w:right="102"/>
              <w:jc w:val="both"/>
            </w:pPr>
            <w:r>
              <w:rPr>
                <w:spacing w:val="-1"/>
              </w:rPr>
              <w:t>环节，原料削片环节因木材本身具有较高的含水率以及出料为块状产尘率较低。因此，</w:t>
            </w:r>
            <w:r>
              <w:t xml:space="preserve"> </w:t>
            </w:r>
            <w:r>
              <w:rPr>
                <w:spacing w:val="-1"/>
              </w:rPr>
              <w:t>生产过程的粉尘产生环节主要是在粉碎和造粒环节。粉碎环节产尘主要是将块状原料以</w:t>
            </w:r>
            <w:r>
              <w:t xml:space="preserve"> </w:t>
            </w:r>
            <w:r>
              <w:rPr>
                <w:spacing w:val="-1"/>
              </w:rPr>
              <w:t>机械方式粉碎成较小的颗粒物时，机械转动带动起尘，产尘占比相对较大；造粒环节产</w:t>
            </w:r>
            <w:r>
              <w:t xml:space="preserve"> </w:t>
            </w:r>
            <w:r>
              <w:rPr>
                <w:spacing w:val="-1"/>
              </w:rPr>
              <w:t>尘主要是未能被挤压成为成型燃料的极少量干粉料，产尘占</w:t>
            </w:r>
            <w:r>
              <w:rPr>
                <w:spacing w:val="-2"/>
              </w:rPr>
              <w:t>比相对较小。</w:t>
            </w:r>
          </w:p>
          <w:p w14:paraId="4E035E2C">
            <w:pPr>
              <w:pStyle w:val="6"/>
              <w:tabs>
                <w:tab w:val="left" w:pos="8122"/>
              </w:tabs>
              <w:spacing w:before="4" w:line="351" w:lineRule="auto"/>
              <w:ind w:left="106" w:right="28" w:firstLine="422"/>
              <w:jc w:val="both"/>
            </w:pPr>
            <w:r>
              <w:rPr>
                <w:spacing w:val="-1"/>
              </w:rPr>
              <w:t>参考《排放源统计调查产排污核算方法和系数手册》（公告</w:t>
            </w:r>
            <w:r>
              <w:rPr>
                <w:rFonts w:ascii="Times New Roman" w:hAnsi="Times New Roman" w:eastAsia="Times New Roman" w:cs="Times New Roman"/>
                <w:spacing w:val="-1"/>
              </w:rPr>
              <w:t>2021</w:t>
            </w:r>
            <w:r>
              <w:rPr>
                <w:spacing w:val="-1"/>
              </w:rPr>
              <w:t>年第</w:t>
            </w:r>
            <w:r>
              <w:rPr>
                <w:rFonts w:ascii="Times New Roman" w:hAnsi="Times New Roman" w:eastAsia="Times New Roman" w:cs="Times New Roman"/>
                <w:spacing w:val="-1"/>
              </w:rPr>
              <w:t>24</w:t>
            </w:r>
            <w:r>
              <w:rPr>
                <w:spacing w:val="-1"/>
              </w:rPr>
              <w:t>号）“</w:t>
            </w:r>
            <w:r>
              <w:rPr>
                <w:rFonts w:ascii="Times New Roman" w:hAnsi="Times New Roman" w:eastAsia="Times New Roman" w:cs="Times New Roman"/>
                <w:spacing w:val="-1"/>
              </w:rPr>
              <w:t>2542</w:t>
            </w:r>
            <w:r>
              <w:rPr>
                <w:rFonts w:ascii="Times New Roman" w:hAnsi="Times New Roman" w:eastAsia="Times New Roman" w:cs="Times New Roman"/>
              </w:rPr>
              <w:t xml:space="preserve">  </w:t>
            </w:r>
            <w:r>
              <w:rPr>
                <w:spacing w:val="-4"/>
              </w:rPr>
              <w:t>生物质致密成型燃料加工行业系数手册”，在生</w:t>
            </w:r>
            <w:r>
              <w:rPr>
                <w:spacing w:val="-5"/>
              </w:rPr>
              <w:t>物质致密成型燃料的剪切、破碎、筛分、</w:t>
            </w:r>
            <w:r>
              <w:t xml:space="preserve"> 造粒等生产环节的颗粒物产污系数为</w:t>
            </w:r>
            <w:r>
              <w:rPr>
                <w:rFonts w:ascii="Times New Roman" w:hAnsi="Times New Roman" w:eastAsia="Times New Roman" w:cs="Times New Roman"/>
              </w:rPr>
              <w:t>6.69x10</w:t>
            </w:r>
            <w:r>
              <w:rPr>
                <w:rFonts w:ascii="Times New Roman" w:hAnsi="Times New Roman" w:eastAsia="Times New Roman" w:cs="Times New Roman"/>
                <w:position w:val="7"/>
                <w:sz w:val="14"/>
                <w:szCs w:val="14"/>
              </w:rPr>
              <w:t>-4</w:t>
            </w:r>
            <w:r>
              <w:t>吨</w:t>
            </w:r>
            <w:r>
              <w:rPr>
                <w:rFonts w:ascii="Times New Roman" w:hAnsi="Times New Roman" w:eastAsia="Times New Roman" w:cs="Times New Roman"/>
              </w:rPr>
              <w:t>/</w:t>
            </w:r>
            <w:r>
              <w:t>吨</w:t>
            </w:r>
            <w:r>
              <w:rPr>
                <w:rFonts w:hint="eastAsia"/>
                <w:lang w:eastAsia="zh-CN"/>
              </w:rPr>
              <w:t>－</w:t>
            </w:r>
            <w:r>
              <w:t>产品。本项目</w:t>
            </w:r>
            <w:r>
              <w:rPr>
                <w:spacing w:val="-1"/>
              </w:rPr>
              <w:t>年产生物质成型燃料</w:t>
            </w:r>
            <w:r>
              <w:tab/>
            </w:r>
            <w:r>
              <w:t xml:space="preserve"> </w:t>
            </w:r>
            <w:r>
              <w:rPr>
                <w:rFonts w:ascii="Times New Roman" w:hAnsi="Times New Roman" w:eastAsia="Times New Roman" w:cs="Times New Roman"/>
                <w:spacing w:val="-1"/>
              </w:rPr>
              <w:t>15</w:t>
            </w:r>
            <w:r>
              <w:rPr>
                <w:spacing w:val="-1"/>
              </w:rPr>
              <w:t>万吨，经计算生产过程的粉碎和造粒环节颗粒物产生量约</w:t>
            </w:r>
            <w:r>
              <w:rPr>
                <w:rFonts w:ascii="Times New Roman" w:hAnsi="Times New Roman" w:eastAsia="Times New Roman" w:cs="Times New Roman"/>
                <w:spacing w:val="-1"/>
              </w:rPr>
              <w:t>100.35t/a</w:t>
            </w:r>
            <w:r>
              <w:rPr>
                <w:rFonts w:ascii="Times New Roman" w:hAnsi="Times New Roman" w:eastAsia="Times New Roman" w:cs="Times New Roman"/>
                <w:spacing w:val="-17"/>
              </w:rPr>
              <w:t xml:space="preserve"> </w:t>
            </w:r>
            <w:r>
              <w:rPr>
                <w:spacing w:val="-1"/>
              </w:rPr>
              <w:t>。根据建设单位的</w:t>
            </w:r>
            <w:r>
              <w:t xml:space="preserve">  生产经验，粉碎机产尘相对较大，占比取</w:t>
            </w:r>
            <w:r>
              <w:rPr>
                <w:rFonts w:ascii="Times New Roman" w:hAnsi="Times New Roman" w:eastAsia="Times New Roman" w:cs="Times New Roman"/>
              </w:rPr>
              <w:t>70%</w:t>
            </w:r>
            <w:r>
              <w:t>，则粉碎机粉尘产生量约</w:t>
            </w:r>
            <w:r>
              <w:rPr>
                <w:rFonts w:ascii="Times New Roman" w:hAnsi="Times New Roman" w:eastAsia="Times New Roman" w:cs="Times New Roman"/>
              </w:rPr>
              <w:t>70.2</w:t>
            </w:r>
            <w:r>
              <w:rPr>
                <w:rFonts w:ascii="Times New Roman" w:hAnsi="Times New Roman" w:eastAsia="Times New Roman" w:cs="Times New Roman"/>
                <w:spacing w:val="-1"/>
              </w:rPr>
              <w:t>45t/a</w:t>
            </w:r>
            <w:r>
              <w:rPr>
                <w:spacing w:val="-1"/>
              </w:rPr>
              <w:t>；造粒</w:t>
            </w:r>
            <w:r>
              <w:t xml:space="preserve">  机产尘相对较小，占比取</w:t>
            </w:r>
            <w:r>
              <w:rPr>
                <w:rFonts w:ascii="Times New Roman" w:hAnsi="Times New Roman" w:eastAsia="Times New Roman" w:cs="Times New Roman"/>
              </w:rPr>
              <w:t>30%</w:t>
            </w:r>
            <w:r>
              <w:t>，则造粒机粉尘产生量约</w:t>
            </w:r>
            <w:r>
              <w:rPr>
                <w:rFonts w:ascii="Times New Roman" w:hAnsi="Times New Roman" w:eastAsia="Times New Roman" w:cs="Times New Roman"/>
              </w:rPr>
              <w:t>30</w:t>
            </w:r>
            <w:r>
              <w:rPr>
                <w:rFonts w:ascii="Times New Roman" w:hAnsi="Times New Roman" w:eastAsia="Times New Roman" w:cs="Times New Roman"/>
                <w:spacing w:val="-1"/>
              </w:rPr>
              <w:t>.105t/a</w:t>
            </w:r>
            <w:r>
              <w:rPr>
                <w:spacing w:val="-1"/>
              </w:rPr>
              <w:t>。</w:t>
            </w:r>
          </w:p>
          <w:p w14:paraId="294DC604">
            <w:pPr>
              <w:pStyle w:val="6"/>
              <w:spacing w:before="1" w:line="351" w:lineRule="auto"/>
              <w:ind w:left="110" w:right="113" w:firstLine="424"/>
            </w:pPr>
            <w:r>
              <w:rPr>
                <w:b/>
                <w:bCs/>
                <w:spacing w:val="-2"/>
              </w:rPr>
              <w:t>治理措施</w:t>
            </w:r>
            <w:r>
              <w:rPr>
                <w:spacing w:val="-2"/>
              </w:rPr>
              <w:t>：根据设计，本项目粉碎机和造粒机均布置在封闭式车间内。所采用的设</w:t>
            </w:r>
            <w:r>
              <w:rPr>
                <w:spacing w:val="6"/>
              </w:rPr>
              <w:t xml:space="preserve"> </w:t>
            </w:r>
            <w:r>
              <w:rPr>
                <w:spacing w:val="-1"/>
              </w:rPr>
              <w:t>备也属于密闭型设备，因此生产过程的粉尘主要是从设备的出</w:t>
            </w:r>
            <w:r>
              <w:rPr>
                <w:spacing w:val="-2"/>
              </w:rPr>
              <w:t>料口逸散出来。</w:t>
            </w:r>
          </w:p>
          <w:p w14:paraId="6FC934F2">
            <w:pPr>
              <w:pStyle w:val="6"/>
              <w:spacing w:before="4" w:line="351" w:lineRule="auto"/>
              <w:ind w:left="107" w:right="101" w:firstLine="422"/>
              <w:jc w:val="both"/>
            </w:pPr>
            <w:r>
              <w:rPr>
                <w:spacing w:val="-1"/>
              </w:rPr>
              <w:t>建设单位拟在粉碎机的振动给料机上方采取封闭方式控尘，仅留进料口</w:t>
            </w:r>
            <w:r>
              <w:rPr>
                <w:spacing w:val="-2"/>
              </w:rPr>
              <w:t>；给料机出</w:t>
            </w:r>
            <w:r>
              <w:t xml:space="preserve"> </w:t>
            </w:r>
            <w:r>
              <w:rPr>
                <w:spacing w:val="-1"/>
              </w:rPr>
              <w:t>料口与粉碎机紧密连接；粉碎机出料口与输送皮带连接落料处，设有包围</w:t>
            </w:r>
            <w:r>
              <w:rPr>
                <w:rFonts w:hint="eastAsia"/>
                <w:spacing w:val="-1"/>
                <w:lang w:eastAsia="zh-CN"/>
              </w:rPr>
              <w:t>式</w:t>
            </w:r>
            <w:r>
              <w:rPr>
                <w:spacing w:val="-1"/>
              </w:rPr>
              <w:t>收尘罩，</w:t>
            </w:r>
            <w:r>
              <w:t xml:space="preserve"> 收尘口连接着一套“旋风除尘器</w:t>
            </w:r>
            <w:r>
              <w:rPr>
                <w:rFonts w:ascii="Times New Roman" w:hAnsi="Times New Roman" w:eastAsia="Times New Roman" w:cs="Times New Roman"/>
              </w:rPr>
              <w:t>+</w:t>
            </w:r>
            <w:r>
              <w:t>脉冲布袋除尘器”，风机安装在</w:t>
            </w:r>
            <w:r>
              <w:rPr>
                <w:spacing w:val="-1"/>
              </w:rPr>
              <w:t>布袋除尘器上方，整</w:t>
            </w:r>
            <w:r>
              <w:t xml:space="preserve"> </w:t>
            </w:r>
            <w:r>
              <w:rPr>
                <w:spacing w:val="-1"/>
              </w:rPr>
              <w:t>个收尘系统可形成微负压状态。湿粉料通过封闭式输送皮带直接输送至封闭式湿粉料堆</w:t>
            </w:r>
            <w:r>
              <w:t xml:space="preserve"> 放间，整个过程粉尘逸散量极少。微负压收尘效率约在</w:t>
            </w:r>
            <w:r>
              <w:rPr>
                <w:rFonts w:ascii="Times New Roman" w:hAnsi="Times New Roman" w:eastAsia="Times New Roman" w:cs="Times New Roman"/>
              </w:rPr>
              <w:t>99%</w:t>
            </w:r>
            <w:r>
              <w:t>左右，</w:t>
            </w:r>
            <w:r>
              <w:rPr>
                <w:spacing w:val="-1"/>
              </w:rPr>
              <w:t>“旋风</w:t>
            </w:r>
            <w:r>
              <w:rPr>
                <w:rFonts w:ascii="Times New Roman" w:hAnsi="Times New Roman" w:eastAsia="Times New Roman" w:cs="Times New Roman"/>
                <w:spacing w:val="-1"/>
              </w:rPr>
              <w:t>+</w:t>
            </w:r>
            <w:r>
              <w:rPr>
                <w:spacing w:val="-1"/>
              </w:rPr>
              <w:t>布袋”综合</w:t>
            </w:r>
            <w:r>
              <w:t xml:space="preserve">  </w:t>
            </w:r>
            <w:r>
              <w:rPr>
                <w:spacing w:val="-1"/>
              </w:rPr>
              <w:t>除尘效率约</w:t>
            </w:r>
            <w:r>
              <w:rPr>
                <w:rFonts w:ascii="Times New Roman" w:hAnsi="Times New Roman" w:eastAsia="Times New Roman" w:cs="Times New Roman"/>
                <w:spacing w:val="-1"/>
              </w:rPr>
              <w:t>99.2%</w:t>
            </w:r>
            <w:r>
              <w:rPr>
                <w:spacing w:val="-1"/>
              </w:rPr>
              <w:t>。粉碎机处的粉尘被除尘系统收集处理后在车间内无组织排</w:t>
            </w:r>
            <w:r>
              <w:rPr>
                <w:spacing w:val="-2"/>
              </w:rPr>
              <w:t>放。</w:t>
            </w:r>
          </w:p>
          <w:p w14:paraId="3C8A82A9">
            <w:pPr>
              <w:pStyle w:val="6"/>
              <w:spacing w:before="1" w:line="343" w:lineRule="auto"/>
              <w:ind w:left="107" w:right="119" w:firstLine="421"/>
            </w:pPr>
            <w:r>
              <w:rPr>
                <w:spacing w:val="-3"/>
              </w:rPr>
              <w:t>经计算，粉碎机粉尘排放量约</w:t>
            </w:r>
            <w:r>
              <w:rPr>
                <w:rFonts w:ascii="Times New Roman" w:hAnsi="Times New Roman" w:eastAsia="Times New Roman" w:cs="Times New Roman"/>
                <w:spacing w:val="-3"/>
              </w:rPr>
              <w:t>1.259t/a</w:t>
            </w:r>
            <w:r>
              <w:rPr>
                <w:spacing w:val="-3"/>
              </w:rPr>
              <w:t>，在车间内无组织排放，同时应加强车间内的</w:t>
            </w:r>
            <w:r>
              <w:rPr>
                <w:spacing w:val="13"/>
              </w:rPr>
              <w:t xml:space="preserve"> </w:t>
            </w:r>
            <w:r>
              <w:rPr>
                <w:spacing w:val="-7"/>
              </w:rPr>
              <w:t>通风换气。</w:t>
            </w:r>
          </w:p>
          <w:p w14:paraId="01D76644">
            <w:pPr>
              <w:pStyle w:val="6"/>
              <w:spacing w:before="17" w:line="352" w:lineRule="auto"/>
              <w:ind w:left="109" w:right="101" w:firstLine="419"/>
            </w:pPr>
            <w:r>
              <w:rPr>
                <w:spacing w:val="-1"/>
              </w:rPr>
              <w:t>本项目拟安装造粒机</w:t>
            </w:r>
            <w:r>
              <w:rPr>
                <w:rFonts w:ascii="Times New Roman" w:hAnsi="Times New Roman" w:eastAsia="Times New Roman" w:cs="Times New Roman"/>
                <w:spacing w:val="-1"/>
              </w:rPr>
              <w:t>10</w:t>
            </w:r>
            <w:r>
              <w:rPr>
                <w:spacing w:val="-1"/>
              </w:rPr>
              <w:t>台布局方式为</w:t>
            </w:r>
            <w:r>
              <w:rPr>
                <w:rFonts w:ascii="Times New Roman" w:hAnsi="Times New Roman" w:eastAsia="Times New Roman" w:cs="Times New Roman"/>
                <w:spacing w:val="-1"/>
              </w:rPr>
              <w:t>5</w:t>
            </w:r>
            <w:r>
              <w:rPr>
                <w:spacing w:val="-1"/>
              </w:rPr>
              <w:t>台</w:t>
            </w:r>
            <w:r>
              <w:rPr>
                <w:rFonts w:ascii="Times New Roman" w:hAnsi="Times New Roman" w:eastAsia="Times New Roman" w:cs="Times New Roman"/>
                <w:spacing w:val="-1"/>
              </w:rPr>
              <w:t>1</w:t>
            </w:r>
            <w:r>
              <w:rPr>
                <w:spacing w:val="-1"/>
              </w:rPr>
              <w:t>组，设计在每个造粒机出料口安装包围方</w:t>
            </w:r>
            <w:r>
              <w:t xml:space="preserve"> </w:t>
            </w:r>
            <w:r>
              <w:rPr>
                <w:spacing w:val="-1"/>
              </w:rPr>
              <w:t>式的收尘罩，通过风机形成微负压方式将粉尘收集至一套旋流喷淋塔除尘。因为造</w:t>
            </w:r>
            <w:r>
              <w:rPr>
                <w:spacing w:val="-2"/>
              </w:rPr>
              <w:t>粒机</w:t>
            </w:r>
            <w:r>
              <w:t xml:space="preserve"> </w:t>
            </w:r>
            <w:r>
              <w:rPr>
                <w:spacing w:val="-1"/>
              </w:rPr>
              <w:t>处收集的粉尘带有造粒过程产生的水雾，避免带水雾的粉尘堵塞除尘器因此考虑采</w:t>
            </w:r>
            <w:r>
              <w:rPr>
                <w:spacing w:val="-2"/>
              </w:rPr>
              <w:t>用喷</w:t>
            </w:r>
            <w:r>
              <w:t xml:space="preserve"> 淋塔除尘。采用微负压方式收尘效率约在</w:t>
            </w:r>
            <w:r>
              <w:rPr>
                <w:rFonts w:ascii="Times New Roman" w:hAnsi="Times New Roman" w:eastAsia="Times New Roman" w:cs="Times New Roman"/>
              </w:rPr>
              <w:t>99%</w:t>
            </w:r>
            <w:r>
              <w:t>左右，“旋流喷淋”除</w:t>
            </w:r>
            <w:r>
              <w:rPr>
                <w:spacing w:val="-1"/>
              </w:rPr>
              <w:t>尘效率约</w:t>
            </w:r>
            <w:r>
              <w:rPr>
                <w:rFonts w:ascii="Times New Roman" w:hAnsi="Times New Roman" w:eastAsia="Times New Roman" w:cs="Times New Roman"/>
                <w:spacing w:val="-1"/>
              </w:rPr>
              <w:t>85.0%</w:t>
            </w:r>
            <w:r>
              <w:rPr>
                <w:spacing w:val="-1"/>
              </w:rPr>
              <w:t>，</w:t>
            </w:r>
          </w:p>
          <w:p w14:paraId="538F784A">
            <w:pPr>
              <w:pStyle w:val="6"/>
              <w:spacing w:line="343" w:lineRule="auto"/>
              <w:ind w:left="127" w:right="201" w:hanging="19"/>
            </w:pPr>
            <w:r>
              <w:rPr>
                <w:spacing w:val="-1"/>
              </w:rPr>
              <w:t>风机风量约</w:t>
            </w:r>
            <w:r>
              <w:rPr>
                <w:rFonts w:ascii="Times New Roman" w:hAnsi="Times New Roman" w:eastAsia="Times New Roman" w:cs="Times New Roman"/>
                <w:spacing w:val="-1"/>
              </w:rPr>
              <w:t>10000m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/h</w:t>
            </w:r>
            <w:r>
              <w:rPr>
                <w:rFonts w:ascii="Times New Roman" w:hAnsi="Times New Roman" w:eastAsia="Times New Roman" w:cs="Times New Roman"/>
                <w:spacing w:val="-21"/>
              </w:rPr>
              <w:t xml:space="preserve"> </w:t>
            </w:r>
            <w:r>
              <w:rPr>
                <w:spacing w:val="-1"/>
              </w:rPr>
              <w:t>，粉尘被收集处理后经管道引至烘干机的排气筒形成混合废气一</w:t>
            </w:r>
            <w:r>
              <w:t xml:space="preserve"> </w:t>
            </w:r>
            <w:r>
              <w:rPr>
                <w:spacing w:val="-3"/>
              </w:rPr>
              <w:t>同排放。未能被收集的粉尘在车间内无组织排放。</w:t>
            </w:r>
          </w:p>
          <w:p w14:paraId="0E4158A2">
            <w:pPr>
              <w:pStyle w:val="6"/>
              <w:spacing w:before="21" w:line="351" w:lineRule="auto"/>
              <w:ind w:left="109" w:right="116" w:firstLine="419"/>
            </w:pPr>
            <w:r>
              <w:rPr>
                <w:spacing w:val="-3"/>
              </w:rPr>
              <w:t>经计算，造粒机粉尘经排气筒有组织排放量约</w:t>
            </w:r>
            <w:r>
              <w:rPr>
                <w:rFonts w:ascii="Times New Roman" w:hAnsi="Times New Roman" w:eastAsia="Times New Roman" w:cs="Times New Roman"/>
                <w:spacing w:val="-3"/>
              </w:rPr>
              <w:t>4.471t/a</w:t>
            </w:r>
            <w:r>
              <w:rPr>
                <w:spacing w:val="-3"/>
              </w:rPr>
              <w:t>（排放速率和排放浓度，在下</w:t>
            </w:r>
            <w:r>
              <w:rPr>
                <w:spacing w:val="16"/>
              </w:rPr>
              <w:t xml:space="preserve"> </w:t>
            </w:r>
            <w:r>
              <w:rPr>
                <w:spacing w:val="-1"/>
              </w:rPr>
              <w:t>文烘干粉尘一同计算）。无组织粉尘排放量约</w:t>
            </w:r>
            <w:r>
              <w:rPr>
                <w:rFonts w:ascii="Times New Roman" w:hAnsi="Times New Roman" w:eastAsia="Times New Roman" w:cs="Times New Roman"/>
                <w:spacing w:val="-1"/>
              </w:rPr>
              <w:t>0.301t/a</w:t>
            </w:r>
            <w:r>
              <w:rPr>
                <w:spacing w:val="-1"/>
              </w:rPr>
              <w:t>。</w:t>
            </w:r>
          </w:p>
          <w:p w14:paraId="17168D02">
            <w:pPr>
              <w:pStyle w:val="6"/>
              <w:spacing w:before="2" w:line="351" w:lineRule="auto"/>
              <w:ind w:left="111" w:right="44" w:firstLine="419"/>
            </w:pPr>
            <w:r>
              <w:rPr>
                <w:b/>
                <w:bCs/>
                <w:spacing w:val="-6"/>
              </w:rPr>
              <w:t>旋流喷淋塔介绍：</w:t>
            </w:r>
            <w:r>
              <w:rPr>
                <w:spacing w:val="-6"/>
              </w:rPr>
              <w:t>主要是利用离心分离、气液接触传质和喷淋洗涤的多重机制除尘，</w:t>
            </w:r>
            <w:r>
              <w:rPr>
                <w:spacing w:val="10"/>
              </w:rPr>
              <w:t xml:space="preserve"> </w:t>
            </w:r>
            <w:r>
              <w:rPr>
                <w:spacing w:val="-1"/>
              </w:rPr>
              <w:t>具有处理效率高、阻力低、适用性广等特点。</w:t>
            </w:r>
          </w:p>
          <w:p w14:paraId="7D55241B">
            <w:pPr>
              <w:pStyle w:val="6"/>
              <w:spacing w:line="287" w:lineRule="auto"/>
              <w:ind w:left="108" w:right="101" w:firstLine="427"/>
            </w:pPr>
            <w:r>
              <w:rPr>
                <w:spacing w:val="-1"/>
              </w:rPr>
              <w:t>喷淋塔内设置多层旋流板（通常为轴向型或径向型</w:t>
            </w:r>
            <w:r>
              <w:rPr>
                <w:spacing w:val="-6"/>
              </w:rPr>
              <w:t>），</w:t>
            </w:r>
            <w:r>
              <w:rPr>
                <w:spacing w:val="-1"/>
              </w:rPr>
              <w:t>板上有螺旋状叶片，迫使废</w:t>
            </w:r>
            <w:r>
              <w:t xml:space="preserve"> </w:t>
            </w:r>
            <w:r>
              <w:rPr>
                <w:spacing w:val="-5"/>
              </w:rPr>
              <w:t>气沿塔体轴线做高速旋转运动，形成强离心力场。当含尘废气通过旋流板时，</w:t>
            </w:r>
            <w:r>
              <w:rPr>
                <w:spacing w:val="45"/>
              </w:rPr>
              <w:t xml:space="preserve"> </w:t>
            </w:r>
            <w:r>
              <w:rPr>
                <w:spacing w:val="-5"/>
              </w:rPr>
              <w:t>粉尘颗粒</w:t>
            </w:r>
          </w:p>
        </w:tc>
      </w:tr>
    </w:tbl>
    <w:p w14:paraId="77747D5F">
      <w:pPr>
        <w:rPr>
          <w:rFonts w:ascii="Arial"/>
          <w:sz w:val="21"/>
        </w:rPr>
      </w:pPr>
    </w:p>
    <w:p w14:paraId="37E3CC73">
      <w:pPr>
        <w:rPr>
          <w:rFonts w:ascii="Arial" w:hAnsi="Arial" w:eastAsia="Arial" w:cs="Arial"/>
          <w:sz w:val="21"/>
          <w:szCs w:val="21"/>
        </w:rPr>
        <w:sectPr>
          <w:footerReference r:id="rId56" w:type="default"/>
          <w:pgSz w:w="11908" w:h="16840"/>
          <w:pgMar w:top="1431" w:right="1489" w:bottom="1053" w:left="1489" w:header="0" w:footer="801" w:gutter="0"/>
          <w:cols w:space="720" w:num="1"/>
        </w:sectPr>
      </w:pPr>
    </w:p>
    <w:p w14:paraId="3A8911D1">
      <w:pPr>
        <w:spacing w:before="28"/>
      </w:pPr>
    </w:p>
    <w:tbl>
      <w:tblPr>
        <w:tblStyle w:val="5"/>
        <w:tblW w:w="891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0"/>
        <w:gridCol w:w="8163"/>
      </w:tblGrid>
      <w:tr w14:paraId="2873B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51" w:hRule="atLeast"/>
        </w:trPr>
        <w:tc>
          <w:tcPr>
            <w:tcW w:w="750" w:type="dxa"/>
            <w:tcBorders>
              <w:top w:val="single" w:color="000000" w:sz="2" w:space="0"/>
              <w:right w:val="single" w:color="000000" w:sz="2" w:space="0"/>
            </w:tcBorders>
            <w:vAlign w:val="top"/>
          </w:tcPr>
          <w:p w14:paraId="4968509C">
            <w:pPr>
              <w:spacing w:line="251" w:lineRule="auto"/>
              <w:rPr>
                <w:rFonts w:ascii="Arial"/>
                <w:sz w:val="21"/>
              </w:rPr>
            </w:pPr>
          </w:p>
          <w:p w14:paraId="540312B0">
            <w:pPr>
              <w:spacing w:line="251" w:lineRule="auto"/>
              <w:rPr>
                <w:rFonts w:ascii="Arial"/>
                <w:sz w:val="21"/>
              </w:rPr>
            </w:pPr>
          </w:p>
          <w:p w14:paraId="75B436DE">
            <w:pPr>
              <w:spacing w:line="251" w:lineRule="auto"/>
              <w:rPr>
                <w:rFonts w:ascii="Arial"/>
                <w:sz w:val="21"/>
              </w:rPr>
            </w:pPr>
          </w:p>
          <w:p w14:paraId="5A7A67A3">
            <w:pPr>
              <w:spacing w:line="251" w:lineRule="auto"/>
              <w:rPr>
                <w:rFonts w:ascii="Arial"/>
                <w:sz w:val="21"/>
              </w:rPr>
            </w:pPr>
          </w:p>
          <w:p w14:paraId="79BD3533">
            <w:pPr>
              <w:spacing w:line="251" w:lineRule="auto"/>
              <w:rPr>
                <w:rFonts w:ascii="Arial"/>
                <w:sz w:val="21"/>
              </w:rPr>
            </w:pPr>
          </w:p>
          <w:p w14:paraId="45CACFE2">
            <w:pPr>
              <w:spacing w:line="251" w:lineRule="auto"/>
              <w:rPr>
                <w:rFonts w:ascii="Arial"/>
                <w:sz w:val="21"/>
              </w:rPr>
            </w:pPr>
          </w:p>
          <w:p w14:paraId="19C59745">
            <w:pPr>
              <w:spacing w:line="251" w:lineRule="auto"/>
              <w:rPr>
                <w:rFonts w:ascii="Arial"/>
                <w:sz w:val="21"/>
              </w:rPr>
            </w:pPr>
          </w:p>
          <w:p w14:paraId="3E396CF2">
            <w:pPr>
              <w:spacing w:line="251" w:lineRule="auto"/>
              <w:rPr>
                <w:rFonts w:ascii="Arial"/>
                <w:sz w:val="21"/>
              </w:rPr>
            </w:pPr>
          </w:p>
          <w:p w14:paraId="70690153">
            <w:pPr>
              <w:spacing w:line="251" w:lineRule="auto"/>
              <w:rPr>
                <w:rFonts w:ascii="Arial"/>
                <w:sz w:val="21"/>
              </w:rPr>
            </w:pPr>
          </w:p>
          <w:p w14:paraId="0F578F7A">
            <w:pPr>
              <w:spacing w:line="252" w:lineRule="auto"/>
              <w:rPr>
                <w:rFonts w:ascii="Arial"/>
                <w:sz w:val="21"/>
              </w:rPr>
            </w:pPr>
          </w:p>
          <w:p w14:paraId="205DA2DE">
            <w:pPr>
              <w:spacing w:line="252" w:lineRule="auto"/>
              <w:rPr>
                <w:rFonts w:ascii="Arial"/>
                <w:sz w:val="21"/>
              </w:rPr>
            </w:pPr>
          </w:p>
          <w:p w14:paraId="6A8DB309">
            <w:pPr>
              <w:spacing w:line="252" w:lineRule="auto"/>
              <w:rPr>
                <w:rFonts w:ascii="Arial"/>
                <w:sz w:val="21"/>
              </w:rPr>
            </w:pPr>
          </w:p>
          <w:p w14:paraId="2CEAAF9B">
            <w:pPr>
              <w:spacing w:line="252" w:lineRule="auto"/>
              <w:rPr>
                <w:rFonts w:ascii="Arial"/>
                <w:sz w:val="21"/>
              </w:rPr>
            </w:pPr>
          </w:p>
          <w:p w14:paraId="5A91B670">
            <w:pPr>
              <w:spacing w:line="252" w:lineRule="auto"/>
              <w:rPr>
                <w:rFonts w:ascii="Arial"/>
                <w:sz w:val="21"/>
              </w:rPr>
            </w:pPr>
          </w:p>
          <w:p w14:paraId="01B49072">
            <w:pPr>
              <w:spacing w:line="252" w:lineRule="auto"/>
              <w:rPr>
                <w:rFonts w:ascii="Arial"/>
                <w:sz w:val="21"/>
              </w:rPr>
            </w:pPr>
          </w:p>
          <w:p w14:paraId="2A293496">
            <w:pPr>
              <w:spacing w:line="252" w:lineRule="auto"/>
              <w:rPr>
                <w:rFonts w:ascii="Arial"/>
                <w:sz w:val="21"/>
              </w:rPr>
            </w:pPr>
          </w:p>
          <w:p w14:paraId="23489786">
            <w:pPr>
              <w:spacing w:line="252" w:lineRule="auto"/>
              <w:rPr>
                <w:rFonts w:ascii="Arial"/>
                <w:sz w:val="21"/>
              </w:rPr>
            </w:pPr>
          </w:p>
          <w:p w14:paraId="2A04213D">
            <w:pPr>
              <w:spacing w:line="252" w:lineRule="auto"/>
              <w:rPr>
                <w:rFonts w:ascii="Arial"/>
                <w:sz w:val="21"/>
              </w:rPr>
            </w:pPr>
          </w:p>
          <w:p w14:paraId="7B3B1B20">
            <w:pPr>
              <w:pStyle w:val="6"/>
              <w:spacing w:before="68" w:line="220" w:lineRule="auto"/>
              <w:ind w:left="162"/>
            </w:pPr>
            <w:r>
              <w:rPr>
                <w:b/>
                <w:bCs/>
                <w:spacing w:val="-4"/>
              </w:rPr>
              <w:t>运营</w:t>
            </w:r>
          </w:p>
          <w:p w14:paraId="215C5D7C">
            <w:pPr>
              <w:pStyle w:val="6"/>
              <w:spacing w:before="22" w:line="220" w:lineRule="auto"/>
              <w:ind w:left="164"/>
            </w:pPr>
            <w:r>
              <w:rPr>
                <w:b/>
                <w:bCs/>
                <w:spacing w:val="-5"/>
              </w:rPr>
              <w:t>期环</w:t>
            </w:r>
          </w:p>
          <w:p w14:paraId="6D8B87EB">
            <w:pPr>
              <w:pStyle w:val="6"/>
              <w:spacing w:before="22" w:line="220" w:lineRule="auto"/>
              <w:ind w:left="163"/>
            </w:pPr>
            <w:r>
              <w:rPr>
                <w:b/>
                <w:bCs/>
                <w:spacing w:val="-5"/>
              </w:rPr>
              <w:t>境影</w:t>
            </w:r>
          </w:p>
          <w:p w14:paraId="5614B098">
            <w:pPr>
              <w:pStyle w:val="6"/>
              <w:spacing w:before="22" w:line="222" w:lineRule="auto"/>
              <w:ind w:left="173"/>
            </w:pPr>
            <w:r>
              <w:rPr>
                <w:b/>
                <w:bCs/>
                <w:spacing w:val="-7"/>
              </w:rPr>
              <w:t>响和</w:t>
            </w:r>
          </w:p>
          <w:p w14:paraId="4AA1B63F">
            <w:pPr>
              <w:pStyle w:val="6"/>
              <w:spacing w:before="19" w:line="220" w:lineRule="auto"/>
              <w:ind w:left="163"/>
            </w:pPr>
            <w:r>
              <w:rPr>
                <w:b/>
                <w:bCs/>
                <w:spacing w:val="-5"/>
              </w:rPr>
              <w:t>保护</w:t>
            </w:r>
          </w:p>
          <w:p w14:paraId="44891F7B">
            <w:pPr>
              <w:pStyle w:val="6"/>
              <w:spacing w:before="22" w:line="220" w:lineRule="auto"/>
              <w:ind w:left="162"/>
            </w:pPr>
            <w:r>
              <w:rPr>
                <w:b/>
                <w:bCs/>
                <w:spacing w:val="-4"/>
              </w:rPr>
              <w:t>措施</w:t>
            </w:r>
          </w:p>
        </w:tc>
        <w:tc>
          <w:tcPr>
            <w:tcW w:w="8163" w:type="dxa"/>
            <w:tcBorders>
              <w:top w:val="single" w:color="000000" w:sz="2" w:space="0"/>
              <w:left w:val="single" w:color="000000" w:sz="2" w:space="0"/>
            </w:tcBorders>
            <w:vAlign w:val="top"/>
          </w:tcPr>
          <w:p w14:paraId="295146AB">
            <w:pPr>
              <w:pStyle w:val="6"/>
              <w:spacing w:before="143" w:line="349" w:lineRule="auto"/>
              <w:ind w:left="110" w:right="101" w:firstLine="13"/>
              <w:jc w:val="both"/>
            </w:pPr>
            <w:r>
              <w:rPr>
                <w:spacing w:val="-1"/>
              </w:rPr>
              <w:t>因离心力被甩向塔壁，与塔壁的水膜接触并被捕集（类似旋风除尘器原理</w:t>
            </w:r>
            <w:r>
              <w:rPr>
                <w:spacing w:val="-10"/>
              </w:rPr>
              <w:t>）；</w:t>
            </w:r>
            <w:r>
              <w:rPr>
                <w:spacing w:val="-1"/>
              </w:rPr>
              <w:t>粒径较大</w:t>
            </w:r>
            <w:r>
              <w:rPr>
                <w:spacing w:val="1"/>
              </w:rPr>
              <w:t xml:space="preserve"> </w:t>
            </w:r>
            <w:r>
              <w:rPr>
                <w:spacing w:val="-3"/>
              </w:rPr>
              <w:t>的粉尘（如≥</w:t>
            </w:r>
            <w:r>
              <w:rPr>
                <w:rFonts w:ascii="Times New Roman" w:hAnsi="Times New Roman" w:eastAsia="Times New Roman" w:cs="Times New Roman"/>
                <w:spacing w:val="-3"/>
              </w:rPr>
              <w:t xml:space="preserve">5 </w:t>
            </w:r>
            <w:r>
              <w:rPr>
                <w:spacing w:val="-3"/>
              </w:rPr>
              <w:t>μ</w:t>
            </w:r>
            <w:r>
              <w:rPr>
                <w:rFonts w:ascii="Times New Roman" w:hAnsi="Times New Roman" w:eastAsia="Times New Roman" w:cs="Times New Roman"/>
                <w:spacing w:val="-3"/>
              </w:rPr>
              <w:t>m</w:t>
            </w:r>
            <w:r>
              <w:rPr>
                <w:spacing w:val="-3"/>
              </w:rPr>
              <w:t>）直接撞击塔壁水膜后沉降至塔底，细粉尘（如</w:t>
            </w:r>
            <w:r>
              <w:rPr>
                <w:spacing w:val="41"/>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13"/>
                <w:w w:val="101"/>
              </w:rPr>
              <w:t xml:space="preserve"> </w:t>
            </w:r>
            <w:r>
              <w:rPr>
                <w:spacing w:val="-4"/>
              </w:rPr>
              <w:t>-</w:t>
            </w:r>
            <w:r>
              <w:rPr>
                <w:rFonts w:ascii="Times New Roman" w:hAnsi="Times New Roman" w:eastAsia="Times New Roman" w:cs="Times New Roman"/>
                <w:spacing w:val="-4"/>
              </w:rPr>
              <w:t xml:space="preserve">5 </w:t>
            </w:r>
            <w:r>
              <w:rPr>
                <w:spacing w:val="-4"/>
              </w:rPr>
              <w:t>μ</w:t>
            </w:r>
            <w:r>
              <w:rPr>
                <w:rFonts w:ascii="Times New Roman" w:hAnsi="Times New Roman" w:eastAsia="Times New Roman" w:cs="Times New Roman"/>
                <w:spacing w:val="-4"/>
              </w:rPr>
              <w:t>m</w:t>
            </w:r>
            <w:r>
              <w:rPr>
                <w:spacing w:val="-4"/>
              </w:rPr>
              <w:t>）则在后</w:t>
            </w:r>
            <w:r>
              <w:t xml:space="preserve"> </w:t>
            </w:r>
            <w:r>
              <w:rPr>
                <w:spacing w:val="-4"/>
              </w:rPr>
              <w:t>续喷淋层进一步净化。</w:t>
            </w:r>
          </w:p>
          <w:p w14:paraId="39DAC876">
            <w:pPr>
              <w:pStyle w:val="6"/>
              <w:spacing w:before="10" w:line="234" w:lineRule="auto"/>
              <w:ind w:left="535"/>
            </w:pPr>
            <w:r>
              <w:rPr>
                <w:b/>
                <w:bCs/>
                <w:spacing w:val="-4"/>
              </w:rPr>
              <w:t>（</w:t>
            </w:r>
            <w:r>
              <w:rPr>
                <w:rFonts w:ascii="Times New Roman" w:hAnsi="Times New Roman" w:eastAsia="Times New Roman" w:cs="Times New Roman"/>
                <w:b/>
                <w:bCs/>
                <w:spacing w:val="-4"/>
              </w:rPr>
              <w:t>2</w:t>
            </w:r>
            <w:r>
              <w:rPr>
                <w:b/>
                <w:bCs/>
                <w:spacing w:val="-4"/>
              </w:rPr>
              <w:t>）热风炉烟气</w:t>
            </w:r>
          </w:p>
          <w:p w14:paraId="13865B50">
            <w:pPr>
              <w:pStyle w:val="6"/>
              <w:spacing w:before="134" w:line="351" w:lineRule="auto"/>
              <w:ind w:left="106" w:right="43" w:firstLine="423"/>
              <w:jc w:val="both"/>
            </w:pPr>
            <w:r>
              <w:t>查阅《排污许可证申请与核发技术规范 工业炉窑》（</w:t>
            </w:r>
            <w:r>
              <w:rPr>
                <w:rFonts w:ascii="Times New Roman" w:hAnsi="Times New Roman" w:eastAsia="Times New Roman" w:cs="Times New Roman"/>
              </w:rPr>
              <w:t>HJ</w:t>
            </w:r>
            <w:r>
              <w:rPr>
                <w:rFonts w:ascii="Times New Roman" w:hAnsi="Times New Roman" w:eastAsia="Times New Roman" w:cs="Times New Roman"/>
                <w:spacing w:val="-1"/>
              </w:rPr>
              <w:t>1121—2020</w:t>
            </w:r>
            <w:r>
              <w:t>），</w:t>
            </w:r>
            <w:r>
              <w:rPr>
                <w:spacing w:val="-1"/>
              </w:rPr>
              <w:t>“工业炉</w:t>
            </w:r>
            <w:r>
              <w:t xml:space="preserve">  </w:t>
            </w:r>
            <w:r>
              <w:rPr>
                <w:spacing w:val="-1"/>
              </w:rPr>
              <w:t>窑排污单位废气污染物实际排放量的核算方法包括实测法、物料衡算法和产排污系数法</w:t>
            </w:r>
            <w:r>
              <w:t xml:space="preserve"> </w:t>
            </w:r>
            <w:r>
              <w:rPr>
                <w:spacing w:val="-5"/>
              </w:rPr>
              <w:t>等。”本项目为新建项目无法采取实测法，因此拟采用物料衡算法核算二氧化硫排放量，</w:t>
            </w:r>
            <w:r>
              <w:rPr>
                <w:spacing w:val="6"/>
              </w:rPr>
              <w:t xml:space="preserve"> </w:t>
            </w:r>
            <w:r>
              <w:rPr>
                <w:spacing w:val="-2"/>
              </w:rPr>
              <w:t>采用产污系数法核算烟尘和氮氧化物的排放量。</w:t>
            </w:r>
          </w:p>
          <w:p w14:paraId="7F81AD75">
            <w:pPr>
              <w:pStyle w:val="6"/>
              <w:spacing w:before="41" w:line="214" w:lineRule="auto"/>
              <w:ind w:left="521"/>
              <w:rPr>
                <w:rFonts w:ascii="Times New Roman" w:hAnsi="Times New Roman" w:eastAsia="Times New Roman" w:cs="Times New Roman"/>
                <w:sz w:val="14"/>
                <w:szCs w:val="14"/>
              </w:rPr>
            </w:pPr>
            <w:r>
              <w:rPr>
                <w:rFonts w:ascii="Times New Roman" w:hAnsi="Times New Roman" w:eastAsia="Times New Roman" w:cs="Times New Roman"/>
                <w:spacing w:val="-6"/>
              </w:rPr>
              <w:t>A</w:t>
            </w:r>
            <w:r>
              <w:rPr>
                <w:rFonts w:ascii="Times New Roman" w:hAnsi="Times New Roman" w:eastAsia="Times New Roman" w:cs="Times New Roman"/>
                <w:spacing w:val="-27"/>
              </w:rPr>
              <w:t xml:space="preserve"> </w:t>
            </w:r>
            <w:r>
              <w:rPr>
                <w:spacing w:val="-6"/>
              </w:rPr>
              <w:t>、</w:t>
            </w:r>
            <w:r>
              <w:rPr>
                <w:rFonts w:ascii="Times New Roman" w:hAnsi="Times New Roman" w:eastAsia="Times New Roman" w:cs="Times New Roman"/>
                <w:spacing w:val="-6"/>
              </w:rPr>
              <w:t>SO</w:t>
            </w:r>
            <w:r>
              <w:rPr>
                <w:rFonts w:ascii="Times New Roman" w:hAnsi="Times New Roman" w:eastAsia="Times New Roman" w:cs="Times New Roman"/>
                <w:spacing w:val="-6"/>
                <w:position w:val="-1"/>
                <w:sz w:val="14"/>
                <w:szCs w:val="14"/>
              </w:rPr>
              <w:t>2</w:t>
            </w:r>
          </w:p>
          <w:p w14:paraId="073F5958">
            <w:pPr>
              <w:pStyle w:val="6"/>
              <w:spacing w:before="118" w:line="310" w:lineRule="auto"/>
              <w:ind w:left="107" w:right="101" w:firstLine="445"/>
              <w:jc w:val="both"/>
            </w:pPr>
            <w:r>
              <w:rPr>
                <w:spacing w:val="-3"/>
              </w:rPr>
              <w:t>由于无法获取生物质成型燃料燃烧后炉灰中</w:t>
            </w:r>
            <w:r>
              <w:rPr>
                <w:spacing w:val="-4"/>
              </w:rPr>
              <w:t>的含硫率，本次环评按所有硫元素</w:t>
            </w:r>
            <w:r>
              <w:rPr>
                <w:rFonts w:ascii="Times New Roman" w:hAnsi="Times New Roman" w:eastAsia="Times New Roman" w:cs="Times New Roman"/>
                <w:spacing w:val="-4"/>
              </w:rPr>
              <w:t>100%</w:t>
            </w:r>
            <w:r>
              <w:rPr>
                <w:rFonts w:ascii="Times New Roman" w:hAnsi="Times New Roman" w:eastAsia="Times New Roman" w:cs="Times New Roman"/>
              </w:rPr>
              <w:t xml:space="preserve"> </w:t>
            </w:r>
            <w:r>
              <w:rPr>
                <w:spacing w:val="-1"/>
              </w:rPr>
              <w:t xml:space="preserve">转换为二氧化硫考虑。参考《污染源源强核算技术指南 锅炉》 </w:t>
            </w:r>
            <w:r>
              <w:rPr>
                <w:rFonts w:ascii="Times New Roman" w:hAnsi="Times New Roman" w:eastAsia="Times New Roman" w:cs="Times New Roman"/>
                <w:spacing w:val="-1"/>
              </w:rPr>
              <w:t>(HJ 991-2018</w:t>
            </w:r>
            <w:r>
              <w:rPr>
                <w:rFonts w:hint="eastAsia" w:ascii="Times New Roman" w:hAnsi="Times New Roman" w:eastAsia="宋体" w:cs="Times New Roman"/>
                <w:spacing w:val="-1"/>
                <w:lang w:eastAsia="zh-CN"/>
              </w:rPr>
              <w:t>）</w:t>
            </w:r>
            <w:r>
              <w:rPr>
                <w:spacing w:val="-1"/>
              </w:rPr>
              <w:t>中</w:t>
            </w:r>
            <w:r>
              <w:rPr>
                <w:rFonts w:ascii="Times New Roman" w:hAnsi="Times New Roman" w:eastAsia="Times New Roman" w:cs="Times New Roman"/>
                <w:spacing w:val="-1"/>
              </w:rPr>
              <w:t>SO</w:t>
            </w:r>
            <w:r>
              <w:rPr>
                <w:rFonts w:ascii="Times New Roman" w:hAnsi="Times New Roman" w:eastAsia="Times New Roman" w:cs="Times New Roman"/>
                <w:spacing w:val="-1"/>
                <w:position w:val="-2"/>
                <w:sz w:val="14"/>
                <w:szCs w:val="14"/>
              </w:rPr>
              <w:t>2</w:t>
            </w:r>
            <w:r>
              <w:rPr>
                <w:rFonts w:ascii="Times New Roman" w:hAnsi="Times New Roman" w:eastAsia="Times New Roman" w:cs="Times New Roman"/>
                <w:spacing w:val="2"/>
                <w:position w:val="-2"/>
                <w:sz w:val="14"/>
                <w:szCs w:val="14"/>
              </w:rPr>
              <w:t xml:space="preserve"> </w:t>
            </w:r>
            <w:r>
              <w:rPr>
                <w:spacing w:val="-1"/>
              </w:rPr>
              <w:t>的</w:t>
            </w:r>
            <w:r>
              <w:t xml:space="preserve"> </w:t>
            </w:r>
            <w:r>
              <w:rPr>
                <w:spacing w:val="-1"/>
              </w:rPr>
              <w:t>物料衡算法计算公式：</w:t>
            </w:r>
          </w:p>
          <w:p w14:paraId="7084BEB9">
            <w:pPr>
              <w:spacing w:line="831" w:lineRule="exact"/>
              <w:ind w:firstLine="1667"/>
            </w:pPr>
            <w:r>
              <w:rPr>
                <w:position w:val="-16"/>
              </w:rPr>
              <w:drawing>
                <wp:inline distT="0" distB="0" distL="0" distR="0">
                  <wp:extent cx="3056255" cy="5276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89"/>
                          <a:stretch>
                            <a:fillRect/>
                          </a:stretch>
                        </pic:blipFill>
                        <pic:spPr>
                          <a:xfrm>
                            <a:off x="0" y="0"/>
                            <a:ext cx="3056889" cy="527685"/>
                          </a:xfrm>
                          <a:prstGeom prst="rect">
                            <a:avLst/>
                          </a:prstGeom>
                        </pic:spPr>
                      </pic:pic>
                    </a:graphicData>
                  </a:graphic>
                </wp:inline>
              </w:drawing>
            </w:r>
          </w:p>
          <w:p w14:paraId="236BD1C8">
            <w:pPr>
              <w:pStyle w:val="6"/>
              <w:spacing w:before="141" w:line="221" w:lineRule="auto"/>
              <w:ind w:left="531"/>
              <w:rPr>
                <w:rFonts w:ascii="Times New Roman" w:hAnsi="Times New Roman" w:eastAsia="Times New Roman" w:cs="Times New Roman"/>
              </w:rPr>
            </w:pPr>
            <w:r>
              <w:rPr>
                <w:spacing w:val="-1"/>
              </w:rPr>
              <w:t>式中</w:t>
            </w:r>
            <w:r>
              <w:rPr>
                <w:rFonts w:hint="eastAsia"/>
                <w:spacing w:val="-1"/>
                <w:lang w:eastAsia="zh-CN"/>
              </w:rPr>
              <w:t>：</w:t>
            </w:r>
            <w:r>
              <w:rPr>
                <w:rFonts w:ascii="Times New Roman" w:hAnsi="Times New Roman" w:eastAsia="Times New Roman" w:cs="Times New Roman"/>
                <w:spacing w:val="-1"/>
              </w:rPr>
              <w:t>E</w:t>
            </w:r>
            <w:r>
              <w:rPr>
                <w:rFonts w:ascii="Times New Roman" w:hAnsi="Times New Roman" w:eastAsia="Times New Roman" w:cs="Times New Roman"/>
                <w:spacing w:val="-1"/>
                <w:position w:val="-1"/>
                <w:sz w:val="14"/>
                <w:szCs w:val="14"/>
              </w:rPr>
              <w:t>SO2</w:t>
            </w:r>
            <w:r>
              <w:rPr>
                <w:rFonts w:ascii="Times New Roman" w:hAnsi="Times New Roman" w:eastAsia="Times New Roman" w:cs="Times New Roman"/>
                <w:spacing w:val="-1"/>
              </w:rPr>
              <w:t>-</w:t>
            </w:r>
            <w:r>
              <w:rPr>
                <w:rFonts w:hint="eastAsia" w:ascii="Times New Roman" w:hAnsi="Times New Roman" w:eastAsia="宋体" w:cs="Times New Roman"/>
                <w:spacing w:val="-1"/>
                <w:lang w:eastAsia="zh-CN"/>
              </w:rPr>
              <w:t>－</w:t>
            </w:r>
            <w:r>
              <w:rPr>
                <w:spacing w:val="-1"/>
              </w:rPr>
              <w:t>核算时段内二氧化硫排放量，</w:t>
            </w:r>
            <w:r>
              <w:rPr>
                <w:rFonts w:ascii="Times New Roman" w:hAnsi="Times New Roman" w:eastAsia="Times New Roman" w:cs="Times New Roman"/>
                <w:spacing w:val="-1"/>
              </w:rPr>
              <w:t>t;</w:t>
            </w:r>
          </w:p>
          <w:p w14:paraId="4047274C">
            <w:pPr>
              <w:pStyle w:val="6"/>
              <w:spacing w:before="148" w:line="221" w:lineRule="auto"/>
              <w:ind w:left="943"/>
              <w:rPr>
                <w:rFonts w:ascii="Times New Roman" w:hAnsi="Times New Roman" w:eastAsia="Times New Roman" w:cs="Times New Roman"/>
              </w:rPr>
            </w:pPr>
            <w:r>
              <w:rPr>
                <w:rFonts w:ascii="Times New Roman" w:hAnsi="Times New Roman" w:eastAsia="Times New Roman" w:cs="Times New Roman"/>
                <w:spacing w:val="-1"/>
              </w:rPr>
              <w:t>R-</w:t>
            </w:r>
            <w:r>
              <w:rPr>
                <w:rFonts w:hint="eastAsia" w:ascii="Times New Roman" w:hAnsi="Times New Roman" w:eastAsia="宋体" w:cs="Times New Roman"/>
                <w:spacing w:val="-1"/>
                <w:lang w:eastAsia="zh-CN"/>
              </w:rPr>
              <w:t>－</w:t>
            </w:r>
            <w:r>
              <w:rPr>
                <w:spacing w:val="-1"/>
              </w:rPr>
              <w:t>核算时段内锅炉燃料耗量，</w:t>
            </w:r>
            <w:r>
              <w:rPr>
                <w:rFonts w:ascii="Times New Roman" w:hAnsi="Times New Roman" w:eastAsia="Times New Roman" w:cs="Times New Roman"/>
                <w:spacing w:val="-1"/>
              </w:rPr>
              <w:t>t;</w:t>
            </w:r>
          </w:p>
          <w:p w14:paraId="7EC2912A">
            <w:pPr>
              <w:pStyle w:val="6"/>
              <w:spacing w:before="150" w:line="226" w:lineRule="auto"/>
              <w:ind w:left="952"/>
              <w:rPr>
                <w:rFonts w:ascii="Times New Roman" w:hAnsi="Times New Roman" w:eastAsia="Times New Roman" w:cs="Times New Roman"/>
              </w:rPr>
            </w:pPr>
            <w:r>
              <w:rPr>
                <w:rFonts w:ascii="Times New Roman" w:hAnsi="Times New Roman" w:eastAsia="Times New Roman" w:cs="Times New Roman"/>
                <w:spacing w:val="-1"/>
              </w:rPr>
              <w:t>S</w:t>
            </w:r>
            <w:r>
              <w:rPr>
                <w:rFonts w:ascii="Times New Roman" w:hAnsi="Times New Roman" w:eastAsia="Times New Roman" w:cs="Times New Roman"/>
                <w:spacing w:val="-1"/>
                <w:position w:val="-1"/>
                <w:sz w:val="14"/>
                <w:szCs w:val="14"/>
              </w:rPr>
              <w:t>ar</w:t>
            </w:r>
            <w:r>
              <w:rPr>
                <w:rFonts w:ascii="Times New Roman" w:hAnsi="Times New Roman" w:eastAsia="Times New Roman" w:cs="Times New Roman"/>
                <w:spacing w:val="-1"/>
              </w:rPr>
              <w:t>—</w:t>
            </w:r>
            <w:r>
              <w:rPr>
                <w:spacing w:val="-1"/>
              </w:rPr>
              <w:t>收到基硫的质量分数，</w:t>
            </w:r>
            <w:r>
              <w:rPr>
                <w:rFonts w:ascii="Times New Roman" w:hAnsi="Times New Roman" w:eastAsia="Times New Roman" w:cs="Times New Roman"/>
                <w:spacing w:val="-1"/>
              </w:rPr>
              <w:t>%;</w:t>
            </w:r>
          </w:p>
          <w:p w14:paraId="2F40787C">
            <w:pPr>
              <w:pStyle w:val="6"/>
              <w:spacing w:before="142" w:line="217" w:lineRule="auto"/>
              <w:ind w:left="946"/>
              <w:rPr>
                <w:rFonts w:ascii="Times New Roman" w:hAnsi="Times New Roman" w:eastAsia="Times New Roman" w:cs="Times New Roman"/>
              </w:rPr>
            </w:pPr>
            <w:r>
              <w:rPr>
                <w:rFonts w:ascii="Times New Roman" w:hAnsi="Times New Roman" w:eastAsia="Times New Roman" w:cs="Times New Roman"/>
              </w:rPr>
              <w:t>q</w:t>
            </w:r>
            <w:r>
              <w:rPr>
                <w:rFonts w:ascii="Times New Roman" w:hAnsi="Times New Roman" w:eastAsia="Times New Roman" w:cs="Times New Roman"/>
                <w:position w:val="-1"/>
                <w:sz w:val="14"/>
                <w:szCs w:val="14"/>
              </w:rPr>
              <w:t>4</w:t>
            </w:r>
            <w:r>
              <w:rPr>
                <w:rFonts w:ascii="Times New Roman" w:hAnsi="Times New Roman" w:eastAsia="Times New Roman" w:cs="Times New Roman"/>
              </w:rPr>
              <w:t>—</w:t>
            </w:r>
            <w:r>
              <w:t>锅炉机械不完全燃烧热损失，</w:t>
            </w:r>
            <w:r>
              <w:rPr>
                <w:rFonts w:ascii="Times New Roman" w:hAnsi="Times New Roman" w:eastAsia="Times New Roman" w:cs="Times New Roman"/>
              </w:rPr>
              <w:t>%</w:t>
            </w:r>
          </w:p>
          <w:p w14:paraId="15E8A24A">
            <w:pPr>
              <w:pStyle w:val="6"/>
              <w:spacing w:before="152" w:line="213" w:lineRule="auto"/>
              <w:ind w:left="943"/>
              <w:rPr>
                <w:rFonts w:ascii="Times New Roman" w:hAnsi="Times New Roman" w:eastAsia="Times New Roman" w:cs="Times New Roman"/>
              </w:rPr>
            </w:pPr>
            <w:r>
              <w:rPr>
                <w:rFonts w:ascii="Times New Roman" w:hAnsi="Times New Roman" w:eastAsia="Times New Roman" w:cs="Times New Roman"/>
                <w:spacing w:val="-1"/>
              </w:rPr>
              <w:t>Ƞ</w:t>
            </w:r>
            <w:r>
              <w:rPr>
                <w:rFonts w:ascii="Times New Roman" w:hAnsi="Times New Roman" w:eastAsia="Times New Roman" w:cs="Times New Roman"/>
                <w:spacing w:val="-1"/>
                <w:position w:val="-1"/>
                <w:sz w:val="14"/>
                <w:szCs w:val="14"/>
              </w:rPr>
              <w:t>S</w:t>
            </w:r>
            <w:r>
              <w:rPr>
                <w:rFonts w:ascii="Times New Roman" w:hAnsi="Times New Roman" w:eastAsia="Times New Roman" w:cs="Times New Roman"/>
                <w:spacing w:val="-1"/>
              </w:rPr>
              <w:t>--</w:t>
            </w:r>
            <w:r>
              <w:rPr>
                <w:spacing w:val="-1"/>
              </w:rPr>
              <w:t>脱硫效率，</w:t>
            </w:r>
            <w:r>
              <w:rPr>
                <w:rFonts w:ascii="Times New Roman" w:hAnsi="Times New Roman" w:eastAsia="Times New Roman" w:cs="Times New Roman"/>
                <w:spacing w:val="-1"/>
              </w:rPr>
              <w:t>%;</w:t>
            </w:r>
          </w:p>
          <w:p w14:paraId="2C990F4A">
            <w:pPr>
              <w:pStyle w:val="6"/>
              <w:spacing w:before="159" w:line="219" w:lineRule="auto"/>
              <w:ind w:left="943"/>
            </w:pPr>
            <w:r>
              <w:rPr>
                <w:rFonts w:ascii="Times New Roman" w:hAnsi="Times New Roman" w:eastAsia="Times New Roman" w:cs="Times New Roman"/>
                <w:spacing w:val="-2"/>
              </w:rPr>
              <w:t>K-</w:t>
            </w:r>
            <w:r>
              <w:rPr>
                <w:rFonts w:hint="eastAsia" w:ascii="Times New Roman" w:hAnsi="Times New Roman" w:eastAsia="宋体" w:cs="Times New Roman"/>
                <w:spacing w:val="-2"/>
                <w:lang w:eastAsia="zh-CN"/>
              </w:rPr>
              <w:t>－</w:t>
            </w:r>
            <w:r>
              <w:rPr>
                <w:spacing w:val="-2"/>
              </w:rPr>
              <w:t>燃料中的硫燃烧后氧化成二氧化硫的份额，量纲一的量；</w:t>
            </w:r>
          </w:p>
          <w:p w14:paraId="7703D646">
            <w:pPr>
              <w:pStyle w:val="6"/>
              <w:spacing w:before="151" w:line="349" w:lineRule="auto"/>
              <w:ind w:left="109" w:right="26" w:firstLine="419"/>
            </w:pPr>
            <w:r>
              <w:rPr>
                <w:spacing w:val="-3"/>
              </w:rPr>
              <w:t>上式取值：</w:t>
            </w:r>
            <w:r>
              <w:rPr>
                <w:rFonts w:ascii="Times New Roman" w:hAnsi="Times New Roman" w:eastAsia="Times New Roman" w:cs="Times New Roman"/>
                <w:spacing w:val="-3"/>
              </w:rPr>
              <w:t>R</w:t>
            </w:r>
            <w:r>
              <w:rPr>
                <w:spacing w:val="-3"/>
              </w:rPr>
              <w:t>取值</w:t>
            </w:r>
            <w:r>
              <w:rPr>
                <w:rFonts w:ascii="Times New Roman" w:hAnsi="Times New Roman" w:eastAsia="Times New Roman" w:cs="Times New Roman"/>
                <w:spacing w:val="-3"/>
              </w:rPr>
              <w:t>2366t</w:t>
            </w:r>
            <w:r>
              <w:rPr>
                <w:rFonts w:ascii="Times New Roman" w:hAnsi="Times New Roman" w:eastAsia="Times New Roman" w:cs="Times New Roman"/>
                <w:spacing w:val="-22"/>
              </w:rPr>
              <w:t xml:space="preserve"> </w:t>
            </w:r>
            <w:r>
              <w:rPr>
                <w:spacing w:val="-3"/>
              </w:rPr>
              <w:t>。</w:t>
            </w:r>
            <w:r>
              <w:rPr>
                <w:rFonts w:ascii="Times New Roman" w:hAnsi="Times New Roman" w:eastAsia="Times New Roman" w:cs="Times New Roman"/>
                <w:spacing w:val="-3"/>
              </w:rPr>
              <w:t>q</w:t>
            </w:r>
            <w:r>
              <w:rPr>
                <w:rFonts w:ascii="Times New Roman" w:hAnsi="Times New Roman" w:eastAsia="Times New Roman" w:cs="Times New Roman"/>
                <w:spacing w:val="-3"/>
                <w:position w:val="-2"/>
                <w:sz w:val="14"/>
                <w:szCs w:val="14"/>
              </w:rPr>
              <w:t>4</w:t>
            </w:r>
            <w:r>
              <w:rPr>
                <w:spacing w:val="-3"/>
              </w:rPr>
              <w:t>取值为</w:t>
            </w:r>
            <w:r>
              <w:rPr>
                <w:rFonts w:ascii="Times New Roman" w:hAnsi="Times New Roman" w:eastAsia="Times New Roman" w:cs="Times New Roman"/>
                <w:spacing w:val="-3"/>
              </w:rPr>
              <w:t>0</w:t>
            </w:r>
            <w:r>
              <w:rPr>
                <w:rFonts w:ascii="Times New Roman" w:hAnsi="Times New Roman" w:eastAsia="Times New Roman" w:cs="Times New Roman"/>
                <w:spacing w:val="-31"/>
              </w:rPr>
              <w:t xml:space="preserve"> </w:t>
            </w:r>
            <w:r>
              <w:rPr>
                <w:spacing w:val="-3"/>
              </w:rPr>
              <w:t>、脱硫效率</w:t>
            </w:r>
            <w:r>
              <w:rPr>
                <w:rFonts w:ascii="Times New Roman" w:hAnsi="Times New Roman" w:eastAsia="Times New Roman" w:cs="Times New Roman"/>
                <w:spacing w:val="-3"/>
              </w:rPr>
              <w:t>Ƞ</w:t>
            </w:r>
            <w:r>
              <w:rPr>
                <w:rFonts w:ascii="Times New Roman" w:hAnsi="Times New Roman" w:eastAsia="Times New Roman" w:cs="Times New Roman"/>
                <w:spacing w:val="-3"/>
                <w:position w:val="-2"/>
                <w:sz w:val="14"/>
                <w:szCs w:val="14"/>
              </w:rPr>
              <w:t>S</w:t>
            </w:r>
            <w:r>
              <w:rPr>
                <w:spacing w:val="-3"/>
              </w:rPr>
              <w:t>取值为</w:t>
            </w:r>
            <w:r>
              <w:rPr>
                <w:rFonts w:ascii="Times New Roman" w:hAnsi="Times New Roman" w:eastAsia="Times New Roman" w:cs="Times New Roman"/>
                <w:spacing w:val="-3"/>
              </w:rPr>
              <w:t>0</w:t>
            </w:r>
            <w:r>
              <w:rPr>
                <w:rFonts w:ascii="Times New Roman" w:hAnsi="Times New Roman" w:eastAsia="Times New Roman" w:cs="Times New Roman"/>
                <w:spacing w:val="-26"/>
              </w:rPr>
              <w:t xml:space="preserve"> </w:t>
            </w:r>
            <w:r>
              <w:rPr>
                <w:spacing w:val="-3"/>
              </w:rPr>
              <w:t>，</w:t>
            </w:r>
            <w:r>
              <w:rPr>
                <w:rFonts w:ascii="Times New Roman" w:hAnsi="Times New Roman" w:eastAsia="Times New Roman" w:cs="Times New Roman"/>
                <w:spacing w:val="-3"/>
              </w:rPr>
              <w:t>K</w:t>
            </w:r>
            <w:r>
              <w:rPr>
                <w:spacing w:val="-3"/>
              </w:rPr>
              <w:t>值参考其附录</w:t>
            </w:r>
            <w:r>
              <w:rPr>
                <w:rFonts w:ascii="Times New Roman" w:hAnsi="Times New Roman" w:eastAsia="Times New Roman" w:cs="Times New Roman"/>
                <w:spacing w:val="-3"/>
              </w:rPr>
              <w:t>B</w:t>
            </w:r>
            <w:r>
              <w:rPr>
                <w:spacing w:val="-3"/>
              </w:rPr>
              <w:t>取</w:t>
            </w:r>
            <w:r>
              <w:rPr>
                <w:rFonts w:ascii="Times New Roman" w:hAnsi="Times New Roman" w:eastAsia="Times New Roman" w:cs="Times New Roman"/>
                <w:spacing w:val="-3"/>
              </w:rPr>
              <w:t>1.0</w:t>
            </w:r>
            <w:r>
              <w:rPr>
                <w:spacing w:val="-3"/>
              </w:rPr>
              <w:t>。</w:t>
            </w:r>
            <w:r>
              <w:t xml:space="preserve"> </w:t>
            </w:r>
            <w:r>
              <w:rPr>
                <w:spacing w:val="-1"/>
              </w:rPr>
              <w:t>生物质成型燃料含硫量</w:t>
            </w:r>
            <w:r>
              <w:rPr>
                <w:rFonts w:ascii="Times New Roman" w:hAnsi="Times New Roman" w:eastAsia="Times New Roman" w:cs="Times New Roman"/>
                <w:spacing w:val="-1"/>
              </w:rPr>
              <w:t>0.01%</w:t>
            </w:r>
            <w:r>
              <w:rPr>
                <w:spacing w:val="-1"/>
              </w:rPr>
              <w:t>。</w:t>
            </w:r>
          </w:p>
          <w:p w14:paraId="73029A90">
            <w:pPr>
              <w:pStyle w:val="6"/>
              <w:spacing w:before="6" w:line="238" w:lineRule="auto"/>
              <w:ind w:left="529"/>
            </w:pPr>
            <w:r>
              <w:rPr>
                <w:spacing w:val="-1"/>
              </w:rPr>
              <w:t>经计算，热风炉烟气中</w:t>
            </w:r>
            <w:r>
              <w:rPr>
                <w:rFonts w:ascii="Times New Roman" w:hAnsi="Times New Roman" w:eastAsia="Times New Roman" w:cs="Times New Roman"/>
                <w:spacing w:val="-1"/>
              </w:rPr>
              <w:t>SO</w:t>
            </w:r>
            <w:r>
              <w:rPr>
                <w:rFonts w:ascii="Times New Roman" w:hAnsi="Times New Roman" w:eastAsia="Times New Roman" w:cs="Times New Roman"/>
                <w:spacing w:val="-1"/>
                <w:position w:val="-2"/>
                <w:sz w:val="14"/>
                <w:szCs w:val="14"/>
              </w:rPr>
              <w:t>2</w:t>
            </w:r>
            <w:r>
              <w:rPr>
                <w:spacing w:val="-1"/>
              </w:rPr>
              <w:t>排放量约</w:t>
            </w:r>
            <w:r>
              <w:rPr>
                <w:rFonts w:ascii="Times New Roman" w:hAnsi="Times New Roman" w:eastAsia="Times New Roman" w:cs="Times New Roman"/>
                <w:spacing w:val="-1"/>
              </w:rPr>
              <w:t>0.473t/a</w:t>
            </w:r>
            <w:r>
              <w:rPr>
                <w:spacing w:val="-1"/>
              </w:rPr>
              <w:t>。</w:t>
            </w:r>
          </w:p>
          <w:p w14:paraId="74C9D01D">
            <w:pPr>
              <w:pStyle w:val="6"/>
              <w:spacing w:before="129" w:line="219" w:lineRule="auto"/>
              <w:ind w:left="523"/>
            </w:pPr>
            <w:r>
              <w:rPr>
                <w:rFonts w:ascii="Times New Roman" w:hAnsi="Times New Roman" w:eastAsia="Times New Roman" w:cs="Times New Roman"/>
                <w:spacing w:val="-3"/>
              </w:rPr>
              <w:t>B</w:t>
            </w:r>
            <w:r>
              <w:rPr>
                <w:rFonts w:ascii="Times New Roman" w:hAnsi="Times New Roman" w:eastAsia="Times New Roman" w:cs="Times New Roman"/>
                <w:spacing w:val="-29"/>
              </w:rPr>
              <w:t xml:space="preserve"> </w:t>
            </w:r>
            <w:r>
              <w:rPr>
                <w:spacing w:val="-3"/>
              </w:rPr>
              <w:t>、烟尘和氮氧化物</w:t>
            </w:r>
          </w:p>
          <w:p w14:paraId="03BCD010">
            <w:pPr>
              <w:pStyle w:val="6"/>
              <w:spacing w:before="150" w:line="350" w:lineRule="auto"/>
              <w:ind w:left="108" w:right="110" w:firstLine="435"/>
            </w:pPr>
            <w:r>
              <w:rPr>
                <w:spacing w:val="-1"/>
              </w:rPr>
              <w:t>因《未纳入排污许可管理行业适用的排污系数、物料衡算方法</w:t>
            </w:r>
            <w:r>
              <w:rPr>
                <w:rFonts w:hint="eastAsia"/>
                <w:spacing w:val="-1"/>
                <w:lang w:eastAsia="zh-CN"/>
              </w:rPr>
              <w:t>（</w:t>
            </w:r>
            <w:r>
              <w:rPr>
                <w:spacing w:val="-1"/>
              </w:rPr>
              <w:t>试行</w:t>
            </w:r>
            <w:r>
              <w:rPr>
                <w:rFonts w:hint="eastAsia"/>
                <w:spacing w:val="-1"/>
                <w:lang w:eastAsia="zh-CN"/>
              </w:rPr>
              <w:t>）</w:t>
            </w:r>
            <w:r>
              <w:rPr>
                <w:spacing w:val="-1"/>
              </w:rPr>
              <w:t>》中无生物质</w:t>
            </w:r>
            <w:r>
              <w:rPr>
                <w:spacing w:val="12"/>
              </w:rPr>
              <w:t xml:space="preserve"> </w:t>
            </w:r>
            <w:r>
              <w:rPr>
                <w:spacing w:val="-1"/>
              </w:rPr>
              <w:t>燃料排污系数，故本项目氮氧化物、烟尘排污系数参照《排放源</w:t>
            </w:r>
            <w:r>
              <w:rPr>
                <w:spacing w:val="-2"/>
              </w:rPr>
              <w:t>统计调查产排污核算方</w:t>
            </w:r>
            <w:r>
              <w:t xml:space="preserve"> </w:t>
            </w:r>
            <w:r>
              <w:rPr>
                <w:spacing w:val="-1"/>
              </w:rPr>
              <w:t>法和系数手册》</w:t>
            </w:r>
            <w:r>
              <w:rPr>
                <w:rFonts w:ascii="Times New Roman" w:hAnsi="Times New Roman" w:eastAsia="Times New Roman" w:cs="Times New Roman"/>
                <w:spacing w:val="-1"/>
              </w:rPr>
              <w:t xml:space="preserve">4430  </w:t>
            </w:r>
            <w:r>
              <w:rPr>
                <w:spacing w:val="-1"/>
              </w:rPr>
              <w:t>工业锅炉</w:t>
            </w:r>
            <w:r>
              <w:rPr>
                <w:rFonts w:hint="eastAsia"/>
                <w:spacing w:val="-1"/>
                <w:lang w:eastAsia="zh-CN"/>
              </w:rPr>
              <w:t>（</w:t>
            </w:r>
            <w:r>
              <w:rPr>
                <w:spacing w:val="-1"/>
              </w:rPr>
              <w:t>热力生产和供应行业</w:t>
            </w:r>
            <w:r>
              <w:rPr>
                <w:rFonts w:hint="eastAsia"/>
                <w:spacing w:val="-1"/>
                <w:lang w:eastAsia="zh-CN"/>
              </w:rPr>
              <w:t>）</w:t>
            </w:r>
            <w:r>
              <w:rPr>
                <w:spacing w:val="-1"/>
              </w:rPr>
              <w:t>中生物质工业锅炉的产污系数。</w:t>
            </w:r>
          </w:p>
          <w:p w14:paraId="10D20193">
            <w:pPr>
              <w:pStyle w:val="6"/>
              <w:spacing w:before="7" w:line="344" w:lineRule="auto"/>
              <w:ind w:left="111" w:right="88" w:firstLine="416"/>
            </w:pPr>
            <w:r>
              <w:rPr>
                <w:spacing w:val="-1"/>
              </w:rPr>
              <w:t>根据《排放源统计调查产排污核算方法和系数手册》“</w:t>
            </w:r>
            <w:r>
              <w:rPr>
                <w:rFonts w:ascii="Times New Roman" w:hAnsi="Times New Roman" w:eastAsia="Times New Roman" w:cs="Times New Roman"/>
                <w:spacing w:val="-1"/>
              </w:rPr>
              <w:t>4430</w:t>
            </w:r>
            <w:r>
              <w:rPr>
                <w:spacing w:val="-1"/>
              </w:rPr>
              <w:t>工业锅炉（热力供应）</w:t>
            </w:r>
            <w:r>
              <w:rPr>
                <w:spacing w:val="14"/>
              </w:rPr>
              <w:t xml:space="preserve"> </w:t>
            </w:r>
            <w:r>
              <w:rPr>
                <w:spacing w:val="-1"/>
              </w:rPr>
              <w:t>行业系数手册”，产排污系数取值如下，采用除尘器仅</w:t>
            </w:r>
            <w:r>
              <w:rPr>
                <w:spacing w:val="-2"/>
              </w:rPr>
              <w:t>对粉尘有去除效果。</w:t>
            </w:r>
          </w:p>
        </w:tc>
      </w:tr>
    </w:tbl>
    <w:p w14:paraId="3BB9BD15">
      <w:pPr>
        <w:rPr>
          <w:rFonts w:ascii="Arial"/>
          <w:sz w:val="21"/>
        </w:rPr>
      </w:pPr>
    </w:p>
    <w:p w14:paraId="3CCDF2C8">
      <w:pPr>
        <w:rPr>
          <w:rFonts w:ascii="Arial" w:hAnsi="Arial" w:eastAsia="Arial" w:cs="Arial"/>
          <w:sz w:val="21"/>
          <w:szCs w:val="21"/>
        </w:rPr>
        <w:sectPr>
          <w:footerReference r:id="rId57" w:type="default"/>
          <w:pgSz w:w="11908" w:h="16840"/>
          <w:pgMar w:top="1431" w:right="1489" w:bottom="1053" w:left="1489" w:header="0" w:footer="801" w:gutter="0"/>
          <w:cols w:space="720" w:num="1"/>
        </w:sectPr>
      </w:pPr>
    </w:p>
    <w:p w14:paraId="7ABE57F4">
      <w:pPr>
        <w:spacing w:before="28"/>
      </w:pPr>
    </w:p>
    <w:tbl>
      <w:tblPr>
        <w:tblStyle w:val="5"/>
        <w:tblW w:w="891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0"/>
        <w:gridCol w:w="8163"/>
      </w:tblGrid>
      <w:tr w14:paraId="25A15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51" w:hRule="atLeast"/>
        </w:trPr>
        <w:tc>
          <w:tcPr>
            <w:tcW w:w="750" w:type="dxa"/>
            <w:tcBorders>
              <w:top w:val="single" w:color="000000" w:sz="2" w:space="0"/>
              <w:right w:val="single" w:color="000000" w:sz="2" w:space="0"/>
            </w:tcBorders>
            <w:vAlign w:val="top"/>
          </w:tcPr>
          <w:p w14:paraId="41F934E2">
            <w:pPr>
              <w:spacing w:line="252" w:lineRule="auto"/>
              <w:rPr>
                <w:rFonts w:ascii="Arial"/>
                <w:sz w:val="21"/>
              </w:rPr>
            </w:pPr>
          </w:p>
          <w:p w14:paraId="40FE7206">
            <w:pPr>
              <w:spacing w:line="252" w:lineRule="auto"/>
              <w:rPr>
                <w:rFonts w:ascii="Arial"/>
                <w:sz w:val="21"/>
              </w:rPr>
            </w:pPr>
          </w:p>
          <w:p w14:paraId="7B303BE8">
            <w:pPr>
              <w:spacing w:line="252" w:lineRule="auto"/>
              <w:rPr>
                <w:rFonts w:ascii="Arial"/>
                <w:sz w:val="21"/>
              </w:rPr>
            </w:pPr>
          </w:p>
          <w:p w14:paraId="0E548D29">
            <w:pPr>
              <w:spacing w:line="252" w:lineRule="auto"/>
              <w:rPr>
                <w:rFonts w:ascii="Arial"/>
                <w:sz w:val="21"/>
              </w:rPr>
            </w:pPr>
          </w:p>
          <w:p w14:paraId="33D9D200">
            <w:pPr>
              <w:spacing w:line="252" w:lineRule="auto"/>
              <w:rPr>
                <w:rFonts w:ascii="Arial"/>
                <w:sz w:val="21"/>
              </w:rPr>
            </w:pPr>
          </w:p>
          <w:p w14:paraId="39332452">
            <w:pPr>
              <w:spacing w:line="252" w:lineRule="auto"/>
              <w:rPr>
                <w:rFonts w:ascii="Arial"/>
                <w:sz w:val="21"/>
              </w:rPr>
            </w:pPr>
          </w:p>
          <w:p w14:paraId="15AFAF8F">
            <w:pPr>
              <w:spacing w:line="252" w:lineRule="auto"/>
              <w:rPr>
                <w:rFonts w:ascii="Arial"/>
                <w:sz w:val="21"/>
              </w:rPr>
            </w:pPr>
          </w:p>
          <w:p w14:paraId="1EFE0D4E">
            <w:pPr>
              <w:spacing w:line="252" w:lineRule="auto"/>
              <w:rPr>
                <w:rFonts w:ascii="Arial"/>
                <w:sz w:val="21"/>
              </w:rPr>
            </w:pPr>
          </w:p>
          <w:p w14:paraId="6963FFAC">
            <w:pPr>
              <w:spacing w:line="252" w:lineRule="auto"/>
              <w:rPr>
                <w:rFonts w:ascii="Arial"/>
                <w:sz w:val="21"/>
              </w:rPr>
            </w:pPr>
          </w:p>
          <w:p w14:paraId="05A2781F">
            <w:pPr>
              <w:spacing w:line="252" w:lineRule="auto"/>
              <w:rPr>
                <w:rFonts w:ascii="Arial"/>
                <w:sz w:val="21"/>
              </w:rPr>
            </w:pPr>
          </w:p>
          <w:p w14:paraId="4362E193">
            <w:pPr>
              <w:spacing w:line="252" w:lineRule="auto"/>
              <w:rPr>
                <w:rFonts w:ascii="Arial"/>
                <w:sz w:val="21"/>
              </w:rPr>
            </w:pPr>
          </w:p>
          <w:p w14:paraId="6D5FDF71">
            <w:pPr>
              <w:spacing w:line="252" w:lineRule="auto"/>
              <w:rPr>
                <w:rFonts w:ascii="Arial"/>
                <w:sz w:val="21"/>
              </w:rPr>
            </w:pPr>
          </w:p>
          <w:p w14:paraId="31274831">
            <w:pPr>
              <w:spacing w:line="252" w:lineRule="auto"/>
              <w:rPr>
                <w:rFonts w:ascii="Arial"/>
                <w:sz w:val="21"/>
              </w:rPr>
            </w:pPr>
          </w:p>
          <w:p w14:paraId="3F139455">
            <w:pPr>
              <w:spacing w:line="252" w:lineRule="auto"/>
              <w:rPr>
                <w:rFonts w:ascii="Arial"/>
                <w:sz w:val="21"/>
              </w:rPr>
            </w:pPr>
          </w:p>
          <w:p w14:paraId="61522752">
            <w:pPr>
              <w:spacing w:line="253" w:lineRule="auto"/>
              <w:rPr>
                <w:rFonts w:ascii="Arial"/>
                <w:sz w:val="21"/>
              </w:rPr>
            </w:pPr>
          </w:p>
          <w:p w14:paraId="227F352C">
            <w:pPr>
              <w:spacing w:line="253" w:lineRule="auto"/>
              <w:rPr>
                <w:rFonts w:ascii="Arial"/>
                <w:sz w:val="21"/>
              </w:rPr>
            </w:pPr>
          </w:p>
          <w:p w14:paraId="1D083F2B">
            <w:pPr>
              <w:spacing w:line="253" w:lineRule="auto"/>
              <w:rPr>
                <w:rFonts w:ascii="Arial"/>
                <w:sz w:val="21"/>
              </w:rPr>
            </w:pPr>
          </w:p>
          <w:p w14:paraId="092D6E52">
            <w:pPr>
              <w:pStyle w:val="6"/>
              <w:spacing w:before="69" w:line="220" w:lineRule="auto"/>
              <w:ind w:left="162"/>
            </w:pPr>
            <w:r>
              <w:rPr>
                <w:b/>
                <w:bCs/>
                <w:spacing w:val="-4"/>
              </w:rPr>
              <w:t>运营</w:t>
            </w:r>
          </w:p>
          <w:p w14:paraId="65841DBF">
            <w:pPr>
              <w:pStyle w:val="6"/>
              <w:spacing w:before="22" w:line="220" w:lineRule="auto"/>
              <w:ind w:left="164"/>
            </w:pPr>
            <w:r>
              <w:rPr>
                <w:b/>
                <w:bCs/>
                <w:spacing w:val="-5"/>
              </w:rPr>
              <w:t>期环</w:t>
            </w:r>
          </w:p>
          <w:p w14:paraId="4C341939">
            <w:pPr>
              <w:pStyle w:val="6"/>
              <w:spacing w:before="22" w:line="220" w:lineRule="auto"/>
              <w:ind w:left="163"/>
            </w:pPr>
            <w:r>
              <w:rPr>
                <w:b/>
                <w:bCs/>
                <w:spacing w:val="-5"/>
              </w:rPr>
              <w:t>境影</w:t>
            </w:r>
          </w:p>
          <w:p w14:paraId="39B636AE">
            <w:pPr>
              <w:pStyle w:val="6"/>
              <w:spacing w:before="22" w:line="222" w:lineRule="auto"/>
              <w:ind w:left="173"/>
            </w:pPr>
            <w:r>
              <w:rPr>
                <w:b/>
                <w:bCs/>
                <w:spacing w:val="-7"/>
              </w:rPr>
              <w:t>响和</w:t>
            </w:r>
          </w:p>
          <w:p w14:paraId="300F6B0F">
            <w:pPr>
              <w:pStyle w:val="6"/>
              <w:spacing w:before="19" w:line="220" w:lineRule="auto"/>
              <w:ind w:left="163"/>
            </w:pPr>
            <w:r>
              <w:rPr>
                <w:b/>
                <w:bCs/>
                <w:spacing w:val="-5"/>
              </w:rPr>
              <w:t>保护</w:t>
            </w:r>
          </w:p>
          <w:p w14:paraId="7BD1060E">
            <w:pPr>
              <w:pStyle w:val="6"/>
              <w:spacing w:before="22" w:line="220" w:lineRule="auto"/>
              <w:ind w:left="162"/>
            </w:pPr>
            <w:r>
              <w:rPr>
                <w:b/>
                <w:bCs/>
                <w:spacing w:val="-4"/>
              </w:rPr>
              <w:t>措施</w:t>
            </w:r>
          </w:p>
        </w:tc>
        <w:tc>
          <w:tcPr>
            <w:tcW w:w="8163" w:type="dxa"/>
            <w:tcBorders>
              <w:top w:val="single" w:color="000000" w:sz="2" w:space="0"/>
              <w:left w:val="single" w:color="000000" w:sz="2" w:space="0"/>
            </w:tcBorders>
            <w:vAlign w:val="top"/>
          </w:tcPr>
          <w:p w14:paraId="5C07396D">
            <w:pPr>
              <w:spacing w:before="120" w:line="225" w:lineRule="auto"/>
              <w:ind w:left="1952"/>
              <w:rPr>
                <w:rFonts w:ascii="黑体" w:hAnsi="黑体" w:eastAsia="黑体" w:cs="黑体"/>
                <w:sz w:val="20"/>
                <w:szCs w:val="20"/>
              </w:rPr>
            </w:pPr>
            <w:r>
              <w:rPr>
                <w:rFonts w:ascii="黑体" w:hAnsi="黑体" w:eastAsia="黑体" w:cs="黑体"/>
                <w:spacing w:val="-1"/>
                <w:sz w:val="20"/>
                <w:szCs w:val="20"/>
              </w:rPr>
              <w:t>表</w:t>
            </w:r>
            <w:r>
              <w:rPr>
                <w:rFonts w:ascii="Times New Roman" w:hAnsi="Times New Roman" w:eastAsia="Times New Roman" w:cs="Times New Roman"/>
                <w:spacing w:val="-1"/>
                <w:sz w:val="20"/>
                <w:szCs w:val="20"/>
              </w:rPr>
              <w:t xml:space="preserve">4-3    </w:t>
            </w:r>
            <w:r>
              <w:rPr>
                <w:rFonts w:ascii="黑体" w:hAnsi="黑体" w:eastAsia="黑体" w:cs="黑体"/>
                <w:spacing w:val="-1"/>
                <w:sz w:val="20"/>
                <w:szCs w:val="20"/>
              </w:rPr>
              <w:t>生物质燃料热风炉的烟气污染物排放情况</w:t>
            </w:r>
          </w:p>
          <w:tbl>
            <w:tblPr>
              <w:tblStyle w:val="5"/>
              <w:tblW w:w="7589" w:type="dxa"/>
              <w:tblInd w:w="2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7"/>
              <w:gridCol w:w="1559"/>
              <w:gridCol w:w="1792"/>
              <w:gridCol w:w="1371"/>
              <w:gridCol w:w="1610"/>
            </w:tblGrid>
            <w:tr w14:paraId="7F560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257" w:type="dxa"/>
                  <w:vAlign w:val="top"/>
                </w:tcPr>
                <w:p w14:paraId="12827D72">
                  <w:pPr>
                    <w:pStyle w:val="6"/>
                    <w:spacing w:before="105" w:line="215" w:lineRule="auto"/>
                    <w:ind w:left="236"/>
                    <w:rPr>
                      <w:sz w:val="20"/>
                      <w:szCs w:val="20"/>
                    </w:rPr>
                  </w:pPr>
                  <w:r>
                    <w:rPr>
                      <w:spacing w:val="-3"/>
                      <w:sz w:val="20"/>
                      <w:szCs w:val="20"/>
                    </w:rPr>
                    <w:t>原料名称</w:t>
                  </w:r>
                </w:p>
              </w:tc>
              <w:tc>
                <w:tcPr>
                  <w:tcW w:w="1559" w:type="dxa"/>
                  <w:vAlign w:val="top"/>
                </w:tcPr>
                <w:p w14:paraId="30AB2B9A">
                  <w:pPr>
                    <w:pStyle w:val="6"/>
                    <w:spacing w:before="105" w:line="215" w:lineRule="auto"/>
                    <w:ind w:left="283"/>
                    <w:rPr>
                      <w:sz w:val="20"/>
                      <w:szCs w:val="20"/>
                    </w:rPr>
                  </w:pPr>
                  <w:r>
                    <w:rPr>
                      <w:spacing w:val="-2"/>
                      <w:sz w:val="20"/>
                      <w:szCs w:val="20"/>
                    </w:rPr>
                    <w:t>污染物指标</w:t>
                  </w:r>
                </w:p>
              </w:tc>
              <w:tc>
                <w:tcPr>
                  <w:tcW w:w="1792" w:type="dxa"/>
                  <w:vAlign w:val="top"/>
                </w:tcPr>
                <w:p w14:paraId="2205F1C1">
                  <w:pPr>
                    <w:pStyle w:val="6"/>
                    <w:spacing w:before="105" w:line="215" w:lineRule="auto"/>
                    <w:ind w:left="700"/>
                    <w:rPr>
                      <w:sz w:val="20"/>
                      <w:szCs w:val="20"/>
                    </w:rPr>
                  </w:pPr>
                  <w:r>
                    <w:rPr>
                      <w:spacing w:val="-3"/>
                      <w:sz w:val="20"/>
                      <w:szCs w:val="20"/>
                    </w:rPr>
                    <w:t>单位</w:t>
                  </w:r>
                </w:p>
              </w:tc>
              <w:tc>
                <w:tcPr>
                  <w:tcW w:w="1371" w:type="dxa"/>
                  <w:vAlign w:val="top"/>
                </w:tcPr>
                <w:p w14:paraId="3CF19D9C">
                  <w:pPr>
                    <w:pStyle w:val="6"/>
                    <w:spacing w:before="105" w:line="215" w:lineRule="auto"/>
                    <w:ind w:left="290"/>
                    <w:rPr>
                      <w:sz w:val="20"/>
                      <w:szCs w:val="20"/>
                    </w:rPr>
                  </w:pPr>
                  <w:r>
                    <w:rPr>
                      <w:spacing w:val="-2"/>
                      <w:sz w:val="20"/>
                      <w:szCs w:val="20"/>
                    </w:rPr>
                    <w:t>产污系数</w:t>
                  </w:r>
                </w:p>
              </w:tc>
              <w:tc>
                <w:tcPr>
                  <w:tcW w:w="1610" w:type="dxa"/>
                  <w:vAlign w:val="top"/>
                </w:tcPr>
                <w:p w14:paraId="1BAE2C1C">
                  <w:pPr>
                    <w:pStyle w:val="6"/>
                    <w:spacing w:before="105" w:line="215" w:lineRule="auto"/>
                    <w:ind w:left="281"/>
                    <w:rPr>
                      <w:sz w:val="20"/>
                      <w:szCs w:val="20"/>
                    </w:rPr>
                  </w:pPr>
                  <w:r>
                    <w:rPr>
                      <w:spacing w:val="-1"/>
                      <w:sz w:val="20"/>
                      <w:szCs w:val="20"/>
                    </w:rPr>
                    <w:t>产生量（</w:t>
                  </w:r>
                  <w:r>
                    <w:rPr>
                      <w:rFonts w:ascii="Times New Roman" w:hAnsi="Times New Roman" w:eastAsia="Times New Roman" w:cs="Times New Roman"/>
                      <w:spacing w:val="-1"/>
                      <w:sz w:val="20"/>
                      <w:szCs w:val="20"/>
                    </w:rPr>
                    <w:t>t</w:t>
                  </w:r>
                  <w:r>
                    <w:rPr>
                      <w:spacing w:val="-1"/>
                      <w:sz w:val="20"/>
                      <w:szCs w:val="20"/>
                    </w:rPr>
                    <w:t>）</w:t>
                  </w:r>
                </w:p>
              </w:tc>
            </w:tr>
            <w:tr w14:paraId="146BA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257" w:type="dxa"/>
                  <w:vMerge w:val="restart"/>
                  <w:tcBorders>
                    <w:bottom w:val="nil"/>
                  </w:tcBorders>
                  <w:vAlign w:val="top"/>
                </w:tcPr>
                <w:p w14:paraId="47A4BDB3">
                  <w:pPr>
                    <w:pStyle w:val="6"/>
                    <w:spacing w:before="107" w:line="221" w:lineRule="auto"/>
                    <w:ind w:left="34"/>
                    <w:rPr>
                      <w:sz w:val="20"/>
                      <w:szCs w:val="20"/>
                    </w:rPr>
                  </w:pPr>
                  <w:r>
                    <w:rPr>
                      <w:spacing w:val="-2"/>
                      <w:sz w:val="20"/>
                      <w:szCs w:val="20"/>
                    </w:rPr>
                    <w:t>生物质成型燃</w:t>
                  </w:r>
                </w:p>
                <w:p w14:paraId="379705F1">
                  <w:pPr>
                    <w:pStyle w:val="6"/>
                    <w:spacing w:before="100" w:line="221" w:lineRule="auto"/>
                    <w:ind w:left="532"/>
                    <w:rPr>
                      <w:sz w:val="20"/>
                      <w:szCs w:val="20"/>
                    </w:rPr>
                  </w:pPr>
                  <w:r>
                    <w:rPr>
                      <w:sz w:val="20"/>
                      <w:szCs w:val="20"/>
                    </w:rPr>
                    <w:t>料</w:t>
                  </w:r>
                </w:p>
              </w:tc>
              <w:tc>
                <w:tcPr>
                  <w:tcW w:w="1559" w:type="dxa"/>
                  <w:vAlign w:val="top"/>
                </w:tcPr>
                <w:p w14:paraId="4D049D47">
                  <w:pPr>
                    <w:pStyle w:val="6"/>
                    <w:spacing w:before="102" w:line="213" w:lineRule="auto"/>
                    <w:ind w:left="582"/>
                    <w:rPr>
                      <w:sz w:val="20"/>
                      <w:szCs w:val="20"/>
                    </w:rPr>
                  </w:pPr>
                  <w:r>
                    <w:rPr>
                      <w:spacing w:val="-2"/>
                      <w:sz w:val="20"/>
                      <w:szCs w:val="20"/>
                    </w:rPr>
                    <w:t>烟尘</w:t>
                  </w:r>
                </w:p>
              </w:tc>
              <w:tc>
                <w:tcPr>
                  <w:tcW w:w="1792" w:type="dxa"/>
                  <w:vAlign w:val="top"/>
                </w:tcPr>
                <w:p w14:paraId="637FA830">
                  <w:pPr>
                    <w:pStyle w:val="6"/>
                    <w:spacing w:before="102" w:line="213" w:lineRule="auto"/>
                    <w:ind w:left="338"/>
                    <w:rPr>
                      <w:sz w:val="20"/>
                      <w:szCs w:val="20"/>
                    </w:rPr>
                  </w:pPr>
                  <w:r>
                    <w:rPr>
                      <w:spacing w:val="-1"/>
                      <w:sz w:val="20"/>
                      <w:szCs w:val="20"/>
                    </w:rPr>
                    <w:t>千克</w:t>
                  </w:r>
                  <w:r>
                    <w:rPr>
                      <w:rFonts w:ascii="Times New Roman" w:hAnsi="Times New Roman" w:eastAsia="Times New Roman" w:cs="Times New Roman"/>
                      <w:spacing w:val="-1"/>
                      <w:sz w:val="20"/>
                      <w:szCs w:val="20"/>
                    </w:rPr>
                    <w:t>/</w:t>
                  </w:r>
                  <w:r>
                    <w:rPr>
                      <w:spacing w:val="-1"/>
                      <w:sz w:val="20"/>
                      <w:szCs w:val="20"/>
                    </w:rPr>
                    <w:t>吨</w:t>
                  </w:r>
                  <w:r>
                    <w:rPr>
                      <w:rFonts w:hint="eastAsia"/>
                      <w:spacing w:val="-1"/>
                      <w:sz w:val="20"/>
                      <w:szCs w:val="20"/>
                      <w:lang w:eastAsia="zh-CN"/>
                    </w:rPr>
                    <w:t>－</w:t>
                  </w:r>
                  <w:r>
                    <w:rPr>
                      <w:spacing w:val="-1"/>
                      <w:sz w:val="20"/>
                      <w:szCs w:val="20"/>
                    </w:rPr>
                    <w:t>原料</w:t>
                  </w:r>
                </w:p>
              </w:tc>
              <w:tc>
                <w:tcPr>
                  <w:tcW w:w="1371" w:type="dxa"/>
                  <w:vAlign w:val="top"/>
                </w:tcPr>
                <w:p w14:paraId="2C044355">
                  <w:pPr>
                    <w:spacing w:before="135" w:line="206" w:lineRule="auto"/>
                    <w:ind w:left="56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0.5</w:t>
                  </w:r>
                </w:p>
              </w:tc>
              <w:tc>
                <w:tcPr>
                  <w:tcW w:w="1610" w:type="dxa"/>
                  <w:vAlign w:val="top"/>
                </w:tcPr>
                <w:p w14:paraId="0DF4D0AE">
                  <w:pPr>
                    <w:spacing w:before="135" w:line="206" w:lineRule="auto"/>
                    <w:ind w:left="60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1.183</w:t>
                  </w:r>
                </w:p>
              </w:tc>
            </w:tr>
            <w:tr w14:paraId="02D86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257" w:type="dxa"/>
                  <w:vMerge w:val="continue"/>
                  <w:tcBorders>
                    <w:top w:val="nil"/>
                  </w:tcBorders>
                  <w:vAlign w:val="top"/>
                </w:tcPr>
                <w:p w14:paraId="6B3A80AF">
                  <w:pPr>
                    <w:rPr>
                      <w:rFonts w:ascii="Arial"/>
                      <w:sz w:val="21"/>
                    </w:rPr>
                  </w:pPr>
                </w:p>
              </w:tc>
              <w:tc>
                <w:tcPr>
                  <w:tcW w:w="1559" w:type="dxa"/>
                  <w:vAlign w:val="top"/>
                </w:tcPr>
                <w:p w14:paraId="64BFBABC">
                  <w:pPr>
                    <w:spacing w:before="142" w:line="186" w:lineRule="auto"/>
                    <w:ind w:left="57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NOx</w:t>
                  </w:r>
                </w:p>
              </w:tc>
              <w:tc>
                <w:tcPr>
                  <w:tcW w:w="1792" w:type="dxa"/>
                  <w:vAlign w:val="top"/>
                </w:tcPr>
                <w:p w14:paraId="651A4475">
                  <w:pPr>
                    <w:pStyle w:val="6"/>
                    <w:spacing w:before="105" w:line="215" w:lineRule="auto"/>
                    <w:ind w:left="338"/>
                    <w:rPr>
                      <w:sz w:val="20"/>
                      <w:szCs w:val="20"/>
                    </w:rPr>
                  </w:pPr>
                  <w:r>
                    <w:rPr>
                      <w:spacing w:val="-1"/>
                      <w:sz w:val="20"/>
                      <w:szCs w:val="20"/>
                    </w:rPr>
                    <w:t>千克</w:t>
                  </w:r>
                  <w:r>
                    <w:rPr>
                      <w:rFonts w:ascii="Times New Roman" w:hAnsi="Times New Roman" w:eastAsia="Times New Roman" w:cs="Times New Roman"/>
                      <w:spacing w:val="-1"/>
                      <w:sz w:val="20"/>
                      <w:szCs w:val="20"/>
                    </w:rPr>
                    <w:t>/</w:t>
                  </w:r>
                  <w:r>
                    <w:rPr>
                      <w:spacing w:val="-1"/>
                      <w:sz w:val="20"/>
                      <w:szCs w:val="20"/>
                    </w:rPr>
                    <w:t>吨</w:t>
                  </w:r>
                  <w:r>
                    <w:rPr>
                      <w:rFonts w:hint="eastAsia"/>
                      <w:spacing w:val="-1"/>
                      <w:sz w:val="20"/>
                      <w:szCs w:val="20"/>
                      <w:lang w:eastAsia="zh-CN"/>
                    </w:rPr>
                    <w:t>－</w:t>
                  </w:r>
                  <w:r>
                    <w:rPr>
                      <w:spacing w:val="-1"/>
                      <w:sz w:val="20"/>
                      <w:szCs w:val="20"/>
                    </w:rPr>
                    <w:t>原料</w:t>
                  </w:r>
                </w:p>
              </w:tc>
              <w:tc>
                <w:tcPr>
                  <w:tcW w:w="1371" w:type="dxa"/>
                  <w:vAlign w:val="top"/>
                </w:tcPr>
                <w:p w14:paraId="05F8CC51">
                  <w:pPr>
                    <w:spacing w:before="138" w:line="208" w:lineRule="auto"/>
                    <w:ind w:left="53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1.02</w:t>
                  </w:r>
                </w:p>
              </w:tc>
              <w:tc>
                <w:tcPr>
                  <w:tcW w:w="1610" w:type="dxa"/>
                  <w:vAlign w:val="top"/>
                </w:tcPr>
                <w:p w14:paraId="6C332C19">
                  <w:pPr>
                    <w:spacing w:before="138" w:line="208" w:lineRule="auto"/>
                    <w:ind w:left="58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2.413</w:t>
                  </w:r>
                </w:p>
              </w:tc>
            </w:tr>
          </w:tbl>
          <w:p w14:paraId="5F072BD4">
            <w:pPr>
              <w:pStyle w:val="6"/>
              <w:spacing w:before="138" w:line="352" w:lineRule="auto"/>
              <w:ind w:left="106" w:right="43" w:firstLine="428"/>
              <w:jc w:val="both"/>
            </w:pPr>
            <w:r>
              <w:rPr>
                <w:b/>
                <w:bCs/>
                <w:spacing w:val="-2"/>
              </w:rPr>
              <w:t>治理措施</w:t>
            </w:r>
            <w:r>
              <w:rPr>
                <w:spacing w:val="-2"/>
              </w:rPr>
              <w:t>：根据工程分析，本项目热风炉烟气引至烘干机与湿粉料直接接触后，利</w:t>
            </w:r>
            <w:r>
              <w:rPr>
                <w:spacing w:val="16"/>
              </w:rPr>
              <w:t xml:space="preserve"> </w:t>
            </w:r>
            <w:r>
              <w:rPr>
                <w:spacing w:val="-3"/>
              </w:rPr>
              <w:t>用烘干机配套的除尘装置（“旋风除尘器</w:t>
            </w:r>
            <w:r>
              <w:rPr>
                <w:rFonts w:ascii="Times New Roman" w:hAnsi="Times New Roman" w:eastAsia="Times New Roman" w:cs="Times New Roman"/>
                <w:spacing w:val="-3"/>
              </w:rPr>
              <w:t>+</w:t>
            </w:r>
            <w:r>
              <w:rPr>
                <w:spacing w:val="-3"/>
              </w:rPr>
              <w:t>旋流喷淋塔”）处理后，再经一根</w:t>
            </w:r>
            <w:r>
              <w:rPr>
                <w:rFonts w:ascii="Times New Roman" w:hAnsi="Times New Roman" w:eastAsia="Times New Roman" w:cs="Times New Roman"/>
                <w:spacing w:val="-3"/>
              </w:rPr>
              <w:t>15m</w:t>
            </w:r>
            <w:r>
              <w:rPr>
                <w:spacing w:val="-3"/>
              </w:rPr>
              <w:t>高排气</w:t>
            </w:r>
            <w:r>
              <w:rPr>
                <w:spacing w:val="11"/>
              </w:rPr>
              <w:t xml:space="preserve"> </w:t>
            </w:r>
            <w:r>
              <w:rPr>
                <w:spacing w:val="-2"/>
              </w:rPr>
              <w:t>筒高空排放。该除尘系统对热风炉烟气中的颗粒物</w:t>
            </w:r>
            <w:r>
              <w:rPr>
                <w:spacing w:val="-3"/>
              </w:rPr>
              <w:t>有治理效果，综合除尘效率约</w:t>
            </w:r>
            <w:r>
              <w:rPr>
                <w:rFonts w:ascii="Times New Roman" w:hAnsi="Times New Roman" w:eastAsia="Times New Roman" w:cs="Times New Roman"/>
                <w:spacing w:val="-3"/>
              </w:rPr>
              <w:t>98.5%</w:t>
            </w:r>
            <w:r>
              <w:rPr>
                <w:spacing w:val="-3"/>
              </w:rPr>
              <w:t>，</w:t>
            </w:r>
            <w:r>
              <w:t xml:space="preserve"> </w:t>
            </w:r>
            <w:r>
              <w:rPr>
                <w:spacing w:val="-3"/>
              </w:rPr>
              <w:t>对二氧化硫和氮氧化物无治理效果。烘干机整个系统为密闭状态收尘效率取</w:t>
            </w:r>
            <w:r>
              <w:rPr>
                <w:rFonts w:ascii="Times New Roman" w:hAnsi="Times New Roman" w:eastAsia="Times New Roman" w:cs="Times New Roman"/>
                <w:spacing w:val="-3"/>
              </w:rPr>
              <w:t>100%</w:t>
            </w:r>
            <w:r>
              <w:rPr>
                <w:spacing w:val="-3"/>
              </w:rPr>
              <w:t>，风机</w:t>
            </w:r>
            <w:r>
              <w:rPr>
                <w:spacing w:val="13"/>
              </w:rPr>
              <w:t xml:space="preserve"> </w:t>
            </w:r>
            <w:r>
              <w:rPr>
                <w:spacing w:val="-1"/>
              </w:rPr>
              <w:t>风量设计约</w:t>
            </w:r>
            <w:r>
              <w:rPr>
                <w:rFonts w:ascii="Times New Roman" w:hAnsi="Times New Roman" w:eastAsia="Times New Roman" w:cs="Times New Roman"/>
                <w:spacing w:val="-1"/>
              </w:rPr>
              <w:t>30000m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/h</w:t>
            </w:r>
            <w:r>
              <w:rPr>
                <w:spacing w:val="-1"/>
              </w:rPr>
              <w:t>。</w:t>
            </w:r>
          </w:p>
          <w:p w14:paraId="78A90D0F">
            <w:pPr>
              <w:pStyle w:val="6"/>
              <w:spacing w:line="346" w:lineRule="auto"/>
              <w:ind w:left="97" w:right="46" w:firstLine="447"/>
            </w:pPr>
            <w:r>
              <w:rPr>
                <w:spacing w:val="-2"/>
              </w:rPr>
              <w:t>因此，项目热风炉烟气污染物中颗粒物排放量约</w:t>
            </w:r>
            <w:r>
              <w:rPr>
                <w:rFonts w:ascii="Times New Roman" w:hAnsi="Times New Roman" w:eastAsia="Times New Roman" w:cs="Times New Roman"/>
                <w:spacing w:val="-3"/>
              </w:rPr>
              <w:t>0.0177t/a</w:t>
            </w:r>
            <w:r>
              <w:rPr>
                <w:spacing w:val="-3"/>
              </w:rPr>
              <w:t>、排放速率</w:t>
            </w:r>
            <w:r>
              <w:rPr>
                <w:rFonts w:ascii="Times New Roman" w:hAnsi="Times New Roman" w:eastAsia="Times New Roman" w:cs="Times New Roman"/>
                <w:spacing w:val="-3"/>
              </w:rPr>
              <w:t>0.0054kg/h</w:t>
            </w:r>
            <w:r>
              <w:rPr>
                <w:spacing w:val="-3"/>
              </w:rPr>
              <w:t>、排</w:t>
            </w:r>
            <w:r>
              <w:t xml:space="preserve"> </w:t>
            </w:r>
            <w:r>
              <w:rPr>
                <w:spacing w:val="-4"/>
              </w:rPr>
              <w:t>放浓度约</w:t>
            </w:r>
            <w:r>
              <w:rPr>
                <w:rFonts w:ascii="Times New Roman" w:hAnsi="Times New Roman" w:eastAsia="Times New Roman" w:cs="Times New Roman"/>
                <w:spacing w:val="-4"/>
              </w:rPr>
              <w:t>0.18mg/m</w:t>
            </w:r>
            <w:r>
              <w:rPr>
                <w:rFonts w:ascii="Times New Roman" w:hAnsi="Times New Roman" w:eastAsia="Times New Roman" w:cs="Times New Roman"/>
                <w:spacing w:val="-4"/>
                <w:position w:val="7"/>
                <w:sz w:val="14"/>
                <w:szCs w:val="14"/>
              </w:rPr>
              <w:t>3</w:t>
            </w:r>
            <w:r>
              <w:rPr>
                <w:spacing w:val="-4"/>
              </w:rPr>
              <w:t>；</w:t>
            </w:r>
            <w:r>
              <w:rPr>
                <w:rFonts w:ascii="Times New Roman" w:hAnsi="Times New Roman" w:eastAsia="Times New Roman" w:cs="Times New Roman"/>
                <w:spacing w:val="-4"/>
              </w:rPr>
              <w:t>SO</w:t>
            </w:r>
            <w:r>
              <w:rPr>
                <w:rFonts w:ascii="Times New Roman" w:hAnsi="Times New Roman" w:eastAsia="Times New Roman" w:cs="Times New Roman"/>
                <w:spacing w:val="-4"/>
                <w:position w:val="-2"/>
                <w:sz w:val="14"/>
                <w:szCs w:val="14"/>
              </w:rPr>
              <w:t>2</w:t>
            </w:r>
            <w:r>
              <w:rPr>
                <w:spacing w:val="-4"/>
              </w:rPr>
              <w:t>排放量约</w:t>
            </w:r>
            <w:r>
              <w:rPr>
                <w:rFonts w:ascii="Times New Roman" w:hAnsi="Times New Roman" w:eastAsia="Times New Roman" w:cs="Times New Roman"/>
                <w:spacing w:val="-4"/>
              </w:rPr>
              <w:t>0.473t/a</w:t>
            </w:r>
            <w:r>
              <w:rPr>
                <w:spacing w:val="-4"/>
              </w:rPr>
              <w:t>、排放速率</w:t>
            </w:r>
            <w:r>
              <w:rPr>
                <w:rFonts w:ascii="Times New Roman" w:hAnsi="Times New Roman" w:eastAsia="Times New Roman" w:cs="Times New Roman"/>
                <w:spacing w:val="-4"/>
              </w:rPr>
              <w:t>0.143kg/h</w:t>
            </w:r>
            <w:r>
              <w:rPr>
                <w:spacing w:val="-4"/>
              </w:rPr>
              <w:t>、排放浓度约</w:t>
            </w:r>
            <w:r>
              <w:rPr>
                <w:rFonts w:ascii="Times New Roman" w:hAnsi="Times New Roman" w:eastAsia="Times New Roman" w:cs="Times New Roman"/>
                <w:spacing w:val="-4"/>
              </w:rPr>
              <w:t>4.767mg/m</w:t>
            </w:r>
            <w:r>
              <w:rPr>
                <w:rFonts w:ascii="Times New Roman" w:hAnsi="Times New Roman" w:eastAsia="Times New Roman" w:cs="Times New Roman"/>
                <w:spacing w:val="-4"/>
                <w:position w:val="7"/>
                <w:sz w:val="14"/>
                <w:szCs w:val="14"/>
              </w:rPr>
              <w:t>3</w:t>
            </w:r>
            <w:r>
              <w:rPr>
                <w:spacing w:val="-4"/>
              </w:rPr>
              <w:t>；</w:t>
            </w:r>
            <w:r>
              <w:rPr>
                <w:spacing w:val="11"/>
              </w:rPr>
              <w:t xml:space="preserve"> </w:t>
            </w:r>
            <w:r>
              <w:rPr>
                <w:rFonts w:ascii="Times New Roman" w:hAnsi="Times New Roman" w:eastAsia="Times New Roman" w:cs="Times New Roman"/>
              </w:rPr>
              <w:t>NO</w:t>
            </w:r>
            <w:r>
              <w:rPr>
                <w:rFonts w:ascii="Times New Roman" w:hAnsi="Times New Roman" w:eastAsia="Times New Roman" w:cs="Times New Roman"/>
                <w:position w:val="-2"/>
                <w:sz w:val="14"/>
                <w:szCs w:val="14"/>
              </w:rPr>
              <w:t>X</w:t>
            </w:r>
            <w:r>
              <w:t>排放量约</w:t>
            </w:r>
            <w:r>
              <w:rPr>
                <w:rFonts w:ascii="Times New Roman" w:hAnsi="Times New Roman" w:eastAsia="Times New Roman" w:cs="Times New Roman"/>
              </w:rPr>
              <w:t>2.413t/a</w:t>
            </w:r>
            <w:r>
              <w:t>、排放速率</w:t>
            </w:r>
            <w:r>
              <w:rPr>
                <w:rFonts w:ascii="Times New Roman" w:hAnsi="Times New Roman" w:eastAsia="Times New Roman" w:cs="Times New Roman"/>
              </w:rPr>
              <w:t>0.731kg/h</w:t>
            </w:r>
            <w:r>
              <w:t>、排放浓度约</w:t>
            </w:r>
            <w:r>
              <w:rPr>
                <w:rFonts w:ascii="Times New Roman" w:hAnsi="Times New Roman" w:eastAsia="Times New Roman" w:cs="Times New Roman"/>
              </w:rPr>
              <w:t>24.367mg/m</w:t>
            </w:r>
            <w:r>
              <w:rPr>
                <w:rFonts w:ascii="Times New Roman" w:hAnsi="Times New Roman" w:eastAsia="Times New Roman" w:cs="Times New Roman"/>
                <w:position w:val="7"/>
                <w:sz w:val="14"/>
                <w:szCs w:val="14"/>
              </w:rPr>
              <w:t>3</w:t>
            </w:r>
            <w:r>
              <w:t>，能够满足《四川</w:t>
            </w:r>
            <w:r>
              <w:rPr>
                <w:spacing w:val="1"/>
              </w:rPr>
              <w:t xml:space="preserve">  </w:t>
            </w:r>
            <w:r>
              <w:rPr>
                <w:spacing w:val="-1"/>
              </w:rPr>
              <w:t xml:space="preserve">省工业炉窑大气污染综合治理实施清单》中对颗粒物 </w:t>
            </w:r>
            <w:r>
              <w:rPr>
                <w:rFonts w:hint="eastAsia"/>
                <w:spacing w:val="-1"/>
                <w:lang w:eastAsia="zh-CN"/>
              </w:rPr>
              <w:t>（</w:t>
            </w:r>
            <w:r>
              <w:rPr>
                <w:spacing w:val="-1"/>
              </w:rPr>
              <w:t>≤</w:t>
            </w:r>
            <w:r>
              <w:rPr>
                <w:rFonts w:ascii="Times New Roman" w:hAnsi="Times New Roman" w:eastAsia="Times New Roman" w:cs="Times New Roman"/>
                <w:spacing w:val="-1"/>
              </w:rPr>
              <w:t>30mg/m</w:t>
            </w:r>
            <w:r>
              <w:rPr>
                <w:rFonts w:ascii="Times New Roman" w:hAnsi="Times New Roman" w:eastAsia="Times New Roman" w:cs="Times New Roman"/>
                <w:spacing w:val="-1"/>
                <w:position w:val="7"/>
                <w:sz w:val="14"/>
                <w:szCs w:val="14"/>
              </w:rPr>
              <w:t xml:space="preserve">3 </w:t>
            </w:r>
            <w:r>
              <w:rPr>
                <w:spacing w:val="-1"/>
              </w:rPr>
              <w:t xml:space="preserve">）、二氧化硫 </w:t>
            </w:r>
            <w:r>
              <w:rPr>
                <w:rFonts w:hint="eastAsia"/>
                <w:spacing w:val="-1"/>
                <w:lang w:eastAsia="zh-CN"/>
              </w:rPr>
              <w:t>（</w:t>
            </w:r>
            <w:r>
              <w:rPr>
                <w:spacing w:val="-1"/>
              </w:rPr>
              <w:t>≤</w:t>
            </w:r>
          </w:p>
          <w:p w14:paraId="1CDDC7E7">
            <w:pPr>
              <w:pStyle w:val="6"/>
              <w:spacing w:before="24" w:line="212" w:lineRule="auto"/>
              <w:ind w:left="104"/>
            </w:pPr>
            <w:r>
              <w:rPr>
                <w:rFonts w:ascii="Times New Roman" w:hAnsi="Times New Roman" w:eastAsia="Times New Roman" w:cs="Times New Roman"/>
                <w:spacing w:val="-3"/>
              </w:rPr>
              <w:t>200mg/m</w:t>
            </w:r>
            <w:r>
              <w:rPr>
                <w:rFonts w:ascii="Times New Roman" w:hAnsi="Times New Roman" w:eastAsia="Times New Roman" w:cs="Times New Roman"/>
                <w:spacing w:val="-3"/>
                <w:position w:val="7"/>
                <w:sz w:val="14"/>
                <w:szCs w:val="14"/>
              </w:rPr>
              <w:t xml:space="preserve">3 </w:t>
            </w:r>
            <w:r>
              <w:rPr>
                <w:spacing w:val="-3"/>
              </w:rPr>
              <w:t xml:space="preserve">）和氮氧化物 </w:t>
            </w:r>
            <w:r>
              <w:rPr>
                <w:rFonts w:hint="eastAsia"/>
                <w:spacing w:val="-3"/>
                <w:lang w:eastAsia="zh-CN"/>
              </w:rPr>
              <w:t>（</w:t>
            </w:r>
            <w:r>
              <w:rPr>
                <w:spacing w:val="-3"/>
              </w:rPr>
              <w:t>≤</w:t>
            </w:r>
            <w:r>
              <w:rPr>
                <w:rFonts w:ascii="Times New Roman" w:hAnsi="Times New Roman" w:eastAsia="Times New Roman" w:cs="Times New Roman"/>
                <w:spacing w:val="-3"/>
              </w:rPr>
              <w:t>300mg/m</w:t>
            </w:r>
            <w:r>
              <w:rPr>
                <w:rFonts w:ascii="Times New Roman" w:hAnsi="Times New Roman" w:eastAsia="Times New Roman" w:cs="Times New Roman"/>
                <w:spacing w:val="-3"/>
                <w:position w:val="7"/>
                <w:sz w:val="14"/>
                <w:szCs w:val="14"/>
              </w:rPr>
              <w:t xml:space="preserve">3 </w:t>
            </w:r>
            <w:r>
              <w:rPr>
                <w:spacing w:val="-3"/>
              </w:rPr>
              <w:t>）的排放浓度限值要求。</w:t>
            </w:r>
          </w:p>
          <w:p w14:paraId="69E3CBFC">
            <w:pPr>
              <w:pStyle w:val="6"/>
              <w:spacing w:before="159" w:line="233" w:lineRule="auto"/>
              <w:ind w:left="535"/>
            </w:pPr>
            <w:r>
              <w:rPr>
                <w:b/>
                <w:bCs/>
                <w:spacing w:val="-3"/>
              </w:rPr>
              <w:t>（</w:t>
            </w:r>
            <w:r>
              <w:rPr>
                <w:rFonts w:ascii="Times New Roman" w:hAnsi="Times New Roman" w:eastAsia="Times New Roman" w:cs="Times New Roman"/>
                <w:b/>
                <w:bCs/>
                <w:spacing w:val="-3"/>
              </w:rPr>
              <w:t>3</w:t>
            </w:r>
            <w:r>
              <w:rPr>
                <w:b/>
                <w:bCs/>
                <w:spacing w:val="-3"/>
              </w:rPr>
              <w:t>）湿粉料烘干环节的烘干粉尘</w:t>
            </w:r>
          </w:p>
          <w:p w14:paraId="40F1D0CB">
            <w:pPr>
              <w:pStyle w:val="6"/>
              <w:spacing w:before="135" w:line="349" w:lineRule="auto"/>
              <w:ind w:left="107" w:right="102" w:firstLine="423"/>
              <w:jc w:val="both"/>
            </w:pPr>
            <w:r>
              <w:rPr>
                <w:spacing w:val="-1"/>
              </w:rPr>
              <w:t>项目烘干采用滚筒旋转气流式烘干法，被加热后的热空气在管道内直</w:t>
            </w:r>
            <w:r>
              <w:rPr>
                <w:spacing w:val="-2"/>
              </w:rPr>
              <w:t>接与生物质粉</w:t>
            </w:r>
            <w:r>
              <w:t xml:space="preserve"> 料混合，滚筒回转使物料受热均匀，产生热交换将物料烘干，烘干机工作</w:t>
            </w:r>
            <w:r>
              <w:rPr>
                <w:spacing w:val="-1"/>
              </w:rPr>
              <w:t>时间为</w:t>
            </w:r>
            <w:r>
              <w:rPr>
                <w:rFonts w:ascii="Times New Roman" w:hAnsi="Times New Roman" w:eastAsia="Times New Roman" w:cs="Times New Roman"/>
                <w:spacing w:val="-1"/>
              </w:rPr>
              <w:t>3300h,</w:t>
            </w:r>
            <w:r>
              <w:rPr>
                <w:rFonts w:ascii="Times New Roman" w:hAnsi="Times New Roman" w:eastAsia="Times New Roman" w:cs="Times New Roman"/>
              </w:rPr>
              <w:t xml:space="preserve"> </w:t>
            </w:r>
            <w:r>
              <w:rPr>
                <w:spacing w:val="-2"/>
              </w:rPr>
              <w:t>烘干过程中由于旋转搅动原料，会产生一定量的粉尘。</w:t>
            </w:r>
          </w:p>
          <w:p w14:paraId="073A77A5">
            <w:pPr>
              <w:pStyle w:val="6"/>
              <w:spacing w:before="9" w:line="352" w:lineRule="auto"/>
              <w:ind w:left="107" w:right="103" w:firstLine="421"/>
              <w:jc w:val="both"/>
            </w:pPr>
            <w:r>
              <w:rPr>
                <w:spacing w:val="-1"/>
              </w:rPr>
              <w:t>参照《排放源统计调查产排污核算方法和系数手册》（公告</w:t>
            </w:r>
            <w:r>
              <w:rPr>
                <w:rFonts w:ascii="Times New Roman" w:hAnsi="Times New Roman" w:eastAsia="Times New Roman" w:cs="Times New Roman"/>
                <w:spacing w:val="-1"/>
              </w:rPr>
              <w:t>2021</w:t>
            </w:r>
            <w:r>
              <w:rPr>
                <w:spacing w:val="-1"/>
              </w:rPr>
              <w:t>年第</w:t>
            </w:r>
            <w:r>
              <w:rPr>
                <w:rFonts w:ascii="Times New Roman" w:hAnsi="Times New Roman" w:eastAsia="Times New Roman" w:cs="Times New Roman"/>
                <w:spacing w:val="-1"/>
              </w:rPr>
              <w:t>24</w:t>
            </w:r>
            <w:r>
              <w:rPr>
                <w:spacing w:val="-1"/>
              </w:rPr>
              <w:t>号）“</w:t>
            </w:r>
            <w:r>
              <w:rPr>
                <w:rFonts w:ascii="Times New Roman" w:hAnsi="Times New Roman" w:eastAsia="Times New Roman" w:cs="Times New Roman"/>
                <w:spacing w:val="-1"/>
              </w:rPr>
              <w:t>2542</w:t>
            </w:r>
            <w:r>
              <w:rPr>
                <w:rFonts w:ascii="Times New Roman" w:hAnsi="Times New Roman" w:eastAsia="Times New Roman" w:cs="Times New Roman"/>
              </w:rPr>
              <w:t xml:space="preserve"> </w:t>
            </w:r>
            <w:r>
              <w:t>生物质致密成型燃料加工行业系数手册”，烘干工序颗粒物产污系数为</w:t>
            </w:r>
            <w:r>
              <w:rPr>
                <w:rFonts w:ascii="Times New Roman" w:hAnsi="Times New Roman" w:eastAsia="Times New Roman" w:cs="Times New Roman"/>
              </w:rPr>
              <w:t>4.01</w:t>
            </w:r>
            <w:r>
              <w:rPr>
                <w:rFonts w:ascii="Times New Roman" w:hAnsi="Times New Roman" w:eastAsia="Times New Roman" w:cs="Times New Roman"/>
                <w:spacing w:val="-1"/>
              </w:rPr>
              <w:t>x10</w:t>
            </w:r>
            <w:r>
              <w:rPr>
                <w:rFonts w:ascii="Times New Roman" w:hAnsi="Times New Roman" w:eastAsia="Times New Roman" w:cs="Times New Roman"/>
                <w:spacing w:val="-1"/>
                <w:position w:val="7"/>
                <w:sz w:val="14"/>
                <w:szCs w:val="14"/>
              </w:rPr>
              <w:t>-3</w:t>
            </w:r>
            <w:r>
              <w:rPr>
                <w:spacing w:val="-1"/>
              </w:rPr>
              <w:t>吨</w:t>
            </w:r>
            <w:r>
              <w:rPr>
                <w:rFonts w:ascii="Times New Roman" w:hAnsi="Times New Roman" w:eastAsia="Times New Roman" w:cs="Times New Roman"/>
                <w:spacing w:val="-1"/>
              </w:rPr>
              <w:t>/</w:t>
            </w:r>
            <w:r>
              <w:rPr>
                <w:spacing w:val="-1"/>
              </w:rPr>
              <w:t>吨</w:t>
            </w:r>
            <w:r>
              <w:rPr>
                <w:rFonts w:hint="eastAsia"/>
                <w:spacing w:val="-1"/>
                <w:lang w:eastAsia="zh-CN"/>
              </w:rPr>
              <w:t>－</w:t>
            </w:r>
            <w:r>
              <w:rPr>
                <w:rFonts w:ascii="Times New Roman" w:hAnsi="Times New Roman" w:eastAsia="Times New Roman" w:cs="Times New Roman"/>
              </w:rPr>
              <w:t xml:space="preserve">   </w:t>
            </w:r>
            <w:r>
              <w:t>产品。项目年产生物质成型燃料</w:t>
            </w:r>
            <w:r>
              <w:rPr>
                <w:rFonts w:ascii="Times New Roman" w:hAnsi="Times New Roman" w:eastAsia="Times New Roman" w:cs="Times New Roman"/>
              </w:rPr>
              <w:t>15</w:t>
            </w:r>
            <w:r>
              <w:t>万</w:t>
            </w:r>
            <w:r>
              <w:rPr>
                <w:rFonts w:ascii="Times New Roman" w:hAnsi="Times New Roman" w:eastAsia="Times New Roman" w:cs="Times New Roman"/>
              </w:rPr>
              <w:t>t/a</w:t>
            </w:r>
            <w:r>
              <w:t>，则烘干过程产生的颗粒物为</w:t>
            </w:r>
            <w:r>
              <w:rPr>
                <w:rFonts w:ascii="Times New Roman" w:hAnsi="Times New Roman" w:eastAsia="Times New Roman" w:cs="Times New Roman"/>
                <w:spacing w:val="-1"/>
              </w:rPr>
              <w:t>601.5t/a</w:t>
            </w:r>
            <w:r>
              <w:rPr>
                <w:spacing w:val="-1"/>
              </w:rPr>
              <w:t>。</w:t>
            </w:r>
          </w:p>
          <w:p w14:paraId="383441BC">
            <w:pPr>
              <w:pStyle w:val="6"/>
              <w:spacing w:before="4" w:line="351" w:lineRule="auto"/>
              <w:ind w:left="106" w:right="56" w:firstLine="428"/>
              <w:jc w:val="both"/>
            </w:pPr>
            <w:r>
              <w:rPr>
                <w:b/>
                <w:bCs/>
                <w:spacing w:val="-2"/>
              </w:rPr>
              <w:t>治理措施</w:t>
            </w:r>
            <w:r>
              <w:rPr>
                <w:spacing w:val="-2"/>
              </w:rPr>
              <w:t>：根据工程分析，本项目湿粉料烘干过程产生的颗粒物即为生产所需的干</w:t>
            </w:r>
            <w:r>
              <w:rPr>
                <w:spacing w:val="17"/>
              </w:rPr>
              <w:t xml:space="preserve"> </w:t>
            </w:r>
            <w:r>
              <w:t>粉料。因此，工艺上设计有“旋风除尘器</w:t>
            </w:r>
            <w:r>
              <w:rPr>
                <w:rFonts w:ascii="Times New Roman" w:hAnsi="Times New Roman" w:eastAsia="Times New Roman" w:cs="Times New Roman"/>
              </w:rPr>
              <w:t>+</w:t>
            </w:r>
            <w:r>
              <w:t>旋流喷淋塔”的组合除尘</w:t>
            </w:r>
            <w:r>
              <w:rPr>
                <w:spacing w:val="-1"/>
              </w:rPr>
              <w:t>工艺。整个收尘系</w:t>
            </w:r>
            <w:r>
              <w:t xml:space="preserve">  </w:t>
            </w:r>
            <w:r>
              <w:rPr>
                <w:spacing w:val="-1"/>
              </w:rPr>
              <w:t>统为全密闭状态，旋风收尘的排料口也按照有密闭型螺旋绞龙输送干粉料。密闭系统收</w:t>
            </w:r>
            <w:r>
              <w:t xml:space="preserve"> </w:t>
            </w:r>
            <w:r>
              <w:rPr>
                <w:spacing w:val="-2"/>
              </w:rPr>
              <w:t>尘效率取</w:t>
            </w:r>
            <w:r>
              <w:rPr>
                <w:rFonts w:ascii="Times New Roman" w:hAnsi="Times New Roman" w:eastAsia="Times New Roman" w:cs="Times New Roman"/>
                <w:spacing w:val="-2"/>
              </w:rPr>
              <w:t>100%</w:t>
            </w:r>
            <w:r>
              <w:rPr>
                <w:spacing w:val="-2"/>
              </w:rPr>
              <w:t>，风机风量设计约</w:t>
            </w:r>
            <w:r>
              <w:rPr>
                <w:rFonts w:ascii="Times New Roman" w:hAnsi="Times New Roman" w:eastAsia="Times New Roman" w:cs="Times New Roman"/>
                <w:spacing w:val="-2"/>
              </w:rPr>
              <w:t>30000m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/h</w:t>
            </w:r>
            <w:r>
              <w:rPr>
                <w:spacing w:val="-2"/>
              </w:rPr>
              <w:t>，参考同类型工程“旋风</w:t>
            </w:r>
            <w:r>
              <w:rPr>
                <w:rFonts w:ascii="Times New Roman" w:hAnsi="Times New Roman" w:eastAsia="Times New Roman" w:cs="Times New Roman"/>
                <w:spacing w:val="-3"/>
              </w:rPr>
              <w:t>+</w:t>
            </w:r>
            <w:r>
              <w:rPr>
                <w:spacing w:val="-3"/>
              </w:rPr>
              <w:t>旋流喷淋塔”综合</w:t>
            </w:r>
            <w:r>
              <w:t xml:space="preserve"> </w:t>
            </w:r>
            <w:r>
              <w:rPr>
                <w:spacing w:val="-2"/>
              </w:rPr>
              <w:t>除尘效率约</w:t>
            </w:r>
            <w:r>
              <w:rPr>
                <w:rFonts w:ascii="Times New Roman" w:hAnsi="Times New Roman" w:eastAsia="Times New Roman" w:cs="Times New Roman"/>
                <w:spacing w:val="-2"/>
              </w:rPr>
              <w:t>98.5%</w:t>
            </w:r>
            <w:r>
              <w:rPr>
                <w:rFonts w:ascii="Times New Roman" w:hAnsi="Times New Roman" w:eastAsia="Times New Roman" w:cs="Times New Roman"/>
                <w:spacing w:val="-20"/>
              </w:rPr>
              <w:t xml:space="preserve"> </w:t>
            </w:r>
            <w:r>
              <w:rPr>
                <w:spacing w:val="-2"/>
              </w:rPr>
              <w:t>。烘干环节的废气经处理后由一根</w:t>
            </w:r>
            <w:r>
              <w:rPr>
                <w:rFonts w:ascii="Times New Roman" w:hAnsi="Times New Roman" w:eastAsia="Times New Roman" w:cs="Times New Roman"/>
                <w:spacing w:val="-2"/>
              </w:rPr>
              <w:t>15m</w:t>
            </w:r>
            <w:r>
              <w:rPr>
                <w:spacing w:val="-2"/>
              </w:rPr>
              <w:t>高排气筒（</w:t>
            </w:r>
            <w:r>
              <w:rPr>
                <w:rFonts w:ascii="Times New Roman" w:hAnsi="Times New Roman" w:eastAsia="Times New Roman" w:cs="Times New Roman"/>
                <w:spacing w:val="-2"/>
              </w:rPr>
              <w:t>DA001</w:t>
            </w:r>
            <w:r>
              <w:rPr>
                <w:spacing w:val="-2"/>
              </w:rPr>
              <w:t>）高空排放，</w:t>
            </w:r>
            <w:r>
              <w:t xml:space="preserve"> </w:t>
            </w:r>
            <w:r>
              <w:rPr>
                <w:spacing w:val="-1"/>
              </w:rPr>
              <w:t>排放量约</w:t>
            </w:r>
            <w:r>
              <w:rPr>
                <w:rFonts w:ascii="Times New Roman" w:hAnsi="Times New Roman" w:eastAsia="Times New Roman" w:cs="Times New Roman"/>
                <w:spacing w:val="-1"/>
              </w:rPr>
              <w:t>9.023t/a</w:t>
            </w:r>
            <w:r>
              <w:rPr>
                <w:spacing w:val="-1"/>
              </w:rPr>
              <w:t>。</w:t>
            </w:r>
          </w:p>
          <w:p w14:paraId="3825BFF6">
            <w:pPr>
              <w:pStyle w:val="6"/>
              <w:spacing w:before="1" w:line="219" w:lineRule="auto"/>
              <w:ind w:left="524"/>
            </w:pPr>
            <w:r>
              <w:rPr>
                <w:rFonts w:ascii="Times New Roman" w:hAnsi="Times New Roman" w:eastAsia="Times New Roman" w:cs="Times New Roman"/>
                <w:b/>
                <w:bCs/>
                <w:spacing w:val="-2"/>
              </w:rPr>
              <w:t>DA001</w:t>
            </w:r>
            <w:r>
              <w:rPr>
                <w:b/>
                <w:bCs/>
                <w:spacing w:val="-2"/>
              </w:rPr>
              <w:t>排气筒混合废气的污染物排放情况计算</w:t>
            </w:r>
            <w:r>
              <w:rPr>
                <w:spacing w:val="-2"/>
              </w:rPr>
              <w:t>：</w:t>
            </w:r>
          </w:p>
          <w:p w14:paraId="3B309B0E">
            <w:pPr>
              <w:pStyle w:val="6"/>
              <w:spacing w:before="149" w:line="352" w:lineRule="auto"/>
              <w:ind w:left="111" w:right="119" w:firstLine="442"/>
            </w:pPr>
            <w:r>
              <w:rPr>
                <w:spacing w:val="-2"/>
              </w:rPr>
              <w:t>由于，本项</w:t>
            </w:r>
            <w:r>
              <w:rPr>
                <w:rFonts w:hint="eastAsia"/>
                <w:spacing w:val="-2"/>
                <w:lang w:eastAsia="zh-CN"/>
              </w:rPr>
              <w:t>目</w:t>
            </w:r>
            <w:r>
              <w:rPr>
                <w:spacing w:val="-2"/>
              </w:rPr>
              <w:t>造粒机的粉尘和热风炉的废气均利用烘干机</w:t>
            </w:r>
            <w:r>
              <w:rPr>
                <w:spacing w:val="-3"/>
              </w:rPr>
              <w:t>的排气筒排放。因此，</w:t>
            </w:r>
            <w:r>
              <w:t xml:space="preserve"> </w:t>
            </w:r>
            <w:r>
              <w:rPr>
                <w:spacing w:val="-3"/>
              </w:rPr>
              <w:t>该排气筒中形成的混合废气污染物情况如下。</w:t>
            </w:r>
          </w:p>
          <w:p w14:paraId="58A70C43">
            <w:pPr>
              <w:pStyle w:val="6"/>
              <w:spacing w:before="2" w:line="340" w:lineRule="auto"/>
              <w:ind w:left="108" w:right="114" w:firstLine="419"/>
            </w:pPr>
            <w:r>
              <w:rPr>
                <w:spacing w:val="-2"/>
              </w:rPr>
              <w:t>烘干机粉尘</w:t>
            </w:r>
            <w:r>
              <w:rPr>
                <w:rFonts w:ascii="Times New Roman" w:hAnsi="Times New Roman" w:eastAsia="Times New Roman" w:cs="Times New Roman"/>
                <w:spacing w:val="-2"/>
              </w:rPr>
              <w:t>9.023t/a</w:t>
            </w:r>
            <w:r>
              <w:rPr>
                <w:spacing w:val="-2"/>
              </w:rPr>
              <w:t>，废气风量</w:t>
            </w:r>
            <w:r>
              <w:rPr>
                <w:rFonts w:ascii="Times New Roman" w:hAnsi="Times New Roman" w:eastAsia="Times New Roman" w:cs="Times New Roman"/>
                <w:spacing w:val="-2"/>
              </w:rPr>
              <w:t>30000m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/h</w:t>
            </w:r>
            <w:r>
              <w:rPr>
                <w:spacing w:val="-2"/>
              </w:rPr>
              <w:t>。造粒机粉尘</w:t>
            </w:r>
            <w:r>
              <w:rPr>
                <w:rFonts w:ascii="Times New Roman" w:hAnsi="Times New Roman" w:eastAsia="Times New Roman" w:cs="Times New Roman"/>
                <w:spacing w:val="-2"/>
              </w:rPr>
              <w:t>4.471t/a</w:t>
            </w:r>
            <w:r>
              <w:rPr>
                <w:spacing w:val="-2"/>
              </w:rPr>
              <w:t>，风量</w:t>
            </w:r>
            <w:r>
              <w:rPr>
                <w:rFonts w:ascii="Times New Roman" w:hAnsi="Times New Roman" w:eastAsia="Times New Roman" w:cs="Times New Roman"/>
                <w:spacing w:val="-2"/>
              </w:rPr>
              <w:t>10000m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/h</w:t>
            </w:r>
            <w:r>
              <w:rPr>
                <w:spacing w:val="-2"/>
              </w:rPr>
              <w:t>。热</w:t>
            </w:r>
            <w:r>
              <w:rPr>
                <w:spacing w:val="1"/>
              </w:rPr>
              <w:t xml:space="preserve"> </w:t>
            </w:r>
            <w:r>
              <w:rPr>
                <w:spacing w:val="-1"/>
              </w:rPr>
              <w:t>风炉废气中颗粒物排放量约</w:t>
            </w:r>
            <w:r>
              <w:rPr>
                <w:rFonts w:ascii="Times New Roman" w:hAnsi="Times New Roman" w:eastAsia="Times New Roman" w:cs="Times New Roman"/>
                <w:spacing w:val="-1"/>
              </w:rPr>
              <w:t>0.0177t/a</w:t>
            </w:r>
            <w:r>
              <w:rPr>
                <w:rFonts w:ascii="Times New Roman" w:hAnsi="Times New Roman" w:eastAsia="Times New Roman" w:cs="Times New Roman"/>
                <w:spacing w:val="-30"/>
              </w:rPr>
              <w:t xml:space="preserve"> </w:t>
            </w:r>
            <w:r>
              <w:rPr>
                <w:spacing w:val="-1"/>
              </w:rPr>
              <w:t>、</w:t>
            </w:r>
            <w:r>
              <w:rPr>
                <w:rFonts w:ascii="Times New Roman" w:hAnsi="Times New Roman" w:eastAsia="Times New Roman" w:cs="Times New Roman"/>
                <w:spacing w:val="-1"/>
              </w:rPr>
              <w:t>SO</w:t>
            </w:r>
            <w:r>
              <w:rPr>
                <w:rFonts w:ascii="Times New Roman" w:hAnsi="Times New Roman" w:eastAsia="Times New Roman" w:cs="Times New Roman"/>
                <w:spacing w:val="-1"/>
                <w:position w:val="-2"/>
                <w:sz w:val="14"/>
                <w:szCs w:val="14"/>
              </w:rPr>
              <w:t>2</w:t>
            </w:r>
            <w:r>
              <w:rPr>
                <w:spacing w:val="-1"/>
              </w:rPr>
              <w:t>排放量约</w:t>
            </w:r>
            <w:r>
              <w:rPr>
                <w:rFonts w:ascii="Times New Roman" w:hAnsi="Times New Roman" w:eastAsia="Times New Roman" w:cs="Times New Roman"/>
                <w:spacing w:val="-1"/>
              </w:rPr>
              <w:t>0.473t/a</w:t>
            </w:r>
            <w:r>
              <w:rPr>
                <w:rFonts w:ascii="Times New Roman" w:hAnsi="Times New Roman" w:eastAsia="Times New Roman" w:cs="Times New Roman"/>
                <w:spacing w:val="-30"/>
              </w:rPr>
              <w:t xml:space="preserve"> </w:t>
            </w:r>
            <w:r>
              <w:rPr>
                <w:spacing w:val="-1"/>
              </w:rPr>
              <w:t>、</w:t>
            </w:r>
            <w:r>
              <w:rPr>
                <w:rFonts w:ascii="Times New Roman" w:hAnsi="Times New Roman" w:eastAsia="Times New Roman" w:cs="Times New Roman"/>
                <w:spacing w:val="-1"/>
              </w:rPr>
              <w:t>NO</w:t>
            </w:r>
            <w:r>
              <w:rPr>
                <w:rFonts w:ascii="Times New Roman" w:hAnsi="Times New Roman" w:eastAsia="Times New Roman" w:cs="Times New Roman"/>
                <w:spacing w:val="-1"/>
                <w:position w:val="-2"/>
                <w:sz w:val="14"/>
                <w:szCs w:val="14"/>
              </w:rPr>
              <w:t>X</w:t>
            </w:r>
            <w:r>
              <w:rPr>
                <w:spacing w:val="-1"/>
              </w:rPr>
              <w:t>排放量约</w:t>
            </w:r>
            <w:r>
              <w:rPr>
                <w:rFonts w:ascii="Times New Roman" w:hAnsi="Times New Roman" w:eastAsia="Times New Roman" w:cs="Times New Roman"/>
                <w:spacing w:val="-1"/>
              </w:rPr>
              <w:t>2.413t/a</w:t>
            </w:r>
            <w:r>
              <w:rPr>
                <w:spacing w:val="-1"/>
              </w:rPr>
              <w:t>。</w:t>
            </w:r>
          </w:p>
        </w:tc>
      </w:tr>
    </w:tbl>
    <w:p w14:paraId="3F4E3449">
      <w:pPr>
        <w:rPr>
          <w:rFonts w:ascii="Arial"/>
          <w:sz w:val="21"/>
        </w:rPr>
      </w:pPr>
    </w:p>
    <w:p w14:paraId="132D63EE">
      <w:pPr>
        <w:rPr>
          <w:rFonts w:ascii="Arial" w:hAnsi="Arial" w:eastAsia="Arial" w:cs="Arial"/>
          <w:sz w:val="21"/>
          <w:szCs w:val="21"/>
        </w:rPr>
        <w:sectPr>
          <w:footerReference r:id="rId58" w:type="default"/>
          <w:pgSz w:w="11908" w:h="16840"/>
          <w:pgMar w:top="1431" w:right="1489" w:bottom="1053" w:left="1489" w:header="0" w:footer="801" w:gutter="0"/>
          <w:cols w:space="720" w:num="1"/>
        </w:sectPr>
      </w:pPr>
    </w:p>
    <w:p w14:paraId="5BDA9B07">
      <w:pPr>
        <w:spacing w:before="28"/>
      </w:pPr>
    </w:p>
    <w:tbl>
      <w:tblPr>
        <w:tblStyle w:val="5"/>
        <w:tblW w:w="891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0"/>
        <w:gridCol w:w="8163"/>
      </w:tblGrid>
      <w:tr w14:paraId="4A93B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09" w:hRule="atLeast"/>
        </w:trPr>
        <w:tc>
          <w:tcPr>
            <w:tcW w:w="750" w:type="dxa"/>
            <w:tcBorders>
              <w:top w:val="single" w:color="000000" w:sz="2" w:space="0"/>
              <w:right w:val="single" w:color="000000" w:sz="2" w:space="0"/>
            </w:tcBorders>
            <w:vAlign w:val="top"/>
          </w:tcPr>
          <w:p w14:paraId="6433D5D5">
            <w:pPr>
              <w:spacing w:line="250" w:lineRule="auto"/>
              <w:rPr>
                <w:rFonts w:ascii="Arial"/>
                <w:sz w:val="21"/>
              </w:rPr>
            </w:pPr>
          </w:p>
          <w:p w14:paraId="646AB428">
            <w:pPr>
              <w:spacing w:line="250" w:lineRule="auto"/>
              <w:rPr>
                <w:rFonts w:ascii="Arial"/>
                <w:sz w:val="21"/>
              </w:rPr>
            </w:pPr>
          </w:p>
          <w:p w14:paraId="5221743F">
            <w:pPr>
              <w:spacing w:line="251" w:lineRule="auto"/>
              <w:rPr>
                <w:rFonts w:ascii="Arial"/>
                <w:sz w:val="21"/>
              </w:rPr>
            </w:pPr>
          </w:p>
          <w:p w14:paraId="75249CBE">
            <w:pPr>
              <w:spacing w:line="251" w:lineRule="auto"/>
              <w:rPr>
                <w:rFonts w:ascii="Arial"/>
                <w:sz w:val="21"/>
              </w:rPr>
            </w:pPr>
          </w:p>
          <w:p w14:paraId="36D04F67">
            <w:pPr>
              <w:spacing w:line="251" w:lineRule="auto"/>
              <w:rPr>
                <w:rFonts w:ascii="Arial"/>
                <w:sz w:val="21"/>
              </w:rPr>
            </w:pPr>
          </w:p>
          <w:p w14:paraId="2A068A17">
            <w:pPr>
              <w:spacing w:line="251" w:lineRule="auto"/>
              <w:rPr>
                <w:rFonts w:ascii="Arial"/>
                <w:sz w:val="21"/>
              </w:rPr>
            </w:pPr>
          </w:p>
          <w:p w14:paraId="51123FF0">
            <w:pPr>
              <w:spacing w:line="251" w:lineRule="auto"/>
              <w:rPr>
                <w:rFonts w:ascii="Arial"/>
                <w:sz w:val="21"/>
              </w:rPr>
            </w:pPr>
          </w:p>
          <w:p w14:paraId="63049FD4">
            <w:pPr>
              <w:spacing w:line="251" w:lineRule="auto"/>
              <w:rPr>
                <w:rFonts w:ascii="Arial"/>
                <w:sz w:val="21"/>
              </w:rPr>
            </w:pPr>
          </w:p>
          <w:p w14:paraId="23635855">
            <w:pPr>
              <w:spacing w:line="251" w:lineRule="auto"/>
              <w:rPr>
                <w:rFonts w:ascii="Arial"/>
                <w:sz w:val="21"/>
              </w:rPr>
            </w:pPr>
          </w:p>
          <w:p w14:paraId="622EDE8D">
            <w:pPr>
              <w:spacing w:line="251" w:lineRule="auto"/>
              <w:rPr>
                <w:rFonts w:ascii="Arial"/>
                <w:sz w:val="21"/>
              </w:rPr>
            </w:pPr>
          </w:p>
          <w:p w14:paraId="4E0995FC">
            <w:pPr>
              <w:spacing w:line="251" w:lineRule="auto"/>
              <w:rPr>
                <w:rFonts w:ascii="Arial"/>
                <w:sz w:val="21"/>
              </w:rPr>
            </w:pPr>
          </w:p>
          <w:p w14:paraId="6E9FA03C">
            <w:pPr>
              <w:spacing w:line="251" w:lineRule="auto"/>
              <w:rPr>
                <w:rFonts w:ascii="Arial"/>
                <w:sz w:val="21"/>
              </w:rPr>
            </w:pPr>
          </w:p>
          <w:p w14:paraId="78D47400">
            <w:pPr>
              <w:spacing w:line="251" w:lineRule="auto"/>
              <w:rPr>
                <w:rFonts w:ascii="Arial"/>
                <w:sz w:val="21"/>
              </w:rPr>
            </w:pPr>
          </w:p>
          <w:p w14:paraId="793ABC09">
            <w:pPr>
              <w:spacing w:line="251" w:lineRule="auto"/>
              <w:rPr>
                <w:rFonts w:ascii="Arial"/>
                <w:sz w:val="21"/>
              </w:rPr>
            </w:pPr>
          </w:p>
          <w:p w14:paraId="4BDCD548">
            <w:pPr>
              <w:spacing w:line="251" w:lineRule="auto"/>
              <w:rPr>
                <w:rFonts w:ascii="Arial"/>
                <w:sz w:val="21"/>
              </w:rPr>
            </w:pPr>
          </w:p>
          <w:p w14:paraId="453A5568">
            <w:pPr>
              <w:spacing w:line="251" w:lineRule="auto"/>
              <w:rPr>
                <w:rFonts w:ascii="Arial"/>
                <w:sz w:val="21"/>
              </w:rPr>
            </w:pPr>
          </w:p>
          <w:p w14:paraId="3A55DC2B">
            <w:pPr>
              <w:spacing w:line="251" w:lineRule="auto"/>
              <w:rPr>
                <w:rFonts w:ascii="Arial"/>
                <w:sz w:val="21"/>
              </w:rPr>
            </w:pPr>
          </w:p>
          <w:p w14:paraId="53D8FD33">
            <w:pPr>
              <w:spacing w:line="251" w:lineRule="auto"/>
              <w:rPr>
                <w:rFonts w:ascii="Arial"/>
                <w:sz w:val="21"/>
              </w:rPr>
            </w:pPr>
          </w:p>
          <w:p w14:paraId="5B22E477">
            <w:pPr>
              <w:spacing w:line="251" w:lineRule="auto"/>
              <w:rPr>
                <w:rFonts w:ascii="Arial"/>
                <w:sz w:val="21"/>
              </w:rPr>
            </w:pPr>
          </w:p>
          <w:p w14:paraId="26E74C66">
            <w:pPr>
              <w:pStyle w:val="6"/>
              <w:spacing w:before="68" w:line="220" w:lineRule="auto"/>
              <w:ind w:left="162"/>
            </w:pPr>
            <w:r>
              <w:rPr>
                <w:b/>
                <w:bCs/>
                <w:spacing w:val="-4"/>
              </w:rPr>
              <w:t>运营</w:t>
            </w:r>
          </w:p>
          <w:p w14:paraId="4019F52F">
            <w:pPr>
              <w:pStyle w:val="6"/>
              <w:spacing w:before="22" w:line="220" w:lineRule="auto"/>
              <w:ind w:left="164"/>
            </w:pPr>
            <w:r>
              <w:rPr>
                <w:b/>
                <w:bCs/>
                <w:spacing w:val="-5"/>
              </w:rPr>
              <w:t>期环</w:t>
            </w:r>
          </w:p>
          <w:p w14:paraId="2619797E">
            <w:pPr>
              <w:pStyle w:val="6"/>
              <w:spacing w:before="22" w:line="220" w:lineRule="auto"/>
              <w:ind w:left="163"/>
            </w:pPr>
            <w:r>
              <w:rPr>
                <w:b/>
                <w:bCs/>
                <w:spacing w:val="-5"/>
              </w:rPr>
              <w:t>境影</w:t>
            </w:r>
          </w:p>
          <w:p w14:paraId="6D1F7D51">
            <w:pPr>
              <w:pStyle w:val="6"/>
              <w:spacing w:before="22" w:line="222" w:lineRule="auto"/>
              <w:ind w:left="173"/>
            </w:pPr>
            <w:r>
              <w:rPr>
                <w:b/>
                <w:bCs/>
                <w:spacing w:val="-7"/>
              </w:rPr>
              <w:t>响和</w:t>
            </w:r>
          </w:p>
          <w:p w14:paraId="4649E923">
            <w:pPr>
              <w:pStyle w:val="6"/>
              <w:spacing w:before="20" w:line="220" w:lineRule="auto"/>
              <w:ind w:left="163"/>
            </w:pPr>
            <w:r>
              <w:rPr>
                <w:b/>
                <w:bCs/>
                <w:spacing w:val="-5"/>
              </w:rPr>
              <w:t>保护</w:t>
            </w:r>
          </w:p>
          <w:p w14:paraId="4EEC90C0">
            <w:pPr>
              <w:pStyle w:val="6"/>
              <w:spacing w:before="22" w:line="220" w:lineRule="auto"/>
              <w:ind w:left="162"/>
            </w:pPr>
            <w:r>
              <w:rPr>
                <w:b/>
                <w:bCs/>
                <w:spacing w:val="-4"/>
              </w:rPr>
              <w:t>措施</w:t>
            </w:r>
          </w:p>
        </w:tc>
        <w:tc>
          <w:tcPr>
            <w:tcW w:w="8163" w:type="dxa"/>
            <w:tcBorders>
              <w:top w:val="single" w:color="000000" w:sz="2" w:space="0"/>
              <w:left w:val="single" w:color="000000" w:sz="2" w:space="0"/>
            </w:tcBorders>
            <w:vAlign w:val="top"/>
          </w:tcPr>
          <w:p w14:paraId="57788813">
            <w:pPr>
              <w:pStyle w:val="6"/>
              <w:spacing w:before="145" w:line="344" w:lineRule="auto"/>
              <w:ind w:left="107" w:right="114" w:firstLine="436"/>
            </w:pPr>
            <w:r>
              <w:rPr>
                <w:spacing w:val="-1"/>
              </w:rPr>
              <w:t>因此，经计算烘干机排气筒（</w:t>
            </w:r>
            <w:r>
              <w:rPr>
                <w:rFonts w:ascii="Times New Roman" w:hAnsi="Times New Roman" w:eastAsia="Times New Roman" w:cs="Times New Roman"/>
                <w:spacing w:val="-1"/>
              </w:rPr>
              <w:t>DA001</w:t>
            </w:r>
            <w:r>
              <w:rPr>
                <w:spacing w:val="-1"/>
              </w:rPr>
              <w:t>）的废气中颗粒物排放量约</w:t>
            </w:r>
            <w:r>
              <w:rPr>
                <w:rFonts w:ascii="Times New Roman" w:hAnsi="Times New Roman" w:eastAsia="Times New Roman" w:cs="Times New Roman"/>
                <w:spacing w:val="-1"/>
              </w:rPr>
              <w:t>13.511t/a</w:t>
            </w:r>
            <w:r>
              <w:rPr>
                <w:spacing w:val="-1"/>
              </w:rPr>
              <w:t>、排放速</w:t>
            </w:r>
            <w:r>
              <w:rPr>
                <w:spacing w:val="9"/>
              </w:rPr>
              <w:t xml:space="preserve"> </w:t>
            </w:r>
            <w:r>
              <w:rPr>
                <w:spacing w:val="-1"/>
              </w:rPr>
              <w:t>率</w:t>
            </w:r>
            <w:r>
              <w:rPr>
                <w:rFonts w:ascii="Times New Roman" w:hAnsi="Times New Roman" w:eastAsia="Times New Roman" w:cs="Times New Roman"/>
                <w:spacing w:val="-1"/>
              </w:rPr>
              <w:t>4.094kg/h</w:t>
            </w:r>
            <w:r>
              <w:rPr>
                <w:spacing w:val="-1"/>
              </w:rPr>
              <w:t>、排放浓度约</w:t>
            </w:r>
            <w:r>
              <w:rPr>
                <w:rFonts w:ascii="Times New Roman" w:hAnsi="Times New Roman" w:eastAsia="Times New Roman" w:cs="Times New Roman"/>
                <w:spacing w:val="-1"/>
              </w:rPr>
              <w:t>102.355mg/m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9"/>
                <w:w w:val="101"/>
                <w:position w:val="7"/>
                <w:sz w:val="14"/>
                <w:szCs w:val="14"/>
              </w:rPr>
              <w:t xml:space="preserve"> </w:t>
            </w:r>
            <w:r>
              <w:rPr>
                <w:spacing w:val="-1"/>
              </w:rPr>
              <w:t>；</w:t>
            </w:r>
            <w:r>
              <w:rPr>
                <w:rFonts w:ascii="Times New Roman" w:hAnsi="Times New Roman" w:eastAsia="Times New Roman" w:cs="Times New Roman"/>
                <w:spacing w:val="-1"/>
              </w:rPr>
              <w:t>SO</w:t>
            </w:r>
            <w:r>
              <w:rPr>
                <w:rFonts w:ascii="Times New Roman" w:hAnsi="Times New Roman" w:eastAsia="Times New Roman" w:cs="Times New Roman"/>
                <w:spacing w:val="-1"/>
                <w:position w:val="-2"/>
                <w:sz w:val="14"/>
                <w:szCs w:val="14"/>
              </w:rPr>
              <w:t>2</w:t>
            </w:r>
            <w:r>
              <w:rPr>
                <w:spacing w:val="-1"/>
              </w:rPr>
              <w:t>排放量约</w:t>
            </w:r>
            <w:r>
              <w:rPr>
                <w:rFonts w:ascii="Times New Roman" w:hAnsi="Times New Roman" w:eastAsia="Times New Roman" w:cs="Times New Roman"/>
                <w:spacing w:val="-1"/>
              </w:rPr>
              <w:t>0.473t/a</w:t>
            </w:r>
            <w:r>
              <w:rPr>
                <w:spacing w:val="-1"/>
              </w:rPr>
              <w:t>、排放速率</w:t>
            </w:r>
            <w:r>
              <w:rPr>
                <w:rFonts w:ascii="Times New Roman" w:hAnsi="Times New Roman" w:eastAsia="Times New Roman" w:cs="Times New Roman"/>
                <w:spacing w:val="-1"/>
              </w:rPr>
              <w:t>0.143kg/h</w:t>
            </w:r>
            <w:r>
              <w:rPr>
                <w:spacing w:val="-1"/>
              </w:rPr>
              <w:t>、排</w:t>
            </w:r>
            <w:r>
              <w:t xml:space="preserve"> </w:t>
            </w:r>
            <w:r>
              <w:rPr>
                <w:spacing w:val="-1"/>
              </w:rPr>
              <w:t>放浓度约</w:t>
            </w:r>
            <w:r>
              <w:rPr>
                <w:rFonts w:ascii="Times New Roman" w:hAnsi="Times New Roman" w:eastAsia="Times New Roman" w:cs="Times New Roman"/>
                <w:spacing w:val="-1"/>
              </w:rPr>
              <w:t>3.585mg/m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4"/>
                <w:position w:val="7"/>
                <w:sz w:val="14"/>
                <w:szCs w:val="14"/>
              </w:rPr>
              <w:t xml:space="preserve"> </w:t>
            </w:r>
            <w:r>
              <w:rPr>
                <w:spacing w:val="-1"/>
              </w:rPr>
              <w:t>；</w:t>
            </w:r>
            <w:r>
              <w:rPr>
                <w:rFonts w:ascii="Times New Roman" w:hAnsi="Times New Roman" w:eastAsia="Times New Roman" w:cs="Times New Roman"/>
                <w:spacing w:val="-1"/>
              </w:rPr>
              <w:t>NO</w:t>
            </w:r>
            <w:r>
              <w:rPr>
                <w:rFonts w:ascii="Times New Roman" w:hAnsi="Times New Roman" w:eastAsia="Times New Roman" w:cs="Times New Roman"/>
                <w:spacing w:val="-1"/>
                <w:position w:val="-2"/>
                <w:sz w:val="14"/>
                <w:szCs w:val="14"/>
              </w:rPr>
              <w:t>X</w:t>
            </w:r>
            <w:r>
              <w:rPr>
                <w:spacing w:val="-1"/>
              </w:rPr>
              <w:t>排放量约</w:t>
            </w:r>
            <w:r>
              <w:rPr>
                <w:rFonts w:ascii="Times New Roman" w:hAnsi="Times New Roman" w:eastAsia="Times New Roman" w:cs="Times New Roman"/>
                <w:spacing w:val="-1"/>
              </w:rPr>
              <w:t>2.413t/a</w:t>
            </w:r>
            <w:r>
              <w:rPr>
                <w:spacing w:val="-1"/>
              </w:rPr>
              <w:t>、排放速率</w:t>
            </w:r>
            <w:r>
              <w:rPr>
                <w:rFonts w:ascii="Times New Roman" w:hAnsi="Times New Roman" w:eastAsia="Times New Roman" w:cs="Times New Roman"/>
                <w:spacing w:val="-1"/>
              </w:rPr>
              <w:t>0.731kg/h</w:t>
            </w:r>
            <w:r>
              <w:rPr>
                <w:spacing w:val="-1"/>
              </w:rPr>
              <w:t>、排放浓度约</w:t>
            </w:r>
          </w:p>
          <w:p w14:paraId="0581EE3F">
            <w:pPr>
              <w:pStyle w:val="6"/>
              <w:spacing w:before="28" w:line="210" w:lineRule="auto"/>
              <w:ind w:left="124"/>
            </w:pPr>
            <w:r>
              <w:rPr>
                <w:rFonts w:ascii="Times New Roman" w:hAnsi="Times New Roman" w:eastAsia="Times New Roman" w:cs="Times New Roman"/>
                <w:spacing w:val="-2"/>
              </w:rPr>
              <w:t>18.283mg/m</w:t>
            </w:r>
            <w:r>
              <w:rPr>
                <w:rFonts w:ascii="Times New Roman" w:hAnsi="Times New Roman" w:eastAsia="Times New Roman" w:cs="Times New Roman"/>
                <w:spacing w:val="-2"/>
                <w:position w:val="7"/>
                <w:sz w:val="14"/>
                <w:szCs w:val="14"/>
              </w:rPr>
              <w:t>3</w:t>
            </w:r>
            <w:r>
              <w:rPr>
                <w:spacing w:val="-2"/>
              </w:rPr>
              <w:t>。</w:t>
            </w:r>
          </w:p>
          <w:p w14:paraId="4F2E3FEE">
            <w:pPr>
              <w:pStyle w:val="6"/>
              <w:spacing w:before="151" w:line="349" w:lineRule="auto"/>
              <w:ind w:left="108" w:right="8" w:firstLine="439"/>
              <w:jc w:val="both"/>
            </w:pPr>
            <w:r>
              <w:rPr>
                <w:spacing w:val="3"/>
              </w:rPr>
              <w:t>颗粒物排放浓度和速率均能满足《大气污染物综合排放标准》（</w:t>
            </w:r>
            <w:r>
              <w:rPr>
                <w:rFonts w:ascii="Times New Roman" w:hAnsi="Times New Roman" w:eastAsia="Times New Roman" w:cs="Times New Roman"/>
              </w:rPr>
              <w:t>GB</w:t>
            </w:r>
            <w:r>
              <w:rPr>
                <w:rFonts w:ascii="Times New Roman" w:hAnsi="Times New Roman" w:eastAsia="Times New Roman" w:cs="Times New Roman"/>
                <w:spacing w:val="29"/>
                <w:w w:val="101"/>
              </w:rPr>
              <w:t xml:space="preserve"> </w:t>
            </w:r>
            <w:r>
              <w:rPr>
                <w:rFonts w:ascii="Times New Roman" w:hAnsi="Times New Roman" w:eastAsia="Times New Roman" w:cs="Times New Roman"/>
                <w:spacing w:val="3"/>
              </w:rPr>
              <w:t>16297-1996</w:t>
            </w:r>
            <w:r>
              <w:rPr>
                <w:spacing w:val="3"/>
              </w:rPr>
              <w:t>）</w:t>
            </w:r>
            <w:r>
              <w:t xml:space="preserve"> </w:t>
            </w:r>
            <w:r>
              <w:rPr>
                <w:spacing w:val="7"/>
              </w:rPr>
              <w:t>中的限值要求，能够实现达标排放。二氧化硫、氮氧化物排放浓度能够 满足《四川</w:t>
            </w:r>
            <w:r>
              <w:rPr>
                <w:spacing w:val="8"/>
              </w:rPr>
              <w:t xml:space="preserve">  </w:t>
            </w:r>
            <w:r>
              <w:rPr>
                <w:spacing w:val="-2"/>
              </w:rPr>
              <w:t xml:space="preserve">省工业炉窑大气污染综合治理实施清单》中对二氧化硫 </w:t>
            </w:r>
            <w:r>
              <w:rPr>
                <w:rFonts w:hint="eastAsia"/>
                <w:spacing w:val="-2"/>
                <w:lang w:eastAsia="zh-CN"/>
              </w:rPr>
              <w:t>（</w:t>
            </w:r>
            <w:r>
              <w:rPr>
                <w:spacing w:val="-2"/>
              </w:rPr>
              <w:t>≤</w:t>
            </w:r>
            <w:r>
              <w:rPr>
                <w:rFonts w:ascii="Times New Roman" w:hAnsi="Times New Roman" w:eastAsia="Times New Roman" w:cs="Times New Roman"/>
                <w:spacing w:val="-2"/>
              </w:rPr>
              <w:t>200mg/m</w:t>
            </w:r>
            <w:r>
              <w:rPr>
                <w:rFonts w:ascii="Times New Roman" w:hAnsi="Times New Roman" w:eastAsia="Times New Roman" w:cs="Times New Roman"/>
                <w:spacing w:val="-2"/>
                <w:position w:val="7"/>
                <w:sz w:val="14"/>
                <w:szCs w:val="14"/>
              </w:rPr>
              <w:t>3</w:t>
            </w:r>
            <w:r>
              <w:rPr>
                <w:spacing w:val="-2"/>
              </w:rPr>
              <w:t xml:space="preserve">）和氮氧化物 </w:t>
            </w:r>
            <w:r>
              <w:rPr>
                <w:rFonts w:hint="eastAsia"/>
                <w:spacing w:val="-2"/>
                <w:lang w:eastAsia="zh-CN"/>
              </w:rPr>
              <w:t>（</w:t>
            </w:r>
            <w:r>
              <w:rPr>
                <w:spacing w:val="-2"/>
              </w:rPr>
              <w:t>≤</w:t>
            </w:r>
            <w:r>
              <w:rPr>
                <w:spacing w:val="8"/>
              </w:rPr>
              <w:t xml:space="preserve">  </w:t>
            </w:r>
            <w:r>
              <w:rPr>
                <w:rFonts w:ascii="Times New Roman" w:hAnsi="Times New Roman" w:eastAsia="Times New Roman" w:cs="Times New Roman"/>
                <w:spacing w:val="-4"/>
              </w:rPr>
              <w:t>300mg/m</w:t>
            </w:r>
            <w:r>
              <w:rPr>
                <w:rFonts w:ascii="Times New Roman" w:hAnsi="Times New Roman" w:eastAsia="Times New Roman" w:cs="Times New Roman"/>
                <w:spacing w:val="-4"/>
                <w:position w:val="7"/>
                <w:sz w:val="14"/>
                <w:szCs w:val="14"/>
              </w:rPr>
              <w:t xml:space="preserve">3 </w:t>
            </w:r>
            <w:r>
              <w:rPr>
                <w:spacing w:val="-4"/>
              </w:rPr>
              <w:t>）的排放浓度限值要求。</w:t>
            </w:r>
          </w:p>
          <w:p w14:paraId="207C1A5B">
            <w:pPr>
              <w:pStyle w:val="6"/>
              <w:spacing w:before="20" w:line="233" w:lineRule="auto"/>
              <w:ind w:left="535"/>
            </w:pPr>
            <w:r>
              <w:rPr>
                <w:b/>
                <w:bCs/>
                <w:spacing w:val="-3"/>
              </w:rPr>
              <w:t>（</w:t>
            </w:r>
            <w:r>
              <w:rPr>
                <w:rFonts w:ascii="Times New Roman" w:hAnsi="Times New Roman" w:eastAsia="Times New Roman" w:cs="Times New Roman"/>
                <w:b/>
                <w:bCs/>
                <w:spacing w:val="-3"/>
              </w:rPr>
              <w:t>4</w:t>
            </w:r>
            <w:r>
              <w:rPr>
                <w:b/>
                <w:bCs/>
                <w:spacing w:val="-3"/>
              </w:rPr>
              <w:t>）物料输送的粉尘</w:t>
            </w:r>
          </w:p>
          <w:p w14:paraId="3A359633">
            <w:pPr>
              <w:pStyle w:val="6"/>
              <w:spacing w:before="133" w:line="352" w:lineRule="auto"/>
              <w:ind w:left="113" w:right="102" w:firstLine="419"/>
            </w:pPr>
            <w:r>
              <w:rPr>
                <w:spacing w:val="-1"/>
              </w:rPr>
              <w:t>结合同类项目生产经营，生物质成型燃料生产线的物料输送粉尘</w:t>
            </w:r>
            <w:r>
              <w:rPr>
                <w:spacing w:val="-2"/>
              </w:rPr>
              <w:t>主要产生于输送皮</w:t>
            </w:r>
            <w:r>
              <w:t xml:space="preserve"> </w:t>
            </w:r>
            <w:r>
              <w:rPr>
                <w:spacing w:val="-2"/>
              </w:rPr>
              <w:t>带异常抖动起尘、输送带连接处物料跌落起</w:t>
            </w:r>
            <w:r>
              <w:rPr>
                <w:spacing w:val="-3"/>
              </w:rPr>
              <w:t>尘。</w:t>
            </w:r>
          </w:p>
          <w:p w14:paraId="4539475C">
            <w:pPr>
              <w:pStyle w:val="6"/>
              <w:spacing w:before="3" w:line="351" w:lineRule="auto"/>
              <w:ind w:left="106" w:right="101" w:firstLine="429"/>
              <w:jc w:val="both"/>
            </w:pPr>
            <w:r>
              <w:rPr>
                <w:b/>
                <w:bCs/>
                <w:spacing w:val="-2"/>
              </w:rPr>
              <w:t>治理措施</w:t>
            </w:r>
            <w:r>
              <w:rPr>
                <w:spacing w:val="-2"/>
              </w:rPr>
              <w:t>：根据设计方案，本项目在所有工艺环节上的输送皮带，均设为封闭式输</w:t>
            </w:r>
            <w:r>
              <w:rPr>
                <w:spacing w:val="16"/>
              </w:rPr>
              <w:t xml:space="preserve"> </w:t>
            </w:r>
            <w:r>
              <w:rPr>
                <w:spacing w:val="-1"/>
              </w:rPr>
              <w:t>送带实现密闭输送；部分环节采用的螺旋绞龙输送设备也属于密闭型设备，无逸散尘排</w:t>
            </w:r>
            <w:r>
              <w:rPr>
                <w:spacing w:val="1"/>
              </w:rPr>
              <w:t xml:space="preserve"> </w:t>
            </w:r>
            <w:r>
              <w:rPr>
                <w:spacing w:val="-1"/>
              </w:rPr>
              <w:t>放。输送皮带与设备连接处均为紧密连接方式。输送带在中间料堆放间落料处也是处于</w:t>
            </w:r>
            <w:r>
              <w:rPr>
                <w:spacing w:val="1"/>
              </w:rPr>
              <w:t xml:space="preserve"> </w:t>
            </w:r>
            <w:r>
              <w:rPr>
                <w:spacing w:val="-5"/>
              </w:rPr>
              <w:t>封闭式堆放间内，粉尘逸散量极少。同时，</w:t>
            </w:r>
            <w:r>
              <w:rPr>
                <w:spacing w:val="48"/>
              </w:rPr>
              <w:t xml:space="preserve"> </w:t>
            </w:r>
            <w:r>
              <w:rPr>
                <w:spacing w:val="-5"/>
              </w:rPr>
              <w:t>本项目布置在封闭式车间内，能够起到极好</w:t>
            </w:r>
            <w:r>
              <w:t xml:space="preserve"> </w:t>
            </w:r>
            <w:r>
              <w:rPr>
                <w:spacing w:val="-4"/>
              </w:rPr>
              <w:t>地防止粉尘逸散作用。</w:t>
            </w:r>
          </w:p>
          <w:p w14:paraId="2B804E84">
            <w:pPr>
              <w:pStyle w:val="6"/>
              <w:spacing w:before="2" w:line="351" w:lineRule="auto"/>
              <w:ind w:left="109" w:right="101" w:firstLine="420"/>
              <w:jc w:val="both"/>
            </w:pPr>
            <w:r>
              <w:rPr>
                <w:spacing w:val="-1"/>
              </w:rPr>
              <w:t>查阅《排放源统计调查产排污核算方法和系数手册》（公告</w:t>
            </w:r>
            <w:r>
              <w:rPr>
                <w:rFonts w:ascii="Times New Roman" w:hAnsi="Times New Roman" w:eastAsia="Times New Roman" w:cs="Times New Roman"/>
                <w:spacing w:val="-1"/>
              </w:rPr>
              <w:t>2021</w:t>
            </w:r>
            <w:r>
              <w:rPr>
                <w:spacing w:val="-1"/>
              </w:rPr>
              <w:t>年第</w:t>
            </w:r>
            <w:r>
              <w:rPr>
                <w:rFonts w:ascii="Times New Roman" w:hAnsi="Times New Roman" w:eastAsia="Times New Roman" w:cs="Times New Roman"/>
                <w:spacing w:val="-1"/>
              </w:rPr>
              <w:t>24</w:t>
            </w:r>
            <w:r>
              <w:rPr>
                <w:spacing w:val="-1"/>
              </w:rPr>
              <w:t>号）“</w:t>
            </w:r>
            <w:r>
              <w:rPr>
                <w:rFonts w:ascii="Times New Roman" w:hAnsi="Times New Roman" w:eastAsia="Times New Roman" w:cs="Times New Roman"/>
                <w:spacing w:val="-1"/>
              </w:rPr>
              <w:t>2542</w:t>
            </w:r>
            <w:r>
              <w:rPr>
                <w:rFonts w:ascii="Times New Roman" w:hAnsi="Times New Roman" w:eastAsia="Times New Roman" w:cs="Times New Roman"/>
              </w:rPr>
              <w:t xml:space="preserve"> </w:t>
            </w:r>
            <w:r>
              <w:rPr>
                <w:spacing w:val="-1"/>
              </w:rPr>
              <w:t>生物质致密成型燃料加工行业系数手册”，暂未发布本行业物料输送环节的粉尘产</w:t>
            </w:r>
            <w:r>
              <w:rPr>
                <w:spacing w:val="-2"/>
              </w:rPr>
              <w:t>污系</w:t>
            </w:r>
            <w:r>
              <w:t xml:space="preserve"> </w:t>
            </w:r>
            <w:r>
              <w:rPr>
                <w:spacing w:val="-1"/>
              </w:rPr>
              <w:t>数；加上本项目拟采取的粉尘抑制措施较好，排放的粉尘量极少。因此本次环评仅</w:t>
            </w:r>
            <w:r>
              <w:rPr>
                <w:spacing w:val="-2"/>
              </w:rPr>
              <w:t>定性</w:t>
            </w:r>
            <w:r>
              <w:t xml:space="preserve"> </w:t>
            </w:r>
            <w:r>
              <w:rPr>
                <w:spacing w:val="-9"/>
              </w:rPr>
              <w:t>分析。</w:t>
            </w:r>
          </w:p>
          <w:p w14:paraId="59C8F334">
            <w:pPr>
              <w:pStyle w:val="6"/>
              <w:spacing w:before="2" w:line="233" w:lineRule="auto"/>
              <w:ind w:left="535"/>
            </w:pPr>
            <w:r>
              <w:rPr>
                <w:b/>
                <w:bCs/>
                <w:spacing w:val="-3"/>
              </w:rPr>
              <w:t>（</w:t>
            </w:r>
            <w:r>
              <w:rPr>
                <w:rFonts w:ascii="Times New Roman" w:hAnsi="Times New Roman" w:eastAsia="Times New Roman" w:cs="Times New Roman"/>
                <w:b/>
                <w:bCs/>
                <w:spacing w:val="-3"/>
              </w:rPr>
              <w:t>5</w:t>
            </w:r>
            <w:r>
              <w:rPr>
                <w:b/>
                <w:bCs/>
                <w:spacing w:val="-3"/>
              </w:rPr>
              <w:t>）中间料堆放粉尘</w:t>
            </w:r>
          </w:p>
          <w:p w14:paraId="05BDE20C">
            <w:pPr>
              <w:pStyle w:val="6"/>
              <w:spacing w:before="133" w:line="352" w:lineRule="auto"/>
              <w:ind w:left="109" w:right="101" w:firstLine="418"/>
              <w:jc w:val="both"/>
            </w:pPr>
            <w:r>
              <w:rPr>
                <w:spacing w:val="-1"/>
              </w:rPr>
              <w:t>根据工程分析，本项目在封闭式车间内设置有两个中间料堆放区，包括湿粉料</w:t>
            </w:r>
            <w:r>
              <w:rPr>
                <w:spacing w:val="-2"/>
              </w:rPr>
              <w:t>堆放</w:t>
            </w:r>
            <w:r>
              <w:t xml:space="preserve"> </w:t>
            </w:r>
            <w:r>
              <w:rPr>
                <w:spacing w:val="-5"/>
              </w:rPr>
              <w:t>区和干粉料堆放区。其中湿粉料和干粉料堆放区的物料为粉料状态，若不加以控制易产</w:t>
            </w:r>
            <w:r>
              <w:t xml:space="preserve"> </w:t>
            </w:r>
            <w:r>
              <w:rPr>
                <w:rFonts w:hint="eastAsia"/>
                <w:lang w:eastAsia="zh-CN"/>
              </w:rPr>
              <w:t>生</w:t>
            </w:r>
            <w:r>
              <w:rPr>
                <w:spacing w:val="-6"/>
              </w:rPr>
              <w:t>扬尘污染。</w:t>
            </w:r>
          </w:p>
          <w:p w14:paraId="0EBB6AD1">
            <w:pPr>
              <w:pStyle w:val="6"/>
              <w:spacing w:before="5" w:line="351" w:lineRule="auto"/>
              <w:ind w:left="106" w:right="101" w:firstLine="428"/>
              <w:jc w:val="both"/>
            </w:pPr>
            <w:r>
              <w:rPr>
                <w:b/>
                <w:bCs/>
                <w:spacing w:val="-2"/>
              </w:rPr>
              <w:t>治理措施</w:t>
            </w:r>
            <w:r>
              <w:rPr>
                <w:spacing w:val="-2"/>
              </w:rPr>
              <w:t>：根据设计方案，本项目所租用的厂房为封闭式厂房，湿粉料和干粉料堆</w:t>
            </w:r>
            <w:r>
              <w:rPr>
                <w:spacing w:val="16"/>
              </w:rPr>
              <w:t xml:space="preserve"> </w:t>
            </w:r>
            <w:r>
              <w:rPr>
                <w:spacing w:val="-1"/>
              </w:rPr>
              <w:t>放区布置在封闭式车间内，能够避免风力扰动起尘。在车间内又对湿粉料和干粉料堆放</w:t>
            </w:r>
            <w:r>
              <w:t xml:space="preserve"> </w:t>
            </w:r>
            <w:r>
              <w:rPr>
                <w:spacing w:val="-1"/>
              </w:rPr>
              <w:t>区设置有严密围挡，围挡高度与厂房高度一致，形成独立的封闭式堆放间，实现了二次</w:t>
            </w:r>
            <w:r>
              <w:rPr>
                <w:spacing w:val="1"/>
              </w:rPr>
              <w:t xml:space="preserve"> </w:t>
            </w:r>
            <w:r>
              <w:rPr>
                <w:spacing w:val="-1"/>
              </w:rPr>
              <w:t>封闭。在生产过程中湿粉料和干粉料上料至下一个生产环节时，均依靠封闭式输送带或</w:t>
            </w:r>
            <w:r>
              <w:t xml:space="preserve"> </w:t>
            </w:r>
            <w:r>
              <w:rPr>
                <w:spacing w:val="-5"/>
              </w:rPr>
              <w:t>密闭型螺旋绞龙输送物料，能够降低机械上料的频率减少机械扰动起尘。同时，</w:t>
            </w:r>
            <w:r>
              <w:rPr>
                <w:spacing w:val="47"/>
              </w:rPr>
              <w:t xml:space="preserve"> </w:t>
            </w:r>
            <w:r>
              <w:rPr>
                <w:spacing w:val="-5"/>
              </w:rPr>
              <w:t>再经过</w:t>
            </w:r>
            <w:r>
              <w:t xml:space="preserve"> </w:t>
            </w:r>
            <w:r>
              <w:rPr>
                <w:spacing w:val="-1"/>
              </w:rPr>
              <w:t>二次封闭车间的阻隔，中间料堆放区几乎无逸散尘产生。因此本次环评仅定性分析。</w:t>
            </w:r>
          </w:p>
          <w:p w14:paraId="5088D670">
            <w:pPr>
              <w:pStyle w:val="6"/>
              <w:spacing w:line="233" w:lineRule="auto"/>
              <w:ind w:left="535"/>
            </w:pPr>
            <w:r>
              <w:rPr>
                <w:b/>
                <w:bCs/>
                <w:spacing w:val="-3"/>
              </w:rPr>
              <w:t>（</w:t>
            </w:r>
            <w:r>
              <w:rPr>
                <w:rFonts w:ascii="Times New Roman" w:hAnsi="Times New Roman" w:eastAsia="Times New Roman" w:cs="Times New Roman"/>
                <w:b/>
                <w:bCs/>
                <w:spacing w:val="-3"/>
              </w:rPr>
              <w:t>6</w:t>
            </w:r>
            <w:r>
              <w:rPr>
                <w:b/>
                <w:bCs/>
                <w:spacing w:val="-3"/>
              </w:rPr>
              <w:t>）包装环节的粉尘</w:t>
            </w:r>
          </w:p>
          <w:p w14:paraId="5B89AE20">
            <w:pPr>
              <w:pStyle w:val="6"/>
              <w:spacing w:before="134" w:line="219" w:lineRule="auto"/>
              <w:ind w:left="531"/>
            </w:pPr>
            <w:r>
              <w:t>项目采用的造粒机生产的生物质颗粒燃料成型率高</w:t>
            </w:r>
            <w:r>
              <w:rPr>
                <w:spacing w:val="-1"/>
              </w:rPr>
              <w:t>，仅有少量的原料未能挤压成</w:t>
            </w:r>
          </w:p>
        </w:tc>
      </w:tr>
    </w:tbl>
    <w:p w14:paraId="1955F34C">
      <w:pPr>
        <w:rPr>
          <w:rFonts w:ascii="Arial"/>
          <w:sz w:val="21"/>
        </w:rPr>
      </w:pPr>
    </w:p>
    <w:p w14:paraId="67781278">
      <w:pPr>
        <w:rPr>
          <w:rFonts w:ascii="Arial" w:hAnsi="Arial" w:eastAsia="Arial" w:cs="Arial"/>
          <w:sz w:val="21"/>
          <w:szCs w:val="21"/>
        </w:rPr>
        <w:sectPr>
          <w:footerReference r:id="rId59" w:type="default"/>
          <w:pgSz w:w="11908" w:h="16840"/>
          <w:pgMar w:top="1431" w:right="1489" w:bottom="1053" w:left="1489" w:header="0" w:footer="801" w:gutter="0"/>
          <w:cols w:space="720" w:num="1"/>
        </w:sectPr>
      </w:pPr>
    </w:p>
    <w:p w14:paraId="338992B2">
      <w:pPr>
        <w:spacing w:before="28"/>
      </w:pPr>
    </w:p>
    <w:tbl>
      <w:tblPr>
        <w:tblStyle w:val="5"/>
        <w:tblW w:w="891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104"/>
        <w:gridCol w:w="467"/>
        <w:gridCol w:w="35"/>
        <w:gridCol w:w="661"/>
        <w:gridCol w:w="692"/>
        <w:gridCol w:w="567"/>
        <w:gridCol w:w="316"/>
        <w:gridCol w:w="251"/>
        <w:gridCol w:w="599"/>
        <w:gridCol w:w="109"/>
        <w:gridCol w:w="729"/>
        <w:gridCol w:w="1401"/>
        <w:gridCol w:w="567"/>
        <w:gridCol w:w="95"/>
        <w:gridCol w:w="1037"/>
        <w:gridCol w:w="419"/>
        <w:gridCol w:w="114"/>
      </w:tblGrid>
      <w:tr w14:paraId="18898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8" w:hRule="atLeast"/>
        </w:trPr>
        <w:tc>
          <w:tcPr>
            <w:tcW w:w="750" w:type="dxa"/>
            <w:vMerge w:val="restart"/>
            <w:tcBorders>
              <w:left w:val="single" w:color="000000" w:sz="6" w:space="0"/>
              <w:bottom w:val="nil"/>
            </w:tcBorders>
            <w:vAlign w:val="top"/>
          </w:tcPr>
          <w:p w14:paraId="665B1D55">
            <w:pPr>
              <w:spacing w:line="252" w:lineRule="auto"/>
              <w:rPr>
                <w:rFonts w:ascii="Arial"/>
                <w:sz w:val="21"/>
              </w:rPr>
            </w:pPr>
          </w:p>
          <w:p w14:paraId="516BAD8A">
            <w:pPr>
              <w:spacing w:line="252" w:lineRule="auto"/>
              <w:rPr>
                <w:rFonts w:ascii="Arial"/>
                <w:sz w:val="21"/>
              </w:rPr>
            </w:pPr>
          </w:p>
          <w:p w14:paraId="2807C1DD">
            <w:pPr>
              <w:spacing w:line="252" w:lineRule="auto"/>
              <w:rPr>
                <w:rFonts w:ascii="Arial"/>
                <w:sz w:val="21"/>
              </w:rPr>
            </w:pPr>
          </w:p>
          <w:p w14:paraId="6CD2A426">
            <w:pPr>
              <w:spacing w:line="252" w:lineRule="auto"/>
              <w:rPr>
                <w:rFonts w:ascii="Arial"/>
                <w:sz w:val="21"/>
              </w:rPr>
            </w:pPr>
          </w:p>
          <w:p w14:paraId="44B24989">
            <w:pPr>
              <w:spacing w:line="252" w:lineRule="auto"/>
              <w:rPr>
                <w:rFonts w:ascii="Arial"/>
                <w:sz w:val="21"/>
              </w:rPr>
            </w:pPr>
          </w:p>
          <w:p w14:paraId="487BF476">
            <w:pPr>
              <w:spacing w:line="252" w:lineRule="auto"/>
              <w:rPr>
                <w:rFonts w:ascii="Arial"/>
                <w:sz w:val="21"/>
              </w:rPr>
            </w:pPr>
          </w:p>
          <w:p w14:paraId="272A1B63">
            <w:pPr>
              <w:spacing w:line="252" w:lineRule="auto"/>
              <w:rPr>
                <w:rFonts w:ascii="Arial"/>
                <w:sz w:val="21"/>
              </w:rPr>
            </w:pPr>
          </w:p>
          <w:p w14:paraId="0D62814D">
            <w:pPr>
              <w:spacing w:line="252" w:lineRule="auto"/>
              <w:rPr>
                <w:rFonts w:ascii="Arial"/>
                <w:sz w:val="21"/>
              </w:rPr>
            </w:pPr>
          </w:p>
          <w:p w14:paraId="5F0A41C3">
            <w:pPr>
              <w:spacing w:line="252" w:lineRule="auto"/>
              <w:rPr>
                <w:rFonts w:ascii="Arial"/>
                <w:sz w:val="21"/>
              </w:rPr>
            </w:pPr>
          </w:p>
          <w:p w14:paraId="1E5D0579">
            <w:pPr>
              <w:spacing w:line="252" w:lineRule="auto"/>
              <w:rPr>
                <w:rFonts w:ascii="Arial"/>
                <w:sz w:val="21"/>
              </w:rPr>
            </w:pPr>
          </w:p>
          <w:p w14:paraId="73E2D6E4">
            <w:pPr>
              <w:spacing w:line="252" w:lineRule="auto"/>
              <w:rPr>
                <w:rFonts w:ascii="Arial"/>
                <w:sz w:val="21"/>
              </w:rPr>
            </w:pPr>
          </w:p>
          <w:p w14:paraId="10E65FE1">
            <w:pPr>
              <w:spacing w:line="252" w:lineRule="auto"/>
              <w:rPr>
                <w:rFonts w:ascii="Arial"/>
                <w:sz w:val="21"/>
              </w:rPr>
            </w:pPr>
          </w:p>
          <w:p w14:paraId="0562F7FA">
            <w:pPr>
              <w:spacing w:line="252" w:lineRule="auto"/>
              <w:rPr>
                <w:rFonts w:ascii="Arial"/>
                <w:sz w:val="21"/>
              </w:rPr>
            </w:pPr>
          </w:p>
          <w:p w14:paraId="01DB827A">
            <w:pPr>
              <w:spacing w:line="252" w:lineRule="auto"/>
              <w:rPr>
                <w:rFonts w:ascii="Arial"/>
                <w:sz w:val="21"/>
              </w:rPr>
            </w:pPr>
          </w:p>
          <w:p w14:paraId="415F47D7">
            <w:pPr>
              <w:spacing w:line="253" w:lineRule="auto"/>
              <w:rPr>
                <w:rFonts w:ascii="Arial"/>
                <w:sz w:val="21"/>
              </w:rPr>
            </w:pPr>
          </w:p>
          <w:p w14:paraId="01CBCAA7">
            <w:pPr>
              <w:spacing w:line="253" w:lineRule="auto"/>
              <w:rPr>
                <w:rFonts w:ascii="Arial"/>
                <w:sz w:val="21"/>
              </w:rPr>
            </w:pPr>
          </w:p>
          <w:p w14:paraId="1DFA6DA2">
            <w:pPr>
              <w:spacing w:line="253" w:lineRule="auto"/>
              <w:rPr>
                <w:rFonts w:ascii="Arial"/>
                <w:sz w:val="21"/>
              </w:rPr>
            </w:pPr>
          </w:p>
          <w:p w14:paraId="557DCF10">
            <w:pPr>
              <w:pStyle w:val="6"/>
              <w:spacing w:before="69" w:line="220" w:lineRule="auto"/>
              <w:ind w:left="162"/>
            </w:pPr>
            <w:r>
              <w:rPr>
                <w:b/>
                <w:bCs/>
                <w:spacing w:val="-4"/>
              </w:rPr>
              <w:t>运营</w:t>
            </w:r>
          </w:p>
          <w:p w14:paraId="14F1707D">
            <w:pPr>
              <w:pStyle w:val="6"/>
              <w:spacing w:before="22" w:line="220" w:lineRule="auto"/>
              <w:ind w:left="164"/>
            </w:pPr>
            <w:r>
              <w:rPr>
                <w:b/>
                <w:bCs/>
                <w:spacing w:val="-5"/>
              </w:rPr>
              <w:t>期环</w:t>
            </w:r>
          </w:p>
          <w:p w14:paraId="262A6C8B">
            <w:pPr>
              <w:pStyle w:val="6"/>
              <w:spacing w:before="22" w:line="220" w:lineRule="auto"/>
              <w:ind w:left="163"/>
            </w:pPr>
            <w:r>
              <w:rPr>
                <w:b/>
                <w:bCs/>
                <w:spacing w:val="-5"/>
              </w:rPr>
              <w:t>境影</w:t>
            </w:r>
          </w:p>
          <w:p w14:paraId="3A1423E5">
            <w:pPr>
              <w:pStyle w:val="6"/>
              <w:spacing w:before="22" w:line="222" w:lineRule="auto"/>
              <w:ind w:left="173"/>
            </w:pPr>
            <w:r>
              <w:rPr>
                <w:b/>
                <w:bCs/>
                <w:spacing w:val="-7"/>
              </w:rPr>
              <w:t>响和</w:t>
            </w:r>
          </w:p>
          <w:p w14:paraId="4EE65D1E">
            <w:pPr>
              <w:pStyle w:val="6"/>
              <w:spacing w:before="19" w:line="220" w:lineRule="auto"/>
              <w:ind w:left="163"/>
            </w:pPr>
            <w:r>
              <w:rPr>
                <w:b/>
                <w:bCs/>
                <w:spacing w:val="-5"/>
              </w:rPr>
              <w:t>保护</w:t>
            </w:r>
          </w:p>
          <w:p w14:paraId="0AAA5274">
            <w:pPr>
              <w:pStyle w:val="6"/>
              <w:spacing w:before="22" w:line="220" w:lineRule="auto"/>
              <w:ind w:left="162"/>
            </w:pPr>
            <w:r>
              <w:rPr>
                <w:b/>
                <w:bCs/>
                <w:spacing w:val="-4"/>
              </w:rPr>
              <w:t>措施</w:t>
            </w:r>
          </w:p>
        </w:tc>
        <w:tc>
          <w:tcPr>
            <w:tcW w:w="8163" w:type="dxa"/>
            <w:gridSpan w:val="17"/>
            <w:tcBorders>
              <w:right w:val="single" w:color="000000" w:sz="6" w:space="0"/>
            </w:tcBorders>
            <w:vAlign w:val="top"/>
          </w:tcPr>
          <w:p w14:paraId="5668DAF4">
            <w:pPr>
              <w:pStyle w:val="6"/>
              <w:spacing w:before="143" w:line="352" w:lineRule="auto"/>
              <w:ind w:left="106" w:right="101" w:firstLine="7"/>
              <w:jc w:val="both"/>
            </w:pPr>
            <w:r>
              <w:rPr>
                <w:spacing w:val="-1"/>
              </w:rPr>
              <w:t>型，在出料口被微负压收集处理后，仅有极少量的粉尘会随着产品一同</w:t>
            </w:r>
            <w:r>
              <w:rPr>
                <w:spacing w:val="-2"/>
              </w:rPr>
              <w:t>进入成品冷却料</w:t>
            </w:r>
            <w:r>
              <w:t xml:space="preserve"> </w:t>
            </w:r>
            <w:r>
              <w:rPr>
                <w:spacing w:val="-9"/>
              </w:rPr>
              <w:t>仓。因此，</w:t>
            </w:r>
            <w:r>
              <w:rPr>
                <w:spacing w:val="48"/>
              </w:rPr>
              <w:t xml:space="preserve"> </w:t>
            </w:r>
            <w:r>
              <w:rPr>
                <w:spacing w:val="-9"/>
              </w:rPr>
              <w:t>在对成品生物质颗粒进行吨袋包装时产生的粉尘极少。同时，</w:t>
            </w:r>
            <w:r>
              <w:rPr>
                <w:spacing w:val="47"/>
              </w:rPr>
              <w:t xml:space="preserve"> </w:t>
            </w:r>
            <w:r>
              <w:rPr>
                <w:spacing w:val="-9"/>
              </w:rPr>
              <w:t>封闭式车间也</w:t>
            </w:r>
            <w:r>
              <w:t xml:space="preserve"> </w:t>
            </w:r>
            <w:r>
              <w:rPr>
                <w:spacing w:val="-2"/>
              </w:rPr>
              <w:t>能起到极好地阻隔逸散尘的作用。因此本次环评仅定性分析。</w:t>
            </w:r>
          </w:p>
          <w:p w14:paraId="66EA2C62">
            <w:pPr>
              <w:pStyle w:val="6"/>
              <w:spacing w:line="234" w:lineRule="auto"/>
              <w:ind w:left="113"/>
            </w:pPr>
            <w:r>
              <w:rPr>
                <w:rFonts w:ascii="Times New Roman" w:hAnsi="Times New Roman" w:eastAsia="Times New Roman" w:cs="Times New Roman"/>
                <w:b/>
                <w:bCs/>
                <w:spacing w:val="-3"/>
              </w:rPr>
              <w:t>1.2</w:t>
            </w:r>
            <w:r>
              <w:rPr>
                <w:b/>
                <w:bCs/>
                <w:spacing w:val="-3"/>
              </w:rPr>
              <w:t>废气达标情况分析</w:t>
            </w:r>
          </w:p>
          <w:p w14:paraId="6EB8D3CA">
            <w:pPr>
              <w:pStyle w:val="6"/>
              <w:spacing w:before="141" w:line="226" w:lineRule="auto"/>
              <w:ind w:left="1388"/>
              <w:rPr>
                <w:sz w:val="20"/>
                <w:szCs w:val="20"/>
              </w:rPr>
            </w:pPr>
            <w:r>
              <w:rPr>
                <w:b/>
                <w:bCs/>
                <w:spacing w:val="-1"/>
                <w:sz w:val="20"/>
                <w:szCs w:val="20"/>
              </w:rPr>
              <w:t>表</w:t>
            </w:r>
            <w:r>
              <w:rPr>
                <w:rFonts w:ascii="Times New Roman" w:hAnsi="Times New Roman" w:eastAsia="Times New Roman" w:cs="Times New Roman"/>
                <w:b/>
                <w:bCs/>
                <w:spacing w:val="-1"/>
                <w:sz w:val="20"/>
                <w:szCs w:val="20"/>
              </w:rPr>
              <w:t xml:space="preserve">4-4      </w:t>
            </w:r>
            <w:r>
              <w:rPr>
                <w:b/>
                <w:bCs/>
                <w:spacing w:val="-1"/>
                <w:sz w:val="20"/>
                <w:szCs w:val="20"/>
              </w:rPr>
              <w:t>废气产生环节、污染物种类、排放形式及</w:t>
            </w:r>
            <w:r>
              <w:rPr>
                <w:b/>
                <w:bCs/>
                <w:spacing w:val="-2"/>
                <w:sz w:val="20"/>
                <w:szCs w:val="20"/>
              </w:rPr>
              <w:t>污染防治设施表</w:t>
            </w:r>
          </w:p>
        </w:tc>
      </w:tr>
      <w:tr w14:paraId="0B298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50" w:type="dxa"/>
            <w:vMerge w:val="continue"/>
            <w:tcBorders>
              <w:top w:val="nil"/>
              <w:left w:val="single" w:color="000000" w:sz="6" w:space="0"/>
              <w:bottom w:val="nil"/>
            </w:tcBorders>
            <w:vAlign w:val="top"/>
          </w:tcPr>
          <w:p w14:paraId="468E28C2">
            <w:pPr>
              <w:rPr>
                <w:rFonts w:ascii="Arial"/>
                <w:sz w:val="21"/>
              </w:rPr>
            </w:pPr>
          </w:p>
        </w:tc>
        <w:tc>
          <w:tcPr>
            <w:tcW w:w="104" w:type="dxa"/>
            <w:tcBorders>
              <w:top w:val="nil"/>
              <w:bottom w:val="nil"/>
            </w:tcBorders>
            <w:vAlign w:val="top"/>
          </w:tcPr>
          <w:p w14:paraId="194CB7F0">
            <w:pPr>
              <w:rPr>
                <w:rFonts w:ascii="Arial"/>
                <w:sz w:val="21"/>
              </w:rPr>
            </w:pPr>
          </w:p>
        </w:tc>
        <w:tc>
          <w:tcPr>
            <w:tcW w:w="502" w:type="dxa"/>
            <w:gridSpan w:val="2"/>
            <w:vAlign w:val="top"/>
          </w:tcPr>
          <w:p w14:paraId="19B0DD34">
            <w:pPr>
              <w:pStyle w:val="6"/>
              <w:spacing w:before="146" w:line="221" w:lineRule="auto"/>
              <w:ind w:left="67"/>
              <w:rPr>
                <w:sz w:val="18"/>
                <w:szCs w:val="18"/>
              </w:rPr>
            </w:pPr>
            <w:r>
              <w:rPr>
                <w:b/>
                <w:bCs/>
                <w:spacing w:val="-4"/>
                <w:sz w:val="18"/>
                <w:szCs w:val="18"/>
              </w:rPr>
              <w:t>序号</w:t>
            </w:r>
          </w:p>
        </w:tc>
        <w:tc>
          <w:tcPr>
            <w:tcW w:w="1353" w:type="dxa"/>
            <w:gridSpan w:val="2"/>
            <w:vAlign w:val="top"/>
          </w:tcPr>
          <w:p w14:paraId="583E0275">
            <w:pPr>
              <w:pStyle w:val="6"/>
              <w:spacing w:before="145" w:line="220" w:lineRule="auto"/>
              <w:ind w:left="36"/>
              <w:rPr>
                <w:sz w:val="18"/>
                <w:szCs w:val="18"/>
              </w:rPr>
            </w:pPr>
            <w:r>
              <w:rPr>
                <w:b/>
                <w:bCs/>
                <w:spacing w:val="-3"/>
                <w:sz w:val="18"/>
                <w:szCs w:val="18"/>
              </w:rPr>
              <w:t>污染物产生设施</w:t>
            </w:r>
          </w:p>
        </w:tc>
        <w:tc>
          <w:tcPr>
            <w:tcW w:w="883" w:type="dxa"/>
            <w:gridSpan w:val="2"/>
            <w:vAlign w:val="top"/>
          </w:tcPr>
          <w:p w14:paraId="412B3FC3">
            <w:pPr>
              <w:pStyle w:val="6"/>
              <w:spacing w:before="28" w:line="220" w:lineRule="auto"/>
              <w:ind w:left="68"/>
              <w:rPr>
                <w:sz w:val="18"/>
                <w:szCs w:val="18"/>
              </w:rPr>
            </w:pPr>
            <w:r>
              <w:rPr>
                <w:b/>
                <w:bCs/>
                <w:spacing w:val="-3"/>
                <w:sz w:val="18"/>
                <w:szCs w:val="18"/>
              </w:rPr>
              <w:t>废气产污</w:t>
            </w:r>
          </w:p>
          <w:p w14:paraId="7B497E5E">
            <w:pPr>
              <w:pStyle w:val="6"/>
              <w:spacing w:before="19" w:line="204" w:lineRule="auto"/>
              <w:ind w:left="248"/>
              <w:rPr>
                <w:sz w:val="18"/>
                <w:szCs w:val="18"/>
              </w:rPr>
            </w:pPr>
            <w:r>
              <w:rPr>
                <w:b/>
                <w:bCs/>
                <w:spacing w:val="-4"/>
                <w:sz w:val="18"/>
                <w:szCs w:val="18"/>
              </w:rPr>
              <w:t>环节</w:t>
            </w:r>
          </w:p>
        </w:tc>
        <w:tc>
          <w:tcPr>
            <w:tcW w:w="850" w:type="dxa"/>
            <w:gridSpan w:val="2"/>
            <w:vAlign w:val="top"/>
          </w:tcPr>
          <w:p w14:paraId="507ADE91">
            <w:pPr>
              <w:pStyle w:val="6"/>
              <w:spacing w:before="28" w:line="220" w:lineRule="auto"/>
              <w:ind w:left="56"/>
              <w:rPr>
                <w:sz w:val="18"/>
                <w:szCs w:val="18"/>
              </w:rPr>
            </w:pPr>
            <w:r>
              <w:rPr>
                <w:b/>
                <w:bCs/>
                <w:spacing w:val="-4"/>
                <w:sz w:val="18"/>
                <w:szCs w:val="18"/>
              </w:rPr>
              <w:t>污染物种</w:t>
            </w:r>
          </w:p>
          <w:p w14:paraId="177D8549">
            <w:pPr>
              <w:pStyle w:val="6"/>
              <w:spacing w:before="18" w:line="204" w:lineRule="auto"/>
              <w:ind w:left="324"/>
              <w:rPr>
                <w:sz w:val="18"/>
                <w:szCs w:val="18"/>
              </w:rPr>
            </w:pPr>
            <w:r>
              <w:rPr>
                <w:b/>
                <w:bCs/>
                <w:spacing w:val="-2"/>
                <w:sz w:val="18"/>
                <w:szCs w:val="18"/>
              </w:rPr>
              <w:t>类</w:t>
            </w:r>
          </w:p>
        </w:tc>
        <w:tc>
          <w:tcPr>
            <w:tcW w:w="838" w:type="dxa"/>
            <w:gridSpan w:val="2"/>
            <w:vAlign w:val="top"/>
          </w:tcPr>
          <w:p w14:paraId="1CAA34E2">
            <w:pPr>
              <w:pStyle w:val="6"/>
              <w:spacing w:before="146" w:line="221" w:lineRule="auto"/>
              <w:ind w:left="55"/>
              <w:rPr>
                <w:sz w:val="18"/>
                <w:szCs w:val="18"/>
              </w:rPr>
            </w:pPr>
            <w:r>
              <w:rPr>
                <w:b/>
                <w:bCs/>
                <w:spacing w:val="-4"/>
                <w:sz w:val="18"/>
                <w:szCs w:val="18"/>
              </w:rPr>
              <w:t>排放形式</w:t>
            </w:r>
          </w:p>
        </w:tc>
        <w:tc>
          <w:tcPr>
            <w:tcW w:w="1401" w:type="dxa"/>
            <w:vAlign w:val="top"/>
          </w:tcPr>
          <w:p w14:paraId="73A62840">
            <w:pPr>
              <w:pStyle w:val="6"/>
              <w:spacing w:before="28" w:line="220" w:lineRule="auto"/>
              <w:ind w:left="68"/>
              <w:rPr>
                <w:sz w:val="18"/>
                <w:szCs w:val="18"/>
              </w:rPr>
            </w:pPr>
            <w:r>
              <w:rPr>
                <w:b/>
                <w:bCs/>
                <w:spacing w:val="-3"/>
                <w:sz w:val="18"/>
                <w:szCs w:val="18"/>
              </w:rPr>
              <w:t>污染物治理设施</w:t>
            </w:r>
          </w:p>
          <w:p w14:paraId="09A85AA5">
            <w:pPr>
              <w:pStyle w:val="6"/>
              <w:spacing w:before="18" w:line="204" w:lineRule="auto"/>
              <w:ind w:left="520"/>
              <w:rPr>
                <w:sz w:val="18"/>
                <w:szCs w:val="18"/>
              </w:rPr>
            </w:pPr>
            <w:r>
              <w:rPr>
                <w:b/>
                <w:bCs/>
                <w:spacing w:val="-4"/>
                <w:sz w:val="18"/>
                <w:szCs w:val="18"/>
              </w:rPr>
              <w:t>名称</w:t>
            </w:r>
          </w:p>
        </w:tc>
        <w:tc>
          <w:tcPr>
            <w:tcW w:w="662" w:type="dxa"/>
            <w:gridSpan w:val="2"/>
            <w:vAlign w:val="top"/>
          </w:tcPr>
          <w:p w14:paraId="553F4E6B">
            <w:pPr>
              <w:pStyle w:val="6"/>
              <w:spacing w:before="28" w:line="222" w:lineRule="auto"/>
              <w:ind w:left="145" w:right="66" w:hanging="91"/>
              <w:rPr>
                <w:sz w:val="18"/>
                <w:szCs w:val="18"/>
              </w:rPr>
            </w:pPr>
            <w:r>
              <w:rPr>
                <w:b/>
                <w:bCs/>
                <w:spacing w:val="-4"/>
                <w:sz w:val="18"/>
                <w:szCs w:val="18"/>
              </w:rPr>
              <w:t>排放口</w:t>
            </w:r>
            <w:r>
              <w:rPr>
                <w:sz w:val="18"/>
                <w:szCs w:val="18"/>
              </w:rPr>
              <w:t xml:space="preserve"> </w:t>
            </w:r>
            <w:r>
              <w:rPr>
                <w:b/>
                <w:bCs/>
                <w:spacing w:val="-4"/>
                <w:sz w:val="18"/>
                <w:szCs w:val="18"/>
              </w:rPr>
              <w:t>类型</w:t>
            </w:r>
          </w:p>
        </w:tc>
        <w:tc>
          <w:tcPr>
            <w:tcW w:w="1456" w:type="dxa"/>
            <w:gridSpan w:val="2"/>
            <w:vAlign w:val="top"/>
          </w:tcPr>
          <w:p w14:paraId="14594DC5">
            <w:pPr>
              <w:pStyle w:val="6"/>
              <w:spacing w:before="145" w:line="220" w:lineRule="auto"/>
              <w:ind w:left="368"/>
              <w:rPr>
                <w:sz w:val="18"/>
                <w:szCs w:val="18"/>
              </w:rPr>
            </w:pPr>
            <w:r>
              <w:rPr>
                <w:b/>
                <w:bCs/>
                <w:spacing w:val="-4"/>
                <w:sz w:val="18"/>
                <w:szCs w:val="18"/>
              </w:rPr>
              <w:t>执行标准</w:t>
            </w:r>
          </w:p>
        </w:tc>
        <w:tc>
          <w:tcPr>
            <w:tcW w:w="114" w:type="dxa"/>
            <w:vMerge w:val="restart"/>
            <w:tcBorders>
              <w:top w:val="nil"/>
              <w:bottom w:val="nil"/>
              <w:right w:val="single" w:color="000000" w:sz="6" w:space="0"/>
            </w:tcBorders>
            <w:vAlign w:val="top"/>
          </w:tcPr>
          <w:p w14:paraId="69564DC2">
            <w:pPr>
              <w:rPr>
                <w:rFonts w:ascii="Arial"/>
                <w:sz w:val="21"/>
              </w:rPr>
            </w:pPr>
          </w:p>
        </w:tc>
      </w:tr>
      <w:tr w14:paraId="6C759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750" w:type="dxa"/>
            <w:vMerge w:val="continue"/>
            <w:tcBorders>
              <w:top w:val="nil"/>
              <w:left w:val="single" w:color="000000" w:sz="6" w:space="0"/>
              <w:bottom w:val="nil"/>
            </w:tcBorders>
            <w:vAlign w:val="top"/>
          </w:tcPr>
          <w:p w14:paraId="4E89A48B">
            <w:pPr>
              <w:rPr>
                <w:rFonts w:ascii="Arial"/>
                <w:sz w:val="21"/>
              </w:rPr>
            </w:pPr>
          </w:p>
        </w:tc>
        <w:tc>
          <w:tcPr>
            <w:tcW w:w="104" w:type="dxa"/>
            <w:tcBorders>
              <w:top w:val="nil"/>
              <w:bottom w:val="nil"/>
            </w:tcBorders>
            <w:vAlign w:val="top"/>
          </w:tcPr>
          <w:p w14:paraId="127DF88E">
            <w:pPr>
              <w:rPr>
                <w:rFonts w:ascii="Arial"/>
                <w:sz w:val="21"/>
              </w:rPr>
            </w:pPr>
          </w:p>
        </w:tc>
        <w:tc>
          <w:tcPr>
            <w:tcW w:w="502" w:type="dxa"/>
            <w:gridSpan w:val="2"/>
            <w:vMerge w:val="restart"/>
            <w:tcBorders>
              <w:bottom w:val="nil"/>
            </w:tcBorders>
            <w:vAlign w:val="top"/>
          </w:tcPr>
          <w:p w14:paraId="54E8C204">
            <w:pPr>
              <w:spacing w:line="296" w:lineRule="auto"/>
              <w:rPr>
                <w:rFonts w:ascii="Arial"/>
                <w:sz w:val="21"/>
              </w:rPr>
            </w:pPr>
          </w:p>
          <w:p w14:paraId="7CFDC857">
            <w:pPr>
              <w:spacing w:line="296" w:lineRule="auto"/>
              <w:rPr>
                <w:rFonts w:ascii="Arial"/>
                <w:sz w:val="21"/>
              </w:rPr>
            </w:pPr>
          </w:p>
          <w:p w14:paraId="45CA51FD">
            <w:pPr>
              <w:spacing w:before="52" w:line="235" w:lineRule="auto"/>
              <w:ind w:left="21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353" w:type="dxa"/>
            <w:gridSpan w:val="2"/>
            <w:vMerge w:val="restart"/>
            <w:tcBorders>
              <w:bottom w:val="nil"/>
            </w:tcBorders>
            <w:vAlign w:val="top"/>
          </w:tcPr>
          <w:p w14:paraId="56F05106">
            <w:pPr>
              <w:spacing w:line="439" w:lineRule="auto"/>
              <w:rPr>
                <w:rFonts w:ascii="Arial"/>
                <w:sz w:val="21"/>
              </w:rPr>
            </w:pPr>
          </w:p>
          <w:p w14:paraId="7C495E72">
            <w:pPr>
              <w:pStyle w:val="6"/>
              <w:spacing w:before="59" w:line="242" w:lineRule="auto"/>
              <w:ind w:left="215" w:right="64" w:hanging="175"/>
              <w:rPr>
                <w:sz w:val="18"/>
                <w:szCs w:val="18"/>
              </w:rPr>
            </w:pPr>
            <w:r>
              <w:rPr>
                <w:spacing w:val="-3"/>
                <w:sz w:val="18"/>
                <w:szCs w:val="18"/>
              </w:rPr>
              <w:t>热风炉</w:t>
            </w:r>
            <w:r>
              <w:rPr>
                <w:rFonts w:hint="eastAsia"/>
                <w:spacing w:val="-3"/>
                <w:sz w:val="18"/>
                <w:szCs w:val="18"/>
                <w:lang w:eastAsia="zh-CN"/>
              </w:rPr>
              <w:t>、</w:t>
            </w:r>
            <w:r>
              <w:rPr>
                <w:spacing w:val="-3"/>
                <w:sz w:val="18"/>
                <w:szCs w:val="18"/>
              </w:rPr>
              <w:t>造粒</w:t>
            </w:r>
            <w:r>
              <w:rPr>
                <w:spacing w:val="3"/>
                <w:sz w:val="18"/>
                <w:szCs w:val="18"/>
              </w:rPr>
              <w:t xml:space="preserve"> </w:t>
            </w:r>
            <w:r>
              <w:rPr>
                <w:spacing w:val="-1"/>
                <w:sz w:val="18"/>
                <w:szCs w:val="18"/>
              </w:rPr>
              <w:t>机、烘干机</w:t>
            </w:r>
          </w:p>
        </w:tc>
        <w:tc>
          <w:tcPr>
            <w:tcW w:w="883" w:type="dxa"/>
            <w:gridSpan w:val="2"/>
            <w:vMerge w:val="restart"/>
            <w:tcBorders>
              <w:bottom w:val="nil"/>
            </w:tcBorders>
            <w:vAlign w:val="top"/>
          </w:tcPr>
          <w:p w14:paraId="707A597E">
            <w:pPr>
              <w:spacing w:line="278" w:lineRule="auto"/>
              <w:rPr>
                <w:rFonts w:ascii="Arial"/>
                <w:sz w:val="21"/>
              </w:rPr>
            </w:pPr>
          </w:p>
          <w:p w14:paraId="19360C50">
            <w:pPr>
              <w:spacing w:line="278" w:lineRule="auto"/>
              <w:rPr>
                <w:rFonts w:ascii="Arial"/>
                <w:sz w:val="21"/>
              </w:rPr>
            </w:pPr>
          </w:p>
          <w:p w14:paraId="085C8221">
            <w:pPr>
              <w:pStyle w:val="6"/>
              <w:spacing w:before="58" w:line="219" w:lineRule="auto"/>
              <w:ind w:left="250"/>
              <w:rPr>
                <w:sz w:val="18"/>
                <w:szCs w:val="18"/>
              </w:rPr>
            </w:pPr>
            <w:r>
              <w:rPr>
                <w:spacing w:val="-2"/>
                <w:sz w:val="18"/>
                <w:szCs w:val="18"/>
              </w:rPr>
              <w:t>烘干</w:t>
            </w:r>
          </w:p>
        </w:tc>
        <w:tc>
          <w:tcPr>
            <w:tcW w:w="850" w:type="dxa"/>
            <w:gridSpan w:val="2"/>
            <w:vAlign w:val="top"/>
          </w:tcPr>
          <w:p w14:paraId="188D1E2F">
            <w:pPr>
              <w:pStyle w:val="6"/>
              <w:spacing w:before="263" w:line="220" w:lineRule="auto"/>
              <w:ind w:left="145"/>
              <w:rPr>
                <w:sz w:val="18"/>
                <w:szCs w:val="18"/>
              </w:rPr>
            </w:pPr>
            <w:r>
              <w:rPr>
                <w:spacing w:val="-2"/>
                <w:sz w:val="18"/>
                <w:szCs w:val="18"/>
              </w:rPr>
              <w:t>颗粒物</w:t>
            </w:r>
          </w:p>
        </w:tc>
        <w:tc>
          <w:tcPr>
            <w:tcW w:w="838" w:type="dxa"/>
            <w:gridSpan w:val="2"/>
            <w:vMerge w:val="restart"/>
            <w:tcBorders>
              <w:bottom w:val="nil"/>
            </w:tcBorders>
            <w:vAlign w:val="top"/>
          </w:tcPr>
          <w:p w14:paraId="1D20127A">
            <w:pPr>
              <w:spacing w:line="278" w:lineRule="auto"/>
              <w:rPr>
                <w:rFonts w:ascii="Arial"/>
                <w:sz w:val="21"/>
              </w:rPr>
            </w:pPr>
          </w:p>
          <w:p w14:paraId="7E6ABAA1">
            <w:pPr>
              <w:spacing w:line="278" w:lineRule="auto"/>
              <w:rPr>
                <w:rFonts w:ascii="Arial"/>
                <w:sz w:val="21"/>
              </w:rPr>
            </w:pPr>
          </w:p>
          <w:p w14:paraId="1986CD0F">
            <w:pPr>
              <w:pStyle w:val="6"/>
              <w:spacing w:before="58" w:line="220" w:lineRule="auto"/>
              <w:ind w:left="147"/>
              <w:rPr>
                <w:sz w:val="18"/>
                <w:szCs w:val="18"/>
              </w:rPr>
            </w:pPr>
            <w:r>
              <w:rPr>
                <w:spacing w:val="-2"/>
                <w:sz w:val="18"/>
                <w:szCs w:val="18"/>
              </w:rPr>
              <w:t>有组织</w:t>
            </w:r>
          </w:p>
        </w:tc>
        <w:tc>
          <w:tcPr>
            <w:tcW w:w="1401" w:type="dxa"/>
            <w:vMerge w:val="restart"/>
            <w:tcBorders>
              <w:bottom w:val="nil"/>
            </w:tcBorders>
            <w:vAlign w:val="top"/>
          </w:tcPr>
          <w:p w14:paraId="711C3AA9">
            <w:pPr>
              <w:pStyle w:val="6"/>
              <w:spacing w:before="267" w:line="220" w:lineRule="auto"/>
              <w:jc w:val="right"/>
              <w:rPr>
                <w:sz w:val="18"/>
                <w:szCs w:val="18"/>
              </w:rPr>
            </w:pPr>
            <w:r>
              <w:rPr>
                <w:spacing w:val="-9"/>
                <w:sz w:val="18"/>
                <w:szCs w:val="18"/>
              </w:rPr>
              <w:t>密闭收尘、配“旋</w:t>
            </w:r>
          </w:p>
          <w:p w14:paraId="6581BEAF">
            <w:pPr>
              <w:pStyle w:val="6"/>
              <w:spacing w:before="20" w:line="239" w:lineRule="auto"/>
              <w:ind w:left="8" w:right="12" w:firstLine="10"/>
              <w:rPr>
                <w:sz w:val="18"/>
                <w:szCs w:val="18"/>
              </w:rPr>
            </w:pPr>
            <w:r>
              <w:rPr>
                <w:spacing w:val="-1"/>
                <w:sz w:val="18"/>
                <w:szCs w:val="18"/>
              </w:rPr>
              <w:t>风收尘</w:t>
            </w:r>
            <w:r>
              <w:rPr>
                <w:rFonts w:ascii="Times New Roman" w:hAnsi="Times New Roman" w:eastAsia="Times New Roman" w:cs="Times New Roman"/>
                <w:spacing w:val="-1"/>
                <w:sz w:val="18"/>
                <w:szCs w:val="18"/>
              </w:rPr>
              <w:t>+</w:t>
            </w:r>
            <w:r>
              <w:rPr>
                <w:spacing w:val="-1"/>
                <w:sz w:val="18"/>
                <w:szCs w:val="18"/>
              </w:rPr>
              <w:t>旋流喷淋</w:t>
            </w:r>
            <w:r>
              <w:rPr>
                <w:sz w:val="18"/>
                <w:szCs w:val="18"/>
              </w:rPr>
              <w:t xml:space="preserve"> </w:t>
            </w:r>
            <w:r>
              <w:rPr>
                <w:spacing w:val="-3"/>
                <w:sz w:val="18"/>
                <w:szCs w:val="18"/>
              </w:rPr>
              <w:t>塔除尘”、</w:t>
            </w:r>
            <w:r>
              <w:rPr>
                <w:rFonts w:ascii="Times New Roman" w:hAnsi="Times New Roman" w:eastAsia="Times New Roman" w:cs="Times New Roman"/>
                <w:spacing w:val="-3"/>
                <w:sz w:val="18"/>
                <w:szCs w:val="18"/>
              </w:rPr>
              <w:t>15m</w:t>
            </w:r>
            <w:r>
              <w:rPr>
                <w:spacing w:val="-3"/>
                <w:sz w:val="18"/>
                <w:szCs w:val="18"/>
              </w:rPr>
              <w:t>排</w:t>
            </w:r>
          </w:p>
          <w:p w14:paraId="1DAE1715">
            <w:pPr>
              <w:pStyle w:val="6"/>
              <w:spacing w:line="219" w:lineRule="auto"/>
              <w:ind w:left="340"/>
              <w:rPr>
                <w:sz w:val="18"/>
                <w:szCs w:val="18"/>
              </w:rPr>
            </w:pPr>
            <w:r>
              <w:rPr>
                <w:spacing w:val="-2"/>
                <w:sz w:val="18"/>
                <w:szCs w:val="18"/>
              </w:rPr>
              <w:t>气筒排放</w:t>
            </w:r>
          </w:p>
        </w:tc>
        <w:tc>
          <w:tcPr>
            <w:tcW w:w="662" w:type="dxa"/>
            <w:gridSpan w:val="2"/>
            <w:vMerge w:val="restart"/>
            <w:tcBorders>
              <w:bottom w:val="nil"/>
            </w:tcBorders>
            <w:vAlign w:val="top"/>
          </w:tcPr>
          <w:p w14:paraId="10846BBA">
            <w:pPr>
              <w:spacing w:line="440" w:lineRule="auto"/>
              <w:rPr>
                <w:rFonts w:ascii="Arial"/>
                <w:sz w:val="21"/>
              </w:rPr>
            </w:pPr>
          </w:p>
          <w:p w14:paraId="67B4C615">
            <w:pPr>
              <w:pStyle w:val="6"/>
              <w:spacing w:before="58" w:line="243" w:lineRule="auto"/>
              <w:ind w:left="145" w:right="68" w:hanging="87"/>
              <w:rPr>
                <w:sz w:val="18"/>
                <w:szCs w:val="18"/>
              </w:rPr>
            </w:pPr>
            <w:r>
              <w:rPr>
                <w:spacing w:val="-4"/>
                <w:sz w:val="18"/>
                <w:szCs w:val="18"/>
              </w:rPr>
              <w:t>一般排</w:t>
            </w:r>
            <w:r>
              <w:rPr>
                <w:spacing w:val="1"/>
                <w:sz w:val="18"/>
                <w:szCs w:val="18"/>
              </w:rPr>
              <w:t xml:space="preserve"> </w:t>
            </w:r>
            <w:r>
              <w:rPr>
                <w:spacing w:val="-2"/>
                <w:sz w:val="18"/>
                <w:szCs w:val="18"/>
              </w:rPr>
              <w:t>放口</w:t>
            </w:r>
          </w:p>
        </w:tc>
        <w:tc>
          <w:tcPr>
            <w:tcW w:w="1456" w:type="dxa"/>
            <w:gridSpan w:val="2"/>
            <w:vAlign w:val="top"/>
          </w:tcPr>
          <w:p w14:paraId="7ABF9932">
            <w:pPr>
              <w:pStyle w:val="6"/>
              <w:spacing w:before="30" w:line="220" w:lineRule="auto"/>
              <w:ind w:left="10"/>
              <w:rPr>
                <w:sz w:val="18"/>
                <w:szCs w:val="18"/>
              </w:rPr>
            </w:pPr>
            <w:r>
              <w:rPr>
                <w:spacing w:val="-2"/>
                <w:sz w:val="18"/>
                <w:szCs w:val="18"/>
              </w:rPr>
              <w:t>《大气污染物综合</w:t>
            </w:r>
          </w:p>
          <w:p w14:paraId="72B37F7B">
            <w:pPr>
              <w:pStyle w:val="6"/>
              <w:spacing w:before="18" w:line="220" w:lineRule="auto"/>
              <w:ind w:left="279"/>
              <w:rPr>
                <w:sz w:val="18"/>
                <w:szCs w:val="18"/>
              </w:rPr>
            </w:pPr>
            <w:r>
              <w:rPr>
                <w:spacing w:val="-3"/>
                <w:sz w:val="18"/>
                <w:szCs w:val="18"/>
              </w:rPr>
              <w:t>排放标准》</w:t>
            </w:r>
          </w:p>
          <w:p w14:paraId="6E613CCA">
            <w:pPr>
              <w:pStyle w:val="6"/>
              <w:spacing w:before="19" w:line="202" w:lineRule="auto"/>
              <w:jc w:val="right"/>
              <w:rPr>
                <w:sz w:val="18"/>
                <w:szCs w:val="18"/>
              </w:rPr>
            </w:pPr>
            <w:r>
              <w:rPr>
                <w:rFonts w:hint="eastAsia"/>
                <w:spacing w:val="-3"/>
                <w:sz w:val="18"/>
                <w:szCs w:val="18"/>
                <w:lang w:eastAsia="zh-CN"/>
              </w:rPr>
              <w:t>(</w:t>
            </w:r>
            <w:r>
              <w:rPr>
                <w:rFonts w:ascii="Times New Roman" w:hAnsi="Times New Roman" w:eastAsia="Times New Roman" w:cs="Times New Roman"/>
                <w:spacing w:val="-3"/>
                <w:sz w:val="18"/>
                <w:szCs w:val="18"/>
              </w:rPr>
              <w:t>GB16297-1996</w:t>
            </w:r>
            <w:r>
              <w:rPr>
                <w:rFonts w:hint="eastAsia" w:ascii="Times New Roman" w:hAnsi="Times New Roman" w:eastAsia="宋体" w:cs="Times New Roman"/>
                <w:spacing w:val="-3"/>
                <w:sz w:val="18"/>
                <w:szCs w:val="18"/>
                <w:lang w:eastAsia="zh-CN"/>
              </w:rPr>
              <w:t>)</w:t>
            </w:r>
          </w:p>
        </w:tc>
        <w:tc>
          <w:tcPr>
            <w:tcW w:w="114" w:type="dxa"/>
            <w:vMerge w:val="continue"/>
            <w:tcBorders>
              <w:top w:val="nil"/>
              <w:bottom w:val="nil"/>
              <w:right w:val="single" w:color="000000" w:sz="6" w:space="0"/>
            </w:tcBorders>
            <w:vAlign w:val="top"/>
          </w:tcPr>
          <w:p w14:paraId="34A74815">
            <w:pPr>
              <w:rPr>
                <w:rFonts w:ascii="Arial"/>
                <w:sz w:val="21"/>
              </w:rPr>
            </w:pPr>
          </w:p>
        </w:tc>
      </w:tr>
      <w:tr w14:paraId="00845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 w:hRule="atLeast"/>
        </w:trPr>
        <w:tc>
          <w:tcPr>
            <w:tcW w:w="750" w:type="dxa"/>
            <w:vMerge w:val="continue"/>
            <w:tcBorders>
              <w:top w:val="nil"/>
              <w:left w:val="single" w:color="000000" w:sz="6" w:space="0"/>
              <w:bottom w:val="nil"/>
            </w:tcBorders>
            <w:vAlign w:val="top"/>
          </w:tcPr>
          <w:p w14:paraId="3B6DAFC1">
            <w:pPr>
              <w:rPr>
                <w:rFonts w:ascii="Arial"/>
                <w:sz w:val="21"/>
              </w:rPr>
            </w:pPr>
          </w:p>
        </w:tc>
        <w:tc>
          <w:tcPr>
            <w:tcW w:w="104" w:type="dxa"/>
            <w:tcBorders>
              <w:top w:val="nil"/>
              <w:bottom w:val="nil"/>
            </w:tcBorders>
            <w:vAlign w:val="top"/>
          </w:tcPr>
          <w:p w14:paraId="0380CA07">
            <w:pPr>
              <w:spacing w:line="201" w:lineRule="exact"/>
              <w:rPr>
                <w:rFonts w:ascii="Arial"/>
                <w:sz w:val="17"/>
              </w:rPr>
            </w:pPr>
          </w:p>
        </w:tc>
        <w:tc>
          <w:tcPr>
            <w:tcW w:w="502" w:type="dxa"/>
            <w:gridSpan w:val="2"/>
            <w:vMerge w:val="continue"/>
            <w:tcBorders>
              <w:top w:val="nil"/>
              <w:bottom w:val="nil"/>
            </w:tcBorders>
            <w:vAlign w:val="top"/>
          </w:tcPr>
          <w:p w14:paraId="68FF180D">
            <w:pPr>
              <w:rPr>
                <w:rFonts w:ascii="Arial"/>
                <w:sz w:val="21"/>
              </w:rPr>
            </w:pPr>
          </w:p>
        </w:tc>
        <w:tc>
          <w:tcPr>
            <w:tcW w:w="1353" w:type="dxa"/>
            <w:gridSpan w:val="2"/>
            <w:vMerge w:val="continue"/>
            <w:tcBorders>
              <w:top w:val="nil"/>
              <w:bottom w:val="nil"/>
            </w:tcBorders>
            <w:vAlign w:val="top"/>
          </w:tcPr>
          <w:p w14:paraId="79381527">
            <w:pPr>
              <w:rPr>
                <w:rFonts w:ascii="Arial"/>
                <w:sz w:val="21"/>
              </w:rPr>
            </w:pPr>
          </w:p>
        </w:tc>
        <w:tc>
          <w:tcPr>
            <w:tcW w:w="883" w:type="dxa"/>
            <w:gridSpan w:val="2"/>
            <w:vMerge w:val="continue"/>
            <w:tcBorders>
              <w:top w:val="nil"/>
              <w:bottom w:val="nil"/>
            </w:tcBorders>
            <w:vAlign w:val="top"/>
          </w:tcPr>
          <w:p w14:paraId="1301219C">
            <w:pPr>
              <w:rPr>
                <w:rFonts w:ascii="Arial"/>
                <w:sz w:val="21"/>
              </w:rPr>
            </w:pPr>
          </w:p>
        </w:tc>
        <w:tc>
          <w:tcPr>
            <w:tcW w:w="850" w:type="dxa"/>
            <w:gridSpan w:val="2"/>
            <w:vAlign w:val="top"/>
          </w:tcPr>
          <w:p w14:paraId="5DA42308">
            <w:pPr>
              <w:spacing w:before="50" w:line="176" w:lineRule="auto"/>
              <w:ind w:left="274"/>
              <w:rPr>
                <w:rFonts w:ascii="Times New Roman" w:hAnsi="Times New Roman" w:eastAsia="Times New Roman" w:cs="Times New Roman"/>
                <w:sz w:val="12"/>
                <w:szCs w:val="12"/>
              </w:rPr>
            </w:pPr>
            <w:r>
              <w:rPr>
                <w:rFonts w:ascii="Times New Roman" w:hAnsi="Times New Roman" w:eastAsia="Times New Roman" w:cs="Times New Roman"/>
                <w:spacing w:val="-4"/>
                <w:sz w:val="18"/>
                <w:szCs w:val="18"/>
              </w:rPr>
              <w:t>SO</w:t>
            </w:r>
            <w:r>
              <w:rPr>
                <w:rFonts w:ascii="Times New Roman" w:hAnsi="Times New Roman" w:eastAsia="Times New Roman" w:cs="Times New Roman"/>
                <w:spacing w:val="-4"/>
                <w:sz w:val="12"/>
                <w:szCs w:val="12"/>
              </w:rPr>
              <w:t>2</w:t>
            </w:r>
          </w:p>
        </w:tc>
        <w:tc>
          <w:tcPr>
            <w:tcW w:w="838" w:type="dxa"/>
            <w:gridSpan w:val="2"/>
            <w:vMerge w:val="continue"/>
            <w:tcBorders>
              <w:top w:val="nil"/>
              <w:bottom w:val="nil"/>
            </w:tcBorders>
            <w:vAlign w:val="top"/>
          </w:tcPr>
          <w:p w14:paraId="4187FC86">
            <w:pPr>
              <w:rPr>
                <w:rFonts w:ascii="Arial"/>
                <w:sz w:val="21"/>
              </w:rPr>
            </w:pPr>
          </w:p>
        </w:tc>
        <w:tc>
          <w:tcPr>
            <w:tcW w:w="1401" w:type="dxa"/>
            <w:vMerge w:val="continue"/>
            <w:tcBorders>
              <w:top w:val="nil"/>
              <w:bottom w:val="nil"/>
            </w:tcBorders>
            <w:vAlign w:val="top"/>
          </w:tcPr>
          <w:p w14:paraId="7C252646">
            <w:pPr>
              <w:rPr>
                <w:rFonts w:ascii="Arial"/>
                <w:sz w:val="21"/>
              </w:rPr>
            </w:pPr>
          </w:p>
        </w:tc>
        <w:tc>
          <w:tcPr>
            <w:tcW w:w="662" w:type="dxa"/>
            <w:gridSpan w:val="2"/>
            <w:vMerge w:val="continue"/>
            <w:tcBorders>
              <w:top w:val="nil"/>
              <w:bottom w:val="nil"/>
            </w:tcBorders>
            <w:vAlign w:val="top"/>
          </w:tcPr>
          <w:p w14:paraId="45C7C437">
            <w:pPr>
              <w:rPr>
                <w:rFonts w:ascii="Arial"/>
                <w:sz w:val="21"/>
              </w:rPr>
            </w:pPr>
          </w:p>
        </w:tc>
        <w:tc>
          <w:tcPr>
            <w:tcW w:w="1456" w:type="dxa"/>
            <w:gridSpan w:val="2"/>
            <w:vMerge w:val="restart"/>
            <w:tcBorders>
              <w:bottom w:val="nil"/>
            </w:tcBorders>
            <w:vAlign w:val="top"/>
          </w:tcPr>
          <w:p w14:paraId="1BE0011C">
            <w:pPr>
              <w:pStyle w:val="6"/>
              <w:spacing w:before="31" w:line="220" w:lineRule="auto"/>
              <w:ind w:left="10"/>
              <w:rPr>
                <w:sz w:val="18"/>
                <w:szCs w:val="18"/>
              </w:rPr>
            </w:pPr>
            <w:r>
              <w:rPr>
                <w:spacing w:val="-3"/>
                <w:sz w:val="18"/>
                <w:szCs w:val="18"/>
              </w:rPr>
              <w:t>《四川省工业炉窑</w:t>
            </w:r>
          </w:p>
          <w:p w14:paraId="6483E35A">
            <w:pPr>
              <w:pStyle w:val="6"/>
              <w:spacing w:before="19" w:line="220" w:lineRule="auto"/>
              <w:ind w:left="11"/>
              <w:rPr>
                <w:sz w:val="18"/>
                <w:szCs w:val="18"/>
              </w:rPr>
            </w:pPr>
            <w:r>
              <w:rPr>
                <w:spacing w:val="-2"/>
                <w:sz w:val="18"/>
                <w:szCs w:val="18"/>
              </w:rPr>
              <w:t>大气污染综合治理</w:t>
            </w:r>
          </w:p>
          <w:p w14:paraId="1ACD2CF3">
            <w:pPr>
              <w:pStyle w:val="6"/>
              <w:spacing w:before="18" w:line="202" w:lineRule="auto"/>
              <w:ind w:left="283"/>
              <w:rPr>
                <w:sz w:val="18"/>
                <w:szCs w:val="18"/>
              </w:rPr>
            </w:pPr>
            <w:r>
              <w:rPr>
                <w:spacing w:val="-3"/>
                <w:sz w:val="18"/>
                <w:szCs w:val="18"/>
              </w:rPr>
              <w:t>实施清单》</w:t>
            </w:r>
          </w:p>
        </w:tc>
        <w:tc>
          <w:tcPr>
            <w:tcW w:w="114" w:type="dxa"/>
            <w:vMerge w:val="continue"/>
            <w:tcBorders>
              <w:top w:val="nil"/>
              <w:bottom w:val="nil"/>
              <w:right w:val="single" w:color="000000" w:sz="6" w:space="0"/>
            </w:tcBorders>
            <w:vAlign w:val="top"/>
          </w:tcPr>
          <w:p w14:paraId="052315C3">
            <w:pPr>
              <w:rPr>
                <w:rFonts w:ascii="Arial"/>
                <w:sz w:val="21"/>
              </w:rPr>
            </w:pPr>
          </w:p>
        </w:tc>
      </w:tr>
      <w:tr w14:paraId="1297B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50" w:type="dxa"/>
            <w:vMerge w:val="continue"/>
            <w:tcBorders>
              <w:top w:val="nil"/>
              <w:left w:val="single" w:color="000000" w:sz="6" w:space="0"/>
              <w:bottom w:val="nil"/>
            </w:tcBorders>
            <w:vAlign w:val="top"/>
          </w:tcPr>
          <w:p w14:paraId="6563366A">
            <w:pPr>
              <w:rPr>
                <w:rFonts w:ascii="Arial"/>
                <w:sz w:val="21"/>
              </w:rPr>
            </w:pPr>
          </w:p>
        </w:tc>
        <w:tc>
          <w:tcPr>
            <w:tcW w:w="104" w:type="dxa"/>
            <w:tcBorders>
              <w:top w:val="nil"/>
              <w:bottom w:val="nil"/>
            </w:tcBorders>
            <w:vAlign w:val="top"/>
          </w:tcPr>
          <w:p w14:paraId="0EAD1A06">
            <w:pPr>
              <w:rPr>
                <w:rFonts w:ascii="Arial"/>
                <w:sz w:val="21"/>
              </w:rPr>
            </w:pPr>
          </w:p>
        </w:tc>
        <w:tc>
          <w:tcPr>
            <w:tcW w:w="502" w:type="dxa"/>
            <w:gridSpan w:val="2"/>
            <w:vMerge w:val="continue"/>
            <w:tcBorders>
              <w:top w:val="nil"/>
            </w:tcBorders>
            <w:vAlign w:val="top"/>
          </w:tcPr>
          <w:p w14:paraId="77300675">
            <w:pPr>
              <w:rPr>
                <w:rFonts w:ascii="Arial"/>
                <w:sz w:val="21"/>
              </w:rPr>
            </w:pPr>
          </w:p>
        </w:tc>
        <w:tc>
          <w:tcPr>
            <w:tcW w:w="1353" w:type="dxa"/>
            <w:gridSpan w:val="2"/>
            <w:vMerge w:val="continue"/>
            <w:tcBorders>
              <w:top w:val="nil"/>
            </w:tcBorders>
            <w:vAlign w:val="top"/>
          </w:tcPr>
          <w:p w14:paraId="2D8BB99A">
            <w:pPr>
              <w:rPr>
                <w:rFonts w:ascii="Arial"/>
                <w:sz w:val="21"/>
              </w:rPr>
            </w:pPr>
          </w:p>
        </w:tc>
        <w:tc>
          <w:tcPr>
            <w:tcW w:w="883" w:type="dxa"/>
            <w:gridSpan w:val="2"/>
            <w:vMerge w:val="continue"/>
            <w:tcBorders>
              <w:top w:val="nil"/>
            </w:tcBorders>
            <w:vAlign w:val="top"/>
          </w:tcPr>
          <w:p w14:paraId="03613516">
            <w:pPr>
              <w:rPr>
                <w:rFonts w:ascii="Arial"/>
                <w:sz w:val="21"/>
              </w:rPr>
            </w:pPr>
          </w:p>
        </w:tc>
        <w:tc>
          <w:tcPr>
            <w:tcW w:w="850" w:type="dxa"/>
            <w:gridSpan w:val="2"/>
            <w:vAlign w:val="top"/>
          </w:tcPr>
          <w:p w14:paraId="653E5248">
            <w:pPr>
              <w:spacing w:before="188" w:line="224" w:lineRule="auto"/>
              <w:ind w:left="245"/>
              <w:rPr>
                <w:rFonts w:ascii="Times New Roman" w:hAnsi="Times New Roman" w:eastAsia="Times New Roman" w:cs="Times New Roman"/>
                <w:sz w:val="12"/>
                <w:szCs w:val="12"/>
              </w:rPr>
            </w:pPr>
            <w:r>
              <w:rPr>
                <w:rFonts w:ascii="Times New Roman" w:hAnsi="Times New Roman" w:eastAsia="Times New Roman" w:cs="Times New Roman"/>
                <w:sz w:val="18"/>
                <w:szCs w:val="18"/>
              </w:rPr>
              <w:t>NO</w:t>
            </w:r>
            <w:r>
              <w:rPr>
                <w:rFonts w:ascii="Times New Roman" w:hAnsi="Times New Roman" w:eastAsia="Times New Roman" w:cs="Times New Roman"/>
                <w:sz w:val="12"/>
                <w:szCs w:val="12"/>
              </w:rPr>
              <w:t>x</w:t>
            </w:r>
          </w:p>
        </w:tc>
        <w:tc>
          <w:tcPr>
            <w:tcW w:w="838" w:type="dxa"/>
            <w:gridSpan w:val="2"/>
            <w:vMerge w:val="continue"/>
            <w:tcBorders>
              <w:top w:val="nil"/>
            </w:tcBorders>
            <w:vAlign w:val="top"/>
          </w:tcPr>
          <w:p w14:paraId="6C96180A">
            <w:pPr>
              <w:rPr>
                <w:rFonts w:ascii="Arial"/>
                <w:sz w:val="21"/>
              </w:rPr>
            </w:pPr>
          </w:p>
        </w:tc>
        <w:tc>
          <w:tcPr>
            <w:tcW w:w="1401" w:type="dxa"/>
            <w:vMerge w:val="continue"/>
            <w:tcBorders>
              <w:top w:val="nil"/>
            </w:tcBorders>
            <w:vAlign w:val="top"/>
          </w:tcPr>
          <w:p w14:paraId="6AEEB2D7">
            <w:pPr>
              <w:rPr>
                <w:rFonts w:ascii="Arial"/>
                <w:sz w:val="21"/>
              </w:rPr>
            </w:pPr>
          </w:p>
        </w:tc>
        <w:tc>
          <w:tcPr>
            <w:tcW w:w="662" w:type="dxa"/>
            <w:gridSpan w:val="2"/>
            <w:vMerge w:val="continue"/>
            <w:tcBorders>
              <w:top w:val="nil"/>
            </w:tcBorders>
            <w:vAlign w:val="top"/>
          </w:tcPr>
          <w:p w14:paraId="1DF1AEBF">
            <w:pPr>
              <w:rPr>
                <w:rFonts w:ascii="Arial"/>
                <w:sz w:val="21"/>
              </w:rPr>
            </w:pPr>
          </w:p>
        </w:tc>
        <w:tc>
          <w:tcPr>
            <w:tcW w:w="1456" w:type="dxa"/>
            <w:gridSpan w:val="2"/>
            <w:vMerge w:val="continue"/>
            <w:tcBorders>
              <w:top w:val="nil"/>
            </w:tcBorders>
            <w:vAlign w:val="top"/>
          </w:tcPr>
          <w:p w14:paraId="04A5945A">
            <w:pPr>
              <w:rPr>
                <w:rFonts w:ascii="Arial"/>
                <w:sz w:val="21"/>
              </w:rPr>
            </w:pPr>
          </w:p>
        </w:tc>
        <w:tc>
          <w:tcPr>
            <w:tcW w:w="114" w:type="dxa"/>
            <w:vMerge w:val="continue"/>
            <w:tcBorders>
              <w:top w:val="nil"/>
              <w:bottom w:val="nil"/>
              <w:right w:val="single" w:color="000000" w:sz="6" w:space="0"/>
            </w:tcBorders>
            <w:vAlign w:val="top"/>
          </w:tcPr>
          <w:p w14:paraId="7CD5EF46">
            <w:pPr>
              <w:rPr>
                <w:rFonts w:ascii="Arial"/>
                <w:sz w:val="21"/>
              </w:rPr>
            </w:pPr>
          </w:p>
        </w:tc>
      </w:tr>
      <w:tr w14:paraId="04159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50" w:type="dxa"/>
            <w:vMerge w:val="continue"/>
            <w:tcBorders>
              <w:top w:val="nil"/>
              <w:left w:val="single" w:color="000000" w:sz="6" w:space="0"/>
              <w:bottom w:val="nil"/>
            </w:tcBorders>
            <w:vAlign w:val="top"/>
          </w:tcPr>
          <w:p w14:paraId="58793166">
            <w:pPr>
              <w:rPr>
                <w:rFonts w:ascii="Arial"/>
                <w:sz w:val="21"/>
              </w:rPr>
            </w:pPr>
          </w:p>
        </w:tc>
        <w:tc>
          <w:tcPr>
            <w:tcW w:w="104" w:type="dxa"/>
            <w:tcBorders>
              <w:top w:val="nil"/>
              <w:bottom w:val="nil"/>
            </w:tcBorders>
            <w:vAlign w:val="top"/>
          </w:tcPr>
          <w:p w14:paraId="24286F39">
            <w:pPr>
              <w:rPr>
                <w:rFonts w:ascii="Arial"/>
                <w:sz w:val="21"/>
              </w:rPr>
            </w:pPr>
          </w:p>
        </w:tc>
        <w:tc>
          <w:tcPr>
            <w:tcW w:w="502" w:type="dxa"/>
            <w:gridSpan w:val="2"/>
            <w:vAlign w:val="top"/>
          </w:tcPr>
          <w:p w14:paraId="0CC4467F">
            <w:pPr>
              <w:spacing w:line="356" w:lineRule="auto"/>
              <w:rPr>
                <w:rFonts w:ascii="Arial"/>
                <w:sz w:val="21"/>
              </w:rPr>
            </w:pPr>
          </w:p>
          <w:p w14:paraId="6FA057B7">
            <w:pPr>
              <w:spacing w:before="52" w:line="235" w:lineRule="auto"/>
              <w:ind w:left="200"/>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353" w:type="dxa"/>
            <w:gridSpan w:val="2"/>
            <w:vAlign w:val="top"/>
          </w:tcPr>
          <w:p w14:paraId="7CB8810E">
            <w:pPr>
              <w:spacing w:line="320" w:lineRule="auto"/>
              <w:rPr>
                <w:rFonts w:ascii="Arial"/>
                <w:sz w:val="21"/>
              </w:rPr>
            </w:pPr>
          </w:p>
          <w:p w14:paraId="51775A3B">
            <w:pPr>
              <w:pStyle w:val="6"/>
              <w:spacing w:before="59" w:line="219" w:lineRule="auto"/>
              <w:ind w:left="408"/>
              <w:rPr>
                <w:sz w:val="18"/>
                <w:szCs w:val="18"/>
              </w:rPr>
            </w:pPr>
            <w:r>
              <w:rPr>
                <w:spacing w:val="-7"/>
                <w:sz w:val="18"/>
                <w:szCs w:val="18"/>
              </w:rPr>
              <w:t>削片机</w:t>
            </w:r>
          </w:p>
        </w:tc>
        <w:tc>
          <w:tcPr>
            <w:tcW w:w="883" w:type="dxa"/>
            <w:gridSpan w:val="2"/>
            <w:vAlign w:val="top"/>
          </w:tcPr>
          <w:p w14:paraId="5988BEC0">
            <w:pPr>
              <w:spacing w:line="320" w:lineRule="auto"/>
              <w:rPr>
                <w:rFonts w:ascii="Arial"/>
                <w:sz w:val="21"/>
              </w:rPr>
            </w:pPr>
          </w:p>
          <w:p w14:paraId="4198C866">
            <w:pPr>
              <w:pStyle w:val="6"/>
              <w:spacing w:before="59" w:line="220" w:lineRule="auto"/>
              <w:ind w:left="74"/>
              <w:rPr>
                <w:sz w:val="18"/>
                <w:szCs w:val="18"/>
              </w:rPr>
            </w:pPr>
            <w:r>
              <w:rPr>
                <w:spacing w:val="-3"/>
                <w:sz w:val="18"/>
                <w:szCs w:val="18"/>
              </w:rPr>
              <w:t>原料削片</w:t>
            </w:r>
          </w:p>
        </w:tc>
        <w:tc>
          <w:tcPr>
            <w:tcW w:w="850" w:type="dxa"/>
            <w:gridSpan w:val="2"/>
            <w:vAlign w:val="top"/>
          </w:tcPr>
          <w:p w14:paraId="2BB40E0D">
            <w:pPr>
              <w:spacing w:line="320" w:lineRule="auto"/>
              <w:rPr>
                <w:rFonts w:ascii="Arial"/>
                <w:sz w:val="21"/>
              </w:rPr>
            </w:pPr>
          </w:p>
          <w:p w14:paraId="0D0C5CDF">
            <w:pPr>
              <w:pStyle w:val="6"/>
              <w:spacing w:before="59" w:line="220" w:lineRule="auto"/>
              <w:ind w:left="145"/>
              <w:rPr>
                <w:sz w:val="18"/>
                <w:szCs w:val="18"/>
              </w:rPr>
            </w:pPr>
            <w:r>
              <w:rPr>
                <w:spacing w:val="-2"/>
                <w:sz w:val="18"/>
                <w:szCs w:val="18"/>
              </w:rPr>
              <w:t>颗粒物</w:t>
            </w:r>
          </w:p>
        </w:tc>
        <w:tc>
          <w:tcPr>
            <w:tcW w:w="838" w:type="dxa"/>
            <w:gridSpan w:val="2"/>
            <w:vAlign w:val="top"/>
          </w:tcPr>
          <w:p w14:paraId="357DE409">
            <w:pPr>
              <w:spacing w:line="320" w:lineRule="auto"/>
              <w:rPr>
                <w:rFonts w:ascii="Arial"/>
                <w:sz w:val="21"/>
              </w:rPr>
            </w:pPr>
          </w:p>
          <w:p w14:paraId="224FFFAE">
            <w:pPr>
              <w:pStyle w:val="6"/>
              <w:spacing w:before="59" w:line="220" w:lineRule="auto"/>
              <w:ind w:left="148"/>
              <w:rPr>
                <w:sz w:val="18"/>
                <w:szCs w:val="18"/>
              </w:rPr>
            </w:pPr>
            <w:r>
              <w:rPr>
                <w:spacing w:val="-2"/>
                <w:sz w:val="18"/>
                <w:szCs w:val="18"/>
              </w:rPr>
              <w:t>无组织</w:t>
            </w:r>
          </w:p>
        </w:tc>
        <w:tc>
          <w:tcPr>
            <w:tcW w:w="1401" w:type="dxa"/>
            <w:vAlign w:val="top"/>
          </w:tcPr>
          <w:p w14:paraId="2DE123C4">
            <w:pPr>
              <w:pStyle w:val="6"/>
              <w:spacing w:before="32" w:line="239" w:lineRule="auto"/>
              <w:ind w:left="29" w:right="12" w:firstLine="39"/>
              <w:rPr>
                <w:sz w:val="18"/>
                <w:szCs w:val="18"/>
              </w:rPr>
            </w:pPr>
            <w:r>
              <w:rPr>
                <w:spacing w:val="-2"/>
                <w:sz w:val="18"/>
                <w:szCs w:val="18"/>
              </w:rPr>
              <w:t>布置在封闭车间</w:t>
            </w:r>
            <w:r>
              <w:rPr>
                <w:spacing w:val="5"/>
                <w:sz w:val="18"/>
                <w:szCs w:val="18"/>
              </w:rPr>
              <w:t xml:space="preserve"> </w:t>
            </w:r>
            <w:r>
              <w:rPr>
                <w:spacing w:val="-11"/>
                <w:sz w:val="18"/>
                <w:szCs w:val="18"/>
              </w:rPr>
              <w:t>内、采用密闭型设</w:t>
            </w:r>
          </w:p>
          <w:p w14:paraId="0A93D929">
            <w:pPr>
              <w:pStyle w:val="6"/>
              <w:spacing w:line="220" w:lineRule="auto"/>
              <w:ind w:left="10"/>
              <w:rPr>
                <w:sz w:val="18"/>
                <w:szCs w:val="18"/>
              </w:rPr>
            </w:pPr>
            <w:r>
              <w:rPr>
                <w:spacing w:val="-9"/>
                <w:sz w:val="18"/>
                <w:szCs w:val="18"/>
              </w:rPr>
              <w:t>备、入料口加设防</w:t>
            </w:r>
          </w:p>
          <w:p w14:paraId="7BEA33CD">
            <w:pPr>
              <w:pStyle w:val="6"/>
              <w:spacing w:before="18" w:line="200" w:lineRule="auto"/>
              <w:ind w:left="430"/>
              <w:rPr>
                <w:sz w:val="18"/>
                <w:szCs w:val="18"/>
              </w:rPr>
            </w:pPr>
            <w:r>
              <w:rPr>
                <w:spacing w:val="-2"/>
                <w:sz w:val="18"/>
                <w:szCs w:val="18"/>
              </w:rPr>
              <w:t>尘挡板</w:t>
            </w:r>
          </w:p>
        </w:tc>
        <w:tc>
          <w:tcPr>
            <w:tcW w:w="662" w:type="dxa"/>
            <w:gridSpan w:val="2"/>
            <w:vAlign w:val="top"/>
          </w:tcPr>
          <w:p w14:paraId="659DB9AD">
            <w:pPr>
              <w:spacing w:line="357" w:lineRule="auto"/>
              <w:rPr>
                <w:rFonts w:ascii="Arial"/>
                <w:sz w:val="21"/>
              </w:rPr>
            </w:pPr>
          </w:p>
          <w:p w14:paraId="7361B793">
            <w:pPr>
              <w:spacing w:before="51" w:line="232" w:lineRule="auto"/>
              <w:ind w:left="29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456" w:type="dxa"/>
            <w:gridSpan w:val="2"/>
            <w:vMerge w:val="restart"/>
            <w:tcBorders>
              <w:bottom w:val="nil"/>
            </w:tcBorders>
            <w:vAlign w:val="top"/>
          </w:tcPr>
          <w:p w14:paraId="14E8EC48">
            <w:pPr>
              <w:spacing w:line="303" w:lineRule="auto"/>
              <w:rPr>
                <w:rFonts w:ascii="Arial"/>
                <w:sz w:val="21"/>
              </w:rPr>
            </w:pPr>
          </w:p>
          <w:p w14:paraId="7B6CE928">
            <w:pPr>
              <w:spacing w:line="304" w:lineRule="auto"/>
              <w:rPr>
                <w:rFonts w:ascii="Arial"/>
                <w:sz w:val="21"/>
              </w:rPr>
            </w:pPr>
          </w:p>
          <w:p w14:paraId="3108C444">
            <w:pPr>
              <w:spacing w:line="304" w:lineRule="auto"/>
              <w:rPr>
                <w:rFonts w:ascii="Arial"/>
                <w:sz w:val="21"/>
              </w:rPr>
            </w:pPr>
          </w:p>
          <w:p w14:paraId="30A2268A">
            <w:pPr>
              <w:pStyle w:val="6"/>
              <w:spacing w:before="58" w:line="220" w:lineRule="auto"/>
              <w:ind w:left="10"/>
              <w:rPr>
                <w:sz w:val="18"/>
                <w:szCs w:val="18"/>
              </w:rPr>
            </w:pPr>
            <w:r>
              <w:rPr>
                <w:spacing w:val="-2"/>
                <w:sz w:val="18"/>
                <w:szCs w:val="18"/>
              </w:rPr>
              <w:t>《大气污染物综合</w:t>
            </w:r>
          </w:p>
          <w:p w14:paraId="08D4194E">
            <w:pPr>
              <w:pStyle w:val="6"/>
              <w:spacing w:before="19" w:line="220" w:lineRule="auto"/>
              <w:ind w:left="279"/>
              <w:rPr>
                <w:sz w:val="18"/>
                <w:szCs w:val="18"/>
              </w:rPr>
            </w:pPr>
            <w:r>
              <w:rPr>
                <w:spacing w:val="-3"/>
                <w:sz w:val="18"/>
                <w:szCs w:val="18"/>
              </w:rPr>
              <w:t>排放标准》</w:t>
            </w:r>
          </w:p>
          <w:p w14:paraId="176BD8CE">
            <w:pPr>
              <w:pStyle w:val="6"/>
              <w:spacing w:before="18" w:line="239" w:lineRule="exact"/>
              <w:jc w:val="right"/>
              <w:rPr>
                <w:sz w:val="18"/>
                <w:szCs w:val="18"/>
              </w:rPr>
            </w:pPr>
            <w:r>
              <w:rPr>
                <w:rFonts w:hint="eastAsia"/>
                <w:spacing w:val="-3"/>
                <w:position w:val="1"/>
                <w:sz w:val="18"/>
                <w:szCs w:val="18"/>
                <w:lang w:eastAsia="zh-CN"/>
              </w:rPr>
              <w:t>(</w:t>
            </w:r>
            <w:r>
              <w:rPr>
                <w:rFonts w:ascii="Times New Roman" w:hAnsi="Times New Roman" w:eastAsia="Times New Roman" w:cs="Times New Roman"/>
                <w:spacing w:val="-3"/>
                <w:position w:val="1"/>
                <w:sz w:val="18"/>
                <w:szCs w:val="18"/>
              </w:rPr>
              <w:t>GB16297-1996</w:t>
            </w:r>
            <w:r>
              <w:rPr>
                <w:rFonts w:hint="eastAsia" w:ascii="Times New Roman" w:hAnsi="Times New Roman" w:eastAsia="宋体" w:cs="Times New Roman"/>
                <w:spacing w:val="-3"/>
                <w:position w:val="1"/>
                <w:sz w:val="18"/>
                <w:szCs w:val="18"/>
                <w:lang w:eastAsia="zh-CN"/>
              </w:rPr>
              <w:t>)</w:t>
            </w:r>
          </w:p>
        </w:tc>
        <w:tc>
          <w:tcPr>
            <w:tcW w:w="114" w:type="dxa"/>
            <w:vMerge w:val="continue"/>
            <w:tcBorders>
              <w:top w:val="nil"/>
              <w:bottom w:val="nil"/>
              <w:right w:val="single" w:color="000000" w:sz="6" w:space="0"/>
            </w:tcBorders>
            <w:vAlign w:val="top"/>
          </w:tcPr>
          <w:p w14:paraId="3D5D2D44">
            <w:pPr>
              <w:rPr>
                <w:rFonts w:ascii="Arial"/>
                <w:sz w:val="21"/>
              </w:rPr>
            </w:pPr>
          </w:p>
        </w:tc>
      </w:tr>
      <w:tr w14:paraId="1A361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750" w:type="dxa"/>
            <w:vMerge w:val="continue"/>
            <w:tcBorders>
              <w:top w:val="nil"/>
              <w:left w:val="single" w:color="000000" w:sz="6" w:space="0"/>
              <w:bottom w:val="nil"/>
            </w:tcBorders>
            <w:vAlign w:val="top"/>
          </w:tcPr>
          <w:p w14:paraId="6DBB0FEE">
            <w:pPr>
              <w:rPr>
                <w:rFonts w:ascii="Arial"/>
                <w:sz w:val="21"/>
              </w:rPr>
            </w:pPr>
          </w:p>
        </w:tc>
        <w:tc>
          <w:tcPr>
            <w:tcW w:w="104" w:type="dxa"/>
            <w:tcBorders>
              <w:top w:val="nil"/>
              <w:bottom w:val="nil"/>
            </w:tcBorders>
            <w:vAlign w:val="top"/>
          </w:tcPr>
          <w:p w14:paraId="74F1169D">
            <w:pPr>
              <w:rPr>
                <w:rFonts w:ascii="Arial"/>
                <w:sz w:val="21"/>
              </w:rPr>
            </w:pPr>
          </w:p>
        </w:tc>
        <w:tc>
          <w:tcPr>
            <w:tcW w:w="502" w:type="dxa"/>
            <w:gridSpan w:val="2"/>
            <w:vAlign w:val="top"/>
          </w:tcPr>
          <w:p w14:paraId="0E7BBCF6">
            <w:pPr>
              <w:spacing w:line="242" w:lineRule="auto"/>
              <w:rPr>
                <w:rFonts w:ascii="Arial"/>
                <w:sz w:val="21"/>
              </w:rPr>
            </w:pPr>
          </w:p>
          <w:p w14:paraId="1854F9A9">
            <w:pPr>
              <w:spacing w:before="52" w:line="232" w:lineRule="auto"/>
              <w:ind w:left="204"/>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353" w:type="dxa"/>
            <w:gridSpan w:val="2"/>
            <w:vAlign w:val="top"/>
          </w:tcPr>
          <w:p w14:paraId="3DF6F68B">
            <w:pPr>
              <w:pStyle w:val="6"/>
              <w:spacing w:before="266" w:line="219" w:lineRule="auto"/>
              <w:ind w:left="217"/>
              <w:rPr>
                <w:sz w:val="18"/>
                <w:szCs w:val="18"/>
              </w:rPr>
            </w:pPr>
            <w:r>
              <w:rPr>
                <w:spacing w:val="-2"/>
                <w:sz w:val="18"/>
                <w:szCs w:val="18"/>
              </w:rPr>
              <w:t>给料粉碎机</w:t>
            </w:r>
          </w:p>
        </w:tc>
        <w:tc>
          <w:tcPr>
            <w:tcW w:w="883" w:type="dxa"/>
            <w:gridSpan w:val="2"/>
            <w:vAlign w:val="top"/>
          </w:tcPr>
          <w:p w14:paraId="1CF08AB7">
            <w:pPr>
              <w:pStyle w:val="6"/>
              <w:spacing w:before="266" w:line="220" w:lineRule="auto"/>
              <w:ind w:left="249"/>
              <w:rPr>
                <w:sz w:val="18"/>
                <w:szCs w:val="18"/>
              </w:rPr>
            </w:pPr>
            <w:r>
              <w:rPr>
                <w:spacing w:val="-2"/>
                <w:sz w:val="18"/>
                <w:szCs w:val="18"/>
              </w:rPr>
              <w:t>粉碎</w:t>
            </w:r>
          </w:p>
        </w:tc>
        <w:tc>
          <w:tcPr>
            <w:tcW w:w="850" w:type="dxa"/>
            <w:gridSpan w:val="2"/>
            <w:vAlign w:val="top"/>
          </w:tcPr>
          <w:p w14:paraId="5E8D6D22">
            <w:pPr>
              <w:pStyle w:val="6"/>
              <w:spacing w:before="267" w:line="220" w:lineRule="auto"/>
              <w:ind w:left="145"/>
              <w:rPr>
                <w:sz w:val="18"/>
                <w:szCs w:val="18"/>
              </w:rPr>
            </w:pPr>
            <w:r>
              <w:rPr>
                <w:spacing w:val="-2"/>
                <w:sz w:val="18"/>
                <w:szCs w:val="18"/>
              </w:rPr>
              <w:t>颗粒物</w:t>
            </w:r>
          </w:p>
        </w:tc>
        <w:tc>
          <w:tcPr>
            <w:tcW w:w="838" w:type="dxa"/>
            <w:gridSpan w:val="2"/>
            <w:vAlign w:val="top"/>
          </w:tcPr>
          <w:p w14:paraId="1CEF59E0">
            <w:pPr>
              <w:pStyle w:val="6"/>
              <w:spacing w:before="267" w:line="220" w:lineRule="auto"/>
              <w:ind w:left="148"/>
              <w:rPr>
                <w:sz w:val="18"/>
                <w:szCs w:val="18"/>
              </w:rPr>
            </w:pPr>
            <w:r>
              <w:rPr>
                <w:spacing w:val="-2"/>
                <w:sz w:val="18"/>
                <w:szCs w:val="18"/>
              </w:rPr>
              <w:t>无组织</w:t>
            </w:r>
          </w:p>
        </w:tc>
        <w:tc>
          <w:tcPr>
            <w:tcW w:w="1401" w:type="dxa"/>
            <w:vAlign w:val="top"/>
          </w:tcPr>
          <w:p w14:paraId="4298F970">
            <w:pPr>
              <w:pStyle w:val="6"/>
              <w:spacing w:before="32" w:line="220" w:lineRule="auto"/>
              <w:ind w:left="69"/>
              <w:rPr>
                <w:sz w:val="18"/>
                <w:szCs w:val="18"/>
              </w:rPr>
            </w:pPr>
            <w:r>
              <w:rPr>
                <w:spacing w:val="-1"/>
                <w:sz w:val="18"/>
                <w:szCs w:val="18"/>
              </w:rPr>
              <w:t>微负压收尘、配</w:t>
            </w:r>
          </w:p>
          <w:p w14:paraId="04806246">
            <w:pPr>
              <w:pStyle w:val="6"/>
              <w:spacing w:before="20" w:line="233" w:lineRule="auto"/>
              <w:ind w:left="5"/>
              <w:rPr>
                <w:sz w:val="18"/>
                <w:szCs w:val="18"/>
              </w:rPr>
            </w:pPr>
            <w:r>
              <w:rPr>
                <w:sz w:val="18"/>
                <w:szCs w:val="18"/>
              </w:rPr>
              <w:t>“旋风收尘</w:t>
            </w:r>
            <w:r>
              <w:rPr>
                <w:rFonts w:ascii="Times New Roman" w:hAnsi="Times New Roman" w:eastAsia="Times New Roman" w:cs="Times New Roman"/>
                <w:sz w:val="18"/>
                <w:szCs w:val="18"/>
              </w:rPr>
              <w:t>+</w:t>
            </w:r>
            <w:r>
              <w:rPr>
                <w:sz w:val="18"/>
                <w:szCs w:val="18"/>
              </w:rPr>
              <w:t>脉冲</w:t>
            </w:r>
          </w:p>
          <w:p w14:paraId="79E8CE00">
            <w:pPr>
              <w:pStyle w:val="6"/>
              <w:spacing w:before="5" w:line="199" w:lineRule="auto"/>
              <w:ind w:left="249"/>
              <w:rPr>
                <w:sz w:val="18"/>
                <w:szCs w:val="18"/>
              </w:rPr>
            </w:pPr>
            <w:r>
              <w:rPr>
                <w:spacing w:val="16"/>
                <w:sz w:val="18"/>
                <w:szCs w:val="18"/>
              </w:rPr>
              <w:t>布袋收尘”</w:t>
            </w:r>
          </w:p>
        </w:tc>
        <w:tc>
          <w:tcPr>
            <w:tcW w:w="662" w:type="dxa"/>
            <w:gridSpan w:val="2"/>
            <w:vAlign w:val="top"/>
          </w:tcPr>
          <w:p w14:paraId="1B1E4723">
            <w:pPr>
              <w:spacing w:line="242" w:lineRule="auto"/>
              <w:rPr>
                <w:rFonts w:ascii="Arial"/>
                <w:sz w:val="21"/>
              </w:rPr>
            </w:pPr>
          </w:p>
          <w:p w14:paraId="68F5A0E2">
            <w:pPr>
              <w:spacing w:before="52" w:line="232" w:lineRule="auto"/>
              <w:ind w:left="29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456" w:type="dxa"/>
            <w:gridSpan w:val="2"/>
            <w:vMerge w:val="continue"/>
            <w:tcBorders>
              <w:top w:val="nil"/>
              <w:bottom w:val="nil"/>
            </w:tcBorders>
            <w:vAlign w:val="top"/>
          </w:tcPr>
          <w:p w14:paraId="2AE70477">
            <w:pPr>
              <w:rPr>
                <w:rFonts w:ascii="Arial"/>
                <w:sz w:val="21"/>
              </w:rPr>
            </w:pPr>
          </w:p>
        </w:tc>
        <w:tc>
          <w:tcPr>
            <w:tcW w:w="114" w:type="dxa"/>
            <w:vMerge w:val="continue"/>
            <w:tcBorders>
              <w:top w:val="nil"/>
              <w:bottom w:val="nil"/>
              <w:right w:val="single" w:color="000000" w:sz="6" w:space="0"/>
            </w:tcBorders>
            <w:vAlign w:val="top"/>
          </w:tcPr>
          <w:p w14:paraId="4C4A2261">
            <w:pPr>
              <w:rPr>
                <w:rFonts w:ascii="Arial"/>
                <w:sz w:val="21"/>
              </w:rPr>
            </w:pPr>
          </w:p>
        </w:tc>
      </w:tr>
      <w:tr w14:paraId="239E5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50" w:type="dxa"/>
            <w:vMerge w:val="continue"/>
            <w:tcBorders>
              <w:top w:val="nil"/>
              <w:left w:val="single" w:color="000000" w:sz="6" w:space="0"/>
              <w:bottom w:val="nil"/>
            </w:tcBorders>
            <w:vAlign w:val="top"/>
          </w:tcPr>
          <w:p w14:paraId="5D49905F">
            <w:pPr>
              <w:rPr>
                <w:rFonts w:ascii="Arial"/>
                <w:sz w:val="21"/>
              </w:rPr>
            </w:pPr>
          </w:p>
        </w:tc>
        <w:tc>
          <w:tcPr>
            <w:tcW w:w="104" w:type="dxa"/>
            <w:tcBorders>
              <w:top w:val="nil"/>
              <w:bottom w:val="nil"/>
            </w:tcBorders>
            <w:vAlign w:val="top"/>
          </w:tcPr>
          <w:p w14:paraId="34D612DD">
            <w:pPr>
              <w:rPr>
                <w:rFonts w:ascii="Arial"/>
                <w:sz w:val="21"/>
              </w:rPr>
            </w:pPr>
          </w:p>
        </w:tc>
        <w:tc>
          <w:tcPr>
            <w:tcW w:w="502" w:type="dxa"/>
            <w:gridSpan w:val="2"/>
            <w:vAlign w:val="top"/>
          </w:tcPr>
          <w:p w14:paraId="4B1AD161">
            <w:pPr>
              <w:spacing w:line="359" w:lineRule="auto"/>
              <w:rPr>
                <w:rFonts w:ascii="Arial"/>
                <w:sz w:val="21"/>
              </w:rPr>
            </w:pPr>
          </w:p>
          <w:p w14:paraId="32510768">
            <w:pPr>
              <w:spacing w:before="52" w:line="235" w:lineRule="auto"/>
              <w:ind w:left="200"/>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353" w:type="dxa"/>
            <w:gridSpan w:val="2"/>
            <w:vAlign w:val="top"/>
          </w:tcPr>
          <w:p w14:paraId="2630FCDA">
            <w:pPr>
              <w:spacing w:line="324" w:lineRule="auto"/>
              <w:rPr>
                <w:rFonts w:ascii="Arial"/>
                <w:sz w:val="21"/>
              </w:rPr>
            </w:pPr>
          </w:p>
          <w:p w14:paraId="6D8FAA29">
            <w:pPr>
              <w:pStyle w:val="6"/>
              <w:spacing w:before="58" w:line="219" w:lineRule="auto"/>
              <w:ind w:left="396"/>
              <w:rPr>
                <w:sz w:val="18"/>
                <w:szCs w:val="18"/>
              </w:rPr>
            </w:pPr>
            <w:r>
              <w:rPr>
                <w:spacing w:val="-2"/>
                <w:sz w:val="18"/>
                <w:szCs w:val="18"/>
              </w:rPr>
              <w:t>造粒机</w:t>
            </w:r>
          </w:p>
        </w:tc>
        <w:tc>
          <w:tcPr>
            <w:tcW w:w="883" w:type="dxa"/>
            <w:gridSpan w:val="2"/>
            <w:vAlign w:val="top"/>
          </w:tcPr>
          <w:p w14:paraId="1841E46B">
            <w:pPr>
              <w:spacing w:line="324" w:lineRule="auto"/>
              <w:rPr>
                <w:rFonts w:ascii="Arial"/>
                <w:sz w:val="21"/>
              </w:rPr>
            </w:pPr>
          </w:p>
          <w:p w14:paraId="6D6F5009">
            <w:pPr>
              <w:pStyle w:val="6"/>
              <w:spacing w:before="58" w:line="219" w:lineRule="auto"/>
              <w:ind w:left="69"/>
              <w:rPr>
                <w:sz w:val="18"/>
                <w:szCs w:val="18"/>
              </w:rPr>
            </w:pPr>
            <w:r>
              <w:rPr>
                <w:spacing w:val="-2"/>
                <w:sz w:val="18"/>
                <w:szCs w:val="18"/>
              </w:rPr>
              <w:t>干粉造粒</w:t>
            </w:r>
          </w:p>
        </w:tc>
        <w:tc>
          <w:tcPr>
            <w:tcW w:w="850" w:type="dxa"/>
            <w:gridSpan w:val="2"/>
            <w:vAlign w:val="top"/>
          </w:tcPr>
          <w:p w14:paraId="725AA8E4">
            <w:pPr>
              <w:spacing w:line="324" w:lineRule="auto"/>
              <w:rPr>
                <w:rFonts w:ascii="Arial"/>
                <w:sz w:val="21"/>
              </w:rPr>
            </w:pPr>
          </w:p>
          <w:p w14:paraId="6BBB78F1">
            <w:pPr>
              <w:pStyle w:val="6"/>
              <w:spacing w:before="59" w:line="220" w:lineRule="auto"/>
              <w:ind w:left="145"/>
              <w:rPr>
                <w:sz w:val="18"/>
                <w:szCs w:val="18"/>
              </w:rPr>
            </w:pPr>
            <w:r>
              <w:rPr>
                <w:spacing w:val="-2"/>
                <w:sz w:val="18"/>
                <w:szCs w:val="18"/>
              </w:rPr>
              <w:t>颗粒物</w:t>
            </w:r>
          </w:p>
        </w:tc>
        <w:tc>
          <w:tcPr>
            <w:tcW w:w="838" w:type="dxa"/>
            <w:gridSpan w:val="2"/>
            <w:vAlign w:val="top"/>
          </w:tcPr>
          <w:p w14:paraId="1C85FAA6">
            <w:pPr>
              <w:spacing w:line="324" w:lineRule="auto"/>
              <w:rPr>
                <w:rFonts w:ascii="Arial"/>
                <w:sz w:val="21"/>
              </w:rPr>
            </w:pPr>
          </w:p>
          <w:p w14:paraId="16B35AA6">
            <w:pPr>
              <w:pStyle w:val="6"/>
              <w:spacing w:before="59" w:line="220" w:lineRule="auto"/>
              <w:ind w:left="148"/>
              <w:rPr>
                <w:sz w:val="18"/>
                <w:szCs w:val="18"/>
              </w:rPr>
            </w:pPr>
            <w:r>
              <w:rPr>
                <w:spacing w:val="-2"/>
                <w:sz w:val="18"/>
                <w:szCs w:val="18"/>
              </w:rPr>
              <w:t>无组织</w:t>
            </w:r>
          </w:p>
        </w:tc>
        <w:tc>
          <w:tcPr>
            <w:tcW w:w="1401" w:type="dxa"/>
            <w:vAlign w:val="top"/>
          </w:tcPr>
          <w:p w14:paraId="61B32B16">
            <w:pPr>
              <w:pStyle w:val="6"/>
              <w:spacing w:before="34" w:line="220" w:lineRule="auto"/>
              <w:ind w:left="69"/>
              <w:rPr>
                <w:sz w:val="18"/>
                <w:szCs w:val="18"/>
              </w:rPr>
            </w:pPr>
            <w:r>
              <w:rPr>
                <w:spacing w:val="-1"/>
                <w:sz w:val="18"/>
                <w:szCs w:val="18"/>
              </w:rPr>
              <w:t>微负压收尘、配</w:t>
            </w:r>
          </w:p>
          <w:p w14:paraId="18CE4A19">
            <w:pPr>
              <w:pStyle w:val="6"/>
              <w:spacing w:before="20" w:line="218" w:lineRule="auto"/>
              <w:ind w:left="146"/>
              <w:rPr>
                <w:sz w:val="18"/>
                <w:szCs w:val="18"/>
              </w:rPr>
            </w:pPr>
            <w:r>
              <w:rPr>
                <w:sz w:val="18"/>
                <w:szCs w:val="18"/>
              </w:rPr>
              <w:t>“旋流喷淋除</w:t>
            </w:r>
          </w:p>
          <w:p w14:paraId="04A9A156">
            <w:pPr>
              <w:pStyle w:val="6"/>
              <w:spacing w:before="20" w:line="219" w:lineRule="auto"/>
              <w:ind w:left="9"/>
              <w:rPr>
                <w:sz w:val="18"/>
                <w:szCs w:val="18"/>
              </w:rPr>
            </w:pPr>
            <w:r>
              <w:rPr>
                <w:spacing w:val="-8"/>
                <w:sz w:val="18"/>
                <w:szCs w:val="18"/>
              </w:rPr>
              <w:t>尘”，引至烘干机</w:t>
            </w:r>
          </w:p>
          <w:p w14:paraId="53DE2046">
            <w:pPr>
              <w:pStyle w:val="6"/>
              <w:spacing w:before="20" w:line="198" w:lineRule="auto"/>
              <w:ind w:left="249"/>
              <w:rPr>
                <w:sz w:val="18"/>
                <w:szCs w:val="18"/>
              </w:rPr>
            </w:pPr>
            <w:r>
              <w:rPr>
                <w:spacing w:val="-2"/>
                <w:sz w:val="18"/>
                <w:szCs w:val="18"/>
              </w:rPr>
              <w:t>排气筒排放</w:t>
            </w:r>
          </w:p>
        </w:tc>
        <w:tc>
          <w:tcPr>
            <w:tcW w:w="662" w:type="dxa"/>
            <w:gridSpan w:val="2"/>
            <w:vAlign w:val="top"/>
          </w:tcPr>
          <w:p w14:paraId="5C9A37AD">
            <w:pPr>
              <w:spacing w:line="359" w:lineRule="auto"/>
              <w:rPr>
                <w:rFonts w:ascii="Arial"/>
                <w:sz w:val="21"/>
              </w:rPr>
            </w:pPr>
          </w:p>
          <w:p w14:paraId="121CE89D">
            <w:pPr>
              <w:spacing w:before="52" w:line="232" w:lineRule="auto"/>
              <w:ind w:left="29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456" w:type="dxa"/>
            <w:gridSpan w:val="2"/>
            <w:vMerge w:val="continue"/>
            <w:tcBorders>
              <w:top w:val="nil"/>
            </w:tcBorders>
            <w:vAlign w:val="top"/>
          </w:tcPr>
          <w:p w14:paraId="532295E3">
            <w:pPr>
              <w:rPr>
                <w:rFonts w:ascii="Arial"/>
                <w:sz w:val="21"/>
              </w:rPr>
            </w:pPr>
          </w:p>
        </w:tc>
        <w:tc>
          <w:tcPr>
            <w:tcW w:w="114" w:type="dxa"/>
            <w:vMerge w:val="continue"/>
            <w:tcBorders>
              <w:top w:val="nil"/>
              <w:bottom w:val="nil"/>
              <w:right w:val="single" w:color="000000" w:sz="6" w:space="0"/>
            </w:tcBorders>
            <w:vAlign w:val="top"/>
          </w:tcPr>
          <w:p w14:paraId="3C579FD2">
            <w:pPr>
              <w:rPr>
                <w:rFonts w:ascii="Arial"/>
                <w:sz w:val="21"/>
              </w:rPr>
            </w:pPr>
          </w:p>
        </w:tc>
      </w:tr>
      <w:tr w14:paraId="4766D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50" w:type="dxa"/>
            <w:vMerge w:val="continue"/>
            <w:tcBorders>
              <w:top w:val="nil"/>
              <w:left w:val="single" w:color="000000" w:sz="6" w:space="0"/>
              <w:bottom w:val="nil"/>
            </w:tcBorders>
            <w:vAlign w:val="top"/>
          </w:tcPr>
          <w:p w14:paraId="1C1A85D5">
            <w:pPr>
              <w:rPr>
                <w:rFonts w:ascii="Arial"/>
                <w:sz w:val="21"/>
              </w:rPr>
            </w:pPr>
          </w:p>
        </w:tc>
        <w:tc>
          <w:tcPr>
            <w:tcW w:w="104" w:type="dxa"/>
            <w:tcBorders>
              <w:top w:val="nil"/>
              <w:bottom w:val="nil"/>
            </w:tcBorders>
            <w:vAlign w:val="top"/>
          </w:tcPr>
          <w:p w14:paraId="54578C7E">
            <w:pPr>
              <w:rPr>
                <w:rFonts w:ascii="Arial"/>
                <w:sz w:val="21"/>
              </w:rPr>
            </w:pPr>
          </w:p>
        </w:tc>
        <w:tc>
          <w:tcPr>
            <w:tcW w:w="502" w:type="dxa"/>
            <w:gridSpan w:val="2"/>
            <w:vAlign w:val="top"/>
          </w:tcPr>
          <w:p w14:paraId="116863F7">
            <w:pPr>
              <w:spacing w:line="360" w:lineRule="auto"/>
              <w:rPr>
                <w:rFonts w:ascii="Arial"/>
                <w:sz w:val="21"/>
              </w:rPr>
            </w:pPr>
          </w:p>
          <w:p w14:paraId="2DE9FA34">
            <w:pPr>
              <w:spacing w:before="52" w:line="232" w:lineRule="auto"/>
              <w:ind w:left="205"/>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1353" w:type="dxa"/>
            <w:gridSpan w:val="2"/>
            <w:vAlign w:val="top"/>
          </w:tcPr>
          <w:p w14:paraId="41C2E70D">
            <w:pPr>
              <w:pStyle w:val="6"/>
              <w:spacing w:before="267" w:line="220" w:lineRule="auto"/>
              <w:ind w:left="36"/>
              <w:rPr>
                <w:sz w:val="18"/>
                <w:szCs w:val="18"/>
              </w:rPr>
            </w:pPr>
            <w:r>
              <w:rPr>
                <w:spacing w:val="-1"/>
                <w:sz w:val="18"/>
                <w:szCs w:val="18"/>
              </w:rPr>
              <w:t>输送带、输料绞</w:t>
            </w:r>
          </w:p>
          <w:p w14:paraId="72DE2099">
            <w:pPr>
              <w:pStyle w:val="6"/>
              <w:spacing w:before="19" w:line="220" w:lineRule="auto"/>
              <w:ind w:left="578"/>
              <w:rPr>
                <w:sz w:val="18"/>
                <w:szCs w:val="18"/>
              </w:rPr>
            </w:pPr>
            <w:r>
              <w:rPr>
                <w:sz w:val="18"/>
                <w:szCs w:val="18"/>
              </w:rPr>
              <w:t>龙</w:t>
            </w:r>
          </w:p>
        </w:tc>
        <w:tc>
          <w:tcPr>
            <w:tcW w:w="883" w:type="dxa"/>
            <w:gridSpan w:val="2"/>
            <w:vAlign w:val="top"/>
          </w:tcPr>
          <w:p w14:paraId="414100A8">
            <w:pPr>
              <w:spacing w:line="323" w:lineRule="auto"/>
              <w:rPr>
                <w:rFonts w:ascii="Arial"/>
                <w:sz w:val="21"/>
              </w:rPr>
            </w:pPr>
          </w:p>
          <w:p w14:paraId="7EA25DB4">
            <w:pPr>
              <w:pStyle w:val="6"/>
              <w:spacing w:before="59" w:line="220" w:lineRule="auto"/>
              <w:ind w:left="70"/>
              <w:rPr>
                <w:sz w:val="18"/>
                <w:szCs w:val="18"/>
              </w:rPr>
            </w:pPr>
            <w:r>
              <w:rPr>
                <w:spacing w:val="-2"/>
                <w:sz w:val="18"/>
                <w:szCs w:val="18"/>
              </w:rPr>
              <w:t>物料输送</w:t>
            </w:r>
          </w:p>
        </w:tc>
        <w:tc>
          <w:tcPr>
            <w:tcW w:w="850" w:type="dxa"/>
            <w:gridSpan w:val="2"/>
            <w:vAlign w:val="top"/>
          </w:tcPr>
          <w:p w14:paraId="0B4620D1">
            <w:pPr>
              <w:spacing w:line="324" w:lineRule="auto"/>
              <w:rPr>
                <w:rFonts w:ascii="Arial"/>
                <w:sz w:val="21"/>
              </w:rPr>
            </w:pPr>
          </w:p>
          <w:p w14:paraId="73577EB4">
            <w:pPr>
              <w:pStyle w:val="6"/>
              <w:spacing w:before="58" w:line="220" w:lineRule="auto"/>
              <w:ind w:left="145"/>
              <w:rPr>
                <w:sz w:val="18"/>
                <w:szCs w:val="18"/>
              </w:rPr>
            </w:pPr>
            <w:r>
              <w:rPr>
                <w:spacing w:val="-2"/>
                <w:sz w:val="18"/>
                <w:szCs w:val="18"/>
              </w:rPr>
              <w:t>颗粒物</w:t>
            </w:r>
          </w:p>
        </w:tc>
        <w:tc>
          <w:tcPr>
            <w:tcW w:w="838" w:type="dxa"/>
            <w:gridSpan w:val="2"/>
            <w:vAlign w:val="top"/>
          </w:tcPr>
          <w:p w14:paraId="312514DD">
            <w:pPr>
              <w:spacing w:line="324" w:lineRule="auto"/>
              <w:rPr>
                <w:rFonts w:ascii="Arial"/>
                <w:sz w:val="21"/>
              </w:rPr>
            </w:pPr>
          </w:p>
          <w:p w14:paraId="3769F7D9">
            <w:pPr>
              <w:pStyle w:val="6"/>
              <w:spacing w:before="58" w:line="220" w:lineRule="auto"/>
              <w:ind w:left="148"/>
              <w:rPr>
                <w:sz w:val="18"/>
                <w:szCs w:val="18"/>
              </w:rPr>
            </w:pPr>
            <w:r>
              <w:rPr>
                <w:spacing w:val="-2"/>
                <w:sz w:val="18"/>
                <w:szCs w:val="18"/>
              </w:rPr>
              <w:t>无组织</w:t>
            </w:r>
          </w:p>
        </w:tc>
        <w:tc>
          <w:tcPr>
            <w:tcW w:w="1401" w:type="dxa"/>
            <w:vAlign w:val="top"/>
          </w:tcPr>
          <w:p w14:paraId="17096A89">
            <w:pPr>
              <w:pStyle w:val="6"/>
              <w:spacing w:before="33" w:line="219" w:lineRule="auto"/>
              <w:ind w:left="68"/>
              <w:rPr>
                <w:sz w:val="18"/>
                <w:szCs w:val="18"/>
              </w:rPr>
            </w:pPr>
            <w:r>
              <w:rPr>
                <w:spacing w:val="-1"/>
                <w:sz w:val="18"/>
                <w:szCs w:val="18"/>
              </w:rPr>
              <w:t>采用封闭式输送</w:t>
            </w:r>
          </w:p>
          <w:p w14:paraId="158E8BE0">
            <w:pPr>
              <w:pStyle w:val="6"/>
              <w:spacing w:before="21" w:line="239" w:lineRule="auto"/>
              <w:ind w:left="10" w:right="12" w:firstLine="63"/>
              <w:rPr>
                <w:sz w:val="18"/>
                <w:szCs w:val="18"/>
              </w:rPr>
            </w:pPr>
            <w:r>
              <w:rPr>
                <w:spacing w:val="-2"/>
                <w:sz w:val="18"/>
                <w:szCs w:val="18"/>
              </w:rPr>
              <w:t>带和密闭型输料</w:t>
            </w:r>
            <w:r>
              <w:rPr>
                <w:spacing w:val="1"/>
                <w:sz w:val="18"/>
                <w:szCs w:val="18"/>
              </w:rPr>
              <w:t xml:space="preserve"> </w:t>
            </w:r>
            <w:r>
              <w:rPr>
                <w:spacing w:val="-9"/>
                <w:sz w:val="18"/>
                <w:szCs w:val="18"/>
              </w:rPr>
              <w:t>绞龙、布置在封闭</w:t>
            </w:r>
          </w:p>
          <w:p w14:paraId="7927CF73">
            <w:pPr>
              <w:pStyle w:val="6"/>
              <w:spacing w:line="196" w:lineRule="auto"/>
              <w:ind w:left="430"/>
              <w:rPr>
                <w:sz w:val="18"/>
                <w:szCs w:val="18"/>
              </w:rPr>
            </w:pPr>
            <w:r>
              <w:rPr>
                <w:spacing w:val="-2"/>
                <w:sz w:val="18"/>
                <w:szCs w:val="18"/>
              </w:rPr>
              <w:t>车间内</w:t>
            </w:r>
          </w:p>
        </w:tc>
        <w:tc>
          <w:tcPr>
            <w:tcW w:w="662" w:type="dxa"/>
            <w:gridSpan w:val="2"/>
            <w:vAlign w:val="top"/>
          </w:tcPr>
          <w:p w14:paraId="574BCFCF">
            <w:pPr>
              <w:spacing w:line="360" w:lineRule="auto"/>
              <w:rPr>
                <w:rFonts w:ascii="Arial"/>
                <w:sz w:val="21"/>
              </w:rPr>
            </w:pPr>
          </w:p>
          <w:p w14:paraId="61E86AF3">
            <w:pPr>
              <w:spacing w:before="52" w:line="232" w:lineRule="auto"/>
              <w:ind w:left="29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456" w:type="dxa"/>
            <w:gridSpan w:val="2"/>
            <w:vMerge w:val="restart"/>
            <w:tcBorders>
              <w:bottom w:val="nil"/>
            </w:tcBorders>
            <w:vAlign w:val="top"/>
          </w:tcPr>
          <w:p w14:paraId="5ED29971">
            <w:pPr>
              <w:spacing w:line="329" w:lineRule="auto"/>
              <w:rPr>
                <w:rFonts w:ascii="Arial"/>
                <w:sz w:val="21"/>
              </w:rPr>
            </w:pPr>
          </w:p>
          <w:p w14:paraId="38B6CE9F">
            <w:pPr>
              <w:pStyle w:val="6"/>
              <w:spacing w:before="58" w:line="220" w:lineRule="auto"/>
              <w:ind w:left="10"/>
              <w:rPr>
                <w:sz w:val="18"/>
                <w:szCs w:val="18"/>
              </w:rPr>
            </w:pPr>
            <w:r>
              <w:rPr>
                <w:spacing w:val="-2"/>
                <w:sz w:val="18"/>
                <w:szCs w:val="18"/>
              </w:rPr>
              <w:t>《大气污染物综合</w:t>
            </w:r>
          </w:p>
          <w:p w14:paraId="0A98F1FD">
            <w:pPr>
              <w:pStyle w:val="6"/>
              <w:spacing w:before="19" w:line="220" w:lineRule="auto"/>
              <w:ind w:left="279"/>
              <w:rPr>
                <w:sz w:val="18"/>
                <w:szCs w:val="18"/>
              </w:rPr>
            </w:pPr>
            <w:r>
              <w:rPr>
                <w:spacing w:val="-3"/>
                <w:sz w:val="18"/>
                <w:szCs w:val="18"/>
              </w:rPr>
              <w:t>排放标准》</w:t>
            </w:r>
          </w:p>
          <w:p w14:paraId="7915F102">
            <w:pPr>
              <w:pStyle w:val="6"/>
              <w:spacing w:before="18" w:line="239" w:lineRule="exact"/>
              <w:jc w:val="right"/>
              <w:rPr>
                <w:sz w:val="18"/>
                <w:szCs w:val="18"/>
              </w:rPr>
            </w:pPr>
            <w:r>
              <w:rPr>
                <w:rFonts w:hint="eastAsia"/>
                <w:spacing w:val="-3"/>
                <w:position w:val="1"/>
                <w:sz w:val="18"/>
                <w:szCs w:val="18"/>
                <w:lang w:eastAsia="zh-CN"/>
              </w:rPr>
              <w:t>(</w:t>
            </w:r>
            <w:r>
              <w:rPr>
                <w:rFonts w:ascii="Times New Roman" w:hAnsi="Times New Roman" w:eastAsia="Times New Roman" w:cs="Times New Roman"/>
                <w:spacing w:val="-3"/>
                <w:position w:val="1"/>
                <w:sz w:val="18"/>
                <w:szCs w:val="18"/>
              </w:rPr>
              <w:t>GB16297-1996</w:t>
            </w:r>
            <w:r>
              <w:rPr>
                <w:rFonts w:hint="eastAsia" w:ascii="Times New Roman" w:hAnsi="Times New Roman" w:eastAsia="宋体" w:cs="Times New Roman"/>
                <w:spacing w:val="-3"/>
                <w:position w:val="1"/>
                <w:sz w:val="18"/>
                <w:szCs w:val="18"/>
                <w:lang w:eastAsia="zh-CN"/>
              </w:rPr>
              <w:t>)</w:t>
            </w:r>
          </w:p>
        </w:tc>
        <w:tc>
          <w:tcPr>
            <w:tcW w:w="114" w:type="dxa"/>
            <w:vMerge w:val="continue"/>
            <w:tcBorders>
              <w:top w:val="nil"/>
              <w:bottom w:val="nil"/>
              <w:right w:val="single" w:color="000000" w:sz="6" w:space="0"/>
            </w:tcBorders>
            <w:vAlign w:val="top"/>
          </w:tcPr>
          <w:p w14:paraId="55FDF2F7">
            <w:pPr>
              <w:rPr>
                <w:rFonts w:ascii="Arial"/>
                <w:sz w:val="21"/>
              </w:rPr>
            </w:pPr>
          </w:p>
        </w:tc>
      </w:tr>
      <w:tr w14:paraId="7BA2D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50" w:type="dxa"/>
            <w:vMerge w:val="continue"/>
            <w:tcBorders>
              <w:top w:val="nil"/>
              <w:left w:val="single" w:color="000000" w:sz="6" w:space="0"/>
              <w:bottom w:val="nil"/>
            </w:tcBorders>
            <w:vAlign w:val="top"/>
          </w:tcPr>
          <w:p w14:paraId="2C1BF164">
            <w:pPr>
              <w:rPr>
                <w:rFonts w:ascii="Arial"/>
                <w:sz w:val="21"/>
              </w:rPr>
            </w:pPr>
          </w:p>
        </w:tc>
        <w:tc>
          <w:tcPr>
            <w:tcW w:w="104" w:type="dxa"/>
            <w:tcBorders>
              <w:top w:val="nil"/>
              <w:bottom w:val="nil"/>
            </w:tcBorders>
            <w:vAlign w:val="top"/>
          </w:tcPr>
          <w:p w14:paraId="2DC50525">
            <w:pPr>
              <w:rPr>
                <w:rFonts w:ascii="Arial"/>
                <w:sz w:val="21"/>
              </w:rPr>
            </w:pPr>
          </w:p>
        </w:tc>
        <w:tc>
          <w:tcPr>
            <w:tcW w:w="502" w:type="dxa"/>
            <w:gridSpan w:val="2"/>
            <w:vAlign w:val="top"/>
          </w:tcPr>
          <w:p w14:paraId="431D9F72">
            <w:pPr>
              <w:spacing w:before="183" w:line="232" w:lineRule="auto"/>
              <w:ind w:left="204"/>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1353" w:type="dxa"/>
            <w:gridSpan w:val="2"/>
            <w:vAlign w:val="top"/>
          </w:tcPr>
          <w:p w14:paraId="532F4A7A">
            <w:pPr>
              <w:pStyle w:val="6"/>
              <w:spacing w:before="152" w:line="219" w:lineRule="auto"/>
              <w:ind w:left="397"/>
              <w:rPr>
                <w:sz w:val="18"/>
                <w:szCs w:val="18"/>
              </w:rPr>
            </w:pPr>
            <w:r>
              <w:rPr>
                <w:spacing w:val="-3"/>
                <w:sz w:val="18"/>
                <w:szCs w:val="18"/>
              </w:rPr>
              <w:t>包装机</w:t>
            </w:r>
          </w:p>
        </w:tc>
        <w:tc>
          <w:tcPr>
            <w:tcW w:w="883" w:type="dxa"/>
            <w:gridSpan w:val="2"/>
            <w:vAlign w:val="top"/>
          </w:tcPr>
          <w:p w14:paraId="6F5F3657">
            <w:pPr>
              <w:pStyle w:val="6"/>
              <w:spacing w:before="153" w:line="220" w:lineRule="auto"/>
              <w:ind w:left="70"/>
              <w:rPr>
                <w:sz w:val="18"/>
                <w:szCs w:val="18"/>
              </w:rPr>
            </w:pPr>
            <w:r>
              <w:rPr>
                <w:spacing w:val="-2"/>
                <w:sz w:val="18"/>
                <w:szCs w:val="18"/>
              </w:rPr>
              <w:t>料仓卸料</w:t>
            </w:r>
          </w:p>
        </w:tc>
        <w:tc>
          <w:tcPr>
            <w:tcW w:w="850" w:type="dxa"/>
            <w:gridSpan w:val="2"/>
            <w:vAlign w:val="top"/>
          </w:tcPr>
          <w:p w14:paraId="1A664C65">
            <w:pPr>
              <w:pStyle w:val="6"/>
              <w:spacing w:before="153" w:line="220" w:lineRule="auto"/>
              <w:ind w:left="145"/>
              <w:rPr>
                <w:sz w:val="18"/>
                <w:szCs w:val="18"/>
              </w:rPr>
            </w:pPr>
            <w:r>
              <w:rPr>
                <w:spacing w:val="-2"/>
                <w:sz w:val="18"/>
                <w:szCs w:val="18"/>
              </w:rPr>
              <w:t>颗粒物</w:t>
            </w:r>
          </w:p>
        </w:tc>
        <w:tc>
          <w:tcPr>
            <w:tcW w:w="838" w:type="dxa"/>
            <w:gridSpan w:val="2"/>
            <w:vAlign w:val="top"/>
          </w:tcPr>
          <w:p w14:paraId="1D642918">
            <w:pPr>
              <w:pStyle w:val="6"/>
              <w:spacing w:before="153" w:line="220" w:lineRule="auto"/>
              <w:ind w:left="148"/>
              <w:rPr>
                <w:sz w:val="18"/>
                <w:szCs w:val="18"/>
              </w:rPr>
            </w:pPr>
            <w:r>
              <w:rPr>
                <w:spacing w:val="-2"/>
                <w:sz w:val="18"/>
                <w:szCs w:val="18"/>
              </w:rPr>
              <w:t>无组织</w:t>
            </w:r>
          </w:p>
        </w:tc>
        <w:tc>
          <w:tcPr>
            <w:tcW w:w="1401" w:type="dxa"/>
            <w:vAlign w:val="top"/>
          </w:tcPr>
          <w:p w14:paraId="5E1F047F">
            <w:pPr>
              <w:pStyle w:val="6"/>
              <w:spacing w:before="36" w:line="218" w:lineRule="auto"/>
              <w:ind w:left="29" w:right="12" w:firstLine="39"/>
              <w:rPr>
                <w:sz w:val="18"/>
                <w:szCs w:val="18"/>
              </w:rPr>
            </w:pPr>
            <w:r>
              <w:rPr>
                <w:spacing w:val="-2"/>
                <w:sz w:val="18"/>
                <w:szCs w:val="18"/>
              </w:rPr>
              <w:t>布置在封闭车间</w:t>
            </w:r>
            <w:r>
              <w:rPr>
                <w:spacing w:val="5"/>
                <w:sz w:val="18"/>
                <w:szCs w:val="18"/>
              </w:rPr>
              <w:t xml:space="preserve"> </w:t>
            </w:r>
            <w:r>
              <w:rPr>
                <w:spacing w:val="-11"/>
                <w:sz w:val="18"/>
                <w:szCs w:val="18"/>
              </w:rPr>
              <w:t>内、加强通风换气</w:t>
            </w:r>
          </w:p>
        </w:tc>
        <w:tc>
          <w:tcPr>
            <w:tcW w:w="662" w:type="dxa"/>
            <w:gridSpan w:val="2"/>
            <w:vAlign w:val="top"/>
          </w:tcPr>
          <w:p w14:paraId="55494EB9">
            <w:pPr>
              <w:spacing w:before="182" w:line="232" w:lineRule="auto"/>
              <w:ind w:left="29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456" w:type="dxa"/>
            <w:gridSpan w:val="2"/>
            <w:vMerge w:val="continue"/>
            <w:tcBorders>
              <w:top w:val="nil"/>
            </w:tcBorders>
            <w:vAlign w:val="top"/>
          </w:tcPr>
          <w:p w14:paraId="73E16177">
            <w:pPr>
              <w:rPr>
                <w:rFonts w:ascii="Arial"/>
                <w:sz w:val="21"/>
              </w:rPr>
            </w:pPr>
          </w:p>
        </w:tc>
        <w:tc>
          <w:tcPr>
            <w:tcW w:w="114" w:type="dxa"/>
            <w:vMerge w:val="continue"/>
            <w:tcBorders>
              <w:top w:val="nil"/>
              <w:bottom w:val="nil"/>
              <w:right w:val="single" w:color="000000" w:sz="6" w:space="0"/>
            </w:tcBorders>
            <w:vAlign w:val="top"/>
          </w:tcPr>
          <w:p w14:paraId="3C42D2CE">
            <w:pPr>
              <w:rPr>
                <w:rFonts w:ascii="Arial"/>
                <w:sz w:val="21"/>
              </w:rPr>
            </w:pPr>
          </w:p>
        </w:tc>
      </w:tr>
      <w:tr w14:paraId="76F53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50" w:type="dxa"/>
            <w:vMerge w:val="continue"/>
            <w:tcBorders>
              <w:top w:val="nil"/>
              <w:left w:val="single" w:color="000000" w:sz="6" w:space="0"/>
              <w:bottom w:val="nil"/>
            </w:tcBorders>
            <w:vAlign w:val="top"/>
          </w:tcPr>
          <w:p w14:paraId="25DAFB34">
            <w:pPr>
              <w:rPr>
                <w:rFonts w:ascii="Arial"/>
                <w:sz w:val="21"/>
              </w:rPr>
            </w:pPr>
          </w:p>
        </w:tc>
        <w:tc>
          <w:tcPr>
            <w:tcW w:w="8163" w:type="dxa"/>
            <w:gridSpan w:val="17"/>
            <w:tcBorders>
              <w:right w:val="single" w:color="000000" w:sz="6" w:space="0"/>
            </w:tcBorders>
            <w:vAlign w:val="top"/>
          </w:tcPr>
          <w:p w14:paraId="27A72C96">
            <w:pPr>
              <w:pStyle w:val="6"/>
              <w:spacing w:before="157" w:line="218" w:lineRule="auto"/>
              <w:ind w:left="3095"/>
              <w:rPr>
                <w:sz w:val="20"/>
                <w:szCs w:val="20"/>
              </w:rPr>
            </w:pPr>
            <w:r>
              <w:rPr>
                <w:b/>
                <w:bCs/>
                <w:spacing w:val="-2"/>
                <w:sz w:val="20"/>
                <w:szCs w:val="20"/>
              </w:rPr>
              <w:t>表</w:t>
            </w:r>
            <w:r>
              <w:rPr>
                <w:rFonts w:ascii="Times New Roman" w:hAnsi="Times New Roman" w:eastAsia="Times New Roman" w:cs="Times New Roman"/>
                <w:b/>
                <w:bCs/>
                <w:spacing w:val="-2"/>
                <w:sz w:val="20"/>
                <w:szCs w:val="20"/>
              </w:rPr>
              <w:t xml:space="preserve">4-5      </w:t>
            </w:r>
            <w:r>
              <w:rPr>
                <w:b/>
                <w:bCs/>
                <w:spacing w:val="-2"/>
                <w:sz w:val="20"/>
                <w:szCs w:val="20"/>
              </w:rPr>
              <w:t>大气污染物排放表</w:t>
            </w:r>
          </w:p>
        </w:tc>
      </w:tr>
      <w:tr w14:paraId="17717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50" w:type="dxa"/>
            <w:vMerge w:val="continue"/>
            <w:tcBorders>
              <w:top w:val="nil"/>
              <w:left w:val="single" w:color="000000" w:sz="6" w:space="0"/>
              <w:bottom w:val="nil"/>
            </w:tcBorders>
            <w:vAlign w:val="top"/>
          </w:tcPr>
          <w:p w14:paraId="43059D60">
            <w:pPr>
              <w:rPr>
                <w:rFonts w:ascii="Arial"/>
                <w:sz w:val="21"/>
              </w:rPr>
            </w:pPr>
          </w:p>
        </w:tc>
        <w:tc>
          <w:tcPr>
            <w:tcW w:w="104" w:type="dxa"/>
            <w:tcBorders>
              <w:top w:val="nil"/>
              <w:bottom w:val="nil"/>
            </w:tcBorders>
            <w:vAlign w:val="top"/>
          </w:tcPr>
          <w:p w14:paraId="7354E22C">
            <w:pPr>
              <w:rPr>
                <w:rFonts w:ascii="Arial"/>
                <w:sz w:val="21"/>
              </w:rPr>
            </w:pPr>
          </w:p>
        </w:tc>
        <w:tc>
          <w:tcPr>
            <w:tcW w:w="467" w:type="dxa"/>
            <w:vMerge w:val="restart"/>
            <w:tcBorders>
              <w:bottom w:val="nil"/>
            </w:tcBorders>
            <w:vAlign w:val="top"/>
          </w:tcPr>
          <w:p w14:paraId="45269954">
            <w:pPr>
              <w:spacing w:line="331" w:lineRule="auto"/>
              <w:rPr>
                <w:rFonts w:ascii="Arial"/>
                <w:sz w:val="21"/>
              </w:rPr>
            </w:pPr>
          </w:p>
          <w:p w14:paraId="6A0C9780">
            <w:pPr>
              <w:pStyle w:val="6"/>
              <w:spacing w:before="59" w:line="221" w:lineRule="auto"/>
              <w:ind w:left="51"/>
              <w:rPr>
                <w:sz w:val="18"/>
                <w:szCs w:val="18"/>
              </w:rPr>
            </w:pPr>
            <w:r>
              <w:rPr>
                <w:spacing w:val="-2"/>
                <w:sz w:val="18"/>
                <w:szCs w:val="18"/>
              </w:rPr>
              <w:t>序号</w:t>
            </w:r>
          </w:p>
        </w:tc>
        <w:tc>
          <w:tcPr>
            <w:tcW w:w="696" w:type="dxa"/>
            <w:gridSpan w:val="2"/>
            <w:vMerge w:val="restart"/>
            <w:tcBorders>
              <w:bottom w:val="nil"/>
            </w:tcBorders>
            <w:vAlign w:val="top"/>
          </w:tcPr>
          <w:p w14:paraId="04B670A9">
            <w:pPr>
              <w:pStyle w:val="6"/>
              <w:spacing w:before="275" w:line="220" w:lineRule="auto"/>
              <w:ind w:left="73"/>
              <w:rPr>
                <w:sz w:val="18"/>
                <w:szCs w:val="18"/>
              </w:rPr>
            </w:pPr>
            <w:r>
              <w:rPr>
                <w:spacing w:val="-2"/>
                <w:sz w:val="18"/>
                <w:szCs w:val="18"/>
              </w:rPr>
              <w:t>生产设</w:t>
            </w:r>
          </w:p>
          <w:p w14:paraId="6BA08EEC">
            <w:pPr>
              <w:pStyle w:val="6"/>
              <w:spacing w:before="18" w:line="220" w:lineRule="auto"/>
              <w:ind w:left="71"/>
              <w:rPr>
                <w:sz w:val="18"/>
                <w:szCs w:val="18"/>
              </w:rPr>
            </w:pPr>
            <w:r>
              <w:rPr>
                <w:spacing w:val="-2"/>
                <w:sz w:val="18"/>
                <w:szCs w:val="18"/>
              </w:rPr>
              <w:t>施编号</w:t>
            </w:r>
          </w:p>
        </w:tc>
        <w:tc>
          <w:tcPr>
            <w:tcW w:w="692" w:type="dxa"/>
            <w:vMerge w:val="restart"/>
            <w:tcBorders>
              <w:bottom w:val="nil"/>
            </w:tcBorders>
            <w:vAlign w:val="top"/>
          </w:tcPr>
          <w:p w14:paraId="3FAC1D69">
            <w:pPr>
              <w:pStyle w:val="6"/>
              <w:spacing w:before="275" w:line="220" w:lineRule="auto"/>
              <w:ind w:left="81"/>
              <w:rPr>
                <w:sz w:val="18"/>
                <w:szCs w:val="18"/>
              </w:rPr>
            </w:pPr>
            <w:r>
              <w:rPr>
                <w:spacing w:val="-2"/>
                <w:sz w:val="18"/>
                <w:szCs w:val="18"/>
              </w:rPr>
              <w:t>生产设</w:t>
            </w:r>
          </w:p>
          <w:p w14:paraId="16A74E44">
            <w:pPr>
              <w:pStyle w:val="6"/>
              <w:spacing w:before="18" w:line="222" w:lineRule="auto"/>
              <w:ind w:left="79"/>
              <w:rPr>
                <w:sz w:val="18"/>
                <w:szCs w:val="18"/>
              </w:rPr>
            </w:pPr>
            <w:r>
              <w:rPr>
                <w:spacing w:val="-2"/>
                <w:sz w:val="18"/>
                <w:szCs w:val="18"/>
              </w:rPr>
              <w:t>施名称</w:t>
            </w:r>
          </w:p>
        </w:tc>
        <w:tc>
          <w:tcPr>
            <w:tcW w:w="567" w:type="dxa"/>
            <w:vMerge w:val="restart"/>
            <w:tcBorders>
              <w:bottom w:val="nil"/>
            </w:tcBorders>
            <w:vAlign w:val="top"/>
          </w:tcPr>
          <w:p w14:paraId="320723AA">
            <w:pPr>
              <w:pStyle w:val="6"/>
              <w:spacing w:before="275" w:line="241" w:lineRule="auto"/>
              <w:ind w:left="117" w:right="1" w:hanging="88"/>
              <w:rPr>
                <w:sz w:val="18"/>
                <w:szCs w:val="18"/>
              </w:rPr>
            </w:pPr>
            <w:r>
              <w:rPr>
                <w:spacing w:val="-3"/>
                <w:sz w:val="18"/>
                <w:szCs w:val="18"/>
              </w:rPr>
              <w:t>污染物</w:t>
            </w:r>
            <w:r>
              <w:rPr>
                <w:sz w:val="18"/>
                <w:szCs w:val="18"/>
              </w:rPr>
              <w:t xml:space="preserve"> </w:t>
            </w:r>
            <w:r>
              <w:rPr>
                <w:spacing w:val="-2"/>
                <w:sz w:val="18"/>
                <w:szCs w:val="18"/>
              </w:rPr>
              <w:t>种类</w:t>
            </w:r>
          </w:p>
        </w:tc>
        <w:tc>
          <w:tcPr>
            <w:tcW w:w="2004" w:type="dxa"/>
            <w:gridSpan w:val="5"/>
            <w:vAlign w:val="top"/>
          </w:tcPr>
          <w:p w14:paraId="56806C61">
            <w:pPr>
              <w:pStyle w:val="6"/>
              <w:spacing w:before="154" w:line="220" w:lineRule="auto"/>
              <w:ind w:left="649"/>
              <w:rPr>
                <w:sz w:val="18"/>
                <w:szCs w:val="18"/>
              </w:rPr>
            </w:pPr>
            <w:r>
              <w:rPr>
                <w:spacing w:val="-2"/>
                <w:sz w:val="18"/>
                <w:szCs w:val="18"/>
              </w:rPr>
              <w:t>排放情况</w:t>
            </w:r>
          </w:p>
        </w:tc>
        <w:tc>
          <w:tcPr>
            <w:tcW w:w="1401" w:type="dxa"/>
            <w:vMerge w:val="restart"/>
            <w:tcBorders>
              <w:bottom w:val="nil"/>
            </w:tcBorders>
            <w:vAlign w:val="top"/>
          </w:tcPr>
          <w:p w14:paraId="72340088">
            <w:pPr>
              <w:pStyle w:val="6"/>
              <w:spacing w:before="276" w:line="220" w:lineRule="auto"/>
              <w:ind w:left="81"/>
              <w:rPr>
                <w:sz w:val="18"/>
                <w:szCs w:val="18"/>
              </w:rPr>
            </w:pPr>
            <w:r>
              <w:rPr>
                <w:spacing w:val="-2"/>
                <w:sz w:val="18"/>
                <w:szCs w:val="18"/>
              </w:rPr>
              <w:t>主要污染防治措</w:t>
            </w:r>
          </w:p>
          <w:p w14:paraId="00C07F4B">
            <w:pPr>
              <w:pStyle w:val="6"/>
              <w:spacing w:before="18" w:line="222" w:lineRule="auto"/>
              <w:ind w:left="619"/>
              <w:rPr>
                <w:sz w:val="18"/>
                <w:szCs w:val="18"/>
              </w:rPr>
            </w:pPr>
            <w:r>
              <w:rPr>
                <w:sz w:val="18"/>
                <w:szCs w:val="18"/>
              </w:rPr>
              <w:t>施</w:t>
            </w:r>
          </w:p>
        </w:tc>
        <w:tc>
          <w:tcPr>
            <w:tcW w:w="1699" w:type="dxa"/>
            <w:gridSpan w:val="3"/>
            <w:vAlign w:val="top"/>
          </w:tcPr>
          <w:p w14:paraId="43383E4C">
            <w:pPr>
              <w:pStyle w:val="6"/>
              <w:spacing w:before="36" w:line="218" w:lineRule="auto"/>
              <w:ind w:left="601" w:right="19" w:hanging="522"/>
              <w:rPr>
                <w:sz w:val="18"/>
                <w:szCs w:val="18"/>
              </w:rPr>
            </w:pPr>
            <w:r>
              <w:rPr>
                <w:spacing w:val="-3"/>
                <w:sz w:val="18"/>
                <w:szCs w:val="18"/>
              </w:rPr>
              <w:t>国家或地方污染物排</w:t>
            </w:r>
            <w:r>
              <w:rPr>
                <w:spacing w:val="1"/>
                <w:sz w:val="18"/>
                <w:szCs w:val="18"/>
              </w:rPr>
              <w:t xml:space="preserve"> </w:t>
            </w:r>
            <w:r>
              <w:rPr>
                <w:spacing w:val="-2"/>
                <w:sz w:val="18"/>
                <w:szCs w:val="18"/>
              </w:rPr>
              <w:t>放标准</w:t>
            </w:r>
          </w:p>
        </w:tc>
        <w:tc>
          <w:tcPr>
            <w:tcW w:w="419" w:type="dxa"/>
            <w:vMerge w:val="restart"/>
            <w:tcBorders>
              <w:bottom w:val="nil"/>
            </w:tcBorders>
            <w:vAlign w:val="top"/>
          </w:tcPr>
          <w:p w14:paraId="612F6531">
            <w:pPr>
              <w:pStyle w:val="6"/>
              <w:spacing w:before="276" w:line="220" w:lineRule="auto"/>
              <w:ind w:left="44"/>
              <w:rPr>
                <w:sz w:val="18"/>
                <w:szCs w:val="18"/>
              </w:rPr>
            </w:pPr>
            <w:r>
              <w:rPr>
                <w:spacing w:val="-2"/>
                <w:sz w:val="18"/>
                <w:szCs w:val="18"/>
              </w:rPr>
              <w:t>其他</w:t>
            </w:r>
          </w:p>
          <w:p w14:paraId="27BC6AC3">
            <w:pPr>
              <w:pStyle w:val="6"/>
              <w:spacing w:before="17" w:line="220" w:lineRule="auto"/>
              <w:ind w:left="44"/>
              <w:rPr>
                <w:sz w:val="18"/>
                <w:szCs w:val="18"/>
              </w:rPr>
            </w:pPr>
            <w:r>
              <w:rPr>
                <w:spacing w:val="-2"/>
                <w:sz w:val="18"/>
                <w:szCs w:val="18"/>
              </w:rPr>
              <w:t>信息</w:t>
            </w:r>
          </w:p>
        </w:tc>
        <w:tc>
          <w:tcPr>
            <w:tcW w:w="114" w:type="dxa"/>
            <w:vMerge w:val="restart"/>
            <w:tcBorders>
              <w:top w:val="nil"/>
              <w:bottom w:val="nil"/>
              <w:right w:val="single" w:color="000000" w:sz="6" w:space="0"/>
            </w:tcBorders>
            <w:vAlign w:val="top"/>
          </w:tcPr>
          <w:p w14:paraId="5BFBA2DE">
            <w:pPr>
              <w:rPr>
                <w:rFonts w:ascii="Arial"/>
                <w:sz w:val="21"/>
              </w:rPr>
            </w:pPr>
          </w:p>
        </w:tc>
      </w:tr>
      <w:tr w14:paraId="4DB95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50" w:type="dxa"/>
            <w:vMerge w:val="continue"/>
            <w:tcBorders>
              <w:top w:val="nil"/>
              <w:left w:val="single" w:color="000000" w:sz="6" w:space="0"/>
              <w:bottom w:val="nil"/>
            </w:tcBorders>
            <w:vAlign w:val="top"/>
          </w:tcPr>
          <w:p w14:paraId="56C33A0E">
            <w:pPr>
              <w:rPr>
                <w:rFonts w:ascii="Arial"/>
                <w:sz w:val="21"/>
              </w:rPr>
            </w:pPr>
          </w:p>
        </w:tc>
        <w:tc>
          <w:tcPr>
            <w:tcW w:w="104" w:type="dxa"/>
            <w:tcBorders>
              <w:top w:val="nil"/>
              <w:bottom w:val="nil"/>
            </w:tcBorders>
            <w:vAlign w:val="top"/>
          </w:tcPr>
          <w:p w14:paraId="429D145A">
            <w:pPr>
              <w:rPr>
                <w:rFonts w:ascii="Arial"/>
                <w:sz w:val="21"/>
              </w:rPr>
            </w:pPr>
          </w:p>
        </w:tc>
        <w:tc>
          <w:tcPr>
            <w:tcW w:w="467" w:type="dxa"/>
            <w:vMerge w:val="continue"/>
            <w:tcBorders>
              <w:top w:val="nil"/>
            </w:tcBorders>
            <w:vAlign w:val="top"/>
          </w:tcPr>
          <w:p w14:paraId="682EA975">
            <w:pPr>
              <w:rPr>
                <w:rFonts w:ascii="Arial"/>
                <w:sz w:val="21"/>
              </w:rPr>
            </w:pPr>
          </w:p>
        </w:tc>
        <w:tc>
          <w:tcPr>
            <w:tcW w:w="696" w:type="dxa"/>
            <w:gridSpan w:val="2"/>
            <w:vMerge w:val="continue"/>
            <w:tcBorders>
              <w:top w:val="nil"/>
            </w:tcBorders>
            <w:vAlign w:val="top"/>
          </w:tcPr>
          <w:p w14:paraId="6839C72E">
            <w:pPr>
              <w:rPr>
                <w:rFonts w:ascii="Arial"/>
                <w:sz w:val="21"/>
              </w:rPr>
            </w:pPr>
          </w:p>
        </w:tc>
        <w:tc>
          <w:tcPr>
            <w:tcW w:w="692" w:type="dxa"/>
            <w:vMerge w:val="continue"/>
            <w:tcBorders>
              <w:top w:val="nil"/>
            </w:tcBorders>
            <w:vAlign w:val="top"/>
          </w:tcPr>
          <w:p w14:paraId="6699F808">
            <w:pPr>
              <w:rPr>
                <w:rFonts w:ascii="Arial"/>
                <w:sz w:val="21"/>
              </w:rPr>
            </w:pPr>
          </w:p>
        </w:tc>
        <w:tc>
          <w:tcPr>
            <w:tcW w:w="567" w:type="dxa"/>
            <w:vMerge w:val="continue"/>
            <w:tcBorders>
              <w:top w:val="nil"/>
            </w:tcBorders>
            <w:vAlign w:val="top"/>
          </w:tcPr>
          <w:p w14:paraId="263389D4">
            <w:pPr>
              <w:rPr>
                <w:rFonts w:ascii="Arial"/>
                <w:sz w:val="21"/>
              </w:rPr>
            </w:pPr>
          </w:p>
        </w:tc>
        <w:tc>
          <w:tcPr>
            <w:tcW w:w="567" w:type="dxa"/>
            <w:gridSpan w:val="2"/>
            <w:vAlign w:val="top"/>
          </w:tcPr>
          <w:p w14:paraId="2FA84986">
            <w:pPr>
              <w:pStyle w:val="6"/>
              <w:spacing w:before="37" w:line="225" w:lineRule="auto"/>
              <w:ind w:left="208"/>
              <w:rPr>
                <w:sz w:val="18"/>
                <w:szCs w:val="18"/>
              </w:rPr>
            </w:pPr>
            <w:r>
              <w:rPr>
                <w:sz w:val="18"/>
                <w:szCs w:val="18"/>
              </w:rPr>
              <w:t>量</w:t>
            </w:r>
          </w:p>
          <w:p w14:paraId="6CB179C2">
            <w:pPr>
              <w:pStyle w:val="6"/>
              <w:spacing w:before="14" w:line="195" w:lineRule="auto"/>
              <w:jc w:val="right"/>
              <w:rPr>
                <w:sz w:val="18"/>
                <w:szCs w:val="18"/>
              </w:rPr>
            </w:pPr>
            <w:r>
              <w:rPr>
                <w:rFonts w:hint="eastAsia"/>
                <w:spacing w:val="-5"/>
                <w:sz w:val="18"/>
                <w:szCs w:val="18"/>
                <w:lang w:eastAsia="zh-CN"/>
              </w:rPr>
              <w:t>(</w:t>
            </w:r>
            <w:r>
              <w:rPr>
                <w:rFonts w:ascii="Times New Roman" w:hAnsi="Times New Roman" w:eastAsia="Times New Roman" w:cs="Times New Roman"/>
                <w:spacing w:val="-5"/>
                <w:sz w:val="18"/>
                <w:szCs w:val="18"/>
              </w:rPr>
              <w:t>t/a</w:t>
            </w:r>
            <w:r>
              <w:rPr>
                <w:rFonts w:hint="eastAsia" w:ascii="Times New Roman" w:hAnsi="Times New Roman" w:eastAsia="宋体" w:cs="Times New Roman"/>
                <w:spacing w:val="-5"/>
                <w:sz w:val="18"/>
                <w:szCs w:val="18"/>
                <w:lang w:eastAsia="zh-CN"/>
              </w:rPr>
              <w:t>)</w:t>
            </w:r>
          </w:p>
        </w:tc>
        <w:tc>
          <w:tcPr>
            <w:tcW w:w="708" w:type="dxa"/>
            <w:gridSpan w:val="2"/>
            <w:vAlign w:val="top"/>
          </w:tcPr>
          <w:p w14:paraId="511F5D92">
            <w:pPr>
              <w:pStyle w:val="6"/>
              <w:spacing w:before="36" w:line="220" w:lineRule="auto"/>
              <w:ind w:left="189"/>
              <w:rPr>
                <w:sz w:val="18"/>
                <w:szCs w:val="18"/>
              </w:rPr>
            </w:pPr>
            <w:r>
              <w:rPr>
                <w:spacing w:val="-2"/>
                <w:sz w:val="18"/>
                <w:szCs w:val="18"/>
              </w:rPr>
              <w:t>速率</w:t>
            </w:r>
          </w:p>
          <w:p w14:paraId="1C4FD2E1">
            <w:pPr>
              <w:pStyle w:val="6"/>
              <w:spacing w:before="20" w:line="195" w:lineRule="auto"/>
              <w:jc w:val="right"/>
              <w:rPr>
                <w:sz w:val="18"/>
                <w:szCs w:val="18"/>
              </w:rPr>
            </w:pPr>
            <w:r>
              <w:rPr>
                <w:rFonts w:hint="eastAsia"/>
                <w:spacing w:val="-2"/>
                <w:sz w:val="18"/>
                <w:szCs w:val="18"/>
                <w:lang w:eastAsia="zh-CN"/>
              </w:rPr>
              <w:t>(</w:t>
            </w:r>
            <w:r>
              <w:rPr>
                <w:rFonts w:ascii="Times New Roman" w:hAnsi="Times New Roman" w:eastAsia="Times New Roman" w:cs="Times New Roman"/>
                <w:spacing w:val="-2"/>
                <w:sz w:val="18"/>
                <w:szCs w:val="18"/>
              </w:rPr>
              <w:t>kg/h</w:t>
            </w:r>
            <w:r>
              <w:rPr>
                <w:rFonts w:hint="eastAsia" w:ascii="Times New Roman" w:hAnsi="Times New Roman" w:eastAsia="宋体" w:cs="Times New Roman"/>
                <w:spacing w:val="-2"/>
                <w:sz w:val="18"/>
                <w:szCs w:val="18"/>
                <w:lang w:eastAsia="zh-CN"/>
              </w:rPr>
              <w:t>)</w:t>
            </w:r>
          </w:p>
        </w:tc>
        <w:tc>
          <w:tcPr>
            <w:tcW w:w="729" w:type="dxa"/>
            <w:vAlign w:val="top"/>
          </w:tcPr>
          <w:p w14:paraId="23CCED19">
            <w:pPr>
              <w:pStyle w:val="6"/>
              <w:spacing w:before="50" w:line="220" w:lineRule="auto"/>
              <w:ind w:left="192"/>
              <w:rPr>
                <w:sz w:val="18"/>
                <w:szCs w:val="18"/>
              </w:rPr>
            </w:pPr>
            <w:r>
              <w:rPr>
                <w:spacing w:val="-2"/>
                <w:sz w:val="18"/>
                <w:szCs w:val="18"/>
              </w:rPr>
              <w:t>浓度</w:t>
            </w:r>
          </w:p>
          <w:p w14:paraId="047DC190">
            <w:pPr>
              <w:spacing w:before="16" w:line="209" w:lineRule="auto"/>
              <w:ind w:left="7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(mg/m</w:t>
            </w:r>
            <w:r>
              <w:rPr>
                <w:rFonts w:ascii="Times New Roman" w:hAnsi="Times New Roman" w:eastAsia="Times New Roman" w:cs="Times New Roman"/>
                <w:spacing w:val="-1"/>
                <w:position w:val="5"/>
                <w:sz w:val="12"/>
                <w:szCs w:val="12"/>
              </w:rPr>
              <w:t>3</w:t>
            </w:r>
            <w:r>
              <w:rPr>
                <w:rFonts w:ascii="Times New Roman" w:hAnsi="Times New Roman" w:eastAsia="Times New Roman" w:cs="Times New Roman"/>
                <w:spacing w:val="-1"/>
                <w:sz w:val="18"/>
                <w:szCs w:val="18"/>
              </w:rPr>
              <w:t>)</w:t>
            </w:r>
          </w:p>
        </w:tc>
        <w:tc>
          <w:tcPr>
            <w:tcW w:w="1401" w:type="dxa"/>
            <w:vMerge w:val="continue"/>
            <w:tcBorders>
              <w:top w:val="nil"/>
            </w:tcBorders>
            <w:vAlign w:val="top"/>
          </w:tcPr>
          <w:p w14:paraId="4D059630">
            <w:pPr>
              <w:rPr>
                <w:rFonts w:ascii="Arial"/>
                <w:sz w:val="21"/>
              </w:rPr>
            </w:pPr>
          </w:p>
        </w:tc>
        <w:tc>
          <w:tcPr>
            <w:tcW w:w="567" w:type="dxa"/>
            <w:vAlign w:val="top"/>
          </w:tcPr>
          <w:p w14:paraId="6C781CA0">
            <w:pPr>
              <w:pStyle w:val="6"/>
              <w:spacing w:before="154" w:line="222" w:lineRule="auto"/>
              <w:ind w:left="126"/>
              <w:rPr>
                <w:sz w:val="18"/>
                <w:szCs w:val="18"/>
              </w:rPr>
            </w:pPr>
            <w:r>
              <w:rPr>
                <w:spacing w:val="-3"/>
                <w:sz w:val="18"/>
                <w:szCs w:val="18"/>
              </w:rPr>
              <w:t>名称</w:t>
            </w:r>
          </w:p>
        </w:tc>
        <w:tc>
          <w:tcPr>
            <w:tcW w:w="1132" w:type="dxa"/>
            <w:gridSpan w:val="2"/>
            <w:vAlign w:val="top"/>
          </w:tcPr>
          <w:p w14:paraId="61F8FC1C">
            <w:pPr>
              <w:pStyle w:val="6"/>
              <w:spacing w:before="36" w:line="220" w:lineRule="auto"/>
              <w:ind w:right="4"/>
              <w:jc w:val="right"/>
              <w:rPr>
                <w:sz w:val="18"/>
                <w:szCs w:val="18"/>
              </w:rPr>
            </w:pPr>
            <w:r>
              <w:rPr>
                <w:spacing w:val="-1"/>
                <w:sz w:val="18"/>
                <w:szCs w:val="18"/>
              </w:rPr>
              <w:t>浓度、速率限</w:t>
            </w:r>
          </w:p>
          <w:p w14:paraId="04201F32">
            <w:pPr>
              <w:pStyle w:val="6"/>
              <w:spacing w:before="20" w:line="195" w:lineRule="auto"/>
              <w:ind w:left="498"/>
              <w:rPr>
                <w:sz w:val="18"/>
                <w:szCs w:val="18"/>
              </w:rPr>
            </w:pPr>
            <w:r>
              <w:rPr>
                <w:sz w:val="18"/>
                <w:szCs w:val="18"/>
              </w:rPr>
              <w:t>值</w:t>
            </w:r>
          </w:p>
        </w:tc>
        <w:tc>
          <w:tcPr>
            <w:tcW w:w="419" w:type="dxa"/>
            <w:vMerge w:val="continue"/>
            <w:tcBorders>
              <w:top w:val="nil"/>
            </w:tcBorders>
            <w:vAlign w:val="top"/>
          </w:tcPr>
          <w:p w14:paraId="75BA937A">
            <w:pPr>
              <w:rPr>
                <w:rFonts w:ascii="Arial"/>
                <w:sz w:val="21"/>
              </w:rPr>
            </w:pPr>
          </w:p>
        </w:tc>
        <w:tc>
          <w:tcPr>
            <w:tcW w:w="114" w:type="dxa"/>
            <w:vMerge w:val="continue"/>
            <w:tcBorders>
              <w:top w:val="nil"/>
              <w:bottom w:val="nil"/>
              <w:right w:val="single" w:color="000000" w:sz="6" w:space="0"/>
            </w:tcBorders>
            <w:vAlign w:val="top"/>
          </w:tcPr>
          <w:p w14:paraId="51A6D7DD">
            <w:pPr>
              <w:rPr>
                <w:rFonts w:ascii="Arial"/>
                <w:sz w:val="21"/>
              </w:rPr>
            </w:pPr>
          </w:p>
        </w:tc>
      </w:tr>
      <w:tr w14:paraId="767CF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3" w:hRule="atLeast"/>
        </w:trPr>
        <w:tc>
          <w:tcPr>
            <w:tcW w:w="750" w:type="dxa"/>
            <w:vMerge w:val="continue"/>
            <w:tcBorders>
              <w:top w:val="nil"/>
              <w:left w:val="single" w:color="000000" w:sz="6" w:space="0"/>
              <w:bottom w:val="nil"/>
            </w:tcBorders>
            <w:vAlign w:val="top"/>
          </w:tcPr>
          <w:p w14:paraId="479D5284">
            <w:pPr>
              <w:rPr>
                <w:rFonts w:ascii="Arial"/>
                <w:sz w:val="21"/>
              </w:rPr>
            </w:pPr>
          </w:p>
        </w:tc>
        <w:tc>
          <w:tcPr>
            <w:tcW w:w="104" w:type="dxa"/>
            <w:tcBorders>
              <w:top w:val="nil"/>
              <w:bottom w:val="nil"/>
            </w:tcBorders>
            <w:vAlign w:val="top"/>
          </w:tcPr>
          <w:p w14:paraId="2B4EDE5C">
            <w:pPr>
              <w:rPr>
                <w:rFonts w:ascii="Arial"/>
                <w:sz w:val="21"/>
              </w:rPr>
            </w:pPr>
          </w:p>
        </w:tc>
        <w:tc>
          <w:tcPr>
            <w:tcW w:w="467" w:type="dxa"/>
            <w:vMerge w:val="restart"/>
            <w:tcBorders>
              <w:bottom w:val="nil"/>
            </w:tcBorders>
            <w:vAlign w:val="top"/>
          </w:tcPr>
          <w:p w14:paraId="69C8484F">
            <w:pPr>
              <w:spacing w:line="271" w:lineRule="auto"/>
              <w:rPr>
                <w:rFonts w:ascii="Arial"/>
                <w:sz w:val="21"/>
              </w:rPr>
            </w:pPr>
          </w:p>
          <w:p w14:paraId="32BB6B80">
            <w:pPr>
              <w:spacing w:line="272" w:lineRule="auto"/>
              <w:rPr>
                <w:rFonts w:ascii="Arial"/>
                <w:sz w:val="21"/>
              </w:rPr>
            </w:pPr>
          </w:p>
          <w:p w14:paraId="5A8A38F6">
            <w:pPr>
              <w:spacing w:line="272" w:lineRule="auto"/>
              <w:rPr>
                <w:rFonts w:ascii="Arial"/>
                <w:sz w:val="21"/>
              </w:rPr>
            </w:pPr>
          </w:p>
          <w:p w14:paraId="5ED249E5">
            <w:pPr>
              <w:spacing w:line="272" w:lineRule="auto"/>
              <w:rPr>
                <w:rFonts w:ascii="Arial"/>
                <w:sz w:val="21"/>
              </w:rPr>
            </w:pPr>
          </w:p>
          <w:p w14:paraId="088057F6">
            <w:pPr>
              <w:spacing w:line="272" w:lineRule="auto"/>
              <w:rPr>
                <w:rFonts w:ascii="Arial"/>
                <w:sz w:val="21"/>
              </w:rPr>
            </w:pPr>
          </w:p>
          <w:p w14:paraId="4B3A1CF7">
            <w:pPr>
              <w:spacing w:line="272" w:lineRule="auto"/>
              <w:rPr>
                <w:rFonts w:ascii="Arial"/>
                <w:sz w:val="21"/>
              </w:rPr>
            </w:pPr>
          </w:p>
          <w:p w14:paraId="70A894E6">
            <w:pPr>
              <w:spacing w:before="51" w:line="235" w:lineRule="auto"/>
              <w:ind w:left="20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696" w:type="dxa"/>
            <w:gridSpan w:val="2"/>
            <w:vMerge w:val="restart"/>
            <w:tcBorders>
              <w:bottom w:val="nil"/>
            </w:tcBorders>
            <w:vAlign w:val="top"/>
          </w:tcPr>
          <w:p w14:paraId="4C0AE328">
            <w:pPr>
              <w:spacing w:line="272" w:lineRule="auto"/>
              <w:rPr>
                <w:rFonts w:ascii="Arial"/>
                <w:sz w:val="21"/>
              </w:rPr>
            </w:pPr>
          </w:p>
          <w:p w14:paraId="09408C71">
            <w:pPr>
              <w:spacing w:line="272" w:lineRule="auto"/>
              <w:rPr>
                <w:rFonts w:ascii="Arial"/>
                <w:sz w:val="21"/>
              </w:rPr>
            </w:pPr>
          </w:p>
          <w:p w14:paraId="32DB54CF">
            <w:pPr>
              <w:spacing w:line="272" w:lineRule="auto"/>
              <w:rPr>
                <w:rFonts w:ascii="Arial"/>
                <w:sz w:val="21"/>
              </w:rPr>
            </w:pPr>
          </w:p>
          <w:p w14:paraId="66DF598C">
            <w:pPr>
              <w:spacing w:line="272" w:lineRule="auto"/>
              <w:rPr>
                <w:rFonts w:ascii="Arial"/>
                <w:sz w:val="21"/>
              </w:rPr>
            </w:pPr>
          </w:p>
          <w:p w14:paraId="5BDE1A2B">
            <w:pPr>
              <w:spacing w:line="273" w:lineRule="auto"/>
              <w:rPr>
                <w:rFonts w:ascii="Arial"/>
                <w:sz w:val="21"/>
              </w:rPr>
            </w:pPr>
          </w:p>
          <w:p w14:paraId="54F1697E">
            <w:pPr>
              <w:spacing w:line="273" w:lineRule="auto"/>
              <w:rPr>
                <w:rFonts w:ascii="Arial"/>
                <w:sz w:val="21"/>
              </w:rPr>
            </w:pPr>
          </w:p>
          <w:p w14:paraId="558C02AE">
            <w:pPr>
              <w:spacing w:before="52" w:line="186" w:lineRule="auto"/>
              <w:ind w:left="2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MF0001</w:t>
            </w:r>
          </w:p>
        </w:tc>
        <w:tc>
          <w:tcPr>
            <w:tcW w:w="692" w:type="dxa"/>
            <w:vMerge w:val="restart"/>
            <w:tcBorders>
              <w:bottom w:val="nil"/>
            </w:tcBorders>
            <w:vAlign w:val="top"/>
          </w:tcPr>
          <w:p w14:paraId="3B9E58F1">
            <w:pPr>
              <w:spacing w:line="272" w:lineRule="auto"/>
              <w:rPr>
                <w:rFonts w:ascii="Arial"/>
                <w:sz w:val="21"/>
              </w:rPr>
            </w:pPr>
          </w:p>
          <w:p w14:paraId="1583CF84">
            <w:pPr>
              <w:spacing w:line="272" w:lineRule="auto"/>
              <w:rPr>
                <w:rFonts w:ascii="Arial"/>
                <w:sz w:val="21"/>
              </w:rPr>
            </w:pPr>
          </w:p>
          <w:p w14:paraId="581F9364">
            <w:pPr>
              <w:spacing w:line="273" w:lineRule="auto"/>
              <w:rPr>
                <w:rFonts w:ascii="Arial"/>
                <w:sz w:val="21"/>
              </w:rPr>
            </w:pPr>
          </w:p>
          <w:p w14:paraId="3CE89053">
            <w:pPr>
              <w:spacing w:line="273" w:lineRule="auto"/>
              <w:rPr>
                <w:rFonts w:ascii="Arial"/>
                <w:sz w:val="21"/>
              </w:rPr>
            </w:pPr>
          </w:p>
          <w:p w14:paraId="7B5C3B19">
            <w:pPr>
              <w:spacing w:line="273" w:lineRule="auto"/>
              <w:rPr>
                <w:rFonts w:ascii="Arial"/>
                <w:sz w:val="21"/>
              </w:rPr>
            </w:pPr>
          </w:p>
          <w:p w14:paraId="2463D724">
            <w:pPr>
              <w:pStyle w:val="6"/>
              <w:spacing w:before="59" w:line="220" w:lineRule="auto"/>
              <w:jc w:val="right"/>
              <w:rPr>
                <w:sz w:val="18"/>
                <w:szCs w:val="18"/>
              </w:rPr>
            </w:pPr>
            <w:r>
              <w:rPr>
                <w:spacing w:val="-10"/>
                <w:sz w:val="18"/>
                <w:szCs w:val="18"/>
              </w:rPr>
              <w:t>热风炉、</w:t>
            </w:r>
          </w:p>
          <w:p w14:paraId="6CD56385">
            <w:pPr>
              <w:pStyle w:val="6"/>
              <w:spacing w:before="20"/>
              <w:ind w:left="79" w:hanging="78"/>
              <w:rPr>
                <w:sz w:val="18"/>
                <w:szCs w:val="18"/>
              </w:rPr>
            </w:pPr>
            <w:r>
              <w:rPr>
                <w:spacing w:val="-9"/>
                <w:sz w:val="18"/>
                <w:szCs w:val="18"/>
              </w:rPr>
              <w:t>烘干机、</w:t>
            </w:r>
            <w:r>
              <w:rPr>
                <w:sz w:val="18"/>
                <w:szCs w:val="18"/>
              </w:rPr>
              <w:t xml:space="preserve"> </w:t>
            </w:r>
            <w:r>
              <w:rPr>
                <w:spacing w:val="-2"/>
                <w:sz w:val="18"/>
                <w:szCs w:val="18"/>
              </w:rPr>
              <w:t>造粒机</w:t>
            </w:r>
          </w:p>
        </w:tc>
        <w:tc>
          <w:tcPr>
            <w:tcW w:w="567" w:type="dxa"/>
            <w:vAlign w:val="top"/>
          </w:tcPr>
          <w:p w14:paraId="035043B9">
            <w:pPr>
              <w:spacing w:line="259" w:lineRule="auto"/>
              <w:rPr>
                <w:rFonts w:ascii="Arial"/>
                <w:sz w:val="21"/>
              </w:rPr>
            </w:pPr>
          </w:p>
          <w:p w14:paraId="4B3A7A44">
            <w:pPr>
              <w:spacing w:line="260" w:lineRule="auto"/>
              <w:rPr>
                <w:rFonts w:ascii="Arial"/>
                <w:sz w:val="21"/>
              </w:rPr>
            </w:pPr>
          </w:p>
          <w:p w14:paraId="20CCC5F2">
            <w:pPr>
              <w:spacing w:line="260" w:lineRule="auto"/>
              <w:rPr>
                <w:rFonts w:ascii="Arial"/>
                <w:sz w:val="21"/>
              </w:rPr>
            </w:pPr>
          </w:p>
          <w:p w14:paraId="0342BED2">
            <w:pPr>
              <w:pStyle w:val="6"/>
              <w:spacing w:before="58" w:line="220" w:lineRule="auto"/>
              <w:jc w:val="right"/>
              <w:rPr>
                <w:sz w:val="18"/>
                <w:szCs w:val="18"/>
              </w:rPr>
            </w:pPr>
            <w:r>
              <w:rPr>
                <w:spacing w:val="-3"/>
                <w:sz w:val="18"/>
                <w:szCs w:val="18"/>
              </w:rPr>
              <w:t>颗粒物</w:t>
            </w:r>
          </w:p>
        </w:tc>
        <w:tc>
          <w:tcPr>
            <w:tcW w:w="567" w:type="dxa"/>
            <w:gridSpan w:val="2"/>
            <w:vAlign w:val="top"/>
          </w:tcPr>
          <w:p w14:paraId="447A19CB">
            <w:pPr>
              <w:spacing w:line="271" w:lineRule="auto"/>
              <w:rPr>
                <w:rFonts w:ascii="Arial"/>
                <w:sz w:val="21"/>
              </w:rPr>
            </w:pPr>
          </w:p>
          <w:p w14:paraId="3B5205D6">
            <w:pPr>
              <w:spacing w:line="271" w:lineRule="auto"/>
              <w:rPr>
                <w:rFonts w:ascii="Arial"/>
                <w:sz w:val="21"/>
              </w:rPr>
            </w:pPr>
          </w:p>
          <w:p w14:paraId="55D23B3E">
            <w:pPr>
              <w:spacing w:line="272" w:lineRule="auto"/>
              <w:rPr>
                <w:rFonts w:ascii="Arial"/>
                <w:sz w:val="21"/>
              </w:rPr>
            </w:pPr>
          </w:p>
          <w:p w14:paraId="6475BCFD">
            <w:pPr>
              <w:spacing w:before="52" w:line="232" w:lineRule="auto"/>
              <w:ind w:left="6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13.511</w:t>
            </w:r>
          </w:p>
        </w:tc>
        <w:tc>
          <w:tcPr>
            <w:tcW w:w="708" w:type="dxa"/>
            <w:gridSpan w:val="2"/>
            <w:vAlign w:val="top"/>
          </w:tcPr>
          <w:p w14:paraId="49F139AB">
            <w:pPr>
              <w:spacing w:line="271" w:lineRule="auto"/>
              <w:rPr>
                <w:rFonts w:ascii="Arial"/>
                <w:sz w:val="21"/>
              </w:rPr>
            </w:pPr>
          </w:p>
          <w:p w14:paraId="61810D0A">
            <w:pPr>
              <w:spacing w:line="271" w:lineRule="auto"/>
              <w:rPr>
                <w:rFonts w:ascii="Arial"/>
                <w:sz w:val="21"/>
              </w:rPr>
            </w:pPr>
          </w:p>
          <w:p w14:paraId="7F26B388">
            <w:pPr>
              <w:spacing w:line="272" w:lineRule="auto"/>
              <w:rPr>
                <w:rFonts w:ascii="Arial"/>
                <w:sz w:val="21"/>
              </w:rPr>
            </w:pPr>
          </w:p>
          <w:p w14:paraId="5F23699D">
            <w:pPr>
              <w:spacing w:before="52" w:line="232" w:lineRule="auto"/>
              <w:ind w:left="1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4.094</w:t>
            </w:r>
          </w:p>
        </w:tc>
        <w:tc>
          <w:tcPr>
            <w:tcW w:w="729" w:type="dxa"/>
            <w:vAlign w:val="top"/>
          </w:tcPr>
          <w:p w14:paraId="0C4C8912">
            <w:pPr>
              <w:spacing w:line="271" w:lineRule="auto"/>
              <w:rPr>
                <w:rFonts w:ascii="Arial"/>
                <w:sz w:val="21"/>
              </w:rPr>
            </w:pPr>
          </w:p>
          <w:p w14:paraId="58208E2C">
            <w:pPr>
              <w:spacing w:line="271" w:lineRule="auto"/>
              <w:rPr>
                <w:rFonts w:ascii="Arial"/>
                <w:sz w:val="21"/>
              </w:rPr>
            </w:pPr>
          </w:p>
          <w:p w14:paraId="3A59185B">
            <w:pPr>
              <w:spacing w:line="272" w:lineRule="auto"/>
              <w:rPr>
                <w:rFonts w:ascii="Arial"/>
                <w:sz w:val="21"/>
              </w:rPr>
            </w:pPr>
          </w:p>
          <w:p w14:paraId="5AB2DE77">
            <w:pPr>
              <w:spacing w:before="52" w:line="232" w:lineRule="auto"/>
              <w:ind w:left="9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102.355</w:t>
            </w:r>
          </w:p>
        </w:tc>
        <w:tc>
          <w:tcPr>
            <w:tcW w:w="1401" w:type="dxa"/>
            <w:vMerge w:val="restart"/>
            <w:tcBorders>
              <w:bottom w:val="nil"/>
            </w:tcBorders>
            <w:vAlign w:val="top"/>
          </w:tcPr>
          <w:p w14:paraId="1225F43D">
            <w:pPr>
              <w:spacing w:line="261" w:lineRule="auto"/>
              <w:rPr>
                <w:rFonts w:ascii="Arial"/>
                <w:sz w:val="21"/>
              </w:rPr>
            </w:pPr>
          </w:p>
          <w:p w14:paraId="4FDF49CE">
            <w:pPr>
              <w:spacing w:line="261" w:lineRule="auto"/>
              <w:rPr>
                <w:rFonts w:ascii="Arial"/>
                <w:sz w:val="21"/>
              </w:rPr>
            </w:pPr>
          </w:p>
          <w:p w14:paraId="3E11429F">
            <w:pPr>
              <w:spacing w:line="261" w:lineRule="auto"/>
              <w:rPr>
                <w:rFonts w:ascii="Arial"/>
                <w:sz w:val="21"/>
              </w:rPr>
            </w:pPr>
          </w:p>
          <w:p w14:paraId="31C87AA5">
            <w:pPr>
              <w:pStyle w:val="6"/>
              <w:spacing w:before="59" w:line="219" w:lineRule="auto"/>
              <w:ind w:left="80"/>
              <w:rPr>
                <w:sz w:val="18"/>
                <w:szCs w:val="18"/>
              </w:rPr>
            </w:pPr>
            <w:r>
              <w:rPr>
                <w:spacing w:val="-1"/>
                <w:sz w:val="18"/>
                <w:szCs w:val="18"/>
              </w:rPr>
              <w:t>烘干机：密闭收</w:t>
            </w:r>
          </w:p>
          <w:p w14:paraId="70EE4195">
            <w:pPr>
              <w:pStyle w:val="6"/>
              <w:spacing w:before="19" w:line="220" w:lineRule="auto"/>
              <w:jc w:val="right"/>
              <w:rPr>
                <w:sz w:val="18"/>
                <w:szCs w:val="18"/>
              </w:rPr>
            </w:pPr>
            <w:r>
              <w:rPr>
                <w:spacing w:val="-7"/>
                <w:sz w:val="18"/>
                <w:szCs w:val="18"/>
              </w:rPr>
              <w:t>尘、配“旋风收尘</w:t>
            </w:r>
          </w:p>
          <w:p w14:paraId="3440C3B7">
            <w:pPr>
              <w:pStyle w:val="6"/>
              <w:spacing w:before="19" w:line="232" w:lineRule="auto"/>
              <w:ind w:left="114"/>
              <w:rPr>
                <w:sz w:val="18"/>
                <w:szCs w:val="18"/>
              </w:rPr>
            </w:pPr>
            <w:r>
              <w:rPr>
                <w:rFonts w:ascii="Times New Roman" w:hAnsi="Times New Roman" w:eastAsia="Times New Roman" w:cs="Times New Roman"/>
                <w:spacing w:val="-1"/>
                <w:sz w:val="18"/>
                <w:szCs w:val="18"/>
              </w:rPr>
              <w:t>+</w:t>
            </w:r>
            <w:r>
              <w:rPr>
                <w:spacing w:val="-1"/>
                <w:sz w:val="18"/>
                <w:szCs w:val="18"/>
              </w:rPr>
              <w:t>旋流喷淋塔除</w:t>
            </w:r>
          </w:p>
          <w:p w14:paraId="20D8A4D8">
            <w:pPr>
              <w:pStyle w:val="6"/>
              <w:spacing w:before="6" w:line="226" w:lineRule="auto"/>
              <w:ind w:left="441"/>
              <w:rPr>
                <w:sz w:val="18"/>
                <w:szCs w:val="18"/>
              </w:rPr>
            </w:pPr>
            <w:r>
              <w:rPr>
                <w:spacing w:val="-8"/>
                <w:sz w:val="18"/>
                <w:szCs w:val="18"/>
              </w:rPr>
              <w:t>尘”、</w:t>
            </w:r>
          </w:p>
          <w:p w14:paraId="77C0A908">
            <w:pPr>
              <w:pStyle w:val="6"/>
              <w:spacing w:before="13" w:line="219" w:lineRule="auto"/>
              <w:jc w:val="right"/>
              <w:rPr>
                <w:sz w:val="18"/>
                <w:szCs w:val="18"/>
              </w:rPr>
            </w:pPr>
            <w:r>
              <w:rPr>
                <w:spacing w:val="-6"/>
                <w:sz w:val="18"/>
                <w:szCs w:val="18"/>
              </w:rPr>
              <w:t>造粒机：微负压收</w:t>
            </w:r>
          </w:p>
          <w:p w14:paraId="4A9184C8">
            <w:pPr>
              <w:pStyle w:val="6"/>
              <w:spacing w:before="20" w:line="218" w:lineRule="auto"/>
              <w:jc w:val="right"/>
              <w:rPr>
                <w:sz w:val="18"/>
                <w:szCs w:val="18"/>
              </w:rPr>
            </w:pPr>
            <w:r>
              <w:rPr>
                <w:spacing w:val="-7"/>
                <w:sz w:val="18"/>
                <w:szCs w:val="18"/>
              </w:rPr>
              <w:t>尘、配“旋流喷淋</w:t>
            </w:r>
          </w:p>
          <w:p w14:paraId="649F2310">
            <w:pPr>
              <w:pStyle w:val="6"/>
              <w:spacing w:before="21" w:line="220" w:lineRule="auto"/>
              <w:ind w:left="90"/>
              <w:rPr>
                <w:sz w:val="18"/>
                <w:szCs w:val="18"/>
              </w:rPr>
            </w:pPr>
            <w:r>
              <w:rPr>
                <w:spacing w:val="-3"/>
                <w:sz w:val="18"/>
                <w:szCs w:val="18"/>
              </w:rPr>
              <w:t>除尘”。废气经</w:t>
            </w:r>
          </w:p>
          <w:p w14:paraId="5CD592A6">
            <w:pPr>
              <w:pStyle w:val="6"/>
              <w:spacing w:before="19" w:line="233" w:lineRule="auto"/>
              <w:ind w:left="113"/>
              <w:rPr>
                <w:sz w:val="18"/>
                <w:szCs w:val="18"/>
              </w:rPr>
            </w:pPr>
            <w:r>
              <w:rPr>
                <w:rFonts w:ascii="Times New Roman" w:hAnsi="Times New Roman" w:eastAsia="Times New Roman" w:cs="Times New Roman"/>
                <w:spacing w:val="-3"/>
                <w:sz w:val="18"/>
                <w:szCs w:val="18"/>
              </w:rPr>
              <w:t>15m</w:t>
            </w:r>
            <w:r>
              <w:rPr>
                <w:spacing w:val="-3"/>
                <w:sz w:val="18"/>
                <w:szCs w:val="18"/>
              </w:rPr>
              <w:t>排气筒排放</w:t>
            </w:r>
          </w:p>
        </w:tc>
        <w:tc>
          <w:tcPr>
            <w:tcW w:w="567" w:type="dxa"/>
            <w:vAlign w:val="top"/>
          </w:tcPr>
          <w:p w14:paraId="7644682A">
            <w:pPr>
              <w:pStyle w:val="6"/>
              <w:spacing w:before="38" w:line="220" w:lineRule="auto"/>
              <w:jc w:val="right"/>
              <w:rPr>
                <w:sz w:val="18"/>
                <w:szCs w:val="18"/>
              </w:rPr>
            </w:pPr>
            <w:r>
              <w:rPr>
                <w:spacing w:val="-7"/>
                <w:sz w:val="18"/>
                <w:szCs w:val="18"/>
              </w:rPr>
              <w:t>《大气</w:t>
            </w:r>
          </w:p>
          <w:p w14:paraId="7D5B2670">
            <w:pPr>
              <w:pStyle w:val="6"/>
              <w:spacing w:before="18" w:line="220" w:lineRule="auto"/>
              <w:jc w:val="right"/>
              <w:rPr>
                <w:sz w:val="18"/>
                <w:szCs w:val="18"/>
              </w:rPr>
            </w:pPr>
            <w:r>
              <w:rPr>
                <w:spacing w:val="-5"/>
                <w:sz w:val="18"/>
                <w:szCs w:val="18"/>
              </w:rPr>
              <w:t>污染物</w:t>
            </w:r>
          </w:p>
          <w:p w14:paraId="34299B85">
            <w:pPr>
              <w:pStyle w:val="6"/>
              <w:spacing w:before="20" w:line="239" w:lineRule="auto"/>
              <w:ind w:left="122" w:hanging="86"/>
              <w:rPr>
                <w:sz w:val="18"/>
                <w:szCs w:val="18"/>
              </w:rPr>
            </w:pPr>
            <w:r>
              <w:rPr>
                <w:spacing w:val="-5"/>
                <w:sz w:val="18"/>
                <w:szCs w:val="18"/>
              </w:rPr>
              <w:t>综合排</w:t>
            </w:r>
            <w:r>
              <w:rPr>
                <w:sz w:val="18"/>
                <w:szCs w:val="18"/>
              </w:rPr>
              <w:t xml:space="preserve"> </w:t>
            </w:r>
            <w:r>
              <w:rPr>
                <w:spacing w:val="-3"/>
                <w:sz w:val="18"/>
                <w:szCs w:val="18"/>
              </w:rPr>
              <w:t>放标</w:t>
            </w:r>
          </w:p>
          <w:p w14:paraId="614AF38B">
            <w:pPr>
              <w:pStyle w:val="6"/>
              <w:spacing w:line="220" w:lineRule="auto"/>
              <w:ind w:left="125"/>
              <w:rPr>
                <w:sz w:val="18"/>
                <w:szCs w:val="18"/>
              </w:rPr>
            </w:pPr>
            <w:r>
              <w:rPr>
                <w:spacing w:val="-4"/>
                <w:sz w:val="18"/>
                <w:szCs w:val="18"/>
              </w:rPr>
              <w:t>准》</w:t>
            </w:r>
          </w:p>
          <w:p w14:paraId="50710D58">
            <w:pPr>
              <w:pStyle w:val="6"/>
              <w:spacing w:before="16" w:line="233" w:lineRule="auto"/>
              <w:ind w:right="3"/>
              <w:jc w:val="right"/>
              <w:rPr>
                <w:rFonts w:ascii="Times New Roman" w:hAnsi="Times New Roman" w:eastAsia="Times New Roman" w:cs="Times New Roman"/>
                <w:sz w:val="18"/>
                <w:szCs w:val="18"/>
              </w:rPr>
            </w:pPr>
            <w:r>
              <w:rPr>
                <w:rFonts w:hint="eastAsia"/>
                <w:spacing w:val="-3"/>
                <w:sz w:val="18"/>
                <w:szCs w:val="18"/>
                <w:lang w:eastAsia="zh-CN"/>
              </w:rPr>
              <w:t>(</w:t>
            </w:r>
            <w:r>
              <w:rPr>
                <w:rFonts w:ascii="Times New Roman" w:hAnsi="Times New Roman" w:eastAsia="Times New Roman" w:cs="Times New Roman"/>
                <w:spacing w:val="-3"/>
                <w:sz w:val="18"/>
                <w:szCs w:val="18"/>
              </w:rPr>
              <w:t>GB1</w:t>
            </w:r>
          </w:p>
          <w:p w14:paraId="6873FDE8">
            <w:pPr>
              <w:spacing w:before="23" w:line="221" w:lineRule="auto"/>
              <w:ind w:left="5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6297-1</w:t>
            </w:r>
          </w:p>
          <w:p w14:paraId="6D4C0BB4">
            <w:pPr>
              <w:pStyle w:val="6"/>
              <w:spacing w:before="1" w:line="192" w:lineRule="auto"/>
              <w:ind w:left="80"/>
              <w:rPr>
                <w:sz w:val="18"/>
                <w:szCs w:val="18"/>
              </w:rPr>
            </w:pPr>
            <w:r>
              <w:rPr>
                <w:rFonts w:ascii="Times New Roman" w:hAnsi="Times New Roman" w:eastAsia="Times New Roman" w:cs="Times New Roman"/>
                <w:spacing w:val="-2"/>
                <w:sz w:val="18"/>
                <w:szCs w:val="18"/>
              </w:rPr>
              <w:t>996</w:t>
            </w:r>
            <w:r>
              <w:rPr>
                <w:rFonts w:hint="eastAsia" w:ascii="Times New Roman" w:hAnsi="Times New Roman" w:eastAsia="宋体" w:cs="Times New Roman"/>
                <w:spacing w:val="-2"/>
                <w:sz w:val="18"/>
                <w:szCs w:val="18"/>
                <w:lang w:eastAsia="zh-CN"/>
              </w:rPr>
              <w:t>)</w:t>
            </w:r>
          </w:p>
        </w:tc>
        <w:tc>
          <w:tcPr>
            <w:tcW w:w="1132" w:type="dxa"/>
            <w:gridSpan w:val="2"/>
            <w:vAlign w:val="top"/>
          </w:tcPr>
          <w:p w14:paraId="2DBBF456">
            <w:pPr>
              <w:spacing w:line="273" w:lineRule="auto"/>
              <w:rPr>
                <w:rFonts w:ascii="Arial"/>
                <w:sz w:val="21"/>
              </w:rPr>
            </w:pPr>
          </w:p>
          <w:p w14:paraId="4A3D6125">
            <w:pPr>
              <w:spacing w:line="273" w:lineRule="auto"/>
              <w:rPr>
                <w:rFonts w:ascii="Arial"/>
                <w:sz w:val="21"/>
              </w:rPr>
            </w:pPr>
          </w:p>
          <w:p w14:paraId="17D56CC6">
            <w:pPr>
              <w:pStyle w:val="6"/>
              <w:spacing w:before="59" w:line="220" w:lineRule="auto"/>
              <w:ind w:left="318"/>
              <w:rPr>
                <w:sz w:val="18"/>
                <w:szCs w:val="18"/>
              </w:rPr>
            </w:pPr>
            <w:r>
              <w:rPr>
                <w:spacing w:val="-11"/>
                <w:sz w:val="18"/>
                <w:szCs w:val="18"/>
              </w:rPr>
              <w:t>浓度：</w:t>
            </w:r>
          </w:p>
          <w:p w14:paraId="7B95262A">
            <w:pPr>
              <w:pStyle w:val="6"/>
              <w:spacing w:before="19" w:line="229" w:lineRule="auto"/>
              <w:ind w:left="136" w:hanging="8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120mg/m</w:t>
            </w:r>
            <w:r>
              <w:rPr>
                <w:rFonts w:ascii="Times New Roman" w:hAnsi="Times New Roman" w:eastAsia="Times New Roman" w:cs="Times New Roman"/>
                <w:spacing w:val="-4"/>
                <w:position w:val="5"/>
                <w:sz w:val="12"/>
                <w:szCs w:val="12"/>
              </w:rPr>
              <w:t>3</w:t>
            </w:r>
            <w:r>
              <w:rPr>
                <w:spacing w:val="-4"/>
                <w:sz w:val="18"/>
                <w:szCs w:val="18"/>
              </w:rPr>
              <w:t>、速</w:t>
            </w:r>
            <w:r>
              <w:rPr>
                <w:spacing w:val="8"/>
                <w:sz w:val="18"/>
                <w:szCs w:val="18"/>
              </w:rPr>
              <w:t xml:space="preserve"> </w:t>
            </w:r>
            <w:r>
              <w:rPr>
                <w:spacing w:val="-2"/>
                <w:sz w:val="18"/>
                <w:szCs w:val="18"/>
              </w:rPr>
              <w:t>率：</w:t>
            </w:r>
            <w:r>
              <w:rPr>
                <w:rFonts w:ascii="Times New Roman" w:hAnsi="Times New Roman" w:eastAsia="Times New Roman" w:cs="Times New Roman"/>
                <w:spacing w:val="-2"/>
                <w:sz w:val="18"/>
                <w:szCs w:val="18"/>
              </w:rPr>
              <w:t>3.5kg/h</w:t>
            </w:r>
          </w:p>
        </w:tc>
        <w:tc>
          <w:tcPr>
            <w:tcW w:w="419" w:type="dxa"/>
            <w:vMerge w:val="restart"/>
            <w:tcBorders>
              <w:bottom w:val="nil"/>
            </w:tcBorders>
            <w:vAlign w:val="top"/>
          </w:tcPr>
          <w:p w14:paraId="4FD57E66">
            <w:pPr>
              <w:spacing w:line="272" w:lineRule="auto"/>
              <w:rPr>
                <w:rFonts w:ascii="Arial"/>
                <w:sz w:val="21"/>
              </w:rPr>
            </w:pPr>
          </w:p>
          <w:p w14:paraId="5CFAD058">
            <w:pPr>
              <w:spacing w:line="272" w:lineRule="auto"/>
              <w:rPr>
                <w:rFonts w:ascii="Arial"/>
                <w:sz w:val="21"/>
              </w:rPr>
            </w:pPr>
          </w:p>
          <w:p w14:paraId="36E3FDF5">
            <w:pPr>
              <w:spacing w:line="273" w:lineRule="auto"/>
              <w:rPr>
                <w:rFonts w:ascii="Arial"/>
                <w:sz w:val="21"/>
              </w:rPr>
            </w:pPr>
          </w:p>
          <w:p w14:paraId="481E1E43">
            <w:pPr>
              <w:spacing w:line="273" w:lineRule="auto"/>
              <w:rPr>
                <w:rFonts w:ascii="Arial"/>
                <w:sz w:val="21"/>
              </w:rPr>
            </w:pPr>
          </w:p>
          <w:p w14:paraId="63E4D95E">
            <w:pPr>
              <w:spacing w:line="273" w:lineRule="auto"/>
              <w:rPr>
                <w:rFonts w:ascii="Arial"/>
                <w:sz w:val="21"/>
              </w:rPr>
            </w:pPr>
          </w:p>
          <w:p w14:paraId="7EF21EA9">
            <w:pPr>
              <w:pStyle w:val="6"/>
              <w:spacing w:before="58" w:line="221" w:lineRule="auto"/>
              <w:ind w:left="47"/>
              <w:rPr>
                <w:sz w:val="18"/>
                <w:szCs w:val="18"/>
              </w:rPr>
            </w:pPr>
            <w:r>
              <w:rPr>
                <w:spacing w:val="-5"/>
                <w:sz w:val="18"/>
                <w:szCs w:val="18"/>
              </w:rPr>
              <w:t>一般</w:t>
            </w:r>
          </w:p>
          <w:p w14:paraId="241FB671">
            <w:pPr>
              <w:pStyle w:val="6"/>
              <w:spacing w:before="19" w:line="249" w:lineRule="auto"/>
              <w:ind w:left="161" w:right="16" w:hanging="117"/>
              <w:rPr>
                <w:sz w:val="18"/>
                <w:szCs w:val="18"/>
              </w:rPr>
            </w:pPr>
            <w:r>
              <w:rPr>
                <w:spacing w:val="-4"/>
                <w:sz w:val="18"/>
                <w:szCs w:val="18"/>
              </w:rPr>
              <w:t>排放</w:t>
            </w:r>
            <w:r>
              <w:rPr>
                <w:sz w:val="18"/>
                <w:szCs w:val="18"/>
              </w:rPr>
              <w:t xml:space="preserve"> 口</w:t>
            </w:r>
          </w:p>
        </w:tc>
        <w:tc>
          <w:tcPr>
            <w:tcW w:w="114" w:type="dxa"/>
            <w:vMerge w:val="continue"/>
            <w:tcBorders>
              <w:top w:val="nil"/>
              <w:bottom w:val="nil"/>
              <w:right w:val="single" w:color="000000" w:sz="6" w:space="0"/>
            </w:tcBorders>
            <w:vAlign w:val="top"/>
          </w:tcPr>
          <w:p w14:paraId="2943A7EE">
            <w:pPr>
              <w:rPr>
                <w:rFonts w:ascii="Arial"/>
                <w:sz w:val="21"/>
              </w:rPr>
            </w:pPr>
          </w:p>
        </w:tc>
      </w:tr>
      <w:tr w14:paraId="38365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50" w:type="dxa"/>
            <w:vMerge w:val="continue"/>
            <w:tcBorders>
              <w:top w:val="nil"/>
              <w:left w:val="single" w:color="000000" w:sz="6" w:space="0"/>
              <w:bottom w:val="nil"/>
            </w:tcBorders>
            <w:vAlign w:val="top"/>
          </w:tcPr>
          <w:p w14:paraId="688BCB16">
            <w:pPr>
              <w:rPr>
                <w:rFonts w:ascii="Arial"/>
                <w:sz w:val="21"/>
              </w:rPr>
            </w:pPr>
          </w:p>
        </w:tc>
        <w:tc>
          <w:tcPr>
            <w:tcW w:w="104" w:type="dxa"/>
            <w:tcBorders>
              <w:top w:val="nil"/>
              <w:bottom w:val="nil"/>
            </w:tcBorders>
            <w:vAlign w:val="top"/>
          </w:tcPr>
          <w:p w14:paraId="23748B24">
            <w:pPr>
              <w:rPr>
                <w:rFonts w:ascii="Arial"/>
                <w:sz w:val="21"/>
              </w:rPr>
            </w:pPr>
          </w:p>
        </w:tc>
        <w:tc>
          <w:tcPr>
            <w:tcW w:w="467" w:type="dxa"/>
            <w:vMerge w:val="continue"/>
            <w:tcBorders>
              <w:top w:val="nil"/>
              <w:bottom w:val="nil"/>
            </w:tcBorders>
            <w:vAlign w:val="top"/>
          </w:tcPr>
          <w:p w14:paraId="738AE427">
            <w:pPr>
              <w:rPr>
                <w:rFonts w:ascii="Arial"/>
                <w:sz w:val="21"/>
              </w:rPr>
            </w:pPr>
          </w:p>
        </w:tc>
        <w:tc>
          <w:tcPr>
            <w:tcW w:w="696" w:type="dxa"/>
            <w:gridSpan w:val="2"/>
            <w:vMerge w:val="continue"/>
            <w:tcBorders>
              <w:top w:val="nil"/>
              <w:bottom w:val="nil"/>
            </w:tcBorders>
            <w:vAlign w:val="top"/>
          </w:tcPr>
          <w:p w14:paraId="188DA2B0">
            <w:pPr>
              <w:rPr>
                <w:rFonts w:ascii="Arial"/>
                <w:sz w:val="21"/>
              </w:rPr>
            </w:pPr>
          </w:p>
        </w:tc>
        <w:tc>
          <w:tcPr>
            <w:tcW w:w="692" w:type="dxa"/>
            <w:vMerge w:val="continue"/>
            <w:tcBorders>
              <w:top w:val="nil"/>
              <w:bottom w:val="nil"/>
            </w:tcBorders>
            <w:vAlign w:val="top"/>
          </w:tcPr>
          <w:p w14:paraId="063EE639">
            <w:pPr>
              <w:rPr>
                <w:rFonts w:ascii="Arial"/>
                <w:sz w:val="21"/>
              </w:rPr>
            </w:pPr>
          </w:p>
        </w:tc>
        <w:tc>
          <w:tcPr>
            <w:tcW w:w="567" w:type="dxa"/>
            <w:vAlign w:val="top"/>
          </w:tcPr>
          <w:p w14:paraId="2A469D92">
            <w:pPr>
              <w:spacing w:before="176" w:line="225" w:lineRule="auto"/>
              <w:ind w:left="157"/>
              <w:rPr>
                <w:rFonts w:ascii="Times New Roman" w:hAnsi="Times New Roman" w:eastAsia="Times New Roman" w:cs="Times New Roman"/>
                <w:sz w:val="12"/>
                <w:szCs w:val="12"/>
              </w:rPr>
            </w:pPr>
            <w:r>
              <w:rPr>
                <w:rFonts w:ascii="Times New Roman" w:hAnsi="Times New Roman" w:eastAsia="Times New Roman" w:cs="Times New Roman"/>
                <w:spacing w:val="-4"/>
                <w:sz w:val="18"/>
                <w:szCs w:val="18"/>
              </w:rPr>
              <w:t>SO</w:t>
            </w:r>
            <w:r>
              <w:rPr>
                <w:rFonts w:ascii="Times New Roman" w:hAnsi="Times New Roman" w:eastAsia="Times New Roman" w:cs="Times New Roman"/>
                <w:spacing w:val="-4"/>
                <w:sz w:val="12"/>
                <w:szCs w:val="12"/>
              </w:rPr>
              <w:t>2</w:t>
            </w:r>
          </w:p>
        </w:tc>
        <w:tc>
          <w:tcPr>
            <w:tcW w:w="567" w:type="dxa"/>
            <w:gridSpan w:val="2"/>
            <w:vAlign w:val="top"/>
          </w:tcPr>
          <w:p w14:paraId="5E99354C">
            <w:pPr>
              <w:spacing w:before="173" w:line="232" w:lineRule="auto"/>
              <w:ind w:left="9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0.473</w:t>
            </w:r>
          </w:p>
        </w:tc>
        <w:tc>
          <w:tcPr>
            <w:tcW w:w="708" w:type="dxa"/>
            <w:gridSpan w:val="2"/>
            <w:vAlign w:val="top"/>
          </w:tcPr>
          <w:p w14:paraId="4876FF60">
            <w:pPr>
              <w:spacing w:before="173" w:line="232" w:lineRule="auto"/>
              <w:ind w:left="16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0.143</w:t>
            </w:r>
          </w:p>
        </w:tc>
        <w:tc>
          <w:tcPr>
            <w:tcW w:w="729" w:type="dxa"/>
            <w:vAlign w:val="top"/>
          </w:tcPr>
          <w:p w14:paraId="1BBF97A7">
            <w:pPr>
              <w:spacing w:before="173" w:line="232" w:lineRule="auto"/>
              <w:ind w:left="17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3.585</w:t>
            </w:r>
          </w:p>
        </w:tc>
        <w:tc>
          <w:tcPr>
            <w:tcW w:w="1401" w:type="dxa"/>
            <w:vMerge w:val="continue"/>
            <w:tcBorders>
              <w:top w:val="nil"/>
              <w:bottom w:val="nil"/>
            </w:tcBorders>
            <w:vAlign w:val="top"/>
          </w:tcPr>
          <w:p w14:paraId="7EA089BC">
            <w:pPr>
              <w:rPr>
                <w:rFonts w:ascii="Arial"/>
                <w:sz w:val="21"/>
              </w:rPr>
            </w:pPr>
          </w:p>
        </w:tc>
        <w:tc>
          <w:tcPr>
            <w:tcW w:w="567" w:type="dxa"/>
            <w:vMerge w:val="restart"/>
            <w:tcBorders>
              <w:bottom w:val="nil"/>
            </w:tcBorders>
            <w:vAlign w:val="top"/>
          </w:tcPr>
          <w:p w14:paraId="2EF89F3A">
            <w:pPr>
              <w:pStyle w:val="6"/>
              <w:spacing w:before="40" w:line="220" w:lineRule="auto"/>
              <w:ind w:left="35"/>
              <w:rPr>
                <w:sz w:val="18"/>
                <w:szCs w:val="18"/>
              </w:rPr>
            </w:pPr>
            <w:r>
              <w:rPr>
                <w:spacing w:val="-7"/>
                <w:sz w:val="18"/>
                <w:szCs w:val="18"/>
              </w:rPr>
              <w:t>《四川</w:t>
            </w:r>
          </w:p>
          <w:p w14:paraId="430FB152">
            <w:pPr>
              <w:pStyle w:val="6"/>
              <w:spacing w:before="19" w:line="220" w:lineRule="auto"/>
              <w:jc w:val="right"/>
              <w:rPr>
                <w:sz w:val="18"/>
                <w:szCs w:val="18"/>
              </w:rPr>
            </w:pPr>
            <w:r>
              <w:rPr>
                <w:spacing w:val="-6"/>
                <w:sz w:val="18"/>
                <w:szCs w:val="18"/>
              </w:rPr>
              <w:t>省工业</w:t>
            </w:r>
          </w:p>
          <w:p w14:paraId="5CDDF29E">
            <w:pPr>
              <w:pStyle w:val="6"/>
              <w:spacing w:before="19" w:line="220" w:lineRule="auto"/>
              <w:jc w:val="right"/>
              <w:rPr>
                <w:sz w:val="18"/>
                <w:szCs w:val="18"/>
              </w:rPr>
            </w:pPr>
            <w:r>
              <w:rPr>
                <w:spacing w:val="-5"/>
                <w:sz w:val="18"/>
                <w:szCs w:val="18"/>
              </w:rPr>
              <w:t>炉窑大</w:t>
            </w:r>
          </w:p>
          <w:p w14:paraId="7D419B1B">
            <w:pPr>
              <w:pStyle w:val="6"/>
              <w:spacing w:before="19" w:line="220" w:lineRule="auto"/>
              <w:jc w:val="right"/>
              <w:rPr>
                <w:sz w:val="18"/>
                <w:szCs w:val="18"/>
              </w:rPr>
            </w:pPr>
            <w:r>
              <w:rPr>
                <w:spacing w:val="-5"/>
                <w:sz w:val="18"/>
                <w:szCs w:val="18"/>
              </w:rPr>
              <w:t>气污染</w:t>
            </w:r>
          </w:p>
          <w:p w14:paraId="7D174748">
            <w:pPr>
              <w:pStyle w:val="6"/>
              <w:spacing w:before="18" w:line="220" w:lineRule="auto"/>
              <w:jc w:val="right"/>
              <w:rPr>
                <w:sz w:val="18"/>
                <w:szCs w:val="18"/>
              </w:rPr>
            </w:pPr>
            <w:r>
              <w:rPr>
                <w:spacing w:val="-5"/>
                <w:sz w:val="18"/>
                <w:szCs w:val="18"/>
              </w:rPr>
              <w:t>综合治</w:t>
            </w:r>
          </w:p>
          <w:p w14:paraId="6A9C02CB">
            <w:pPr>
              <w:pStyle w:val="6"/>
              <w:spacing w:before="19" w:line="220" w:lineRule="auto"/>
              <w:jc w:val="right"/>
              <w:rPr>
                <w:sz w:val="18"/>
                <w:szCs w:val="18"/>
              </w:rPr>
            </w:pPr>
            <w:r>
              <w:rPr>
                <w:spacing w:val="-5"/>
                <w:sz w:val="18"/>
                <w:szCs w:val="18"/>
              </w:rPr>
              <w:t>理实施</w:t>
            </w:r>
          </w:p>
          <w:p w14:paraId="03E3BCE1">
            <w:pPr>
              <w:pStyle w:val="6"/>
              <w:spacing w:before="18" w:line="215" w:lineRule="auto"/>
              <w:jc w:val="right"/>
              <w:rPr>
                <w:sz w:val="18"/>
                <w:szCs w:val="18"/>
              </w:rPr>
            </w:pPr>
            <w:r>
              <w:rPr>
                <w:spacing w:val="-5"/>
                <w:sz w:val="18"/>
                <w:szCs w:val="18"/>
              </w:rPr>
              <w:t>清单》</w:t>
            </w:r>
          </w:p>
        </w:tc>
        <w:tc>
          <w:tcPr>
            <w:tcW w:w="1132" w:type="dxa"/>
            <w:gridSpan w:val="2"/>
            <w:vAlign w:val="top"/>
          </w:tcPr>
          <w:p w14:paraId="66FB60EE">
            <w:pPr>
              <w:pStyle w:val="6"/>
              <w:spacing w:before="41" w:line="220" w:lineRule="auto"/>
              <w:ind w:left="318"/>
              <w:rPr>
                <w:sz w:val="18"/>
                <w:szCs w:val="18"/>
              </w:rPr>
            </w:pPr>
            <w:r>
              <w:rPr>
                <w:spacing w:val="-11"/>
                <w:sz w:val="18"/>
                <w:szCs w:val="18"/>
              </w:rPr>
              <w:t>浓度：</w:t>
            </w:r>
          </w:p>
          <w:p w14:paraId="00B81DC4">
            <w:pPr>
              <w:spacing w:before="16" w:line="190" w:lineRule="auto"/>
              <w:ind w:left="210"/>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200mg/m</w:t>
            </w:r>
            <w:r>
              <w:rPr>
                <w:rFonts w:ascii="Times New Roman" w:hAnsi="Times New Roman" w:eastAsia="Times New Roman" w:cs="Times New Roman"/>
                <w:spacing w:val="-1"/>
                <w:position w:val="5"/>
                <w:sz w:val="12"/>
                <w:szCs w:val="12"/>
              </w:rPr>
              <w:t>3</w:t>
            </w:r>
          </w:p>
        </w:tc>
        <w:tc>
          <w:tcPr>
            <w:tcW w:w="419" w:type="dxa"/>
            <w:vMerge w:val="continue"/>
            <w:tcBorders>
              <w:top w:val="nil"/>
              <w:bottom w:val="nil"/>
            </w:tcBorders>
            <w:vAlign w:val="top"/>
          </w:tcPr>
          <w:p w14:paraId="1C75B5B4">
            <w:pPr>
              <w:rPr>
                <w:rFonts w:ascii="Arial"/>
                <w:sz w:val="21"/>
              </w:rPr>
            </w:pPr>
          </w:p>
        </w:tc>
        <w:tc>
          <w:tcPr>
            <w:tcW w:w="114" w:type="dxa"/>
            <w:vMerge w:val="continue"/>
            <w:tcBorders>
              <w:top w:val="nil"/>
              <w:bottom w:val="nil"/>
              <w:right w:val="single" w:color="000000" w:sz="6" w:space="0"/>
            </w:tcBorders>
            <w:vAlign w:val="top"/>
          </w:tcPr>
          <w:p w14:paraId="3FCD19C0">
            <w:pPr>
              <w:rPr>
                <w:rFonts w:ascii="Arial"/>
                <w:sz w:val="21"/>
              </w:rPr>
            </w:pPr>
          </w:p>
        </w:tc>
      </w:tr>
      <w:tr w14:paraId="37A2C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0" w:hRule="atLeast"/>
        </w:trPr>
        <w:tc>
          <w:tcPr>
            <w:tcW w:w="750" w:type="dxa"/>
            <w:vMerge w:val="continue"/>
            <w:tcBorders>
              <w:top w:val="nil"/>
              <w:left w:val="single" w:color="000000" w:sz="6" w:space="0"/>
              <w:bottom w:val="single" w:color="000000" w:sz="6" w:space="0"/>
            </w:tcBorders>
            <w:vAlign w:val="top"/>
          </w:tcPr>
          <w:p w14:paraId="1C523CE5">
            <w:pPr>
              <w:rPr>
                <w:rFonts w:ascii="Arial"/>
                <w:sz w:val="21"/>
              </w:rPr>
            </w:pPr>
          </w:p>
        </w:tc>
        <w:tc>
          <w:tcPr>
            <w:tcW w:w="104" w:type="dxa"/>
            <w:tcBorders>
              <w:top w:val="nil"/>
              <w:bottom w:val="single" w:color="000000" w:sz="6" w:space="0"/>
            </w:tcBorders>
            <w:vAlign w:val="top"/>
          </w:tcPr>
          <w:p w14:paraId="172C4426">
            <w:pPr>
              <w:rPr>
                <w:rFonts w:ascii="Arial"/>
                <w:sz w:val="21"/>
              </w:rPr>
            </w:pPr>
          </w:p>
        </w:tc>
        <w:tc>
          <w:tcPr>
            <w:tcW w:w="467" w:type="dxa"/>
            <w:vMerge w:val="continue"/>
            <w:tcBorders>
              <w:top w:val="nil"/>
              <w:bottom w:val="single" w:color="000000" w:sz="6" w:space="0"/>
            </w:tcBorders>
            <w:vAlign w:val="top"/>
          </w:tcPr>
          <w:p w14:paraId="6B4668B0">
            <w:pPr>
              <w:rPr>
                <w:rFonts w:ascii="Arial"/>
                <w:sz w:val="21"/>
              </w:rPr>
            </w:pPr>
          </w:p>
        </w:tc>
        <w:tc>
          <w:tcPr>
            <w:tcW w:w="696" w:type="dxa"/>
            <w:gridSpan w:val="2"/>
            <w:vMerge w:val="continue"/>
            <w:tcBorders>
              <w:top w:val="nil"/>
              <w:bottom w:val="single" w:color="000000" w:sz="6" w:space="0"/>
            </w:tcBorders>
            <w:vAlign w:val="top"/>
          </w:tcPr>
          <w:p w14:paraId="0C88B1E9">
            <w:pPr>
              <w:rPr>
                <w:rFonts w:ascii="Arial"/>
                <w:sz w:val="21"/>
              </w:rPr>
            </w:pPr>
          </w:p>
        </w:tc>
        <w:tc>
          <w:tcPr>
            <w:tcW w:w="692" w:type="dxa"/>
            <w:vMerge w:val="continue"/>
            <w:tcBorders>
              <w:top w:val="nil"/>
              <w:bottom w:val="single" w:color="000000" w:sz="6" w:space="0"/>
            </w:tcBorders>
            <w:vAlign w:val="top"/>
          </w:tcPr>
          <w:p w14:paraId="51D067F4">
            <w:pPr>
              <w:rPr>
                <w:rFonts w:ascii="Arial"/>
                <w:sz w:val="21"/>
              </w:rPr>
            </w:pPr>
          </w:p>
        </w:tc>
        <w:tc>
          <w:tcPr>
            <w:tcW w:w="567" w:type="dxa"/>
            <w:tcBorders>
              <w:bottom w:val="single" w:color="000000" w:sz="6" w:space="0"/>
            </w:tcBorders>
            <w:vAlign w:val="top"/>
          </w:tcPr>
          <w:p w14:paraId="70A95208">
            <w:pPr>
              <w:spacing w:line="246" w:lineRule="auto"/>
              <w:rPr>
                <w:rFonts w:ascii="Arial"/>
                <w:sz w:val="21"/>
              </w:rPr>
            </w:pPr>
          </w:p>
          <w:p w14:paraId="7F201BEC">
            <w:pPr>
              <w:spacing w:line="247" w:lineRule="auto"/>
              <w:rPr>
                <w:rFonts w:ascii="Arial"/>
                <w:sz w:val="21"/>
              </w:rPr>
            </w:pPr>
          </w:p>
          <w:p w14:paraId="46A2D0F2">
            <w:pPr>
              <w:spacing w:before="52" w:line="224" w:lineRule="auto"/>
              <w:ind w:left="129"/>
              <w:rPr>
                <w:rFonts w:ascii="Times New Roman" w:hAnsi="Times New Roman" w:eastAsia="Times New Roman" w:cs="Times New Roman"/>
                <w:sz w:val="12"/>
                <w:szCs w:val="12"/>
              </w:rPr>
            </w:pPr>
            <w:r>
              <w:rPr>
                <w:rFonts w:ascii="Times New Roman" w:hAnsi="Times New Roman" w:eastAsia="Times New Roman" w:cs="Times New Roman"/>
                <w:sz w:val="18"/>
                <w:szCs w:val="18"/>
              </w:rPr>
              <w:t>NO</w:t>
            </w:r>
            <w:r>
              <w:rPr>
                <w:rFonts w:ascii="Times New Roman" w:hAnsi="Times New Roman" w:eastAsia="Times New Roman" w:cs="Times New Roman"/>
                <w:sz w:val="12"/>
                <w:szCs w:val="12"/>
              </w:rPr>
              <w:t>x</w:t>
            </w:r>
          </w:p>
        </w:tc>
        <w:tc>
          <w:tcPr>
            <w:tcW w:w="567" w:type="dxa"/>
            <w:gridSpan w:val="2"/>
            <w:tcBorders>
              <w:bottom w:val="single" w:color="000000" w:sz="6" w:space="0"/>
            </w:tcBorders>
            <w:vAlign w:val="top"/>
          </w:tcPr>
          <w:p w14:paraId="73E18173">
            <w:pPr>
              <w:spacing w:line="245" w:lineRule="auto"/>
              <w:rPr>
                <w:rFonts w:ascii="Arial"/>
                <w:sz w:val="21"/>
              </w:rPr>
            </w:pPr>
          </w:p>
          <w:p w14:paraId="0BC92E00">
            <w:pPr>
              <w:spacing w:line="245" w:lineRule="auto"/>
              <w:rPr>
                <w:rFonts w:ascii="Arial"/>
                <w:sz w:val="21"/>
              </w:rPr>
            </w:pPr>
          </w:p>
          <w:p w14:paraId="46C1DAE3">
            <w:pPr>
              <w:spacing w:before="52" w:line="232" w:lineRule="auto"/>
              <w:ind w:left="9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2.413</w:t>
            </w:r>
          </w:p>
        </w:tc>
        <w:tc>
          <w:tcPr>
            <w:tcW w:w="708" w:type="dxa"/>
            <w:gridSpan w:val="2"/>
            <w:tcBorders>
              <w:bottom w:val="single" w:color="000000" w:sz="6" w:space="0"/>
            </w:tcBorders>
            <w:vAlign w:val="top"/>
          </w:tcPr>
          <w:p w14:paraId="0A44D8E9">
            <w:pPr>
              <w:spacing w:line="245" w:lineRule="auto"/>
              <w:rPr>
                <w:rFonts w:ascii="Arial"/>
                <w:sz w:val="21"/>
              </w:rPr>
            </w:pPr>
          </w:p>
          <w:p w14:paraId="47BDAA40">
            <w:pPr>
              <w:spacing w:line="245" w:lineRule="auto"/>
              <w:rPr>
                <w:rFonts w:ascii="Arial"/>
                <w:sz w:val="21"/>
              </w:rPr>
            </w:pPr>
          </w:p>
          <w:p w14:paraId="1961413A">
            <w:pPr>
              <w:spacing w:before="52" w:line="232" w:lineRule="auto"/>
              <w:ind w:left="16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0.731</w:t>
            </w:r>
          </w:p>
        </w:tc>
        <w:tc>
          <w:tcPr>
            <w:tcW w:w="729" w:type="dxa"/>
            <w:tcBorders>
              <w:bottom w:val="single" w:color="000000" w:sz="6" w:space="0"/>
            </w:tcBorders>
            <w:vAlign w:val="top"/>
          </w:tcPr>
          <w:p w14:paraId="12B81311">
            <w:pPr>
              <w:spacing w:line="245" w:lineRule="auto"/>
              <w:rPr>
                <w:rFonts w:ascii="Arial"/>
                <w:sz w:val="21"/>
              </w:rPr>
            </w:pPr>
          </w:p>
          <w:p w14:paraId="2286AD1C">
            <w:pPr>
              <w:spacing w:line="245" w:lineRule="auto"/>
              <w:rPr>
                <w:rFonts w:ascii="Arial"/>
                <w:sz w:val="21"/>
              </w:rPr>
            </w:pPr>
          </w:p>
          <w:p w14:paraId="32D10C7F">
            <w:pPr>
              <w:spacing w:before="52" w:line="232" w:lineRule="auto"/>
              <w:ind w:left="1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18.283</w:t>
            </w:r>
          </w:p>
        </w:tc>
        <w:tc>
          <w:tcPr>
            <w:tcW w:w="1401" w:type="dxa"/>
            <w:vMerge w:val="continue"/>
            <w:tcBorders>
              <w:top w:val="nil"/>
              <w:bottom w:val="single" w:color="000000" w:sz="6" w:space="0"/>
            </w:tcBorders>
            <w:vAlign w:val="top"/>
          </w:tcPr>
          <w:p w14:paraId="6F45C57A">
            <w:pPr>
              <w:rPr>
                <w:rFonts w:ascii="Arial"/>
                <w:sz w:val="21"/>
              </w:rPr>
            </w:pPr>
          </w:p>
        </w:tc>
        <w:tc>
          <w:tcPr>
            <w:tcW w:w="567" w:type="dxa"/>
            <w:vMerge w:val="continue"/>
            <w:tcBorders>
              <w:top w:val="nil"/>
              <w:bottom w:val="single" w:color="000000" w:sz="6" w:space="0"/>
            </w:tcBorders>
            <w:vAlign w:val="top"/>
          </w:tcPr>
          <w:p w14:paraId="3A6A3E3E">
            <w:pPr>
              <w:rPr>
                <w:rFonts w:ascii="Arial"/>
                <w:sz w:val="21"/>
              </w:rPr>
            </w:pPr>
          </w:p>
        </w:tc>
        <w:tc>
          <w:tcPr>
            <w:tcW w:w="1132" w:type="dxa"/>
            <w:gridSpan w:val="2"/>
            <w:tcBorders>
              <w:bottom w:val="single" w:color="000000" w:sz="6" w:space="0"/>
            </w:tcBorders>
            <w:vAlign w:val="top"/>
          </w:tcPr>
          <w:p w14:paraId="1A51B3DD">
            <w:pPr>
              <w:spacing w:line="351" w:lineRule="auto"/>
              <w:rPr>
                <w:rFonts w:ascii="Arial"/>
                <w:sz w:val="21"/>
              </w:rPr>
            </w:pPr>
          </w:p>
          <w:p w14:paraId="5A533740">
            <w:pPr>
              <w:pStyle w:val="6"/>
              <w:spacing w:before="59" w:line="220" w:lineRule="auto"/>
              <w:ind w:left="318"/>
              <w:rPr>
                <w:sz w:val="18"/>
                <w:szCs w:val="18"/>
              </w:rPr>
            </w:pPr>
            <w:r>
              <w:rPr>
                <w:spacing w:val="-11"/>
                <w:sz w:val="18"/>
                <w:szCs w:val="18"/>
              </w:rPr>
              <w:t>浓度：</w:t>
            </w:r>
          </w:p>
          <w:p w14:paraId="45828898">
            <w:pPr>
              <w:spacing w:before="16" w:line="211" w:lineRule="auto"/>
              <w:ind w:left="214"/>
              <w:rPr>
                <w:rFonts w:ascii="Times New Roman" w:hAnsi="Times New Roman" w:eastAsia="Times New Roman" w:cs="Times New Roman"/>
                <w:sz w:val="12"/>
                <w:szCs w:val="12"/>
              </w:rPr>
            </w:pPr>
            <w:r>
              <w:rPr>
                <w:rFonts w:ascii="Times New Roman" w:hAnsi="Times New Roman" w:eastAsia="Times New Roman" w:cs="Times New Roman"/>
                <w:spacing w:val="-1"/>
                <w:sz w:val="18"/>
                <w:szCs w:val="18"/>
              </w:rPr>
              <w:t>300mg/m</w:t>
            </w:r>
            <w:r>
              <w:rPr>
                <w:rFonts w:ascii="Times New Roman" w:hAnsi="Times New Roman" w:eastAsia="Times New Roman" w:cs="Times New Roman"/>
                <w:spacing w:val="-1"/>
                <w:position w:val="5"/>
                <w:sz w:val="12"/>
                <w:szCs w:val="12"/>
              </w:rPr>
              <w:t>3</w:t>
            </w:r>
          </w:p>
        </w:tc>
        <w:tc>
          <w:tcPr>
            <w:tcW w:w="419" w:type="dxa"/>
            <w:vMerge w:val="continue"/>
            <w:tcBorders>
              <w:top w:val="nil"/>
              <w:bottom w:val="single" w:color="000000" w:sz="6" w:space="0"/>
            </w:tcBorders>
            <w:vAlign w:val="top"/>
          </w:tcPr>
          <w:p w14:paraId="25F17338">
            <w:pPr>
              <w:rPr>
                <w:rFonts w:ascii="Arial"/>
                <w:sz w:val="21"/>
              </w:rPr>
            </w:pPr>
          </w:p>
        </w:tc>
        <w:tc>
          <w:tcPr>
            <w:tcW w:w="114" w:type="dxa"/>
            <w:vMerge w:val="continue"/>
            <w:tcBorders>
              <w:top w:val="nil"/>
              <w:bottom w:val="single" w:color="000000" w:sz="6" w:space="0"/>
              <w:right w:val="single" w:color="000000" w:sz="6" w:space="0"/>
            </w:tcBorders>
            <w:vAlign w:val="top"/>
          </w:tcPr>
          <w:p w14:paraId="43C79755">
            <w:pPr>
              <w:rPr>
                <w:rFonts w:ascii="Arial"/>
                <w:sz w:val="21"/>
              </w:rPr>
            </w:pPr>
          </w:p>
        </w:tc>
      </w:tr>
    </w:tbl>
    <w:p w14:paraId="0C467C2A">
      <w:pPr>
        <w:rPr>
          <w:rFonts w:ascii="Arial"/>
          <w:sz w:val="21"/>
        </w:rPr>
      </w:pPr>
    </w:p>
    <w:p w14:paraId="3A71ED1D">
      <w:pPr>
        <w:rPr>
          <w:rFonts w:ascii="Arial" w:hAnsi="Arial" w:eastAsia="Arial" w:cs="Arial"/>
          <w:sz w:val="21"/>
          <w:szCs w:val="21"/>
        </w:rPr>
        <w:sectPr>
          <w:footerReference r:id="rId60" w:type="default"/>
          <w:pgSz w:w="11908" w:h="16840"/>
          <w:pgMar w:top="1431" w:right="1489" w:bottom="1053" w:left="1489" w:header="0" w:footer="801" w:gutter="0"/>
          <w:cols w:space="720" w:num="1"/>
        </w:sectPr>
      </w:pPr>
    </w:p>
    <w:p w14:paraId="21DD2979">
      <w:pPr>
        <w:spacing w:before="28"/>
      </w:pPr>
    </w:p>
    <w:tbl>
      <w:tblPr>
        <w:tblStyle w:val="5"/>
        <w:tblW w:w="891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60"/>
        <w:gridCol w:w="45"/>
        <w:gridCol w:w="467"/>
        <w:gridCol w:w="123"/>
        <w:gridCol w:w="573"/>
        <w:gridCol w:w="709"/>
        <w:gridCol w:w="138"/>
        <w:gridCol w:w="429"/>
        <w:gridCol w:w="563"/>
        <w:gridCol w:w="708"/>
        <w:gridCol w:w="719"/>
        <w:gridCol w:w="1291"/>
        <w:gridCol w:w="128"/>
        <w:gridCol w:w="567"/>
        <w:gridCol w:w="545"/>
        <w:gridCol w:w="587"/>
        <w:gridCol w:w="402"/>
        <w:gridCol w:w="29"/>
        <w:gridCol w:w="80"/>
      </w:tblGrid>
      <w:tr w14:paraId="51242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750" w:type="dxa"/>
            <w:vMerge w:val="restart"/>
            <w:tcBorders>
              <w:left w:val="single" w:color="000000" w:sz="6" w:space="0"/>
              <w:bottom w:val="nil"/>
            </w:tcBorders>
            <w:vAlign w:val="top"/>
          </w:tcPr>
          <w:p w14:paraId="643650EA">
            <w:pPr>
              <w:spacing w:line="251" w:lineRule="auto"/>
              <w:rPr>
                <w:rFonts w:ascii="Arial"/>
                <w:sz w:val="21"/>
              </w:rPr>
            </w:pPr>
          </w:p>
          <w:p w14:paraId="1C98E0D2">
            <w:pPr>
              <w:spacing w:line="251" w:lineRule="auto"/>
              <w:rPr>
                <w:rFonts w:ascii="Arial"/>
                <w:sz w:val="21"/>
              </w:rPr>
            </w:pPr>
          </w:p>
          <w:p w14:paraId="675965EB">
            <w:pPr>
              <w:spacing w:line="251" w:lineRule="auto"/>
              <w:rPr>
                <w:rFonts w:ascii="Arial"/>
                <w:sz w:val="21"/>
              </w:rPr>
            </w:pPr>
          </w:p>
          <w:p w14:paraId="026B2B10">
            <w:pPr>
              <w:spacing w:line="251" w:lineRule="auto"/>
              <w:rPr>
                <w:rFonts w:ascii="Arial"/>
                <w:sz w:val="21"/>
              </w:rPr>
            </w:pPr>
          </w:p>
          <w:p w14:paraId="1203665C">
            <w:pPr>
              <w:spacing w:line="251" w:lineRule="auto"/>
              <w:rPr>
                <w:rFonts w:ascii="Arial"/>
                <w:sz w:val="21"/>
              </w:rPr>
            </w:pPr>
          </w:p>
          <w:p w14:paraId="54CF4E3B">
            <w:pPr>
              <w:spacing w:line="251" w:lineRule="auto"/>
              <w:rPr>
                <w:rFonts w:ascii="Arial"/>
                <w:sz w:val="21"/>
              </w:rPr>
            </w:pPr>
          </w:p>
          <w:p w14:paraId="0CF78558">
            <w:pPr>
              <w:spacing w:line="251" w:lineRule="auto"/>
              <w:rPr>
                <w:rFonts w:ascii="Arial"/>
                <w:sz w:val="21"/>
              </w:rPr>
            </w:pPr>
          </w:p>
          <w:p w14:paraId="1A76EE07">
            <w:pPr>
              <w:spacing w:line="251" w:lineRule="auto"/>
              <w:rPr>
                <w:rFonts w:ascii="Arial"/>
                <w:sz w:val="21"/>
              </w:rPr>
            </w:pPr>
          </w:p>
          <w:p w14:paraId="436DB190">
            <w:pPr>
              <w:spacing w:line="251" w:lineRule="auto"/>
              <w:rPr>
                <w:rFonts w:ascii="Arial"/>
                <w:sz w:val="21"/>
              </w:rPr>
            </w:pPr>
          </w:p>
          <w:p w14:paraId="07693A1C">
            <w:pPr>
              <w:spacing w:line="251" w:lineRule="auto"/>
              <w:rPr>
                <w:rFonts w:ascii="Arial"/>
                <w:sz w:val="21"/>
              </w:rPr>
            </w:pPr>
          </w:p>
          <w:p w14:paraId="2C44857E">
            <w:pPr>
              <w:spacing w:line="251" w:lineRule="auto"/>
              <w:rPr>
                <w:rFonts w:ascii="Arial"/>
                <w:sz w:val="21"/>
              </w:rPr>
            </w:pPr>
          </w:p>
          <w:p w14:paraId="62B9080A">
            <w:pPr>
              <w:spacing w:line="251" w:lineRule="auto"/>
              <w:rPr>
                <w:rFonts w:ascii="Arial"/>
                <w:sz w:val="21"/>
              </w:rPr>
            </w:pPr>
          </w:p>
          <w:p w14:paraId="5D191433">
            <w:pPr>
              <w:spacing w:line="251" w:lineRule="auto"/>
              <w:rPr>
                <w:rFonts w:ascii="Arial"/>
                <w:sz w:val="21"/>
              </w:rPr>
            </w:pPr>
          </w:p>
          <w:p w14:paraId="08D45D33">
            <w:pPr>
              <w:spacing w:line="251" w:lineRule="auto"/>
              <w:rPr>
                <w:rFonts w:ascii="Arial"/>
                <w:sz w:val="21"/>
              </w:rPr>
            </w:pPr>
          </w:p>
          <w:p w14:paraId="10F69094">
            <w:pPr>
              <w:spacing w:line="251" w:lineRule="auto"/>
              <w:rPr>
                <w:rFonts w:ascii="Arial"/>
                <w:sz w:val="21"/>
              </w:rPr>
            </w:pPr>
          </w:p>
          <w:p w14:paraId="70F915B4">
            <w:pPr>
              <w:spacing w:line="251" w:lineRule="auto"/>
              <w:rPr>
                <w:rFonts w:ascii="Arial"/>
                <w:sz w:val="21"/>
              </w:rPr>
            </w:pPr>
          </w:p>
          <w:p w14:paraId="74E328FE">
            <w:pPr>
              <w:spacing w:line="252" w:lineRule="auto"/>
              <w:rPr>
                <w:rFonts w:ascii="Arial"/>
                <w:sz w:val="21"/>
              </w:rPr>
            </w:pPr>
          </w:p>
          <w:p w14:paraId="21921354">
            <w:pPr>
              <w:spacing w:line="252" w:lineRule="auto"/>
              <w:rPr>
                <w:rFonts w:ascii="Arial"/>
                <w:sz w:val="21"/>
              </w:rPr>
            </w:pPr>
          </w:p>
          <w:p w14:paraId="0F6A28FC">
            <w:pPr>
              <w:spacing w:line="252" w:lineRule="auto"/>
              <w:rPr>
                <w:rFonts w:ascii="Arial"/>
                <w:sz w:val="21"/>
              </w:rPr>
            </w:pPr>
          </w:p>
          <w:p w14:paraId="26FC6A87">
            <w:pPr>
              <w:spacing w:line="252" w:lineRule="auto"/>
              <w:rPr>
                <w:rFonts w:ascii="Arial"/>
                <w:sz w:val="21"/>
              </w:rPr>
            </w:pPr>
          </w:p>
          <w:p w14:paraId="4C6CB1EC">
            <w:pPr>
              <w:spacing w:line="252" w:lineRule="auto"/>
              <w:rPr>
                <w:rFonts w:ascii="Arial"/>
                <w:sz w:val="21"/>
              </w:rPr>
            </w:pPr>
          </w:p>
          <w:p w14:paraId="1FCE97AA">
            <w:pPr>
              <w:pStyle w:val="6"/>
              <w:spacing w:before="68" w:line="220" w:lineRule="auto"/>
              <w:ind w:left="162"/>
            </w:pPr>
            <w:r>
              <w:rPr>
                <w:b/>
                <w:bCs/>
                <w:spacing w:val="-4"/>
              </w:rPr>
              <w:t>运营</w:t>
            </w:r>
          </w:p>
          <w:p w14:paraId="4654BDC9">
            <w:pPr>
              <w:pStyle w:val="6"/>
              <w:spacing w:before="22" w:line="220" w:lineRule="auto"/>
              <w:ind w:left="164"/>
            </w:pPr>
            <w:r>
              <w:rPr>
                <w:b/>
                <w:bCs/>
                <w:spacing w:val="-5"/>
              </w:rPr>
              <w:t>期环</w:t>
            </w:r>
          </w:p>
          <w:p w14:paraId="5BF4A0FC">
            <w:pPr>
              <w:pStyle w:val="6"/>
              <w:spacing w:before="22" w:line="220" w:lineRule="auto"/>
              <w:ind w:left="163"/>
            </w:pPr>
            <w:r>
              <w:rPr>
                <w:b/>
                <w:bCs/>
                <w:spacing w:val="-5"/>
              </w:rPr>
              <w:t>境影</w:t>
            </w:r>
          </w:p>
          <w:p w14:paraId="0430CB13">
            <w:pPr>
              <w:pStyle w:val="6"/>
              <w:spacing w:before="22" w:line="222" w:lineRule="auto"/>
              <w:ind w:left="173"/>
            </w:pPr>
            <w:r>
              <w:rPr>
                <w:b/>
                <w:bCs/>
                <w:spacing w:val="-7"/>
              </w:rPr>
              <w:t>响和</w:t>
            </w:r>
          </w:p>
          <w:p w14:paraId="606C3E6B">
            <w:pPr>
              <w:pStyle w:val="6"/>
              <w:spacing w:before="19" w:line="220" w:lineRule="auto"/>
              <w:ind w:left="163"/>
            </w:pPr>
            <w:r>
              <w:rPr>
                <w:b/>
                <w:bCs/>
                <w:spacing w:val="-5"/>
              </w:rPr>
              <w:t>保护</w:t>
            </w:r>
          </w:p>
          <w:p w14:paraId="24E2EC8B">
            <w:pPr>
              <w:pStyle w:val="6"/>
              <w:spacing w:before="22" w:line="220" w:lineRule="auto"/>
              <w:ind w:left="162"/>
            </w:pPr>
            <w:r>
              <w:rPr>
                <w:b/>
                <w:bCs/>
                <w:spacing w:val="-4"/>
              </w:rPr>
              <w:t>措施</w:t>
            </w:r>
          </w:p>
        </w:tc>
        <w:tc>
          <w:tcPr>
            <w:tcW w:w="105" w:type="dxa"/>
            <w:gridSpan w:val="2"/>
            <w:tcBorders>
              <w:right w:val="single" w:color="000000" w:sz="8" w:space="0"/>
            </w:tcBorders>
            <w:vAlign w:val="top"/>
          </w:tcPr>
          <w:p w14:paraId="17B91CA9">
            <w:pPr>
              <w:rPr>
                <w:rFonts w:ascii="Arial"/>
                <w:sz w:val="21"/>
              </w:rPr>
            </w:pPr>
          </w:p>
        </w:tc>
        <w:tc>
          <w:tcPr>
            <w:tcW w:w="467" w:type="dxa"/>
            <w:tcBorders>
              <w:left w:val="single" w:color="000000" w:sz="8" w:space="0"/>
            </w:tcBorders>
            <w:vAlign w:val="top"/>
          </w:tcPr>
          <w:p w14:paraId="219B00EF">
            <w:pPr>
              <w:spacing w:line="366" w:lineRule="auto"/>
              <w:rPr>
                <w:rFonts w:ascii="Arial"/>
                <w:sz w:val="21"/>
              </w:rPr>
            </w:pPr>
          </w:p>
          <w:p w14:paraId="1725BC90">
            <w:pPr>
              <w:spacing w:before="52" w:line="235" w:lineRule="auto"/>
              <w:ind w:left="174"/>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696" w:type="dxa"/>
            <w:gridSpan w:val="2"/>
            <w:vAlign w:val="top"/>
          </w:tcPr>
          <w:p w14:paraId="757CE600">
            <w:pPr>
              <w:spacing w:line="370" w:lineRule="auto"/>
              <w:rPr>
                <w:rFonts w:ascii="Arial"/>
                <w:sz w:val="21"/>
              </w:rPr>
            </w:pPr>
          </w:p>
          <w:p w14:paraId="355717F9">
            <w:pPr>
              <w:spacing w:before="51" w:line="186" w:lineRule="auto"/>
              <w:ind w:left="2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MF0002</w:t>
            </w:r>
          </w:p>
        </w:tc>
        <w:tc>
          <w:tcPr>
            <w:tcW w:w="709" w:type="dxa"/>
            <w:vAlign w:val="top"/>
          </w:tcPr>
          <w:p w14:paraId="3A139543">
            <w:pPr>
              <w:spacing w:line="330" w:lineRule="auto"/>
              <w:rPr>
                <w:rFonts w:ascii="Arial"/>
                <w:sz w:val="21"/>
              </w:rPr>
            </w:pPr>
          </w:p>
          <w:p w14:paraId="3DEE2085">
            <w:pPr>
              <w:pStyle w:val="6"/>
              <w:spacing w:before="58" w:line="219" w:lineRule="auto"/>
              <w:ind w:left="90"/>
              <w:rPr>
                <w:sz w:val="18"/>
                <w:szCs w:val="18"/>
              </w:rPr>
            </w:pPr>
            <w:r>
              <w:rPr>
                <w:spacing w:val="-7"/>
                <w:sz w:val="18"/>
                <w:szCs w:val="18"/>
              </w:rPr>
              <w:t>削片机</w:t>
            </w:r>
          </w:p>
        </w:tc>
        <w:tc>
          <w:tcPr>
            <w:tcW w:w="567" w:type="dxa"/>
            <w:gridSpan w:val="2"/>
            <w:vAlign w:val="top"/>
          </w:tcPr>
          <w:p w14:paraId="36988CED">
            <w:pPr>
              <w:spacing w:line="330" w:lineRule="auto"/>
              <w:rPr>
                <w:rFonts w:ascii="Arial"/>
                <w:sz w:val="21"/>
              </w:rPr>
            </w:pPr>
          </w:p>
          <w:p w14:paraId="09FEF730">
            <w:pPr>
              <w:pStyle w:val="6"/>
              <w:spacing w:before="59" w:line="220" w:lineRule="auto"/>
              <w:ind w:left="9"/>
              <w:rPr>
                <w:sz w:val="18"/>
                <w:szCs w:val="18"/>
              </w:rPr>
            </w:pPr>
            <w:r>
              <w:rPr>
                <w:spacing w:val="-2"/>
                <w:sz w:val="18"/>
                <w:szCs w:val="18"/>
              </w:rPr>
              <w:t>颗粒物</w:t>
            </w:r>
          </w:p>
        </w:tc>
        <w:tc>
          <w:tcPr>
            <w:tcW w:w="563" w:type="dxa"/>
            <w:vAlign w:val="top"/>
          </w:tcPr>
          <w:p w14:paraId="0E24A348">
            <w:pPr>
              <w:spacing w:line="367" w:lineRule="auto"/>
              <w:rPr>
                <w:rFonts w:ascii="Arial"/>
                <w:sz w:val="21"/>
              </w:rPr>
            </w:pPr>
          </w:p>
          <w:p w14:paraId="19C2671F">
            <w:pPr>
              <w:spacing w:before="51" w:line="232" w:lineRule="auto"/>
              <w:ind w:left="24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8" w:type="dxa"/>
            <w:vAlign w:val="top"/>
          </w:tcPr>
          <w:p w14:paraId="5BCE5C47">
            <w:pPr>
              <w:spacing w:line="367" w:lineRule="auto"/>
              <w:rPr>
                <w:rFonts w:ascii="Arial"/>
                <w:sz w:val="21"/>
              </w:rPr>
            </w:pPr>
          </w:p>
          <w:p w14:paraId="0D77AB4C">
            <w:pPr>
              <w:spacing w:before="51" w:line="232" w:lineRule="auto"/>
              <w:ind w:left="32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19" w:type="dxa"/>
            <w:vAlign w:val="top"/>
          </w:tcPr>
          <w:p w14:paraId="44A8B569">
            <w:pPr>
              <w:spacing w:line="367" w:lineRule="auto"/>
              <w:rPr>
                <w:rFonts w:ascii="Arial"/>
                <w:sz w:val="21"/>
              </w:rPr>
            </w:pPr>
          </w:p>
          <w:p w14:paraId="4A8FE78D">
            <w:pPr>
              <w:spacing w:before="51" w:line="232" w:lineRule="auto"/>
              <w:ind w:left="32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419" w:type="dxa"/>
            <w:gridSpan w:val="2"/>
            <w:vAlign w:val="top"/>
          </w:tcPr>
          <w:p w14:paraId="43723049">
            <w:pPr>
              <w:pStyle w:val="6"/>
              <w:spacing w:before="41" w:line="219" w:lineRule="auto"/>
              <w:ind w:left="76"/>
              <w:rPr>
                <w:sz w:val="18"/>
                <w:szCs w:val="18"/>
              </w:rPr>
            </w:pPr>
            <w:r>
              <w:rPr>
                <w:spacing w:val="-1"/>
                <w:sz w:val="18"/>
                <w:szCs w:val="18"/>
              </w:rPr>
              <w:t>布置在封闭车间</w:t>
            </w:r>
          </w:p>
          <w:p w14:paraId="3353F5A6">
            <w:pPr>
              <w:pStyle w:val="6"/>
              <w:spacing w:before="19" w:line="219" w:lineRule="auto"/>
              <w:ind w:left="22"/>
              <w:rPr>
                <w:sz w:val="18"/>
                <w:szCs w:val="18"/>
              </w:rPr>
            </w:pPr>
            <w:r>
              <w:rPr>
                <w:spacing w:val="-8"/>
                <w:sz w:val="18"/>
                <w:szCs w:val="18"/>
              </w:rPr>
              <w:t>内、采用密闭型设</w:t>
            </w:r>
          </w:p>
          <w:p w14:paraId="1B03DE01">
            <w:pPr>
              <w:pStyle w:val="6"/>
              <w:spacing w:before="20" w:line="220" w:lineRule="auto"/>
              <w:ind w:left="2"/>
              <w:rPr>
                <w:sz w:val="18"/>
                <w:szCs w:val="18"/>
              </w:rPr>
            </w:pPr>
            <w:r>
              <w:rPr>
                <w:spacing w:val="-5"/>
                <w:sz w:val="18"/>
                <w:szCs w:val="18"/>
              </w:rPr>
              <w:t>备、入料口加设防</w:t>
            </w:r>
          </w:p>
          <w:p w14:paraId="503C5360">
            <w:pPr>
              <w:pStyle w:val="6"/>
              <w:spacing w:before="18" w:line="205" w:lineRule="auto"/>
              <w:ind w:left="437"/>
              <w:rPr>
                <w:sz w:val="18"/>
                <w:szCs w:val="18"/>
              </w:rPr>
            </w:pPr>
            <w:r>
              <w:rPr>
                <w:spacing w:val="-2"/>
                <w:sz w:val="18"/>
                <w:szCs w:val="18"/>
              </w:rPr>
              <w:t>尘挡板</w:t>
            </w:r>
          </w:p>
        </w:tc>
        <w:tc>
          <w:tcPr>
            <w:tcW w:w="567" w:type="dxa"/>
            <w:vMerge w:val="restart"/>
            <w:tcBorders>
              <w:bottom w:val="nil"/>
            </w:tcBorders>
            <w:vAlign w:val="top"/>
          </w:tcPr>
          <w:p w14:paraId="35A56447">
            <w:pPr>
              <w:spacing w:line="356" w:lineRule="auto"/>
              <w:rPr>
                <w:rFonts w:ascii="Arial"/>
                <w:sz w:val="21"/>
              </w:rPr>
            </w:pPr>
          </w:p>
          <w:p w14:paraId="2A037878">
            <w:pPr>
              <w:spacing w:line="356" w:lineRule="auto"/>
              <w:rPr>
                <w:rFonts w:ascii="Arial"/>
                <w:sz w:val="21"/>
              </w:rPr>
            </w:pPr>
          </w:p>
          <w:p w14:paraId="564B25ED">
            <w:pPr>
              <w:pStyle w:val="6"/>
              <w:spacing w:before="59" w:line="220" w:lineRule="auto"/>
              <w:ind w:left="13"/>
              <w:rPr>
                <w:sz w:val="18"/>
                <w:szCs w:val="18"/>
              </w:rPr>
            </w:pPr>
            <w:r>
              <w:rPr>
                <w:spacing w:val="-5"/>
                <w:sz w:val="18"/>
                <w:szCs w:val="18"/>
              </w:rPr>
              <w:t>《大气</w:t>
            </w:r>
          </w:p>
          <w:p w14:paraId="2F2B976A">
            <w:pPr>
              <w:pStyle w:val="6"/>
              <w:spacing w:before="19" w:line="220" w:lineRule="auto"/>
              <w:ind w:left="13"/>
              <w:rPr>
                <w:sz w:val="18"/>
                <w:szCs w:val="18"/>
              </w:rPr>
            </w:pPr>
            <w:r>
              <w:rPr>
                <w:spacing w:val="-2"/>
                <w:sz w:val="18"/>
                <w:szCs w:val="18"/>
              </w:rPr>
              <w:t>污染物</w:t>
            </w:r>
          </w:p>
          <w:p w14:paraId="41FC8FC9">
            <w:pPr>
              <w:pStyle w:val="6"/>
              <w:spacing w:before="18" w:line="239" w:lineRule="auto"/>
              <w:ind w:left="101" w:right="16" w:hanging="87"/>
              <w:rPr>
                <w:sz w:val="18"/>
                <w:szCs w:val="18"/>
              </w:rPr>
            </w:pPr>
            <w:r>
              <w:rPr>
                <w:spacing w:val="-4"/>
                <w:sz w:val="18"/>
                <w:szCs w:val="18"/>
              </w:rPr>
              <w:t>综合排</w:t>
            </w:r>
            <w:r>
              <w:rPr>
                <w:spacing w:val="1"/>
                <w:sz w:val="18"/>
                <w:szCs w:val="18"/>
              </w:rPr>
              <w:t xml:space="preserve"> </w:t>
            </w:r>
            <w:r>
              <w:rPr>
                <w:spacing w:val="-2"/>
                <w:sz w:val="18"/>
                <w:szCs w:val="18"/>
              </w:rPr>
              <w:t>放标</w:t>
            </w:r>
          </w:p>
          <w:p w14:paraId="04E861FE">
            <w:pPr>
              <w:pStyle w:val="6"/>
              <w:spacing w:line="220" w:lineRule="auto"/>
              <w:ind w:left="103"/>
              <w:rPr>
                <w:sz w:val="18"/>
                <w:szCs w:val="18"/>
              </w:rPr>
            </w:pPr>
            <w:r>
              <w:rPr>
                <w:spacing w:val="-4"/>
                <w:sz w:val="18"/>
                <w:szCs w:val="18"/>
              </w:rPr>
              <w:t>准》</w:t>
            </w:r>
          </w:p>
          <w:p w14:paraId="26C34D55">
            <w:pPr>
              <w:pStyle w:val="6"/>
              <w:spacing w:before="18" w:line="233" w:lineRule="auto"/>
              <w:ind w:left="28"/>
              <w:rPr>
                <w:rFonts w:ascii="Times New Roman" w:hAnsi="Times New Roman" w:eastAsia="Times New Roman" w:cs="Times New Roman"/>
                <w:sz w:val="18"/>
                <w:szCs w:val="18"/>
              </w:rPr>
            </w:pPr>
            <w:r>
              <w:rPr>
                <w:rFonts w:hint="eastAsia"/>
                <w:spacing w:val="-3"/>
                <w:sz w:val="18"/>
                <w:szCs w:val="18"/>
                <w:lang w:eastAsia="zh-CN"/>
              </w:rPr>
              <w:t>(</w:t>
            </w:r>
            <w:r>
              <w:rPr>
                <w:rFonts w:ascii="Times New Roman" w:hAnsi="Times New Roman" w:eastAsia="Times New Roman" w:cs="Times New Roman"/>
                <w:spacing w:val="-3"/>
                <w:sz w:val="18"/>
                <w:szCs w:val="18"/>
              </w:rPr>
              <w:t>GB1</w:t>
            </w:r>
          </w:p>
          <w:p w14:paraId="48D82144">
            <w:pPr>
              <w:spacing w:before="23" w:line="221" w:lineRule="auto"/>
              <w:ind w:left="2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6297-1</w:t>
            </w:r>
          </w:p>
          <w:p w14:paraId="6E2ECBE9">
            <w:pPr>
              <w:pStyle w:val="6"/>
              <w:spacing w:line="240" w:lineRule="exact"/>
              <w:ind w:left="58"/>
              <w:rPr>
                <w:sz w:val="18"/>
                <w:szCs w:val="18"/>
              </w:rPr>
            </w:pPr>
            <w:r>
              <w:rPr>
                <w:rFonts w:ascii="Times New Roman" w:hAnsi="Times New Roman" w:eastAsia="Times New Roman" w:cs="Times New Roman"/>
                <w:spacing w:val="-2"/>
                <w:position w:val="1"/>
                <w:sz w:val="18"/>
                <w:szCs w:val="18"/>
              </w:rPr>
              <w:t>996</w:t>
            </w:r>
            <w:r>
              <w:rPr>
                <w:rFonts w:hint="eastAsia" w:ascii="Times New Roman" w:hAnsi="Times New Roman" w:eastAsia="宋体" w:cs="Times New Roman"/>
                <w:spacing w:val="-2"/>
                <w:position w:val="1"/>
                <w:sz w:val="18"/>
                <w:szCs w:val="18"/>
                <w:lang w:eastAsia="zh-CN"/>
              </w:rPr>
              <w:t>)</w:t>
            </w:r>
          </w:p>
        </w:tc>
        <w:tc>
          <w:tcPr>
            <w:tcW w:w="1132" w:type="dxa"/>
            <w:gridSpan w:val="2"/>
            <w:vMerge w:val="restart"/>
            <w:tcBorders>
              <w:bottom w:val="nil"/>
            </w:tcBorders>
            <w:vAlign w:val="top"/>
          </w:tcPr>
          <w:p w14:paraId="2589C945">
            <w:pPr>
              <w:spacing w:line="279" w:lineRule="auto"/>
              <w:rPr>
                <w:rFonts w:ascii="Arial"/>
                <w:sz w:val="21"/>
              </w:rPr>
            </w:pPr>
          </w:p>
          <w:p w14:paraId="498B7F2C">
            <w:pPr>
              <w:spacing w:line="279" w:lineRule="auto"/>
              <w:rPr>
                <w:rFonts w:ascii="Arial"/>
                <w:sz w:val="21"/>
              </w:rPr>
            </w:pPr>
          </w:p>
          <w:p w14:paraId="71C918A7">
            <w:pPr>
              <w:spacing w:line="279" w:lineRule="auto"/>
              <w:rPr>
                <w:rFonts w:ascii="Arial"/>
                <w:sz w:val="21"/>
              </w:rPr>
            </w:pPr>
          </w:p>
          <w:p w14:paraId="23E8D324">
            <w:pPr>
              <w:spacing w:line="279" w:lineRule="auto"/>
              <w:rPr>
                <w:rFonts w:ascii="Arial"/>
                <w:sz w:val="21"/>
              </w:rPr>
            </w:pPr>
          </w:p>
          <w:p w14:paraId="1D50DE48">
            <w:pPr>
              <w:spacing w:line="279" w:lineRule="auto"/>
              <w:rPr>
                <w:rFonts w:ascii="Arial"/>
                <w:sz w:val="21"/>
              </w:rPr>
            </w:pPr>
          </w:p>
          <w:p w14:paraId="1B83F346">
            <w:pPr>
              <w:pStyle w:val="6"/>
              <w:spacing w:before="58" w:line="236" w:lineRule="auto"/>
              <w:ind w:left="38" w:right="27" w:hanging="12"/>
              <w:rPr>
                <w:rFonts w:ascii="Times New Roman" w:hAnsi="Times New Roman" w:eastAsia="Times New Roman" w:cs="Times New Roman"/>
                <w:sz w:val="12"/>
                <w:szCs w:val="12"/>
              </w:rPr>
            </w:pPr>
            <w:r>
              <w:rPr>
                <w:spacing w:val="-2"/>
                <w:sz w:val="18"/>
                <w:szCs w:val="18"/>
              </w:rPr>
              <w:t>周界外浓度最</w:t>
            </w:r>
            <w:r>
              <w:rPr>
                <w:spacing w:val="3"/>
                <w:sz w:val="18"/>
                <w:szCs w:val="18"/>
              </w:rPr>
              <w:t xml:space="preserve"> </w:t>
            </w:r>
            <w:r>
              <w:rPr>
                <w:spacing w:val="-2"/>
                <w:sz w:val="18"/>
                <w:szCs w:val="18"/>
              </w:rPr>
              <w:t>高点</w:t>
            </w:r>
            <w:r>
              <w:rPr>
                <w:rFonts w:ascii="Times New Roman" w:hAnsi="Times New Roman" w:eastAsia="Times New Roman" w:cs="Times New Roman"/>
                <w:spacing w:val="-2"/>
                <w:sz w:val="18"/>
                <w:szCs w:val="18"/>
              </w:rPr>
              <w:t>1.0mg/m</w:t>
            </w:r>
            <w:r>
              <w:rPr>
                <w:rFonts w:ascii="Times New Roman" w:hAnsi="Times New Roman" w:eastAsia="Times New Roman" w:cs="Times New Roman"/>
                <w:spacing w:val="-2"/>
                <w:position w:val="5"/>
                <w:sz w:val="12"/>
                <w:szCs w:val="12"/>
              </w:rPr>
              <w:t>3</w:t>
            </w:r>
          </w:p>
        </w:tc>
        <w:tc>
          <w:tcPr>
            <w:tcW w:w="402" w:type="dxa"/>
            <w:vMerge w:val="restart"/>
            <w:tcBorders>
              <w:bottom w:val="nil"/>
            </w:tcBorders>
            <w:vAlign w:val="top"/>
          </w:tcPr>
          <w:p w14:paraId="7467EF81">
            <w:pPr>
              <w:rPr>
                <w:rFonts w:ascii="Arial"/>
                <w:sz w:val="21"/>
              </w:rPr>
            </w:pPr>
          </w:p>
          <w:p w14:paraId="1EE2A96A">
            <w:pPr>
              <w:rPr>
                <w:rFonts w:ascii="Arial"/>
                <w:sz w:val="21"/>
              </w:rPr>
            </w:pPr>
          </w:p>
          <w:p w14:paraId="421BC47B">
            <w:pPr>
              <w:rPr>
                <w:rFonts w:ascii="Arial"/>
                <w:sz w:val="21"/>
              </w:rPr>
            </w:pPr>
          </w:p>
          <w:p w14:paraId="27FB1E56">
            <w:pPr>
              <w:spacing w:before="52" w:line="232" w:lineRule="auto"/>
              <w:ind w:left="17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9" w:type="dxa"/>
            <w:gridSpan w:val="2"/>
            <w:vMerge w:val="restart"/>
            <w:tcBorders>
              <w:bottom w:val="nil"/>
              <w:right w:val="single" w:color="000000" w:sz="6" w:space="0"/>
            </w:tcBorders>
            <w:vAlign w:val="top"/>
          </w:tcPr>
          <w:p w14:paraId="48860A31">
            <w:pPr>
              <w:rPr>
                <w:rFonts w:ascii="Arial"/>
                <w:sz w:val="21"/>
              </w:rPr>
            </w:pPr>
          </w:p>
        </w:tc>
      </w:tr>
      <w:tr w14:paraId="695B4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50" w:type="dxa"/>
            <w:vMerge w:val="continue"/>
            <w:tcBorders>
              <w:top w:val="nil"/>
              <w:left w:val="single" w:color="000000" w:sz="6" w:space="0"/>
              <w:bottom w:val="nil"/>
            </w:tcBorders>
            <w:vAlign w:val="top"/>
          </w:tcPr>
          <w:p w14:paraId="3293E578">
            <w:pPr>
              <w:rPr>
                <w:rFonts w:ascii="Arial"/>
                <w:sz w:val="21"/>
              </w:rPr>
            </w:pPr>
          </w:p>
        </w:tc>
        <w:tc>
          <w:tcPr>
            <w:tcW w:w="105" w:type="dxa"/>
            <w:gridSpan w:val="2"/>
            <w:tcBorders>
              <w:right w:val="single" w:color="000000" w:sz="8" w:space="0"/>
            </w:tcBorders>
            <w:vAlign w:val="top"/>
          </w:tcPr>
          <w:p w14:paraId="0555EB2C">
            <w:pPr>
              <w:rPr>
                <w:rFonts w:ascii="Arial"/>
                <w:sz w:val="21"/>
              </w:rPr>
            </w:pPr>
          </w:p>
        </w:tc>
        <w:tc>
          <w:tcPr>
            <w:tcW w:w="467" w:type="dxa"/>
            <w:tcBorders>
              <w:left w:val="single" w:color="000000" w:sz="8" w:space="0"/>
            </w:tcBorders>
            <w:vAlign w:val="top"/>
          </w:tcPr>
          <w:p w14:paraId="19811E47">
            <w:pPr>
              <w:spacing w:before="291" w:line="232" w:lineRule="auto"/>
              <w:ind w:left="17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696" w:type="dxa"/>
            <w:gridSpan w:val="2"/>
            <w:vAlign w:val="top"/>
          </w:tcPr>
          <w:p w14:paraId="7BDFAB12">
            <w:pPr>
              <w:spacing w:line="241" w:lineRule="auto"/>
              <w:rPr>
                <w:rFonts w:ascii="Arial"/>
                <w:sz w:val="21"/>
              </w:rPr>
            </w:pPr>
          </w:p>
          <w:p w14:paraId="6AD93AB2">
            <w:pPr>
              <w:spacing w:before="51" w:line="186" w:lineRule="auto"/>
              <w:ind w:left="2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MF0003</w:t>
            </w:r>
          </w:p>
        </w:tc>
        <w:tc>
          <w:tcPr>
            <w:tcW w:w="709" w:type="dxa"/>
            <w:vAlign w:val="top"/>
          </w:tcPr>
          <w:p w14:paraId="380B50A6">
            <w:pPr>
              <w:pStyle w:val="6"/>
              <w:spacing w:before="144" w:line="242" w:lineRule="auto"/>
              <w:ind w:left="168" w:right="91" w:hanging="88"/>
              <w:rPr>
                <w:sz w:val="18"/>
                <w:szCs w:val="18"/>
              </w:rPr>
            </w:pPr>
            <w:r>
              <w:rPr>
                <w:spacing w:val="-3"/>
                <w:sz w:val="18"/>
                <w:szCs w:val="18"/>
              </w:rPr>
              <w:t>给料粉</w:t>
            </w:r>
            <w:r>
              <w:rPr>
                <w:sz w:val="18"/>
                <w:szCs w:val="18"/>
              </w:rPr>
              <w:t xml:space="preserve"> </w:t>
            </w:r>
            <w:r>
              <w:rPr>
                <w:spacing w:val="-2"/>
                <w:sz w:val="18"/>
                <w:szCs w:val="18"/>
              </w:rPr>
              <w:t>碎机</w:t>
            </w:r>
          </w:p>
        </w:tc>
        <w:tc>
          <w:tcPr>
            <w:tcW w:w="567" w:type="dxa"/>
            <w:gridSpan w:val="2"/>
            <w:vAlign w:val="top"/>
          </w:tcPr>
          <w:p w14:paraId="2CDAEB6C">
            <w:pPr>
              <w:pStyle w:val="6"/>
              <w:spacing w:before="262" w:line="220" w:lineRule="auto"/>
              <w:ind w:left="9"/>
              <w:rPr>
                <w:sz w:val="18"/>
                <w:szCs w:val="18"/>
              </w:rPr>
            </w:pPr>
            <w:r>
              <w:rPr>
                <w:spacing w:val="-2"/>
                <w:sz w:val="18"/>
                <w:szCs w:val="18"/>
              </w:rPr>
              <w:t>颗粒物</w:t>
            </w:r>
          </w:p>
        </w:tc>
        <w:tc>
          <w:tcPr>
            <w:tcW w:w="563" w:type="dxa"/>
            <w:vAlign w:val="top"/>
          </w:tcPr>
          <w:p w14:paraId="2FEE2171">
            <w:pPr>
              <w:spacing w:before="291" w:line="232" w:lineRule="auto"/>
              <w:ind w:left="9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1.259</w:t>
            </w:r>
          </w:p>
        </w:tc>
        <w:tc>
          <w:tcPr>
            <w:tcW w:w="708" w:type="dxa"/>
            <w:vAlign w:val="top"/>
          </w:tcPr>
          <w:p w14:paraId="326DF541">
            <w:pPr>
              <w:spacing w:before="291" w:line="232" w:lineRule="auto"/>
              <w:ind w:left="32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19" w:type="dxa"/>
            <w:vAlign w:val="top"/>
          </w:tcPr>
          <w:p w14:paraId="466CD40D">
            <w:pPr>
              <w:spacing w:before="291" w:line="232" w:lineRule="auto"/>
              <w:ind w:left="32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419" w:type="dxa"/>
            <w:gridSpan w:val="2"/>
            <w:vAlign w:val="top"/>
          </w:tcPr>
          <w:p w14:paraId="2EBD4EFE">
            <w:pPr>
              <w:pStyle w:val="6"/>
              <w:spacing w:before="28" w:line="220" w:lineRule="auto"/>
              <w:ind w:left="76"/>
              <w:rPr>
                <w:sz w:val="18"/>
                <w:szCs w:val="18"/>
              </w:rPr>
            </w:pPr>
            <w:r>
              <w:rPr>
                <w:spacing w:val="-1"/>
                <w:sz w:val="18"/>
                <w:szCs w:val="18"/>
              </w:rPr>
              <w:t>微负压收尘、配</w:t>
            </w:r>
          </w:p>
          <w:p w14:paraId="6CC71C59">
            <w:pPr>
              <w:pStyle w:val="6"/>
              <w:spacing w:before="20" w:line="233" w:lineRule="auto"/>
              <w:ind w:left="12"/>
              <w:rPr>
                <w:sz w:val="18"/>
                <w:szCs w:val="18"/>
              </w:rPr>
            </w:pPr>
            <w:r>
              <w:rPr>
                <w:sz w:val="18"/>
                <w:szCs w:val="18"/>
              </w:rPr>
              <w:t>“旋风收尘</w:t>
            </w:r>
            <w:r>
              <w:rPr>
                <w:rFonts w:ascii="Times New Roman" w:hAnsi="Times New Roman" w:eastAsia="Times New Roman" w:cs="Times New Roman"/>
                <w:sz w:val="18"/>
                <w:szCs w:val="18"/>
              </w:rPr>
              <w:t>+</w:t>
            </w:r>
            <w:r>
              <w:rPr>
                <w:sz w:val="18"/>
                <w:szCs w:val="18"/>
              </w:rPr>
              <w:t>脉冲</w:t>
            </w:r>
          </w:p>
          <w:p w14:paraId="6D17216A">
            <w:pPr>
              <w:pStyle w:val="6"/>
              <w:spacing w:before="5" w:line="205" w:lineRule="auto"/>
              <w:ind w:left="256"/>
              <w:rPr>
                <w:sz w:val="18"/>
                <w:szCs w:val="18"/>
              </w:rPr>
            </w:pPr>
            <w:r>
              <w:rPr>
                <w:spacing w:val="16"/>
                <w:sz w:val="18"/>
                <w:szCs w:val="18"/>
              </w:rPr>
              <w:t>布袋收尘”</w:t>
            </w:r>
          </w:p>
        </w:tc>
        <w:tc>
          <w:tcPr>
            <w:tcW w:w="567" w:type="dxa"/>
            <w:vMerge w:val="continue"/>
            <w:tcBorders>
              <w:top w:val="nil"/>
              <w:bottom w:val="nil"/>
            </w:tcBorders>
            <w:vAlign w:val="top"/>
          </w:tcPr>
          <w:p w14:paraId="171A411F">
            <w:pPr>
              <w:rPr>
                <w:rFonts w:ascii="Arial"/>
                <w:sz w:val="21"/>
              </w:rPr>
            </w:pPr>
          </w:p>
        </w:tc>
        <w:tc>
          <w:tcPr>
            <w:tcW w:w="1132" w:type="dxa"/>
            <w:gridSpan w:val="2"/>
            <w:vMerge w:val="continue"/>
            <w:tcBorders>
              <w:top w:val="nil"/>
              <w:bottom w:val="nil"/>
            </w:tcBorders>
            <w:vAlign w:val="top"/>
          </w:tcPr>
          <w:p w14:paraId="5CE5D269">
            <w:pPr>
              <w:rPr>
                <w:rFonts w:ascii="Arial"/>
                <w:sz w:val="21"/>
              </w:rPr>
            </w:pPr>
          </w:p>
        </w:tc>
        <w:tc>
          <w:tcPr>
            <w:tcW w:w="402" w:type="dxa"/>
            <w:vMerge w:val="continue"/>
            <w:tcBorders>
              <w:top w:val="nil"/>
            </w:tcBorders>
            <w:vAlign w:val="top"/>
          </w:tcPr>
          <w:p w14:paraId="4416D102">
            <w:pPr>
              <w:rPr>
                <w:rFonts w:ascii="Arial"/>
                <w:sz w:val="21"/>
              </w:rPr>
            </w:pPr>
          </w:p>
        </w:tc>
        <w:tc>
          <w:tcPr>
            <w:tcW w:w="109" w:type="dxa"/>
            <w:gridSpan w:val="2"/>
            <w:vMerge w:val="continue"/>
            <w:tcBorders>
              <w:top w:val="nil"/>
              <w:bottom w:val="nil"/>
              <w:right w:val="single" w:color="000000" w:sz="6" w:space="0"/>
            </w:tcBorders>
            <w:vAlign w:val="top"/>
          </w:tcPr>
          <w:p w14:paraId="6D67EA4D">
            <w:pPr>
              <w:rPr>
                <w:rFonts w:ascii="Arial"/>
                <w:sz w:val="21"/>
              </w:rPr>
            </w:pPr>
          </w:p>
        </w:tc>
      </w:tr>
      <w:tr w14:paraId="394BF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750" w:type="dxa"/>
            <w:vMerge w:val="continue"/>
            <w:tcBorders>
              <w:top w:val="nil"/>
              <w:left w:val="single" w:color="000000" w:sz="6" w:space="0"/>
              <w:bottom w:val="nil"/>
            </w:tcBorders>
            <w:vAlign w:val="top"/>
          </w:tcPr>
          <w:p w14:paraId="375C355C">
            <w:pPr>
              <w:rPr>
                <w:rFonts w:ascii="Arial"/>
                <w:sz w:val="21"/>
              </w:rPr>
            </w:pPr>
          </w:p>
        </w:tc>
        <w:tc>
          <w:tcPr>
            <w:tcW w:w="105" w:type="dxa"/>
            <w:gridSpan w:val="2"/>
            <w:tcBorders>
              <w:right w:val="single" w:color="000000" w:sz="8" w:space="0"/>
            </w:tcBorders>
            <w:vAlign w:val="top"/>
          </w:tcPr>
          <w:p w14:paraId="1E271254">
            <w:pPr>
              <w:spacing w:line="228" w:lineRule="exact"/>
              <w:rPr>
                <w:rFonts w:ascii="Arial"/>
                <w:sz w:val="19"/>
              </w:rPr>
            </w:pPr>
          </w:p>
        </w:tc>
        <w:tc>
          <w:tcPr>
            <w:tcW w:w="467" w:type="dxa"/>
            <w:tcBorders>
              <w:left w:val="single" w:color="000000" w:sz="8" w:space="0"/>
            </w:tcBorders>
            <w:vAlign w:val="top"/>
          </w:tcPr>
          <w:p w14:paraId="5EE67032">
            <w:pPr>
              <w:spacing w:before="58" w:line="196" w:lineRule="auto"/>
              <w:ind w:left="17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696" w:type="dxa"/>
            <w:gridSpan w:val="2"/>
            <w:vAlign w:val="top"/>
          </w:tcPr>
          <w:p w14:paraId="59C07A0D">
            <w:pPr>
              <w:spacing w:before="58" w:line="196" w:lineRule="auto"/>
              <w:ind w:left="2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MF0004</w:t>
            </w:r>
          </w:p>
        </w:tc>
        <w:tc>
          <w:tcPr>
            <w:tcW w:w="709" w:type="dxa"/>
            <w:vAlign w:val="top"/>
          </w:tcPr>
          <w:p w14:paraId="37D20348">
            <w:pPr>
              <w:pStyle w:val="6"/>
              <w:spacing w:before="29" w:line="204" w:lineRule="auto"/>
              <w:ind w:left="78"/>
              <w:rPr>
                <w:sz w:val="18"/>
                <w:szCs w:val="18"/>
              </w:rPr>
            </w:pPr>
            <w:r>
              <w:rPr>
                <w:spacing w:val="-2"/>
                <w:sz w:val="18"/>
                <w:szCs w:val="18"/>
              </w:rPr>
              <w:t>造粒机</w:t>
            </w:r>
          </w:p>
        </w:tc>
        <w:tc>
          <w:tcPr>
            <w:tcW w:w="567" w:type="dxa"/>
            <w:gridSpan w:val="2"/>
            <w:vAlign w:val="top"/>
          </w:tcPr>
          <w:p w14:paraId="08162F8B">
            <w:pPr>
              <w:pStyle w:val="6"/>
              <w:spacing w:before="29" w:line="204" w:lineRule="auto"/>
              <w:ind w:left="9"/>
              <w:rPr>
                <w:sz w:val="18"/>
                <w:szCs w:val="18"/>
              </w:rPr>
            </w:pPr>
            <w:r>
              <w:rPr>
                <w:spacing w:val="-2"/>
                <w:sz w:val="18"/>
                <w:szCs w:val="18"/>
              </w:rPr>
              <w:t>颗粒物</w:t>
            </w:r>
          </w:p>
        </w:tc>
        <w:tc>
          <w:tcPr>
            <w:tcW w:w="563" w:type="dxa"/>
            <w:vAlign w:val="top"/>
          </w:tcPr>
          <w:p w14:paraId="453E729D">
            <w:pPr>
              <w:spacing w:before="58" w:line="196" w:lineRule="auto"/>
              <w:ind w:left="7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0.301</w:t>
            </w:r>
          </w:p>
        </w:tc>
        <w:tc>
          <w:tcPr>
            <w:tcW w:w="708" w:type="dxa"/>
            <w:vAlign w:val="top"/>
          </w:tcPr>
          <w:p w14:paraId="6B3DA9AD">
            <w:pPr>
              <w:spacing w:before="58" w:line="196" w:lineRule="auto"/>
              <w:ind w:left="32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19" w:type="dxa"/>
            <w:vAlign w:val="top"/>
          </w:tcPr>
          <w:p w14:paraId="5D40ABC7">
            <w:pPr>
              <w:spacing w:before="58" w:line="196" w:lineRule="auto"/>
              <w:ind w:left="32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419" w:type="dxa"/>
            <w:gridSpan w:val="2"/>
            <w:vAlign w:val="top"/>
          </w:tcPr>
          <w:p w14:paraId="5316096E">
            <w:pPr>
              <w:pStyle w:val="6"/>
              <w:spacing w:before="29" w:line="204" w:lineRule="auto"/>
              <w:ind w:left="346"/>
              <w:rPr>
                <w:sz w:val="18"/>
                <w:szCs w:val="18"/>
              </w:rPr>
            </w:pPr>
            <w:r>
              <w:rPr>
                <w:spacing w:val="-2"/>
                <w:sz w:val="18"/>
                <w:szCs w:val="18"/>
              </w:rPr>
              <w:t>通风换气</w:t>
            </w:r>
          </w:p>
        </w:tc>
        <w:tc>
          <w:tcPr>
            <w:tcW w:w="567" w:type="dxa"/>
            <w:vMerge w:val="continue"/>
            <w:tcBorders>
              <w:top w:val="nil"/>
              <w:bottom w:val="nil"/>
            </w:tcBorders>
            <w:vAlign w:val="top"/>
          </w:tcPr>
          <w:p w14:paraId="310687BE">
            <w:pPr>
              <w:rPr>
                <w:rFonts w:ascii="Arial"/>
                <w:sz w:val="21"/>
              </w:rPr>
            </w:pPr>
          </w:p>
        </w:tc>
        <w:tc>
          <w:tcPr>
            <w:tcW w:w="1132" w:type="dxa"/>
            <w:gridSpan w:val="2"/>
            <w:vMerge w:val="continue"/>
            <w:tcBorders>
              <w:top w:val="nil"/>
              <w:bottom w:val="nil"/>
            </w:tcBorders>
            <w:vAlign w:val="top"/>
          </w:tcPr>
          <w:p w14:paraId="6C9C3759">
            <w:pPr>
              <w:rPr>
                <w:rFonts w:ascii="Arial"/>
                <w:sz w:val="21"/>
              </w:rPr>
            </w:pPr>
          </w:p>
        </w:tc>
        <w:tc>
          <w:tcPr>
            <w:tcW w:w="402" w:type="dxa"/>
            <w:vAlign w:val="top"/>
          </w:tcPr>
          <w:p w14:paraId="7494A8D5">
            <w:pPr>
              <w:spacing w:before="58" w:line="196" w:lineRule="auto"/>
              <w:ind w:left="17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9" w:type="dxa"/>
            <w:gridSpan w:val="2"/>
            <w:vMerge w:val="continue"/>
            <w:tcBorders>
              <w:top w:val="nil"/>
              <w:bottom w:val="nil"/>
              <w:right w:val="single" w:color="000000" w:sz="6" w:space="0"/>
            </w:tcBorders>
            <w:vAlign w:val="top"/>
          </w:tcPr>
          <w:p w14:paraId="00604270">
            <w:pPr>
              <w:rPr>
                <w:rFonts w:ascii="Arial"/>
                <w:sz w:val="21"/>
              </w:rPr>
            </w:pPr>
          </w:p>
        </w:tc>
      </w:tr>
      <w:tr w14:paraId="1D4FB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50" w:type="dxa"/>
            <w:vMerge w:val="continue"/>
            <w:tcBorders>
              <w:top w:val="nil"/>
              <w:left w:val="single" w:color="000000" w:sz="6" w:space="0"/>
              <w:bottom w:val="nil"/>
            </w:tcBorders>
            <w:vAlign w:val="top"/>
          </w:tcPr>
          <w:p w14:paraId="6CFFF642">
            <w:pPr>
              <w:rPr>
                <w:rFonts w:ascii="Arial"/>
                <w:sz w:val="21"/>
              </w:rPr>
            </w:pPr>
          </w:p>
        </w:tc>
        <w:tc>
          <w:tcPr>
            <w:tcW w:w="105" w:type="dxa"/>
            <w:gridSpan w:val="2"/>
            <w:tcBorders>
              <w:right w:val="single" w:color="000000" w:sz="8" w:space="0"/>
            </w:tcBorders>
            <w:vAlign w:val="top"/>
          </w:tcPr>
          <w:p w14:paraId="247DA514">
            <w:pPr>
              <w:rPr>
                <w:rFonts w:ascii="Arial"/>
                <w:sz w:val="21"/>
              </w:rPr>
            </w:pPr>
          </w:p>
        </w:tc>
        <w:tc>
          <w:tcPr>
            <w:tcW w:w="467" w:type="dxa"/>
            <w:tcBorders>
              <w:left w:val="single" w:color="000000" w:sz="8" w:space="0"/>
            </w:tcBorders>
            <w:vAlign w:val="top"/>
          </w:tcPr>
          <w:p w14:paraId="65D9412C">
            <w:pPr>
              <w:spacing w:line="355" w:lineRule="auto"/>
              <w:rPr>
                <w:rFonts w:ascii="Arial"/>
                <w:sz w:val="21"/>
              </w:rPr>
            </w:pPr>
          </w:p>
          <w:p w14:paraId="57F2CAF0">
            <w:pPr>
              <w:spacing w:before="51" w:line="232" w:lineRule="auto"/>
              <w:ind w:left="17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696" w:type="dxa"/>
            <w:gridSpan w:val="2"/>
            <w:vAlign w:val="top"/>
          </w:tcPr>
          <w:p w14:paraId="3007E1E6">
            <w:pPr>
              <w:spacing w:line="355" w:lineRule="auto"/>
              <w:rPr>
                <w:rFonts w:ascii="Arial"/>
                <w:sz w:val="21"/>
              </w:rPr>
            </w:pPr>
          </w:p>
          <w:p w14:paraId="65ACF07E">
            <w:pPr>
              <w:spacing w:before="51" w:line="232" w:lineRule="auto"/>
              <w:ind w:left="2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MF0005</w:t>
            </w:r>
          </w:p>
        </w:tc>
        <w:tc>
          <w:tcPr>
            <w:tcW w:w="709" w:type="dxa"/>
            <w:vAlign w:val="top"/>
          </w:tcPr>
          <w:p w14:paraId="664916C6">
            <w:pPr>
              <w:pStyle w:val="6"/>
              <w:spacing w:before="146" w:line="239" w:lineRule="auto"/>
              <w:ind w:left="79" w:right="16" w:hanging="79"/>
              <w:rPr>
                <w:sz w:val="18"/>
                <w:szCs w:val="18"/>
              </w:rPr>
            </w:pPr>
            <w:r>
              <w:rPr>
                <w:spacing w:val="-9"/>
                <w:sz w:val="18"/>
                <w:szCs w:val="18"/>
              </w:rPr>
              <w:t>输送带、</w:t>
            </w:r>
            <w:r>
              <w:rPr>
                <w:spacing w:val="2"/>
                <w:sz w:val="18"/>
                <w:szCs w:val="18"/>
              </w:rPr>
              <w:t xml:space="preserve"> </w:t>
            </w:r>
            <w:r>
              <w:rPr>
                <w:spacing w:val="-2"/>
                <w:sz w:val="18"/>
                <w:szCs w:val="18"/>
              </w:rPr>
              <w:t>输料绞</w:t>
            </w:r>
          </w:p>
          <w:p w14:paraId="43254C8F">
            <w:pPr>
              <w:pStyle w:val="6"/>
              <w:spacing w:line="219" w:lineRule="auto"/>
              <w:ind w:left="260"/>
              <w:rPr>
                <w:sz w:val="18"/>
                <w:szCs w:val="18"/>
              </w:rPr>
            </w:pPr>
            <w:r>
              <w:rPr>
                <w:sz w:val="18"/>
                <w:szCs w:val="18"/>
              </w:rPr>
              <w:t>龙</w:t>
            </w:r>
          </w:p>
        </w:tc>
        <w:tc>
          <w:tcPr>
            <w:tcW w:w="567" w:type="dxa"/>
            <w:gridSpan w:val="2"/>
            <w:vAlign w:val="top"/>
          </w:tcPr>
          <w:p w14:paraId="71130857">
            <w:pPr>
              <w:spacing w:line="319" w:lineRule="auto"/>
              <w:rPr>
                <w:rFonts w:ascii="Arial"/>
                <w:sz w:val="21"/>
              </w:rPr>
            </w:pPr>
          </w:p>
          <w:p w14:paraId="6AE081FE">
            <w:pPr>
              <w:pStyle w:val="6"/>
              <w:spacing w:before="59" w:line="220" w:lineRule="auto"/>
              <w:ind w:left="9"/>
              <w:rPr>
                <w:sz w:val="18"/>
                <w:szCs w:val="18"/>
              </w:rPr>
            </w:pPr>
            <w:r>
              <w:rPr>
                <w:spacing w:val="-2"/>
                <w:sz w:val="18"/>
                <w:szCs w:val="18"/>
              </w:rPr>
              <w:t>颗粒物</w:t>
            </w:r>
          </w:p>
        </w:tc>
        <w:tc>
          <w:tcPr>
            <w:tcW w:w="563" w:type="dxa"/>
            <w:vAlign w:val="top"/>
          </w:tcPr>
          <w:p w14:paraId="1124165C">
            <w:pPr>
              <w:spacing w:line="354" w:lineRule="auto"/>
              <w:rPr>
                <w:rFonts w:ascii="Arial"/>
                <w:sz w:val="21"/>
              </w:rPr>
            </w:pPr>
          </w:p>
          <w:p w14:paraId="37AAF312">
            <w:pPr>
              <w:spacing w:before="52" w:line="232" w:lineRule="auto"/>
              <w:ind w:left="24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8" w:type="dxa"/>
            <w:vAlign w:val="top"/>
          </w:tcPr>
          <w:p w14:paraId="09E54EB9">
            <w:pPr>
              <w:spacing w:line="354" w:lineRule="auto"/>
              <w:rPr>
                <w:rFonts w:ascii="Arial"/>
                <w:sz w:val="21"/>
              </w:rPr>
            </w:pPr>
          </w:p>
          <w:p w14:paraId="44B9F548">
            <w:pPr>
              <w:spacing w:before="52" w:line="232" w:lineRule="auto"/>
              <w:ind w:left="32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19" w:type="dxa"/>
            <w:vAlign w:val="top"/>
          </w:tcPr>
          <w:p w14:paraId="06ED93FB">
            <w:pPr>
              <w:spacing w:line="354" w:lineRule="auto"/>
              <w:rPr>
                <w:rFonts w:ascii="Arial"/>
                <w:sz w:val="21"/>
              </w:rPr>
            </w:pPr>
          </w:p>
          <w:p w14:paraId="1C1FEC97">
            <w:pPr>
              <w:spacing w:before="52" w:line="232" w:lineRule="auto"/>
              <w:ind w:left="32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419" w:type="dxa"/>
            <w:gridSpan w:val="2"/>
            <w:vAlign w:val="top"/>
          </w:tcPr>
          <w:p w14:paraId="21620DCD">
            <w:pPr>
              <w:pStyle w:val="6"/>
              <w:spacing w:before="29" w:line="219" w:lineRule="auto"/>
              <w:ind w:left="75"/>
              <w:rPr>
                <w:sz w:val="18"/>
                <w:szCs w:val="18"/>
              </w:rPr>
            </w:pPr>
            <w:r>
              <w:rPr>
                <w:spacing w:val="-1"/>
                <w:sz w:val="18"/>
                <w:szCs w:val="18"/>
              </w:rPr>
              <w:t>采用封闭式输送</w:t>
            </w:r>
          </w:p>
          <w:p w14:paraId="514031D1">
            <w:pPr>
              <w:pStyle w:val="6"/>
              <w:spacing w:before="19" w:line="220" w:lineRule="auto"/>
              <w:ind w:left="81"/>
              <w:rPr>
                <w:sz w:val="18"/>
                <w:szCs w:val="18"/>
              </w:rPr>
            </w:pPr>
            <w:r>
              <w:rPr>
                <w:spacing w:val="-2"/>
                <w:sz w:val="18"/>
                <w:szCs w:val="18"/>
              </w:rPr>
              <w:t>带和密闭型输料</w:t>
            </w:r>
          </w:p>
          <w:p w14:paraId="2D92158E">
            <w:pPr>
              <w:pStyle w:val="6"/>
              <w:spacing w:before="19" w:line="219" w:lineRule="auto"/>
              <w:ind w:left="2"/>
              <w:rPr>
                <w:sz w:val="18"/>
                <w:szCs w:val="18"/>
              </w:rPr>
            </w:pPr>
            <w:r>
              <w:rPr>
                <w:spacing w:val="-5"/>
                <w:sz w:val="18"/>
                <w:szCs w:val="18"/>
              </w:rPr>
              <w:t>绞龙、布置在封闭</w:t>
            </w:r>
          </w:p>
          <w:p w14:paraId="1DA4226F">
            <w:pPr>
              <w:pStyle w:val="6"/>
              <w:spacing w:before="20" w:line="203" w:lineRule="auto"/>
              <w:ind w:left="437"/>
              <w:rPr>
                <w:sz w:val="18"/>
                <w:szCs w:val="18"/>
              </w:rPr>
            </w:pPr>
            <w:r>
              <w:rPr>
                <w:spacing w:val="-2"/>
                <w:sz w:val="18"/>
                <w:szCs w:val="18"/>
              </w:rPr>
              <w:t>车间内</w:t>
            </w:r>
          </w:p>
        </w:tc>
        <w:tc>
          <w:tcPr>
            <w:tcW w:w="567" w:type="dxa"/>
            <w:vMerge w:val="continue"/>
            <w:tcBorders>
              <w:top w:val="nil"/>
              <w:bottom w:val="nil"/>
            </w:tcBorders>
            <w:vAlign w:val="top"/>
          </w:tcPr>
          <w:p w14:paraId="6BF5F3EF">
            <w:pPr>
              <w:rPr>
                <w:rFonts w:ascii="Arial"/>
                <w:sz w:val="21"/>
              </w:rPr>
            </w:pPr>
          </w:p>
        </w:tc>
        <w:tc>
          <w:tcPr>
            <w:tcW w:w="1132" w:type="dxa"/>
            <w:gridSpan w:val="2"/>
            <w:vMerge w:val="continue"/>
            <w:tcBorders>
              <w:top w:val="nil"/>
              <w:bottom w:val="nil"/>
            </w:tcBorders>
            <w:vAlign w:val="top"/>
          </w:tcPr>
          <w:p w14:paraId="47274B2C">
            <w:pPr>
              <w:rPr>
                <w:rFonts w:ascii="Arial"/>
                <w:sz w:val="21"/>
              </w:rPr>
            </w:pPr>
          </w:p>
        </w:tc>
        <w:tc>
          <w:tcPr>
            <w:tcW w:w="402" w:type="dxa"/>
            <w:vAlign w:val="top"/>
          </w:tcPr>
          <w:p w14:paraId="32674114">
            <w:pPr>
              <w:spacing w:line="354" w:lineRule="auto"/>
              <w:rPr>
                <w:rFonts w:ascii="Arial"/>
                <w:sz w:val="21"/>
              </w:rPr>
            </w:pPr>
          </w:p>
          <w:p w14:paraId="6A3221D1">
            <w:pPr>
              <w:spacing w:before="52" w:line="232" w:lineRule="auto"/>
              <w:ind w:left="17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9" w:type="dxa"/>
            <w:gridSpan w:val="2"/>
            <w:vMerge w:val="continue"/>
            <w:tcBorders>
              <w:top w:val="nil"/>
              <w:bottom w:val="nil"/>
              <w:right w:val="single" w:color="000000" w:sz="6" w:space="0"/>
            </w:tcBorders>
            <w:vAlign w:val="top"/>
          </w:tcPr>
          <w:p w14:paraId="6E2E6B3C">
            <w:pPr>
              <w:rPr>
                <w:rFonts w:ascii="Arial"/>
                <w:sz w:val="21"/>
              </w:rPr>
            </w:pPr>
          </w:p>
        </w:tc>
      </w:tr>
      <w:tr w14:paraId="452BB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50" w:type="dxa"/>
            <w:vMerge w:val="continue"/>
            <w:tcBorders>
              <w:top w:val="nil"/>
              <w:left w:val="single" w:color="000000" w:sz="6" w:space="0"/>
              <w:bottom w:val="nil"/>
            </w:tcBorders>
            <w:vAlign w:val="top"/>
          </w:tcPr>
          <w:p w14:paraId="2C3D24FC">
            <w:pPr>
              <w:rPr>
                <w:rFonts w:ascii="Arial"/>
                <w:sz w:val="21"/>
              </w:rPr>
            </w:pPr>
          </w:p>
        </w:tc>
        <w:tc>
          <w:tcPr>
            <w:tcW w:w="105" w:type="dxa"/>
            <w:gridSpan w:val="2"/>
            <w:tcBorders>
              <w:right w:val="single" w:color="000000" w:sz="8" w:space="0"/>
            </w:tcBorders>
            <w:vAlign w:val="top"/>
          </w:tcPr>
          <w:p w14:paraId="4B6D3E5F">
            <w:pPr>
              <w:rPr>
                <w:rFonts w:ascii="Arial"/>
                <w:sz w:val="21"/>
              </w:rPr>
            </w:pPr>
          </w:p>
        </w:tc>
        <w:tc>
          <w:tcPr>
            <w:tcW w:w="467" w:type="dxa"/>
            <w:tcBorders>
              <w:left w:val="single" w:color="000000" w:sz="8" w:space="0"/>
            </w:tcBorders>
            <w:vAlign w:val="top"/>
          </w:tcPr>
          <w:p w14:paraId="22790985">
            <w:pPr>
              <w:spacing w:before="176" w:line="232" w:lineRule="auto"/>
              <w:ind w:left="178"/>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696" w:type="dxa"/>
            <w:gridSpan w:val="2"/>
            <w:vAlign w:val="top"/>
          </w:tcPr>
          <w:p w14:paraId="59269720">
            <w:pPr>
              <w:spacing w:before="176" w:line="232" w:lineRule="auto"/>
              <w:ind w:left="2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MF0006</w:t>
            </w:r>
          </w:p>
        </w:tc>
        <w:tc>
          <w:tcPr>
            <w:tcW w:w="709" w:type="dxa"/>
            <w:vAlign w:val="top"/>
          </w:tcPr>
          <w:p w14:paraId="0B458BF6">
            <w:pPr>
              <w:pStyle w:val="6"/>
              <w:spacing w:before="147" w:line="219" w:lineRule="auto"/>
              <w:ind w:left="79"/>
              <w:rPr>
                <w:sz w:val="18"/>
                <w:szCs w:val="18"/>
              </w:rPr>
            </w:pPr>
            <w:r>
              <w:rPr>
                <w:spacing w:val="-2"/>
                <w:sz w:val="18"/>
                <w:szCs w:val="18"/>
              </w:rPr>
              <w:t>包装机</w:t>
            </w:r>
          </w:p>
        </w:tc>
        <w:tc>
          <w:tcPr>
            <w:tcW w:w="567" w:type="dxa"/>
            <w:gridSpan w:val="2"/>
            <w:vAlign w:val="top"/>
          </w:tcPr>
          <w:p w14:paraId="408B386F">
            <w:pPr>
              <w:pStyle w:val="6"/>
              <w:spacing w:before="147" w:line="220" w:lineRule="auto"/>
              <w:ind w:left="9"/>
              <w:rPr>
                <w:sz w:val="18"/>
                <w:szCs w:val="18"/>
              </w:rPr>
            </w:pPr>
            <w:r>
              <w:rPr>
                <w:spacing w:val="-2"/>
                <w:sz w:val="18"/>
                <w:szCs w:val="18"/>
              </w:rPr>
              <w:t>颗粒物</w:t>
            </w:r>
          </w:p>
        </w:tc>
        <w:tc>
          <w:tcPr>
            <w:tcW w:w="563" w:type="dxa"/>
            <w:vAlign w:val="top"/>
          </w:tcPr>
          <w:p w14:paraId="37500DAC">
            <w:pPr>
              <w:spacing w:before="176" w:line="232" w:lineRule="auto"/>
              <w:ind w:left="24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8" w:type="dxa"/>
            <w:vAlign w:val="top"/>
          </w:tcPr>
          <w:p w14:paraId="4177198D">
            <w:pPr>
              <w:spacing w:before="176" w:line="232" w:lineRule="auto"/>
              <w:ind w:left="32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19" w:type="dxa"/>
            <w:vAlign w:val="top"/>
          </w:tcPr>
          <w:p w14:paraId="2A09F359">
            <w:pPr>
              <w:spacing w:before="176" w:line="232" w:lineRule="auto"/>
              <w:ind w:left="32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419" w:type="dxa"/>
            <w:gridSpan w:val="2"/>
            <w:vAlign w:val="top"/>
          </w:tcPr>
          <w:p w14:paraId="68B12723">
            <w:pPr>
              <w:pStyle w:val="6"/>
              <w:spacing w:before="30" w:line="221" w:lineRule="auto"/>
              <w:ind w:left="22" w:right="9" w:firstLine="53"/>
              <w:rPr>
                <w:sz w:val="18"/>
                <w:szCs w:val="18"/>
              </w:rPr>
            </w:pPr>
            <w:r>
              <w:rPr>
                <w:spacing w:val="-2"/>
                <w:sz w:val="18"/>
                <w:szCs w:val="18"/>
              </w:rPr>
              <w:t>布置在封闭车间</w:t>
            </w:r>
            <w:r>
              <w:rPr>
                <w:spacing w:val="2"/>
                <w:sz w:val="18"/>
                <w:szCs w:val="18"/>
              </w:rPr>
              <w:t xml:space="preserve">  </w:t>
            </w:r>
            <w:r>
              <w:rPr>
                <w:spacing w:val="-8"/>
                <w:sz w:val="18"/>
                <w:szCs w:val="18"/>
              </w:rPr>
              <w:t>内、加强通风换气</w:t>
            </w:r>
          </w:p>
        </w:tc>
        <w:tc>
          <w:tcPr>
            <w:tcW w:w="567" w:type="dxa"/>
            <w:vMerge w:val="continue"/>
            <w:tcBorders>
              <w:top w:val="nil"/>
            </w:tcBorders>
            <w:vAlign w:val="top"/>
          </w:tcPr>
          <w:p w14:paraId="783930C8">
            <w:pPr>
              <w:rPr>
                <w:rFonts w:ascii="Arial"/>
                <w:sz w:val="21"/>
              </w:rPr>
            </w:pPr>
          </w:p>
        </w:tc>
        <w:tc>
          <w:tcPr>
            <w:tcW w:w="1132" w:type="dxa"/>
            <w:gridSpan w:val="2"/>
            <w:vMerge w:val="continue"/>
            <w:tcBorders>
              <w:top w:val="nil"/>
            </w:tcBorders>
            <w:vAlign w:val="top"/>
          </w:tcPr>
          <w:p w14:paraId="0E9E2FD5">
            <w:pPr>
              <w:rPr>
                <w:rFonts w:ascii="Arial"/>
                <w:sz w:val="21"/>
              </w:rPr>
            </w:pPr>
          </w:p>
        </w:tc>
        <w:tc>
          <w:tcPr>
            <w:tcW w:w="402" w:type="dxa"/>
            <w:vAlign w:val="top"/>
          </w:tcPr>
          <w:p w14:paraId="0088F9E5">
            <w:pPr>
              <w:spacing w:before="176" w:line="232" w:lineRule="auto"/>
              <w:ind w:left="17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9" w:type="dxa"/>
            <w:gridSpan w:val="2"/>
            <w:vMerge w:val="continue"/>
            <w:tcBorders>
              <w:top w:val="nil"/>
              <w:bottom w:val="nil"/>
              <w:right w:val="single" w:color="000000" w:sz="6" w:space="0"/>
            </w:tcBorders>
            <w:vAlign w:val="top"/>
          </w:tcPr>
          <w:p w14:paraId="351F286E">
            <w:pPr>
              <w:rPr>
                <w:rFonts w:ascii="Arial"/>
                <w:sz w:val="21"/>
              </w:rPr>
            </w:pPr>
          </w:p>
        </w:tc>
      </w:tr>
      <w:tr w14:paraId="368C2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4" w:hRule="atLeast"/>
        </w:trPr>
        <w:tc>
          <w:tcPr>
            <w:tcW w:w="750" w:type="dxa"/>
            <w:vMerge w:val="continue"/>
            <w:tcBorders>
              <w:top w:val="nil"/>
              <w:left w:val="single" w:color="000000" w:sz="6" w:space="0"/>
              <w:bottom w:val="nil"/>
            </w:tcBorders>
            <w:vAlign w:val="top"/>
          </w:tcPr>
          <w:p w14:paraId="60EA6D76">
            <w:pPr>
              <w:rPr>
                <w:rFonts w:ascii="Arial"/>
                <w:sz w:val="21"/>
              </w:rPr>
            </w:pPr>
          </w:p>
        </w:tc>
        <w:tc>
          <w:tcPr>
            <w:tcW w:w="8163" w:type="dxa"/>
            <w:gridSpan w:val="19"/>
            <w:tcBorders>
              <w:right w:val="single" w:color="000000" w:sz="6" w:space="0"/>
            </w:tcBorders>
            <w:vAlign w:val="top"/>
          </w:tcPr>
          <w:p w14:paraId="3EEFACFC">
            <w:pPr>
              <w:pStyle w:val="6"/>
              <w:spacing w:before="143" w:line="234" w:lineRule="auto"/>
              <w:ind w:left="113"/>
            </w:pPr>
            <w:r>
              <w:rPr>
                <w:rFonts w:ascii="Times New Roman" w:hAnsi="Times New Roman" w:eastAsia="Times New Roman" w:cs="Times New Roman"/>
                <w:b/>
                <w:bCs/>
                <w:spacing w:val="-3"/>
              </w:rPr>
              <w:t>1.3</w:t>
            </w:r>
            <w:r>
              <w:rPr>
                <w:b/>
                <w:bCs/>
                <w:spacing w:val="-3"/>
              </w:rPr>
              <w:t>废气治理措施可行性分析</w:t>
            </w:r>
          </w:p>
          <w:p w14:paraId="6E403B9B">
            <w:pPr>
              <w:pStyle w:val="6"/>
              <w:spacing w:before="132" w:line="350" w:lineRule="auto"/>
              <w:ind w:left="106" w:right="101" w:firstLine="423"/>
              <w:jc w:val="both"/>
            </w:pPr>
            <w:r>
              <w:t>参照《排污许可证申请与核发技术规范 工业炉窑》</w:t>
            </w:r>
            <w:r>
              <w:rPr>
                <w:rFonts w:hint="eastAsia"/>
                <w:lang w:eastAsia="zh-CN"/>
              </w:rPr>
              <w:t>（</w:t>
            </w:r>
            <w:r>
              <w:rPr>
                <w:rFonts w:ascii="Times New Roman" w:hAnsi="Times New Roman" w:eastAsia="Times New Roman" w:cs="Times New Roman"/>
              </w:rPr>
              <w:t>HJ1121-202</w:t>
            </w:r>
            <w:r>
              <w:rPr>
                <w:rFonts w:ascii="Times New Roman" w:hAnsi="Times New Roman" w:eastAsia="Times New Roman" w:cs="Times New Roman"/>
                <w:spacing w:val="-1"/>
              </w:rPr>
              <w:t>0</w:t>
            </w:r>
            <w:r>
              <w:rPr>
                <w:rFonts w:hint="eastAsia" w:ascii="Times New Roman" w:hAnsi="Times New Roman" w:eastAsia="宋体" w:cs="Times New Roman"/>
                <w:spacing w:val="-1"/>
                <w:lang w:eastAsia="zh-CN"/>
              </w:rPr>
              <w:t>）</w:t>
            </w:r>
            <w:r>
              <w:rPr>
                <w:spacing w:val="-1"/>
              </w:rPr>
              <w:t>附录</w:t>
            </w:r>
            <w:r>
              <w:rPr>
                <w:rFonts w:ascii="Times New Roman" w:hAnsi="Times New Roman" w:eastAsia="Times New Roman" w:cs="Times New Roman"/>
                <w:spacing w:val="-1"/>
              </w:rPr>
              <w:t>A</w:t>
            </w:r>
            <w:r>
              <w:rPr>
                <w:spacing w:val="-1"/>
              </w:rPr>
              <w:t>表</w:t>
            </w:r>
            <w:r>
              <w:rPr>
                <w:rFonts w:ascii="Times New Roman" w:hAnsi="Times New Roman" w:eastAsia="Times New Roman" w:cs="Times New Roman"/>
                <w:spacing w:val="-1"/>
              </w:rPr>
              <w:t>A.1</w:t>
            </w:r>
            <w:r>
              <w:rPr>
                <w:spacing w:val="-1"/>
              </w:rPr>
              <w:t>废气</w:t>
            </w:r>
            <w:r>
              <w:t xml:space="preserve"> 可行技术参考表。本项目热风炉产生的颗粒物采用旋风除尘器</w:t>
            </w:r>
            <w:r>
              <w:rPr>
                <w:rFonts w:ascii="Times New Roman" w:hAnsi="Times New Roman" w:eastAsia="Times New Roman" w:cs="Times New Roman"/>
              </w:rPr>
              <w:t>+</w:t>
            </w:r>
            <w:r>
              <w:t>旋流喷</w:t>
            </w:r>
            <w:r>
              <w:rPr>
                <w:spacing w:val="-1"/>
              </w:rPr>
              <w:t>淋塔的组合工艺</w:t>
            </w:r>
            <w:r>
              <w:t xml:space="preserve"> </w:t>
            </w:r>
            <w:r>
              <w:rPr>
                <w:spacing w:val="-4"/>
              </w:rPr>
              <w:t>进行处理，除尘效率高，与《排污许可证申请与核发技术规范</w:t>
            </w:r>
            <w:r>
              <w:rPr>
                <w:spacing w:val="24"/>
              </w:rPr>
              <w:t xml:space="preserve"> </w:t>
            </w:r>
            <w:r>
              <w:rPr>
                <w:spacing w:val="-4"/>
              </w:rPr>
              <w:t>工业炉窑》</w:t>
            </w:r>
            <w:r>
              <w:rPr>
                <w:rFonts w:hint="eastAsia"/>
                <w:spacing w:val="-4"/>
                <w:lang w:eastAsia="zh-CN"/>
              </w:rPr>
              <w:t>（</w:t>
            </w:r>
            <w:r>
              <w:rPr>
                <w:rFonts w:ascii="Times New Roman" w:hAnsi="Times New Roman" w:eastAsia="Times New Roman" w:cs="Times New Roman"/>
                <w:spacing w:val="-4"/>
              </w:rPr>
              <w:t>HJ1</w:t>
            </w:r>
            <w:r>
              <w:rPr>
                <w:rFonts w:ascii="Times New Roman" w:hAnsi="Times New Roman" w:eastAsia="Times New Roman" w:cs="Times New Roman"/>
                <w:spacing w:val="-5"/>
              </w:rPr>
              <w:t>121-2020)</w:t>
            </w:r>
            <w:r>
              <w:rPr>
                <w:rFonts w:ascii="Times New Roman" w:hAnsi="Times New Roman" w:eastAsia="Times New Roman" w:cs="Times New Roman"/>
              </w:rPr>
              <w:t xml:space="preserve"> </w:t>
            </w:r>
            <w:r>
              <w:rPr>
                <w:spacing w:val="-5"/>
              </w:rPr>
              <w:t>推荐的可行技术相似。二氧化硫、氮氧化物产生量小，</w:t>
            </w:r>
            <w:r>
              <w:rPr>
                <w:spacing w:val="48"/>
              </w:rPr>
              <w:t xml:space="preserve"> </w:t>
            </w:r>
            <w:r>
              <w:rPr>
                <w:spacing w:val="-5"/>
              </w:rPr>
              <w:t>产生浓度可直接达标，故不设置</w:t>
            </w:r>
            <w:r>
              <w:t xml:space="preserve"> </w:t>
            </w:r>
            <w:r>
              <w:rPr>
                <w:spacing w:val="-2"/>
              </w:rPr>
              <w:t>处理设施。</w:t>
            </w:r>
          </w:p>
          <w:p w14:paraId="7BA21710">
            <w:pPr>
              <w:pStyle w:val="6"/>
              <w:spacing w:before="9" w:line="352" w:lineRule="auto"/>
              <w:ind w:left="106" w:right="102" w:firstLine="422"/>
              <w:jc w:val="both"/>
            </w:pPr>
            <w:r>
              <w:rPr>
                <w:spacing w:val="-4"/>
              </w:rPr>
              <w:t>参照《排放源统计调查产排污核算方法和系数手册》中末端治理技术， 本项目造粒</w:t>
            </w:r>
            <w:r>
              <w:rPr>
                <w:spacing w:val="3"/>
              </w:rPr>
              <w:t xml:space="preserve"> </w:t>
            </w:r>
            <w:r>
              <w:rPr>
                <w:spacing w:val="-1"/>
              </w:rPr>
              <w:t>机、粉碎机等重点产尘环节，均采取了旋风除尘、布袋除尘或者喷淋塔水雾除尘方式，</w:t>
            </w:r>
            <w:r>
              <w:t xml:space="preserve"> </w:t>
            </w:r>
            <w:r>
              <w:rPr>
                <w:spacing w:val="-1"/>
              </w:rPr>
              <w:t>能够实现达标排放，属于可行技术。项目其他无组织产尘环节在采取封闭式作业等措施</w:t>
            </w:r>
            <w:r>
              <w:t xml:space="preserve"> </w:t>
            </w:r>
            <w:r>
              <w:rPr>
                <w:spacing w:val="-1"/>
              </w:rPr>
              <w:t>下，少量无组织粉尘由于重力作用颗粒物逐渐沉降至地面经人工清扫收集，少量粉尘因</w:t>
            </w:r>
            <w:r>
              <w:t xml:space="preserve"> </w:t>
            </w:r>
            <w:r>
              <w:rPr>
                <w:spacing w:val="-2"/>
              </w:rPr>
              <w:t>风力作用散逸出去，通过大气扩散不会对外环境造成影响。</w:t>
            </w:r>
          </w:p>
          <w:p w14:paraId="1EC50CBB">
            <w:pPr>
              <w:pStyle w:val="6"/>
              <w:spacing w:line="220" w:lineRule="auto"/>
              <w:ind w:left="530"/>
            </w:pPr>
            <w:r>
              <w:rPr>
                <w:spacing w:val="-3"/>
              </w:rPr>
              <w:t>综上所述，该项目废气处理措施可行。</w:t>
            </w:r>
          </w:p>
          <w:p w14:paraId="155F62A8">
            <w:pPr>
              <w:pStyle w:val="6"/>
              <w:spacing w:before="149" w:line="233" w:lineRule="auto"/>
              <w:ind w:left="113"/>
            </w:pPr>
            <w:r>
              <w:rPr>
                <w:rFonts w:ascii="Times New Roman" w:hAnsi="Times New Roman" w:eastAsia="Times New Roman" w:cs="Times New Roman"/>
                <w:b/>
                <w:bCs/>
                <w:spacing w:val="-3"/>
              </w:rPr>
              <w:t>1.4</w:t>
            </w:r>
            <w:r>
              <w:rPr>
                <w:b/>
                <w:bCs/>
                <w:spacing w:val="-3"/>
              </w:rPr>
              <w:t>非正常排放量核算</w:t>
            </w:r>
          </w:p>
          <w:p w14:paraId="341C21E4">
            <w:pPr>
              <w:pStyle w:val="6"/>
              <w:spacing w:before="134" w:line="352" w:lineRule="auto"/>
              <w:ind w:left="107" w:right="102" w:firstLine="423"/>
              <w:jc w:val="both"/>
            </w:pPr>
            <w:r>
              <w:rPr>
                <w:spacing w:val="-4"/>
              </w:rPr>
              <w:t>非正常排放是</w:t>
            </w:r>
            <w:r>
              <w:rPr>
                <w:rFonts w:hint="eastAsia"/>
                <w:spacing w:val="-4"/>
                <w:lang w:eastAsia="zh-CN"/>
              </w:rPr>
              <w:t>指生产过程中</w:t>
            </w:r>
            <w:r>
              <w:rPr>
                <w:spacing w:val="-4"/>
              </w:rPr>
              <w:t>开停车（工、炉） 、设备检修、工艺运转</w:t>
            </w:r>
            <w:r>
              <w:t xml:space="preserve"> </w:t>
            </w:r>
            <w:r>
              <w:rPr>
                <w:spacing w:val="-1"/>
              </w:rPr>
              <w:t>异常等非</w:t>
            </w:r>
            <w:r>
              <w:rPr>
                <w:rFonts w:hint="eastAsia"/>
                <w:spacing w:val="-1"/>
                <w:lang w:eastAsia="zh-CN"/>
              </w:rPr>
              <w:t>正常</w:t>
            </w:r>
            <w:r>
              <w:rPr>
                <w:spacing w:val="-1"/>
              </w:rPr>
              <w:t>工况下的污染物排放，以及污染物排放控制措施达不到应有效率等情况下的</w:t>
            </w:r>
            <w:r>
              <w:t xml:space="preserve"> </w:t>
            </w:r>
            <w:r>
              <w:rPr>
                <w:spacing w:val="-9"/>
              </w:rPr>
              <w:t>排放。</w:t>
            </w:r>
          </w:p>
          <w:p w14:paraId="05CCCA6D">
            <w:pPr>
              <w:pStyle w:val="6"/>
              <w:spacing w:before="3" w:line="351" w:lineRule="auto"/>
              <w:ind w:left="106" w:right="26" w:firstLine="421"/>
              <w:jc w:val="both"/>
            </w:pPr>
            <w:r>
              <w:rPr>
                <w:spacing w:val="-1"/>
              </w:rPr>
              <w:t>本项目烘干机和热风炉烟气的废气处理设施，本身也是干粉料收集环节的一</w:t>
            </w:r>
            <w:r>
              <w:rPr>
                <w:spacing w:val="-2"/>
              </w:rPr>
              <w:t>个重要</w:t>
            </w:r>
            <w:r>
              <w:t xml:space="preserve"> </w:t>
            </w:r>
            <w:r>
              <w:rPr>
                <w:spacing w:val="-4"/>
              </w:rPr>
              <w:t>设备，若该除尘器一旦发生设备故障，亦属于生产线</w:t>
            </w:r>
            <w:r>
              <w:rPr>
                <w:spacing w:val="-5"/>
              </w:rPr>
              <w:t>的工艺故障，企业会立即停产检修。</w:t>
            </w:r>
            <w:r>
              <w:t xml:space="preserve"> </w:t>
            </w:r>
            <w:r>
              <w:rPr>
                <w:spacing w:val="-1"/>
              </w:rPr>
              <w:t>造粒机的粉尘采用水雾喷淋除尘，若喷淋塔内循环水沉渣未及时清理，可能</w:t>
            </w:r>
            <w:r>
              <w:rPr>
                <w:rFonts w:hint="eastAsia"/>
                <w:spacing w:val="-1"/>
                <w:lang w:eastAsia="zh-CN"/>
              </w:rPr>
              <w:t>导致</w:t>
            </w:r>
            <w:r>
              <w:rPr>
                <w:spacing w:val="-1"/>
              </w:rPr>
              <w:t>循环水</w:t>
            </w:r>
            <w:r>
              <w:t xml:space="preserve"> </w:t>
            </w:r>
            <w:r>
              <w:rPr>
                <w:spacing w:val="-1"/>
              </w:rPr>
              <w:t>泵堵塞喷淋失效，废气处理效率降为零；粉碎机采用旋风</w:t>
            </w:r>
            <w:r>
              <w:rPr>
                <w:rFonts w:ascii="Times New Roman" w:hAnsi="Times New Roman" w:eastAsia="Times New Roman" w:cs="Times New Roman"/>
                <w:spacing w:val="-2"/>
              </w:rPr>
              <w:t>+</w:t>
            </w:r>
            <w:r>
              <w:rPr>
                <w:spacing w:val="-2"/>
              </w:rPr>
              <w:t>脉冲布袋的组合方式除尘，</w:t>
            </w:r>
          </w:p>
          <w:p w14:paraId="569325CB">
            <w:pPr>
              <w:pStyle w:val="6"/>
              <w:spacing w:before="1" w:line="218" w:lineRule="auto"/>
              <w:ind w:left="108"/>
            </w:pPr>
            <w:r>
              <w:rPr>
                <w:spacing w:val="-2"/>
              </w:rPr>
              <w:t>若除尘设备故障，也会导致废气处理效率降为零。</w:t>
            </w:r>
          </w:p>
          <w:p w14:paraId="1D40387F">
            <w:pPr>
              <w:pStyle w:val="6"/>
              <w:spacing w:before="158" w:line="214" w:lineRule="auto"/>
              <w:ind w:left="2593"/>
              <w:rPr>
                <w:sz w:val="20"/>
                <w:szCs w:val="20"/>
              </w:rPr>
            </w:pPr>
            <w:r>
              <w:rPr>
                <w:b/>
                <w:bCs/>
                <w:spacing w:val="-1"/>
                <w:sz w:val="20"/>
                <w:szCs w:val="20"/>
              </w:rPr>
              <w:t>表</w:t>
            </w:r>
            <w:r>
              <w:rPr>
                <w:rFonts w:ascii="Times New Roman" w:hAnsi="Times New Roman" w:eastAsia="Times New Roman" w:cs="Times New Roman"/>
                <w:b/>
                <w:bCs/>
                <w:spacing w:val="-1"/>
                <w:sz w:val="20"/>
                <w:szCs w:val="20"/>
              </w:rPr>
              <w:t xml:space="preserve">4-6      </w:t>
            </w:r>
            <w:r>
              <w:rPr>
                <w:b/>
                <w:bCs/>
                <w:spacing w:val="-1"/>
                <w:sz w:val="20"/>
                <w:szCs w:val="20"/>
              </w:rPr>
              <w:t>污染源非正常产排放量</w:t>
            </w:r>
            <w:r>
              <w:rPr>
                <w:b/>
                <w:bCs/>
                <w:spacing w:val="-2"/>
                <w:sz w:val="20"/>
                <w:szCs w:val="20"/>
              </w:rPr>
              <w:t>核算表</w:t>
            </w:r>
          </w:p>
        </w:tc>
      </w:tr>
      <w:tr w14:paraId="17A8D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750" w:type="dxa"/>
            <w:vMerge w:val="continue"/>
            <w:tcBorders>
              <w:top w:val="nil"/>
              <w:left w:val="single" w:color="000000" w:sz="6" w:space="0"/>
              <w:bottom w:val="nil"/>
            </w:tcBorders>
            <w:vAlign w:val="top"/>
          </w:tcPr>
          <w:p w14:paraId="4ABCBA50">
            <w:pPr>
              <w:rPr>
                <w:rFonts w:ascii="Arial"/>
                <w:sz w:val="21"/>
              </w:rPr>
            </w:pPr>
          </w:p>
        </w:tc>
        <w:tc>
          <w:tcPr>
            <w:tcW w:w="60" w:type="dxa"/>
            <w:tcBorders>
              <w:right w:val="nil"/>
            </w:tcBorders>
            <w:vAlign w:val="top"/>
          </w:tcPr>
          <w:p w14:paraId="67BC9A93">
            <w:pPr>
              <w:rPr>
                <w:rFonts w:ascii="Arial"/>
                <w:sz w:val="21"/>
              </w:rPr>
            </w:pPr>
          </w:p>
        </w:tc>
        <w:tc>
          <w:tcPr>
            <w:tcW w:w="635" w:type="dxa"/>
            <w:gridSpan w:val="3"/>
            <w:tcBorders>
              <w:left w:val="nil"/>
            </w:tcBorders>
            <w:vAlign w:val="top"/>
          </w:tcPr>
          <w:p w14:paraId="3558D785">
            <w:pPr>
              <w:pStyle w:val="6"/>
              <w:spacing w:before="155" w:line="221" w:lineRule="auto"/>
              <w:ind w:left="138"/>
              <w:rPr>
                <w:sz w:val="18"/>
                <w:szCs w:val="18"/>
              </w:rPr>
            </w:pPr>
            <w:r>
              <w:rPr>
                <w:spacing w:val="-2"/>
                <w:sz w:val="18"/>
                <w:szCs w:val="18"/>
              </w:rPr>
              <w:t>序号</w:t>
            </w:r>
          </w:p>
        </w:tc>
        <w:tc>
          <w:tcPr>
            <w:tcW w:w="1420" w:type="dxa"/>
            <w:gridSpan w:val="3"/>
            <w:vAlign w:val="top"/>
          </w:tcPr>
          <w:p w14:paraId="7221FB0F">
            <w:pPr>
              <w:pStyle w:val="6"/>
              <w:spacing w:before="155" w:line="220" w:lineRule="auto"/>
              <w:ind w:left="441"/>
              <w:rPr>
                <w:sz w:val="18"/>
                <w:szCs w:val="18"/>
              </w:rPr>
            </w:pPr>
            <w:r>
              <w:rPr>
                <w:spacing w:val="-2"/>
                <w:sz w:val="18"/>
                <w:szCs w:val="18"/>
              </w:rPr>
              <w:t>污染源</w:t>
            </w:r>
          </w:p>
        </w:tc>
        <w:tc>
          <w:tcPr>
            <w:tcW w:w="992" w:type="dxa"/>
            <w:gridSpan w:val="2"/>
            <w:vAlign w:val="top"/>
          </w:tcPr>
          <w:p w14:paraId="0B971B9F">
            <w:pPr>
              <w:pStyle w:val="6"/>
              <w:spacing w:before="155" w:line="220" w:lineRule="auto"/>
              <w:ind w:left="223"/>
              <w:rPr>
                <w:sz w:val="18"/>
                <w:szCs w:val="18"/>
              </w:rPr>
            </w:pPr>
            <w:r>
              <w:rPr>
                <w:spacing w:val="-2"/>
                <w:sz w:val="18"/>
                <w:szCs w:val="18"/>
              </w:rPr>
              <w:t>污染物</w:t>
            </w:r>
          </w:p>
        </w:tc>
        <w:tc>
          <w:tcPr>
            <w:tcW w:w="1427" w:type="dxa"/>
            <w:gridSpan w:val="2"/>
            <w:vAlign w:val="top"/>
          </w:tcPr>
          <w:p w14:paraId="5F8E344A">
            <w:pPr>
              <w:pStyle w:val="6"/>
              <w:spacing w:before="37" w:line="220" w:lineRule="auto"/>
              <w:ind w:left="181"/>
              <w:rPr>
                <w:sz w:val="18"/>
                <w:szCs w:val="18"/>
              </w:rPr>
            </w:pPr>
            <w:r>
              <w:rPr>
                <w:spacing w:val="-2"/>
                <w:sz w:val="18"/>
                <w:szCs w:val="18"/>
              </w:rPr>
              <w:t>非正常排放原</w:t>
            </w:r>
          </w:p>
          <w:p w14:paraId="71F5A98C">
            <w:pPr>
              <w:pStyle w:val="6"/>
              <w:spacing w:before="19" w:line="191" w:lineRule="auto"/>
              <w:ind w:left="642"/>
              <w:rPr>
                <w:sz w:val="18"/>
                <w:szCs w:val="18"/>
              </w:rPr>
            </w:pPr>
            <w:r>
              <w:rPr>
                <w:sz w:val="18"/>
                <w:szCs w:val="18"/>
              </w:rPr>
              <w:t>因</w:t>
            </w:r>
          </w:p>
        </w:tc>
        <w:tc>
          <w:tcPr>
            <w:tcW w:w="1291" w:type="dxa"/>
            <w:vAlign w:val="top"/>
          </w:tcPr>
          <w:p w14:paraId="39B180CC">
            <w:pPr>
              <w:pStyle w:val="6"/>
              <w:spacing w:before="36" w:line="216" w:lineRule="auto"/>
              <w:ind w:left="157" w:right="123" w:firstLine="58"/>
              <w:rPr>
                <w:rFonts w:ascii="Times New Roman" w:hAnsi="Times New Roman" w:eastAsia="Times New Roman" w:cs="Times New Roman"/>
                <w:sz w:val="18"/>
                <w:szCs w:val="18"/>
              </w:rPr>
            </w:pPr>
            <w:r>
              <w:rPr>
                <w:spacing w:val="-2"/>
                <w:sz w:val="18"/>
                <w:szCs w:val="18"/>
              </w:rPr>
              <w:t>非正常排放</w:t>
            </w:r>
            <w:r>
              <w:rPr>
                <w:sz w:val="18"/>
                <w:szCs w:val="18"/>
              </w:rPr>
              <w:t xml:space="preserve"> </w:t>
            </w:r>
            <w:r>
              <w:rPr>
                <w:spacing w:val="-1"/>
                <w:sz w:val="18"/>
                <w:szCs w:val="18"/>
              </w:rPr>
              <w:t>浓度</w:t>
            </w:r>
            <w:r>
              <w:rPr>
                <w:rFonts w:ascii="Times New Roman" w:hAnsi="Times New Roman" w:eastAsia="Times New Roman" w:cs="Times New Roman"/>
                <w:spacing w:val="-1"/>
                <w:sz w:val="18"/>
                <w:szCs w:val="18"/>
              </w:rPr>
              <w:t>/(mg/m</w:t>
            </w:r>
            <w:r>
              <w:rPr>
                <w:rFonts w:ascii="Times New Roman" w:hAnsi="Times New Roman" w:eastAsia="Times New Roman" w:cs="Times New Roman"/>
                <w:spacing w:val="-1"/>
                <w:position w:val="5"/>
                <w:sz w:val="12"/>
                <w:szCs w:val="12"/>
              </w:rPr>
              <w:t>3</w:t>
            </w:r>
            <w:r>
              <w:rPr>
                <w:rFonts w:ascii="Times New Roman" w:hAnsi="Times New Roman" w:eastAsia="Times New Roman" w:cs="Times New Roman"/>
                <w:spacing w:val="-1"/>
                <w:sz w:val="18"/>
                <w:szCs w:val="18"/>
              </w:rPr>
              <w:t>)</w:t>
            </w:r>
          </w:p>
        </w:tc>
        <w:tc>
          <w:tcPr>
            <w:tcW w:w="1240" w:type="dxa"/>
            <w:gridSpan w:val="3"/>
            <w:vAlign w:val="top"/>
          </w:tcPr>
          <w:p w14:paraId="009C466B">
            <w:pPr>
              <w:pStyle w:val="6"/>
              <w:spacing w:before="36" w:line="216" w:lineRule="auto"/>
              <w:ind w:left="212" w:right="153" w:hanging="21"/>
              <w:rPr>
                <w:rFonts w:ascii="Times New Roman" w:hAnsi="Times New Roman" w:eastAsia="Times New Roman" w:cs="Times New Roman"/>
                <w:sz w:val="18"/>
                <w:szCs w:val="18"/>
              </w:rPr>
            </w:pPr>
            <w:r>
              <w:rPr>
                <w:spacing w:val="-2"/>
                <w:sz w:val="18"/>
                <w:szCs w:val="18"/>
              </w:rPr>
              <w:t>非正常排放</w:t>
            </w:r>
            <w:r>
              <w:rPr>
                <w:sz w:val="18"/>
                <w:szCs w:val="18"/>
              </w:rPr>
              <w:t xml:space="preserve"> </w:t>
            </w:r>
            <w:r>
              <w:rPr>
                <w:spacing w:val="-1"/>
                <w:sz w:val="18"/>
                <w:szCs w:val="18"/>
              </w:rPr>
              <w:t>速率</w:t>
            </w:r>
            <w:r>
              <w:rPr>
                <w:rFonts w:ascii="Times New Roman" w:hAnsi="Times New Roman" w:eastAsia="Times New Roman" w:cs="Times New Roman"/>
                <w:spacing w:val="-1"/>
                <w:sz w:val="18"/>
                <w:szCs w:val="18"/>
              </w:rPr>
              <w:t>/(kg/h)</w:t>
            </w:r>
          </w:p>
        </w:tc>
        <w:tc>
          <w:tcPr>
            <w:tcW w:w="1018" w:type="dxa"/>
            <w:gridSpan w:val="3"/>
            <w:tcBorders>
              <w:right w:val="single" w:color="000000" w:sz="8" w:space="0"/>
            </w:tcBorders>
            <w:vAlign w:val="top"/>
          </w:tcPr>
          <w:p w14:paraId="76600DBE">
            <w:pPr>
              <w:pStyle w:val="6"/>
              <w:spacing w:before="155" w:line="220" w:lineRule="auto"/>
              <w:ind w:left="170"/>
              <w:rPr>
                <w:sz w:val="18"/>
                <w:szCs w:val="18"/>
              </w:rPr>
            </w:pPr>
            <w:r>
              <w:rPr>
                <w:spacing w:val="-2"/>
                <w:sz w:val="18"/>
                <w:szCs w:val="18"/>
              </w:rPr>
              <w:t>应对措施</w:t>
            </w:r>
          </w:p>
        </w:tc>
        <w:tc>
          <w:tcPr>
            <w:tcW w:w="80" w:type="dxa"/>
            <w:tcBorders>
              <w:left w:val="single" w:color="000000" w:sz="8" w:space="0"/>
              <w:right w:val="single" w:color="000000" w:sz="6" w:space="0"/>
            </w:tcBorders>
            <w:vAlign w:val="top"/>
          </w:tcPr>
          <w:p w14:paraId="0B6F05BB">
            <w:pPr>
              <w:rPr>
                <w:rFonts w:ascii="Arial"/>
                <w:sz w:val="21"/>
              </w:rPr>
            </w:pPr>
          </w:p>
        </w:tc>
      </w:tr>
      <w:tr w14:paraId="27957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 w:hRule="atLeast"/>
        </w:trPr>
        <w:tc>
          <w:tcPr>
            <w:tcW w:w="750" w:type="dxa"/>
            <w:vMerge w:val="continue"/>
            <w:tcBorders>
              <w:top w:val="nil"/>
              <w:left w:val="single" w:color="000000" w:sz="6" w:space="0"/>
              <w:bottom w:val="single" w:color="000000" w:sz="6" w:space="0"/>
            </w:tcBorders>
            <w:vAlign w:val="top"/>
          </w:tcPr>
          <w:p w14:paraId="2A7C903A">
            <w:pPr>
              <w:rPr>
                <w:rFonts w:ascii="Arial"/>
                <w:sz w:val="21"/>
              </w:rPr>
            </w:pPr>
          </w:p>
        </w:tc>
        <w:tc>
          <w:tcPr>
            <w:tcW w:w="60" w:type="dxa"/>
            <w:tcBorders>
              <w:bottom w:val="single" w:color="000000" w:sz="6" w:space="0"/>
              <w:right w:val="single" w:color="000000" w:sz="8" w:space="0"/>
            </w:tcBorders>
            <w:vAlign w:val="top"/>
          </w:tcPr>
          <w:p w14:paraId="7A1805BC">
            <w:pPr>
              <w:spacing w:line="241" w:lineRule="exact"/>
              <w:rPr>
                <w:rFonts w:ascii="Arial"/>
                <w:sz w:val="20"/>
              </w:rPr>
            </w:pPr>
          </w:p>
        </w:tc>
        <w:tc>
          <w:tcPr>
            <w:tcW w:w="635" w:type="dxa"/>
            <w:gridSpan w:val="3"/>
            <w:tcBorders>
              <w:left w:val="single" w:color="000000" w:sz="8" w:space="0"/>
              <w:bottom w:val="single" w:color="000000" w:sz="6" w:space="0"/>
            </w:tcBorders>
            <w:vAlign w:val="top"/>
          </w:tcPr>
          <w:p w14:paraId="27AD0284">
            <w:pPr>
              <w:spacing w:before="71" w:line="197" w:lineRule="auto"/>
              <w:ind w:left="277"/>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420" w:type="dxa"/>
            <w:gridSpan w:val="3"/>
            <w:tcBorders>
              <w:bottom w:val="single" w:color="000000" w:sz="6" w:space="0"/>
            </w:tcBorders>
            <w:vAlign w:val="top"/>
          </w:tcPr>
          <w:p w14:paraId="409E42C6">
            <w:pPr>
              <w:pStyle w:val="6"/>
              <w:spacing w:before="42" w:line="204" w:lineRule="auto"/>
              <w:ind w:left="439"/>
              <w:rPr>
                <w:sz w:val="18"/>
                <w:szCs w:val="18"/>
              </w:rPr>
            </w:pPr>
            <w:r>
              <w:rPr>
                <w:spacing w:val="-2"/>
                <w:sz w:val="18"/>
                <w:szCs w:val="18"/>
              </w:rPr>
              <w:t>造粒机</w:t>
            </w:r>
          </w:p>
        </w:tc>
        <w:tc>
          <w:tcPr>
            <w:tcW w:w="992" w:type="dxa"/>
            <w:gridSpan w:val="2"/>
            <w:tcBorders>
              <w:bottom w:val="single" w:color="000000" w:sz="6" w:space="0"/>
            </w:tcBorders>
            <w:vAlign w:val="top"/>
          </w:tcPr>
          <w:p w14:paraId="68B55CF8">
            <w:pPr>
              <w:pStyle w:val="6"/>
              <w:spacing w:before="42" w:line="204" w:lineRule="auto"/>
              <w:ind w:left="221"/>
              <w:rPr>
                <w:sz w:val="18"/>
                <w:szCs w:val="18"/>
              </w:rPr>
            </w:pPr>
            <w:r>
              <w:rPr>
                <w:spacing w:val="-2"/>
                <w:sz w:val="18"/>
                <w:szCs w:val="18"/>
              </w:rPr>
              <w:t>颗粒物</w:t>
            </w:r>
          </w:p>
        </w:tc>
        <w:tc>
          <w:tcPr>
            <w:tcW w:w="1427" w:type="dxa"/>
            <w:gridSpan w:val="2"/>
            <w:tcBorders>
              <w:bottom w:val="single" w:color="000000" w:sz="6" w:space="0"/>
            </w:tcBorders>
            <w:vAlign w:val="top"/>
          </w:tcPr>
          <w:p w14:paraId="08437F58">
            <w:pPr>
              <w:pStyle w:val="6"/>
              <w:spacing w:before="42" w:line="204" w:lineRule="auto"/>
              <w:ind w:left="189"/>
              <w:rPr>
                <w:sz w:val="18"/>
                <w:szCs w:val="18"/>
              </w:rPr>
            </w:pPr>
            <w:r>
              <w:rPr>
                <w:spacing w:val="-3"/>
                <w:sz w:val="18"/>
                <w:szCs w:val="18"/>
              </w:rPr>
              <w:t>除尘设备故障</w:t>
            </w:r>
          </w:p>
        </w:tc>
        <w:tc>
          <w:tcPr>
            <w:tcW w:w="1291" w:type="dxa"/>
            <w:tcBorders>
              <w:bottom w:val="single" w:color="000000" w:sz="6" w:space="0"/>
            </w:tcBorders>
            <w:vAlign w:val="top"/>
          </w:tcPr>
          <w:p w14:paraId="17350AD1">
            <w:pPr>
              <w:spacing w:before="71" w:line="197" w:lineRule="auto"/>
              <w:ind w:left="4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903.15</w:t>
            </w:r>
          </w:p>
        </w:tc>
        <w:tc>
          <w:tcPr>
            <w:tcW w:w="1240" w:type="dxa"/>
            <w:gridSpan w:val="3"/>
            <w:tcBorders>
              <w:bottom w:val="single" w:color="000000" w:sz="6" w:space="0"/>
            </w:tcBorders>
            <w:vAlign w:val="top"/>
          </w:tcPr>
          <w:p w14:paraId="59EB5963">
            <w:pPr>
              <w:spacing w:before="71" w:line="197" w:lineRule="auto"/>
              <w:ind w:left="43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9.032</w:t>
            </w:r>
          </w:p>
        </w:tc>
        <w:tc>
          <w:tcPr>
            <w:tcW w:w="1018" w:type="dxa"/>
            <w:gridSpan w:val="3"/>
            <w:tcBorders>
              <w:bottom w:val="single" w:color="000000" w:sz="6" w:space="0"/>
              <w:right w:val="single" w:color="000000" w:sz="8" w:space="0"/>
            </w:tcBorders>
            <w:vAlign w:val="top"/>
          </w:tcPr>
          <w:p w14:paraId="174041B2">
            <w:pPr>
              <w:pStyle w:val="6"/>
              <w:spacing w:before="42" w:line="204" w:lineRule="auto"/>
              <w:ind w:left="169"/>
              <w:rPr>
                <w:sz w:val="18"/>
                <w:szCs w:val="18"/>
              </w:rPr>
            </w:pPr>
            <w:r>
              <w:rPr>
                <w:spacing w:val="-2"/>
                <w:sz w:val="18"/>
                <w:szCs w:val="18"/>
              </w:rPr>
              <w:t>及时停产</w:t>
            </w:r>
          </w:p>
        </w:tc>
        <w:tc>
          <w:tcPr>
            <w:tcW w:w="80" w:type="dxa"/>
            <w:tcBorders>
              <w:left w:val="single" w:color="000000" w:sz="8" w:space="0"/>
              <w:bottom w:val="single" w:color="000000" w:sz="6" w:space="0"/>
              <w:right w:val="single" w:color="000000" w:sz="6" w:space="0"/>
            </w:tcBorders>
            <w:vAlign w:val="top"/>
          </w:tcPr>
          <w:p w14:paraId="13D2A7AE">
            <w:pPr>
              <w:spacing w:line="241" w:lineRule="exact"/>
              <w:rPr>
                <w:rFonts w:ascii="Arial"/>
                <w:sz w:val="20"/>
              </w:rPr>
            </w:pPr>
          </w:p>
        </w:tc>
      </w:tr>
    </w:tbl>
    <w:p w14:paraId="2F474BBF">
      <w:pPr>
        <w:rPr>
          <w:rFonts w:ascii="Arial"/>
          <w:sz w:val="21"/>
        </w:rPr>
      </w:pPr>
    </w:p>
    <w:p w14:paraId="3C99C163">
      <w:pPr>
        <w:rPr>
          <w:rFonts w:ascii="Arial" w:hAnsi="Arial" w:eastAsia="Arial" w:cs="Arial"/>
          <w:sz w:val="21"/>
          <w:szCs w:val="21"/>
        </w:rPr>
        <w:sectPr>
          <w:footerReference r:id="rId61" w:type="default"/>
          <w:pgSz w:w="11908" w:h="16840"/>
          <w:pgMar w:top="1431" w:right="1489" w:bottom="1053" w:left="1489" w:header="0" w:footer="801" w:gutter="0"/>
          <w:cols w:space="720" w:num="1"/>
        </w:sectPr>
      </w:pPr>
    </w:p>
    <w:p w14:paraId="7980AFDE">
      <w:pPr>
        <w:spacing w:before="28"/>
      </w:pPr>
    </w:p>
    <w:tbl>
      <w:tblPr>
        <w:tblStyle w:val="5"/>
        <w:tblW w:w="891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1"/>
        <w:gridCol w:w="112"/>
        <w:gridCol w:w="525"/>
        <w:gridCol w:w="503"/>
        <w:gridCol w:w="973"/>
        <w:gridCol w:w="989"/>
        <w:gridCol w:w="937"/>
        <w:gridCol w:w="515"/>
        <w:gridCol w:w="1293"/>
        <w:gridCol w:w="344"/>
        <w:gridCol w:w="898"/>
        <w:gridCol w:w="950"/>
        <w:gridCol w:w="123"/>
      </w:tblGrid>
      <w:tr w14:paraId="0FD3F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 w:hRule="atLeast"/>
        </w:trPr>
        <w:tc>
          <w:tcPr>
            <w:tcW w:w="751" w:type="dxa"/>
            <w:vMerge w:val="restart"/>
            <w:tcBorders>
              <w:left w:val="single" w:color="000000" w:sz="6" w:space="0"/>
              <w:bottom w:val="nil"/>
            </w:tcBorders>
            <w:vAlign w:val="top"/>
          </w:tcPr>
          <w:p w14:paraId="23794EE6">
            <w:pPr>
              <w:spacing w:line="250" w:lineRule="auto"/>
              <w:rPr>
                <w:rFonts w:ascii="Arial"/>
                <w:sz w:val="21"/>
              </w:rPr>
            </w:pPr>
          </w:p>
          <w:p w14:paraId="48DB70EE">
            <w:pPr>
              <w:spacing w:line="250" w:lineRule="auto"/>
              <w:rPr>
                <w:rFonts w:ascii="Arial"/>
                <w:sz w:val="21"/>
              </w:rPr>
            </w:pPr>
          </w:p>
          <w:p w14:paraId="27AC9A64">
            <w:pPr>
              <w:spacing w:line="250" w:lineRule="auto"/>
              <w:rPr>
                <w:rFonts w:ascii="Arial"/>
                <w:sz w:val="21"/>
              </w:rPr>
            </w:pPr>
          </w:p>
          <w:p w14:paraId="2FAA75F7">
            <w:pPr>
              <w:spacing w:line="250" w:lineRule="auto"/>
              <w:rPr>
                <w:rFonts w:ascii="Arial"/>
                <w:sz w:val="21"/>
              </w:rPr>
            </w:pPr>
          </w:p>
          <w:p w14:paraId="6B71CD4D">
            <w:pPr>
              <w:spacing w:line="250" w:lineRule="auto"/>
              <w:rPr>
                <w:rFonts w:ascii="Arial"/>
                <w:sz w:val="21"/>
              </w:rPr>
            </w:pPr>
          </w:p>
          <w:p w14:paraId="3D4413EF">
            <w:pPr>
              <w:spacing w:line="250" w:lineRule="auto"/>
              <w:rPr>
                <w:rFonts w:ascii="Arial"/>
                <w:sz w:val="21"/>
              </w:rPr>
            </w:pPr>
          </w:p>
          <w:p w14:paraId="64EC22FD">
            <w:pPr>
              <w:spacing w:line="250" w:lineRule="auto"/>
              <w:rPr>
                <w:rFonts w:ascii="Arial"/>
                <w:sz w:val="21"/>
              </w:rPr>
            </w:pPr>
          </w:p>
          <w:p w14:paraId="075A4F21">
            <w:pPr>
              <w:spacing w:line="250" w:lineRule="auto"/>
              <w:rPr>
                <w:rFonts w:ascii="Arial"/>
                <w:sz w:val="21"/>
              </w:rPr>
            </w:pPr>
          </w:p>
          <w:p w14:paraId="448DFFDC">
            <w:pPr>
              <w:spacing w:line="250" w:lineRule="auto"/>
              <w:rPr>
                <w:rFonts w:ascii="Arial"/>
                <w:sz w:val="21"/>
              </w:rPr>
            </w:pPr>
          </w:p>
          <w:p w14:paraId="4D284757">
            <w:pPr>
              <w:spacing w:line="250" w:lineRule="auto"/>
              <w:rPr>
                <w:rFonts w:ascii="Arial"/>
                <w:sz w:val="21"/>
              </w:rPr>
            </w:pPr>
          </w:p>
          <w:p w14:paraId="1DEA4578">
            <w:pPr>
              <w:spacing w:line="250" w:lineRule="auto"/>
              <w:rPr>
                <w:rFonts w:ascii="Arial"/>
                <w:sz w:val="21"/>
              </w:rPr>
            </w:pPr>
          </w:p>
          <w:p w14:paraId="4A3E8B16">
            <w:pPr>
              <w:spacing w:line="250" w:lineRule="auto"/>
              <w:rPr>
                <w:rFonts w:ascii="Arial"/>
                <w:sz w:val="21"/>
              </w:rPr>
            </w:pPr>
          </w:p>
          <w:p w14:paraId="7274123C">
            <w:pPr>
              <w:spacing w:line="251" w:lineRule="auto"/>
              <w:rPr>
                <w:rFonts w:ascii="Arial"/>
                <w:sz w:val="21"/>
              </w:rPr>
            </w:pPr>
          </w:p>
          <w:p w14:paraId="7B1BFAAE">
            <w:pPr>
              <w:spacing w:line="251" w:lineRule="auto"/>
              <w:rPr>
                <w:rFonts w:ascii="Arial"/>
                <w:sz w:val="21"/>
              </w:rPr>
            </w:pPr>
          </w:p>
          <w:p w14:paraId="0E48D580">
            <w:pPr>
              <w:spacing w:line="251" w:lineRule="auto"/>
              <w:rPr>
                <w:rFonts w:ascii="Arial"/>
                <w:sz w:val="21"/>
              </w:rPr>
            </w:pPr>
          </w:p>
          <w:p w14:paraId="65A7D150">
            <w:pPr>
              <w:spacing w:line="251" w:lineRule="auto"/>
              <w:rPr>
                <w:rFonts w:ascii="Arial"/>
                <w:sz w:val="21"/>
              </w:rPr>
            </w:pPr>
          </w:p>
          <w:p w14:paraId="36A46541">
            <w:pPr>
              <w:spacing w:line="251" w:lineRule="auto"/>
              <w:rPr>
                <w:rFonts w:ascii="Arial"/>
                <w:sz w:val="21"/>
              </w:rPr>
            </w:pPr>
          </w:p>
          <w:p w14:paraId="47EC8C5F">
            <w:pPr>
              <w:spacing w:line="251" w:lineRule="auto"/>
              <w:rPr>
                <w:rFonts w:ascii="Arial"/>
                <w:sz w:val="21"/>
              </w:rPr>
            </w:pPr>
          </w:p>
          <w:p w14:paraId="17DB4697">
            <w:pPr>
              <w:spacing w:line="251" w:lineRule="auto"/>
              <w:rPr>
                <w:rFonts w:ascii="Arial"/>
                <w:sz w:val="21"/>
              </w:rPr>
            </w:pPr>
          </w:p>
          <w:p w14:paraId="450F6AE5">
            <w:pPr>
              <w:spacing w:line="251" w:lineRule="auto"/>
              <w:rPr>
                <w:rFonts w:ascii="Arial"/>
                <w:sz w:val="21"/>
              </w:rPr>
            </w:pPr>
          </w:p>
          <w:p w14:paraId="747CA919">
            <w:pPr>
              <w:pStyle w:val="6"/>
              <w:spacing w:before="68" w:line="220" w:lineRule="auto"/>
              <w:ind w:left="162"/>
            </w:pPr>
            <w:r>
              <w:rPr>
                <w:b/>
                <w:bCs/>
                <w:spacing w:val="-4"/>
              </w:rPr>
              <w:t>运营</w:t>
            </w:r>
          </w:p>
          <w:p w14:paraId="525930AB">
            <w:pPr>
              <w:pStyle w:val="6"/>
              <w:spacing w:before="22" w:line="220" w:lineRule="auto"/>
              <w:ind w:left="164"/>
            </w:pPr>
            <w:r>
              <w:rPr>
                <w:b/>
                <w:bCs/>
                <w:spacing w:val="-5"/>
              </w:rPr>
              <w:t>期环</w:t>
            </w:r>
          </w:p>
          <w:p w14:paraId="078E9E54">
            <w:pPr>
              <w:pStyle w:val="6"/>
              <w:spacing w:before="22" w:line="220" w:lineRule="auto"/>
              <w:ind w:left="163"/>
            </w:pPr>
            <w:r>
              <w:rPr>
                <w:b/>
                <w:bCs/>
                <w:spacing w:val="-5"/>
              </w:rPr>
              <w:t>境影</w:t>
            </w:r>
          </w:p>
          <w:p w14:paraId="41935982">
            <w:pPr>
              <w:pStyle w:val="6"/>
              <w:spacing w:before="22" w:line="222" w:lineRule="auto"/>
              <w:ind w:left="173"/>
            </w:pPr>
            <w:r>
              <w:rPr>
                <w:b/>
                <w:bCs/>
                <w:spacing w:val="-7"/>
              </w:rPr>
              <w:t>响和</w:t>
            </w:r>
          </w:p>
          <w:p w14:paraId="07CC268B">
            <w:pPr>
              <w:pStyle w:val="6"/>
              <w:spacing w:before="18" w:line="220" w:lineRule="auto"/>
              <w:ind w:left="163"/>
            </w:pPr>
            <w:r>
              <w:rPr>
                <w:b/>
                <w:bCs/>
                <w:spacing w:val="-5"/>
              </w:rPr>
              <w:t>保护</w:t>
            </w:r>
          </w:p>
          <w:p w14:paraId="33FFB63D">
            <w:pPr>
              <w:pStyle w:val="6"/>
              <w:spacing w:before="22" w:line="220" w:lineRule="auto"/>
              <w:ind w:left="162"/>
            </w:pPr>
            <w:r>
              <w:rPr>
                <w:b/>
                <w:bCs/>
                <w:spacing w:val="-4"/>
              </w:rPr>
              <w:t>措施</w:t>
            </w:r>
          </w:p>
        </w:tc>
        <w:tc>
          <w:tcPr>
            <w:tcW w:w="637" w:type="dxa"/>
            <w:gridSpan w:val="2"/>
            <w:vAlign w:val="top"/>
          </w:tcPr>
          <w:p w14:paraId="67EF76B1">
            <w:pPr>
              <w:rPr>
                <w:rFonts w:ascii="Arial"/>
                <w:sz w:val="21"/>
              </w:rPr>
            </w:pPr>
          </w:p>
        </w:tc>
        <w:tc>
          <w:tcPr>
            <w:tcW w:w="1476" w:type="dxa"/>
            <w:gridSpan w:val="2"/>
            <w:vAlign w:val="top"/>
          </w:tcPr>
          <w:p w14:paraId="0D1A4968">
            <w:pPr>
              <w:rPr>
                <w:rFonts w:ascii="Arial"/>
                <w:sz w:val="21"/>
              </w:rPr>
            </w:pPr>
          </w:p>
        </w:tc>
        <w:tc>
          <w:tcPr>
            <w:tcW w:w="989" w:type="dxa"/>
            <w:vAlign w:val="top"/>
          </w:tcPr>
          <w:p w14:paraId="70C71E4C">
            <w:pPr>
              <w:rPr>
                <w:rFonts w:ascii="Arial"/>
                <w:sz w:val="21"/>
              </w:rPr>
            </w:pPr>
          </w:p>
        </w:tc>
        <w:tc>
          <w:tcPr>
            <w:tcW w:w="1452" w:type="dxa"/>
            <w:gridSpan w:val="2"/>
            <w:vAlign w:val="top"/>
          </w:tcPr>
          <w:p w14:paraId="319A5E73">
            <w:pPr>
              <w:rPr>
                <w:rFonts w:ascii="Arial"/>
                <w:sz w:val="21"/>
              </w:rPr>
            </w:pPr>
          </w:p>
        </w:tc>
        <w:tc>
          <w:tcPr>
            <w:tcW w:w="1293" w:type="dxa"/>
            <w:vAlign w:val="top"/>
          </w:tcPr>
          <w:p w14:paraId="6FCECEB9">
            <w:pPr>
              <w:rPr>
                <w:rFonts w:ascii="Arial"/>
                <w:sz w:val="21"/>
              </w:rPr>
            </w:pPr>
          </w:p>
        </w:tc>
        <w:tc>
          <w:tcPr>
            <w:tcW w:w="1242" w:type="dxa"/>
            <w:gridSpan w:val="2"/>
            <w:vAlign w:val="top"/>
          </w:tcPr>
          <w:p w14:paraId="6B23BB96">
            <w:pPr>
              <w:rPr>
                <w:rFonts w:ascii="Arial"/>
                <w:sz w:val="21"/>
              </w:rPr>
            </w:pPr>
          </w:p>
        </w:tc>
        <w:tc>
          <w:tcPr>
            <w:tcW w:w="1073" w:type="dxa"/>
            <w:gridSpan w:val="2"/>
            <w:tcBorders>
              <w:right w:val="single" w:color="000000" w:sz="6" w:space="0"/>
            </w:tcBorders>
            <w:vAlign w:val="top"/>
          </w:tcPr>
          <w:p w14:paraId="06D9676E">
            <w:pPr>
              <w:pStyle w:val="6"/>
              <w:spacing w:before="42" w:line="206" w:lineRule="auto"/>
              <w:ind w:left="327"/>
              <w:rPr>
                <w:sz w:val="18"/>
                <w:szCs w:val="18"/>
              </w:rPr>
            </w:pPr>
            <w:r>
              <w:rPr>
                <w:spacing w:val="-3"/>
                <w:sz w:val="18"/>
                <w:szCs w:val="18"/>
              </w:rPr>
              <w:t>维修</w:t>
            </w:r>
          </w:p>
        </w:tc>
      </w:tr>
      <w:tr w14:paraId="1C2B2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751" w:type="dxa"/>
            <w:vMerge w:val="continue"/>
            <w:tcBorders>
              <w:top w:val="nil"/>
              <w:left w:val="single" w:color="000000" w:sz="6" w:space="0"/>
              <w:bottom w:val="nil"/>
            </w:tcBorders>
            <w:vAlign w:val="top"/>
          </w:tcPr>
          <w:p w14:paraId="3A7FF8C0">
            <w:pPr>
              <w:rPr>
                <w:rFonts w:ascii="Arial"/>
                <w:sz w:val="21"/>
              </w:rPr>
            </w:pPr>
          </w:p>
        </w:tc>
        <w:tc>
          <w:tcPr>
            <w:tcW w:w="637" w:type="dxa"/>
            <w:gridSpan w:val="2"/>
            <w:vAlign w:val="top"/>
          </w:tcPr>
          <w:p w14:paraId="42608C25">
            <w:pPr>
              <w:spacing w:before="172" w:line="235" w:lineRule="auto"/>
              <w:ind w:left="326"/>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476" w:type="dxa"/>
            <w:gridSpan w:val="2"/>
            <w:vAlign w:val="top"/>
          </w:tcPr>
          <w:p w14:paraId="363AB988">
            <w:pPr>
              <w:pStyle w:val="6"/>
              <w:spacing w:before="143" w:line="219" w:lineRule="auto"/>
              <w:ind w:left="496"/>
              <w:rPr>
                <w:sz w:val="18"/>
                <w:szCs w:val="18"/>
              </w:rPr>
            </w:pPr>
            <w:r>
              <w:rPr>
                <w:spacing w:val="-2"/>
                <w:sz w:val="18"/>
                <w:szCs w:val="18"/>
              </w:rPr>
              <w:t>粉碎机</w:t>
            </w:r>
          </w:p>
        </w:tc>
        <w:tc>
          <w:tcPr>
            <w:tcW w:w="989" w:type="dxa"/>
            <w:vAlign w:val="top"/>
          </w:tcPr>
          <w:p w14:paraId="421E5504">
            <w:pPr>
              <w:pStyle w:val="6"/>
              <w:spacing w:before="144" w:line="220" w:lineRule="auto"/>
              <w:ind w:left="222"/>
              <w:rPr>
                <w:sz w:val="18"/>
                <w:szCs w:val="18"/>
              </w:rPr>
            </w:pPr>
            <w:r>
              <w:rPr>
                <w:spacing w:val="-2"/>
                <w:sz w:val="18"/>
                <w:szCs w:val="18"/>
              </w:rPr>
              <w:t>颗粒物</w:t>
            </w:r>
          </w:p>
        </w:tc>
        <w:tc>
          <w:tcPr>
            <w:tcW w:w="1452" w:type="dxa"/>
            <w:gridSpan w:val="2"/>
            <w:vAlign w:val="top"/>
          </w:tcPr>
          <w:p w14:paraId="7F4CF727">
            <w:pPr>
              <w:pStyle w:val="6"/>
              <w:spacing w:before="143" w:line="220" w:lineRule="auto"/>
              <w:ind w:left="193"/>
              <w:rPr>
                <w:sz w:val="18"/>
                <w:szCs w:val="18"/>
              </w:rPr>
            </w:pPr>
            <w:r>
              <w:rPr>
                <w:spacing w:val="-3"/>
                <w:sz w:val="18"/>
                <w:szCs w:val="18"/>
              </w:rPr>
              <w:t>除尘设备故障</w:t>
            </w:r>
          </w:p>
        </w:tc>
        <w:tc>
          <w:tcPr>
            <w:tcW w:w="1293" w:type="dxa"/>
            <w:vAlign w:val="top"/>
          </w:tcPr>
          <w:p w14:paraId="0C5F32E0">
            <w:pPr>
              <w:spacing w:before="172" w:line="232" w:lineRule="auto"/>
              <w:ind w:left="31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1064.318</w:t>
            </w:r>
          </w:p>
        </w:tc>
        <w:tc>
          <w:tcPr>
            <w:tcW w:w="1242" w:type="dxa"/>
            <w:gridSpan w:val="2"/>
            <w:vAlign w:val="top"/>
          </w:tcPr>
          <w:p w14:paraId="531F6DB4">
            <w:pPr>
              <w:spacing w:before="172" w:line="232" w:lineRule="auto"/>
              <w:ind w:left="36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21.286</w:t>
            </w:r>
          </w:p>
        </w:tc>
        <w:tc>
          <w:tcPr>
            <w:tcW w:w="1073" w:type="dxa"/>
            <w:gridSpan w:val="2"/>
            <w:tcBorders>
              <w:right w:val="single" w:color="000000" w:sz="6" w:space="0"/>
            </w:tcBorders>
            <w:vAlign w:val="top"/>
          </w:tcPr>
          <w:p w14:paraId="513E0AEA">
            <w:pPr>
              <w:pStyle w:val="6"/>
              <w:spacing w:before="27" w:line="220" w:lineRule="auto"/>
              <w:ind w:left="144"/>
              <w:rPr>
                <w:sz w:val="18"/>
                <w:szCs w:val="18"/>
              </w:rPr>
            </w:pPr>
            <w:r>
              <w:rPr>
                <w:spacing w:val="-2"/>
                <w:sz w:val="18"/>
                <w:szCs w:val="18"/>
              </w:rPr>
              <w:t>及时停产</w:t>
            </w:r>
          </w:p>
          <w:p w14:paraId="17FD8F50">
            <w:pPr>
              <w:pStyle w:val="6"/>
              <w:spacing w:before="18" w:line="203" w:lineRule="auto"/>
              <w:ind w:left="327"/>
              <w:rPr>
                <w:sz w:val="18"/>
                <w:szCs w:val="18"/>
              </w:rPr>
            </w:pPr>
            <w:r>
              <w:rPr>
                <w:spacing w:val="-3"/>
                <w:sz w:val="18"/>
                <w:szCs w:val="18"/>
              </w:rPr>
              <w:t>维修</w:t>
            </w:r>
          </w:p>
        </w:tc>
      </w:tr>
      <w:tr w14:paraId="09EEA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7" w:hRule="atLeast"/>
        </w:trPr>
        <w:tc>
          <w:tcPr>
            <w:tcW w:w="751" w:type="dxa"/>
            <w:vMerge w:val="continue"/>
            <w:tcBorders>
              <w:top w:val="nil"/>
              <w:left w:val="single" w:color="000000" w:sz="6" w:space="0"/>
              <w:bottom w:val="nil"/>
            </w:tcBorders>
            <w:vAlign w:val="top"/>
          </w:tcPr>
          <w:p w14:paraId="49A35884">
            <w:pPr>
              <w:rPr>
                <w:rFonts w:ascii="Arial"/>
                <w:sz w:val="21"/>
              </w:rPr>
            </w:pPr>
          </w:p>
        </w:tc>
        <w:tc>
          <w:tcPr>
            <w:tcW w:w="8162" w:type="dxa"/>
            <w:gridSpan w:val="12"/>
            <w:tcBorders>
              <w:right w:val="single" w:color="000000" w:sz="6" w:space="0"/>
            </w:tcBorders>
            <w:vAlign w:val="top"/>
          </w:tcPr>
          <w:p w14:paraId="1F12B009">
            <w:pPr>
              <w:pStyle w:val="6"/>
              <w:spacing w:before="138" w:line="220" w:lineRule="auto"/>
              <w:ind w:left="529"/>
            </w:pPr>
            <w:r>
              <w:rPr>
                <w:spacing w:val="-2"/>
              </w:rPr>
              <w:t>为防止生产废气非正常工况排放，建设单位需满足以下环境管理要求：</w:t>
            </w:r>
          </w:p>
          <w:p w14:paraId="34A74AA1">
            <w:pPr>
              <w:pStyle w:val="6"/>
              <w:spacing w:before="152" w:line="307" w:lineRule="auto"/>
              <w:ind w:left="108" w:right="102" w:firstLine="417"/>
            </w:pPr>
            <w:r>
              <w:rPr>
                <w:rFonts w:ascii="Times New Roman" w:hAnsi="Times New Roman" w:eastAsia="Times New Roman" w:cs="Times New Roman"/>
                <w:spacing w:val="-1"/>
              </w:rPr>
              <w:t>a</w:t>
            </w:r>
            <w:r>
              <w:rPr>
                <w:spacing w:val="-1"/>
              </w:rPr>
              <w:t>）生产工艺设备、废气收集系统以及污染治理设施应同步运行。废气收集系统或</w:t>
            </w:r>
            <w:r>
              <w:rPr>
                <w:spacing w:val="8"/>
              </w:rPr>
              <w:t xml:space="preserve">  </w:t>
            </w:r>
            <w:r>
              <w:rPr>
                <w:spacing w:val="-1"/>
              </w:rPr>
              <w:t>污染治理设施发生故障或检修时，应停止运转对应的生产工艺设备，待检修完毕后</w:t>
            </w:r>
            <w:r>
              <w:rPr>
                <w:spacing w:val="-2"/>
              </w:rPr>
              <w:t>共同</w:t>
            </w:r>
            <w:r>
              <w:t xml:space="preserve"> </w:t>
            </w:r>
            <w:r>
              <w:rPr>
                <w:spacing w:val="-7"/>
              </w:rPr>
              <w:t>投入使用。</w:t>
            </w:r>
          </w:p>
          <w:p w14:paraId="09FD64C1">
            <w:pPr>
              <w:pStyle w:val="6"/>
              <w:spacing w:before="149" w:line="308" w:lineRule="auto"/>
              <w:ind w:left="105" w:right="102" w:firstLine="412"/>
            </w:pPr>
            <w:r>
              <w:rPr>
                <w:rFonts w:ascii="Times New Roman" w:hAnsi="Times New Roman" w:eastAsia="Times New Roman" w:cs="Times New Roman"/>
              </w:rPr>
              <w:t>b</w:t>
            </w:r>
            <w:r>
              <w:t>）建设单位应当按照相关法律法规、标准和技术规范等要求运行大气污染防</w:t>
            </w:r>
            <w:r>
              <w:rPr>
                <w:spacing w:val="-1"/>
              </w:rPr>
              <w:t>治设</w:t>
            </w:r>
            <w:r>
              <w:t xml:space="preserve"> </w:t>
            </w:r>
            <w:r>
              <w:rPr>
                <w:spacing w:val="-1"/>
              </w:rPr>
              <w:t>施并进行维护和管理，保证设施运行正常，处理、排放大气污染物符合相关国家污染物</w:t>
            </w:r>
            <w:r>
              <w:t xml:space="preserve"> </w:t>
            </w:r>
            <w:r>
              <w:rPr>
                <w:spacing w:val="-5"/>
              </w:rPr>
              <w:t>排放标准的规定。</w:t>
            </w:r>
          </w:p>
          <w:p w14:paraId="5419EF77">
            <w:pPr>
              <w:pStyle w:val="6"/>
              <w:spacing w:before="150" w:line="234" w:lineRule="auto"/>
              <w:ind w:left="112"/>
            </w:pPr>
            <w:r>
              <w:rPr>
                <w:rFonts w:ascii="Times New Roman" w:hAnsi="Times New Roman" w:eastAsia="Times New Roman" w:cs="Times New Roman"/>
                <w:b/>
                <w:bCs/>
                <w:spacing w:val="-3"/>
              </w:rPr>
              <w:t>1.5</w:t>
            </w:r>
            <w:r>
              <w:rPr>
                <w:b/>
                <w:bCs/>
                <w:spacing w:val="-3"/>
              </w:rPr>
              <w:t>废气排放口设置及监测计划</w:t>
            </w:r>
          </w:p>
          <w:p w14:paraId="0667C7B1">
            <w:pPr>
              <w:pStyle w:val="6"/>
              <w:spacing w:before="132" w:line="347" w:lineRule="auto"/>
              <w:ind w:left="109" w:right="156" w:firstLine="419"/>
              <w:jc w:val="both"/>
            </w:pPr>
            <w:r>
              <w:rPr>
                <w:spacing w:val="-1"/>
              </w:rPr>
              <w:t>参照依据《排污单位自行监测技术指南总则》</w:t>
            </w:r>
            <w:r>
              <w:rPr>
                <w:rFonts w:hint="eastAsia"/>
                <w:spacing w:val="-1"/>
                <w:lang w:eastAsia="zh-CN"/>
              </w:rPr>
              <w:t>（</w:t>
            </w:r>
            <w:r>
              <w:rPr>
                <w:rFonts w:ascii="Times New Roman" w:hAnsi="Times New Roman" w:eastAsia="Times New Roman" w:cs="Times New Roman"/>
                <w:spacing w:val="-1"/>
              </w:rPr>
              <w:t>HJ819-2017)</w:t>
            </w:r>
            <w:r>
              <w:rPr>
                <w:rFonts w:ascii="Times New Roman" w:hAnsi="Times New Roman" w:eastAsia="Times New Roman" w:cs="Times New Roman"/>
                <w:spacing w:val="-31"/>
              </w:rPr>
              <w:t xml:space="preserve"> </w:t>
            </w:r>
            <w:r>
              <w:rPr>
                <w:spacing w:val="-1"/>
              </w:rPr>
              <w:t>、</w:t>
            </w:r>
            <w:r>
              <w:rPr>
                <w:spacing w:val="-2"/>
              </w:rPr>
              <w:t>《排污许可证申请与</w:t>
            </w:r>
            <w:r>
              <w:t xml:space="preserve"> </w:t>
            </w:r>
            <w:r>
              <w:rPr>
                <w:spacing w:val="-1"/>
              </w:rPr>
              <w:t>核发技术规范 工业炉窑》</w:t>
            </w:r>
            <w:r>
              <w:rPr>
                <w:rFonts w:hint="eastAsia"/>
                <w:spacing w:val="-1"/>
                <w:lang w:eastAsia="zh-CN"/>
              </w:rPr>
              <w:t>（</w:t>
            </w:r>
            <w:r>
              <w:rPr>
                <w:rFonts w:ascii="Times New Roman" w:hAnsi="Times New Roman" w:eastAsia="Times New Roman" w:cs="Times New Roman"/>
                <w:spacing w:val="-1"/>
              </w:rPr>
              <w:t>HJ1121-2020)</w:t>
            </w:r>
            <w:r>
              <w:rPr>
                <w:rFonts w:ascii="Times New Roman" w:hAnsi="Times New Roman" w:eastAsia="Times New Roman" w:cs="Times New Roman"/>
                <w:spacing w:val="-21"/>
              </w:rPr>
              <w:t xml:space="preserve"> </w:t>
            </w:r>
            <w:r>
              <w:rPr>
                <w:spacing w:val="-1"/>
              </w:rPr>
              <w:t>，项目废气监测项目、频次及点位的选取详见</w:t>
            </w:r>
            <w:r>
              <w:t xml:space="preserve"> </w:t>
            </w:r>
            <w:r>
              <w:rPr>
                <w:spacing w:val="-14"/>
              </w:rPr>
              <w:t>下表：</w:t>
            </w:r>
          </w:p>
          <w:p w14:paraId="1BD3B6C9">
            <w:pPr>
              <w:pStyle w:val="6"/>
              <w:spacing w:before="25" w:line="221" w:lineRule="auto"/>
              <w:ind w:left="2492"/>
              <w:rPr>
                <w:sz w:val="20"/>
                <w:szCs w:val="20"/>
              </w:rPr>
            </w:pPr>
            <w:r>
              <w:rPr>
                <w:b/>
                <w:bCs/>
                <w:spacing w:val="-1"/>
                <w:sz w:val="20"/>
                <w:szCs w:val="20"/>
              </w:rPr>
              <w:t>表</w:t>
            </w:r>
            <w:r>
              <w:rPr>
                <w:rFonts w:ascii="Times New Roman" w:hAnsi="Times New Roman" w:eastAsia="Times New Roman" w:cs="Times New Roman"/>
                <w:b/>
                <w:bCs/>
                <w:spacing w:val="-1"/>
                <w:sz w:val="20"/>
                <w:szCs w:val="20"/>
              </w:rPr>
              <w:t xml:space="preserve">4-7      </w:t>
            </w:r>
            <w:r>
              <w:rPr>
                <w:b/>
                <w:bCs/>
                <w:spacing w:val="-1"/>
                <w:sz w:val="20"/>
                <w:szCs w:val="20"/>
              </w:rPr>
              <w:t>营运期大气自行监测方</w:t>
            </w:r>
            <w:r>
              <w:rPr>
                <w:b/>
                <w:bCs/>
                <w:spacing w:val="-2"/>
                <w:sz w:val="20"/>
                <w:szCs w:val="20"/>
              </w:rPr>
              <w:t>案一览表</w:t>
            </w:r>
          </w:p>
        </w:tc>
      </w:tr>
      <w:tr w14:paraId="6B458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751" w:type="dxa"/>
            <w:vMerge w:val="continue"/>
            <w:tcBorders>
              <w:top w:val="nil"/>
              <w:left w:val="single" w:color="000000" w:sz="6" w:space="0"/>
              <w:bottom w:val="nil"/>
            </w:tcBorders>
            <w:vAlign w:val="top"/>
          </w:tcPr>
          <w:p w14:paraId="053CF9AB">
            <w:pPr>
              <w:rPr>
                <w:rFonts w:ascii="Arial"/>
                <w:sz w:val="21"/>
              </w:rPr>
            </w:pPr>
          </w:p>
        </w:tc>
        <w:tc>
          <w:tcPr>
            <w:tcW w:w="112" w:type="dxa"/>
            <w:tcBorders>
              <w:right w:val="single" w:color="000000" w:sz="8" w:space="0"/>
            </w:tcBorders>
            <w:vAlign w:val="top"/>
          </w:tcPr>
          <w:p w14:paraId="7B61E444">
            <w:pPr>
              <w:rPr>
                <w:rFonts w:ascii="Arial"/>
                <w:sz w:val="21"/>
              </w:rPr>
            </w:pPr>
          </w:p>
        </w:tc>
        <w:tc>
          <w:tcPr>
            <w:tcW w:w="1028" w:type="dxa"/>
            <w:gridSpan w:val="2"/>
            <w:tcBorders>
              <w:left w:val="single" w:color="000000" w:sz="8" w:space="0"/>
            </w:tcBorders>
            <w:vAlign w:val="top"/>
          </w:tcPr>
          <w:p w14:paraId="3DA73172">
            <w:pPr>
              <w:pStyle w:val="6"/>
              <w:spacing w:before="37" w:line="201" w:lineRule="auto"/>
              <w:ind w:left="101"/>
              <w:rPr>
                <w:sz w:val="20"/>
                <w:szCs w:val="20"/>
              </w:rPr>
            </w:pPr>
            <w:r>
              <w:rPr>
                <w:b/>
                <w:bCs/>
                <w:spacing w:val="-4"/>
                <w:sz w:val="20"/>
                <w:szCs w:val="20"/>
              </w:rPr>
              <w:t>监测类别</w:t>
            </w:r>
          </w:p>
        </w:tc>
        <w:tc>
          <w:tcPr>
            <w:tcW w:w="973" w:type="dxa"/>
            <w:vAlign w:val="top"/>
          </w:tcPr>
          <w:p w14:paraId="3B3C5138">
            <w:pPr>
              <w:pStyle w:val="6"/>
              <w:spacing w:before="37" w:line="201" w:lineRule="auto"/>
              <w:ind w:left="90"/>
              <w:rPr>
                <w:sz w:val="20"/>
                <w:szCs w:val="20"/>
              </w:rPr>
            </w:pPr>
            <w:r>
              <w:rPr>
                <w:b/>
                <w:bCs/>
                <w:spacing w:val="-4"/>
                <w:sz w:val="20"/>
                <w:szCs w:val="20"/>
              </w:rPr>
              <w:t>监测点位</w:t>
            </w:r>
          </w:p>
        </w:tc>
        <w:tc>
          <w:tcPr>
            <w:tcW w:w="989" w:type="dxa"/>
            <w:vAlign w:val="top"/>
          </w:tcPr>
          <w:p w14:paraId="4F5493CE">
            <w:pPr>
              <w:pStyle w:val="6"/>
              <w:spacing w:before="37" w:line="201" w:lineRule="auto"/>
              <w:ind w:left="108"/>
              <w:rPr>
                <w:sz w:val="20"/>
                <w:szCs w:val="20"/>
              </w:rPr>
            </w:pPr>
            <w:r>
              <w:rPr>
                <w:b/>
                <w:bCs/>
                <w:spacing w:val="-4"/>
                <w:sz w:val="20"/>
                <w:szCs w:val="20"/>
              </w:rPr>
              <w:t>监测指标</w:t>
            </w:r>
          </w:p>
        </w:tc>
        <w:tc>
          <w:tcPr>
            <w:tcW w:w="937" w:type="dxa"/>
            <w:vAlign w:val="top"/>
          </w:tcPr>
          <w:p w14:paraId="22058D26">
            <w:pPr>
              <w:pStyle w:val="6"/>
              <w:spacing w:before="37" w:line="201" w:lineRule="auto"/>
              <w:ind w:left="83"/>
              <w:rPr>
                <w:sz w:val="20"/>
                <w:szCs w:val="20"/>
              </w:rPr>
            </w:pPr>
            <w:r>
              <w:rPr>
                <w:b/>
                <w:bCs/>
                <w:spacing w:val="-4"/>
                <w:sz w:val="20"/>
                <w:szCs w:val="20"/>
              </w:rPr>
              <w:t>监测频次</w:t>
            </w:r>
          </w:p>
        </w:tc>
        <w:tc>
          <w:tcPr>
            <w:tcW w:w="2152" w:type="dxa"/>
            <w:gridSpan w:val="3"/>
            <w:vAlign w:val="top"/>
          </w:tcPr>
          <w:p w14:paraId="6FA03B56">
            <w:pPr>
              <w:pStyle w:val="6"/>
              <w:spacing w:before="37" w:line="201" w:lineRule="auto"/>
              <w:ind w:left="489"/>
              <w:rPr>
                <w:sz w:val="20"/>
                <w:szCs w:val="20"/>
              </w:rPr>
            </w:pPr>
            <w:r>
              <w:rPr>
                <w:b/>
                <w:bCs/>
                <w:spacing w:val="-3"/>
                <w:sz w:val="20"/>
                <w:szCs w:val="20"/>
              </w:rPr>
              <w:t>执行排放标准</w:t>
            </w:r>
          </w:p>
        </w:tc>
        <w:tc>
          <w:tcPr>
            <w:tcW w:w="1848" w:type="dxa"/>
            <w:gridSpan w:val="2"/>
            <w:tcBorders>
              <w:right w:val="single" w:color="000000" w:sz="8" w:space="0"/>
            </w:tcBorders>
            <w:vAlign w:val="top"/>
          </w:tcPr>
          <w:p w14:paraId="79327723">
            <w:pPr>
              <w:pStyle w:val="6"/>
              <w:spacing w:before="37" w:line="201" w:lineRule="auto"/>
              <w:ind w:left="337"/>
              <w:rPr>
                <w:sz w:val="20"/>
                <w:szCs w:val="20"/>
              </w:rPr>
            </w:pPr>
            <w:r>
              <w:rPr>
                <w:b/>
                <w:bCs/>
                <w:spacing w:val="-3"/>
                <w:sz w:val="20"/>
                <w:szCs w:val="20"/>
              </w:rPr>
              <w:t>监测计划依据</w:t>
            </w:r>
          </w:p>
        </w:tc>
        <w:tc>
          <w:tcPr>
            <w:tcW w:w="123" w:type="dxa"/>
            <w:tcBorders>
              <w:left w:val="single" w:color="000000" w:sz="8" w:space="0"/>
              <w:right w:val="single" w:color="000000" w:sz="6" w:space="0"/>
            </w:tcBorders>
            <w:vAlign w:val="top"/>
          </w:tcPr>
          <w:p w14:paraId="62FE7249">
            <w:pPr>
              <w:rPr>
                <w:rFonts w:ascii="Arial"/>
                <w:sz w:val="21"/>
              </w:rPr>
            </w:pPr>
          </w:p>
        </w:tc>
      </w:tr>
      <w:tr w14:paraId="5E04B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751" w:type="dxa"/>
            <w:vMerge w:val="continue"/>
            <w:tcBorders>
              <w:top w:val="nil"/>
              <w:left w:val="single" w:color="000000" w:sz="6" w:space="0"/>
              <w:bottom w:val="nil"/>
            </w:tcBorders>
            <w:vAlign w:val="top"/>
          </w:tcPr>
          <w:p w14:paraId="77ACDD1D">
            <w:pPr>
              <w:rPr>
                <w:rFonts w:ascii="Arial"/>
                <w:sz w:val="21"/>
              </w:rPr>
            </w:pPr>
          </w:p>
        </w:tc>
        <w:tc>
          <w:tcPr>
            <w:tcW w:w="112" w:type="dxa"/>
            <w:vMerge w:val="restart"/>
            <w:tcBorders>
              <w:bottom w:val="nil"/>
              <w:right w:val="nil"/>
            </w:tcBorders>
            <w:vAlign w:val="top"/>
          </w:tcPr>
          <w:p w14:paraId="2E81D642">
            <w:pPr>
              <w:rPr>
                <w:rFonts w:ascii="Arial"/>
                <w:sz w:val="21"/>
              </w:rPr>
            </w:pPr>
          </w:p>
        </w:tc>
        <w:tc>
          <w:tcPr>
            <w:tcW w:w="1028" w:type="dxa"/>
            <w:gridSpan w:val="2"/>
            <w:vMerge w:val="restart"/>
            <w:tcBorders>
              <w:left w:val="nil"/>
              <w:bottom w:val="nil"/>
            </w:tcBorders>
            <w:vAlign w:val="top"/>
          </w:tcPr>
          <w:p w14:paraId="7F07F6BD">
            <w:pPr>
              <w:spacing w:line="297" w:lineRule="auto"/>
              <w:rPr>
                <w:rFonts w:ascii="Arial"/>
                <w:sz w:val="21"/>
              </w:rPr>
            </w:pPr>
          </w:p>
          <w:p w14:paraId="6C193771">
            <w:pPr>
              <w:spacing w:line="297" w:lineRule="auto"/>
              <w:rPr>
                <w:rFonts w:ascii="Arial"/>
                <w:sz w:val="21"/>
              </w:rPr>
            </w:pPr>
          </w:p>
          <w:p w14:paraId="6172368F">
            <w:pPr>
              <w:spacing w:line="298" w:lineRule="auto"/>
              <w:rPr>
                <w:rFonts w:ascii="Arial"/>
                <w:sz w:val="21"/>
              </w:rPr>
            </w:pPr>
          </w:p>
          <w:p w14:paraId="2578AD76">
            <w:pPr>
              <w:pStyle w:val="6"/>
              <w:spacing w:before="65" w:line="221" w:lineRule="auto"/>
              <w:ind w:left="311"/>
              <w:rPr>
                <w:sz w:val="20"/>
                <w:szCs w:val="20"/>
              </w:rPr>
            </w:pPr>
            <w:r>
              <w:rPr>
                <w:spacing w:val="-2"/>
                <w:sz w:val="20"/>
                <w:szCs w:val="20"/>
              </w:rPr>
              <w:t>废气</w:t>
            </w:r>
          </w:p>
        </w:tc>
        <w:tc>
          <w:tcPr>
            <w:tcW w:w="973" w:type="dxa"/>
            <w:vMerge w:val="restart"/>
            <w:tcBorders>
              <w:bottom w:val="nil"/>
            </w:tcBorders>
            <w:vAlign w:val="top"/>
          </w:tcPr>
          <w:p w14:paraId="605E9D95">
            <w:pPr>
              <w:spacing w:line="337" w:lineRule="auto"/>
              <w:rPr>
                <w:rFonts w:ascii="Arial"/>
                <w:sz w:val="21"/>
              </w:rPr>
            </w:pPr>
          </w:p>
          <w:p w14:paraId="2A60CBF0">
            <w:pPr>
              <w:spacing w:line="337" w:lineRule="auto"/>
              <w:rPr>
                <w:rFonts w:ascii="Arial"/>
                <w:sz w:val="21"/>
              </w:rPr>
            </w:pPr>
          </w:p>
          <w:p w14:paraId="35B3DF94">
            <w:pPr>
              <w:spacing w:before="57" w:line="187" w:lineRule="auto"/>
              <w:ind w:left="19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DA001</w:t>
            </w:r>
          </w:p>
        </w:tc>
        <w:tc>
          <w:tcPr>
            <w:tcW w:w="989" w:type="dxa"/>
            <w:vAlign w:val="top"/>
          </w:tcPr>
          <w:p w14:paraId="3AD3700E">
            <w:pPr>
              <w:pStyle w:val="6"/>
              <w:spacing w:before="36" w:line="200" w:lineRule="auto"/>
              <w:ind w:left="207"/>
              <w:rPr>
                <w:sz w:val="20"/>
                <w:szCs w:val="20"/>
              </w:rPr>
            </w:pPr>
            <w:r>
              <w:rPr>
                <w:spacing w:val="-2"/>
                <w:sz w:val="20"/>
                <w:szCs w:val="20"/>
              </w:rPr>
              <w:t>颗粒物</w:t>
            </w:r>
          </w:p>
        </w:tc>
        <w:tc>
          <w:tcPr>
            <w:tcW w:w="937" w:type="dxa"/>
            <w:vMerge w:val="restart"/>
            <w:tcBorders>
              <w:bottom w:val="nil"/>
            </w:tcBorders>
            <w:vAlign w:val="top"/>
          </w:tcPr>
          <w:p w14:paraId="55CF14F8">
            <w:pPr>
              <w:pStyle w:val="6"/>
              <w:spacing w:before="305" w:line="234" w:lineRule="auto"/>
              <w:ind w:left="221"/>
              <w:rPr>
                <w:sz w:val="20"/>
                <w:szCs w:val="20"/>
              </w:rPr>
            </w:pPr>
            <w:r>
              <w:rPr>
                <w:rFonts w:ascii="Times New Roman" w:hAnsi="Times New Roman" w:eastAsia="Times New Roman" w:cs="Times New Roman"/>
                <w:spacing w:val="-6"/>
                <w:sz w:val="20"/>
                <w:szCs w:val="20"/>
              </w:rPr>
              <w:t>1</w:t>
            </w:r>
            <w:r>
              <w:rPr>
                <w:spacing w:val="-6"/>
                <w:sz w:val="20"/>
                <w:szCs w:val="20"/>
              </w:rPr>
              <w:t>次</w:t>
            </w:r>
            <w:r>
              <w:rPr>
                <w:rFonts w:ascii="Times New Roman" w:hAnsi="Times New Roman" w:eastAsia="Times New Roman" w:cs="Times New Roman"/>
                <w:spacing w:val="-6"/>
                <w:sz w:val="20"/>
                <w:szCs w:val="20"/>
              </w:rPr>
              <w:t>/</w:t>
            </w:r>
            <w:r>
              <w:rPr>
                <w:spacing w:val="-6"/>
                <w:sz w:val="20"/>
                <w:szCs w:val="20"/>
              </w:rPr>
              <w:t>年</w:t>
            </w:r>
          </w:p>
        </w:tc>
        <w:tc>
          <w:tcPr>
            <w:tcW w:w="2152" w:type="dxa"/>
            <w:gridSpan w:val="3"/>
            <w:vMerge w:val="restart"/>
            <w:tcBorders>
              <w:bottom w:val="nil"/>
            </w:tcBorders>
            <w:vAlign w:val="top"/>
          </w:tcPr>
          <w:p w14:paraId="7CA2A3C5">
            <w:pPr>
              <w:pStyle w:val="6"/>
              <w:spacing w:before="175" w:line="248" w:lineRule="auto"/>
              <w:ind w:left="45" w:firstLine="46"/>
              <w:rPr>
                <w:sz w:val="20"/>
                <w:szCs w:val="20"/>
              </w:rPr>
            </w:pPr>
            <w:r>
              <w:rPr>
                <w:spacing w:val="-8"/>
                <w:sz w:val="20"/>
                <w:szCs w:val="20"/>
              </w:rPr>
              <w:t>《大气污染物综合排放</w:t>
            </w:r>
            <w:r>
              <w:rPr>
                <w:spacing w:val="2"/>
                <w:sz w:val="20"/>
                <w:szCs w:val="20"/>
              </w:rPr>
              <w:t xml:space="preserve">  </w:t>
            </w:r>
            <w:r>
              <w:rPr>
                <w:spacing w:val="-9"/>
                <w:sz w:val="20"/>
                <w:szCs w:val="20"/>
              </w:rPr>
              <w:t>标准》（</w:t>
            </w:r>
            <w:r>
              <w:rPr>
                <w:rFonts w:ascii="Times New Roman" w:hAnsi="Times New Roman" w:eastAsia="Times New Roman" w:cs="Times New Roman"/>
                <w:spacing w:val="-9"/>
                <w:sz w:val="20"/>
                <w:szCs w:val="20"/>
              </w:rPr>
              <w:t>GB16297-1996</w:t>
            </w:r>
            <w:r>
              <w:rPr>
                <w:spacing w:val="-9"/>
                <w:sz w:val="20"/>
                <w:szCs w:val="20"/>
              </w:rPr>
              <w:t>）</w:t>
            </w:r>
          </w:p>
        </w:tc>
        <w:tc>
          <w:tcPr>
            <w:tcW w:w="1848" w:type="dxa"/>
            <w:gridSpan w:val="2"/>
            <w:vMerge w:val="restart"/>
            <w:tcBorders>
              <w:bottom w:val="nil"/>
              <w:right w:val="nil"/>
            </w:tcBorders>
            <w:vAlign w:val="top"/>
          </w:tcPr>
          <w:p w14:paraId="3E8FA435">
            <w:pPr>
              <w:spacing w:line="260" w:lineRule="auto"/>
              <w:rPr>
                <w:rFonts w:ascii="Arial"/>
                <w:sz w:val="21"/>
              </w:rPr>
            </w:pPr>
          </w:p>
          <w:p w14:paraId="740AB8C2">
            <w:pPr>
              <w:spacing w:line="261" w:lineRule="auto"/>
              <w:rPr>
                <w:rFonts w:ascii="Arial"/>
                <w:sz w:val="21"/>
              </w:rPr>
            </w:pPr>
          </w:p>
          <w:p w14:paraId="1317B3A0">
            <w:pPr>
              <w:pStyle w:val="6"/>
              <w:spacing w:before="65" w:line="220" w:lineRule="auto"/>
              <w:ind w:left="140"/>
              <w:rPr>
                <w:sz w:val="20"/>
                <w:szCs w:val="20"/>
              </w:rPr>
            </w:pPr>
            <w:r>
              <w:rPr>
                <w:spacing w:val="-2"/>
                <w:sz w:val="20"/>
                <w:szCs w:val="20"/>
              </w:rPr>
              <w:t>《排污许可证申请</w:t>
            </w:r>
          </w:p>
          <w:p w14:paraId="0FEE2DC6">
            <w:pPr>
              <w:pStyle w:val="6"/>
              <w:spacing w:before="20" w:line="220" w:lineRule="auto"/>
              <w:ind w:left="92"/>
              <w:rPr>
                <w:sz w:val="20"/>
                <w:szCs w:val="20"/>
              </w:rPr>
            </w:pPr>
            <w:r>
              <w:rPr>
                <w:spacing w:val="-1"/>
                <w:sz w:val="20"/>
                <w:szCs w:val="20"/>
              </w:rPr>
              <w:t>与核发技术规范工</w:t>
            </w:r>
          </w:p>
          <w:p w14:paraId="52D592B8">
            <w:pPr>
              <w:pStyle w:val="6"/>
              <w:spacing w:before="21" w:line="221" w:lineRule="auto"/>
              <w:ind w:left="537"/>
              <w:rPr>
                <w:sz w:val="20"/>
                <w:szCs w:val="20"/>
              </w:rPr>
            </w:pPr>
            <w:r>
              <w:rPr>
                <w:spacing w:val="-3"/>
                <w:sz w:val="20"/>
                <w:szCs w:val="20"/>
              </w:rPr>
              <w:t>业炉窑》</w:t>
            </w:r>
          </w:p>
          <w:p w14:paraId="6991986A">
            <w:pPr>
              <w:spacing w:before="37" w:line="191" w:lineRule="auto"/>
              <w:ind w:left="32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(HJ1121-2020)</w:t>
            </w:r>
          </w:p>
        </w:tc>
        <w:tc>
          <w:tcPr>
            <w:tcW w:w="123" w:type="dxa"/>
            <w:vMerge w:val="restart"/>
            <w:tcBorders>
              <w:left w:val="nil"/>
              <w:bottom w:val="nil"/>
              <w:right w:val="single" w:color="000000" w:sz="6" w:space="0"/>
            </w:tcBorders>
            <w:vAlign w:val="top"/>
          </w:tcPr>
          <w:p w14:paraId="32D6CE92">
            <w:pPr>
              <w:rPr>
                <w:rFonts w:ascii="Arial"/>
                <w:sz w:val="21"/>
              </w:rPr>
            </w:pPr>
          </w:p>
        </w:tc>
      </w:tr>
      <w:tr w14:paraId="697FE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751" w:type="dxa"/>
            <w:vMerge w:val="continue"/>
            <w:tcBorders>
              <w:top w:val="nil"/>
              <w:left w:val="single" w:color="000000" w:sz="6" w:space="0"/>
              <w:bottom w:val="nil"/>
            </w:tcBorders>
            <w:vAlign w:val="top"/>
          </w:tcPr>
          <w:p w14:paraId="5C32E9D5">
            <w:pPr>
              <w:rPr>
                <w:rFonts w:ascii="Arial"/>
                <w:sz w:val="21"/>
              </w:rPr>
            </w:pPr>
          </w:p>
        </w:tc>
        <w:tc>
          <w:tcPr>
            <w:tcW w:w="112" w:type="dxa"/>
            <w:vMerge w:val="continue"/>
            <w:tcBorders>
              <w:top w:val="nil"/>
              <w:bottom w:val="nil"/>
              <w:right w:val="nil"/>
            </w:tcBorders>
            <w:vAlign w:val="top"/>
          </w:tcPr>
          <w:p w14:paraId="484D94F2">
            <w:pPr>
              <w:rPr>
                <w:rFonts w:ascii="Arial"/>
                <w:sz w:val="21"/>
              </w:rPr>
            </w:pPr>
          </w:p>
        </w:tc>
        <w:tc>
          <w:tcPr>
            <w:tcW w:w="1028" w:type="dxa"/>
            <w:gridSpan w:val="2"/>
            <w:vMerge w:val="continue"/>
            <w:tcBorders>
              <w:top w:val="nil"/>
              <w:left w:val="nil"/>
              <w:bottom w:val="nil"/>
            </w:tcBorders>
            <w:vAlign w:val="top"/>
          </w:tcPr>
          <w:p w14:paraId="51892C03">
            <w:pPr>
              <w:rPr>
                <w:rFonts w:ascii="Arial"/>
                <w:sz w:val="21"/>
              </w:rPr>
            </w:pPr>
          </w:p>
        </w:tc>
        <w:tc>
          <w:tcPr>
            <w:tcW w:w="973" w:type="dxa"/>
            <w:vMerge w:val="continue"/>
            <w:tcBorders>
              <w:top w:val="nil"/>
              <w:bottom w:val="nil"/>
            </w:tcBorders>
            <w:vAlign w:val="top"/>
          </w:tcPr>
          <w:p w14:paraId="4ACEE715">
            <w:pPr>
              <w:rPr>
                <w:rFonts w:ascii="Arial"/>
                <w:sz w:val="21"/>
              </w:rPr>
            </w:pPr>
          </w:p>
        </w:tc>
        <w:tc>
          <w:tcPr>
            <w:tcW w:w="989" w:type="dxa"/>
            <w:vAlign w:val="top"/>
          </w:tcPr>
          <w:p w14:paraId="07604747">
            <w:pPr>
              <w:pStyle w:val="6"/>
              <w:spacing w:before="38" w:line="200" w:lineRule="auto"/>
              <w:ind w:left="112"/>
              <w:rPr>
                <w:sz w:val="20"/>
                <w:szCs w:val="20"/>
              </w:rPr>
            </w:pPr>
            <w:r>
              <w:rPr>
                <w:spacing w:val="-2"/>
                <w:sz w:val="20"/>
                <w:szCs w:val="20"/>
              </w:rPr>
              <w:t>二氧化硫</w:t>
            </w:r>
          </w:p>
        </w:tc>
        <w:tc>
          <w:tcPr>
            <w:tcW w:w="937" w:type="dxa"/>
            <w:vMerge w:val="continue"/>
            <w:tcBorders>
              <w:top w:val="nil"/>
              <w:bottom w:val="nil"/>
            </w:tcBorders>
            <w:vAlign w:val="top"/>
          </w:tcPr>
          <w:p w14:paraId="5B1FF44D">
            <w:pPr>
              <w:rPr>
                <w:rFonts w:ascii="Arial"/>
                <w:sz w:val="21"/>
              </w:rPr>
            </w:pPr>
          </w:p>
        </w:tc>
        <w:tc>
          <w:tcPr>
            <w:tcW w:w="2152" w:type="dxa"/>
            <w:gridSpan w:val="3"/>
            <w:vMerge w:val="continue"/>
            <w:tcBorders>
              <w:top w:val="nil"/>
              <w:bottom w:val="nil"/>
            </w:tcBorders>
            <w:vAlign w:val="top"/>
          </w:tcPr>
          <w:p w14:paraId="7EC56053">
            <w:pPr>
              <w:rPr>
                <w:rFonts w:ascii="Arial"/>
                <w:sz w:val="21"/>
              </w:rPr>
            </w:pPr>
          </w:p>
        </w:tc>
        <w:tc>
          <w:tcPr>
            <w:tcW w:w="1848" w:type="dxa"/>
            <w:gridSpan w:val="2"/>
            <w:vMerge w:val="continue"/>
            <w:tcBorders>
              <w:top w:val="nil"/>
              <w:bottom w:val="nil"/>
              <w:right w:val="nil"/>
            </w:tcBorders>
            <w:vAlign w:val="top"/>
          </w:tcPr>
          <w:p w14:paraId="43A11F60">
            <w:pPr>
              <w:rPr>
                <w:rFonts w:ascii="Arial"/>
                <w:sz w:val="21"/>
              </w:rPr>
            </w:pPr>
          </w:p>
        </w:tc>
        <w:tc>
          <w:tcPr>
            <w:tcW w:w="123" w:type="dxa"/>
            <w:vMerge w:val="continue"/>
            <w:tcBorders>
              <w:top w:val="nil"/>
              <w:left w:val="nil"/>
              <w:bottom w:val="nil"/>
              <w:right w:val="single" w:color="000000" w:sz="6" w:space="0"/>
            </w:tcBorders>
            <w:vAlign w:val="top"/>
          </w:tcPr>
          <w:p w14:paraId="1B3FB4D0">
            <w:pPr>
              <w:rPr>
                <w:rFonts w:ascii="Arial"/>
                <w:sz w:val="21"/>
              </w:rPr>
            </w:pPr>
          </w:p>
        </w:tc>
      </w:tr>
      <w:tr w14:paraId="4CE37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751" w:type="dxa"/>
            <w:vMerge w:val="continue"/>
            <w:tcBorders>
              <w:top w:val="nil"/>
              <w:left w:val="single" w:color="000000" w:sz="6" w:space="0"/>
              <w:bottom w:val="nil"/>
            </w:tcBorders>
            <w:vAlign w:val="top"/>
          </w:tcPr>
          <w:p w14:paraId="6141CBDC">
            <w:pPr>
              <w:rPr>
                <w:rFonts w:ascii="Arial"/>
                <w:sz w:val="21"/>
              </w:rPr>
            </w:pPr>
          </w:p>
        </w:tc>
        <w:tc>
          <w:tcPr>
            <w:tcW w:w="112" w:type="dxa"/>
            <w:vMerge w:val="continue"/>
            <w:tcBorders>
              <w:top w:val="nil"/>
              <w:bottom w:val="nil"/>
              <w:right w:val="nil"/>
            </w:tcBorders>
            <w:vAlign w:val="top"/>
          </w:tcPr>
          <w:p w14:paraId="5827BED3">
            <w:pPr>
              <w:rPr>
                <w:rFonts w:ascii="Arial"/>
                <w:sz w:val="21"/>
              </w:rPr>
            </w:pPr>
          </w:p>
        </w:tc>
        <w:tc>
          <w:tcPr>
            <w:tcW w:w="1028" w:type="dxa"/>
            <w:gridSpan w:val="2"/>
            <w:vMerge w:val="continue"/>
            <w:tcBorders>
              <w:top w:val="nil"/>
              <w:left w:val="nil"/>
              <w:bottom w:val="nil"/>
            </w:tcBorders>
            <w:vAlign w:val="top"/>
          </w:tcPr>
          <w:p w14:paraId="1187297D">
            <w:pPr>
              <w:rPr>
                <w:rFonts w:ascii="Arial"/>
                <w:sz w:val="21"/>
              </w:rPr>
            </w:pPr>
          </w:p>
        </w:tc>
        <w:tc>
          <w:tcPr>
            <w:tcW w:w="973" w:type="dxa"/>
            <w:vMerge w:val="continue"/>
            <w:tcBorders>
              <w:top w:val="nil"/>
              <w:bottom w:val="nil"/>
            </w:tcBorders>
            <w:vAlign w:val="top"/>
          </w:tcPr>
          <w:p w14:paraId="5B9799B7">
            <w:pPr>
              <w:rPr>
                <w:rFonts w:ascii="Arial"/>
                <w:sz w:val="21"/>
              </w:rPr>
            </w:pPr>
          </w:p>
        </w:tc>
        <w:tc>
          <w:tcPr>
            <w:tcW w:w="989" w:type="dxa"/>
            <w:vAlign w:val="top"/>
          </w:tcPr>
          <w:p w14:paraId="253773F4">
            <w:pPr>
              <w:pStyle w:val="6"/>
              <w:spacing w:before="37" w:line="199" w:lineRule="auto"/>
              <w:ind w:left="107"/>
              <w:rPr>
                <w:sz w:val="20"/>
                <w:szCs w:val="20"/>
              </w:rPr>
            </w:pPr>
            <w:r>
              <w:rPr>
                <w:spacing w:val="-1"/>
                <w:sz w:val="20"/>
                <w:szCs w:val="20"/>
              </w:rPr>
              <w:t>氮氧化物</w:t>
            </w:r>
          </w:p>
        </w:tc>
        <w:tc>
          <w:tcPr>
            <w:tcW w:w="937" w:type="dxa"/>
            <w:vMerge w:val="continue"/>
            <w:tcBorders>
              <w:top w:val="nil"/>
            </w:tcBorders>
            <w:vAlign w:val="top"/>
          </w:tcPr>
          <w:p w14:paraId="598E2110">
            <w:pPr>
              <w:rPr>
                <w:rFonts w:ascii="Arial"/>
                <w:sz w:val="21"/>
              </w:rPr>
            </w:pPr>
          </w:p>
        </w:tc>
        <w:tc>
          <w:tcPr>
            <w:tcW w:w="2152" w:type="dxa"/>
            <w:gridSpan w:val="3"/>
            <w:vMerge w:val="continue"/>
            <w:tcBorders>
              <w:top w:val="nil"/>
            </w:tcBorders>
            <w:vAlign w:val="top"/>
          </w:tcPr>
          <w:p w14:paraId="5AE11DD1">
            <w:pPr>
              <w:rPr>
                <w:rFonts w:ascii="Arial"/>
                <w:sz w:val="21"/>
              </w:rPr>
            </w:pPr>
          </w:p>
        </w:tc>
        <w:tc>
          <w:tcPr>
            <w:tcW w:w="1848" w:type="dxa"/>
            <w:gridSpan w:val="2"/>
            <w:vMerge w:val="continue"/>
            <w:tcBorders>
              <w:top w:val="nil"/>
              <w:bottom w:val="nil"/>
              <w:right w:val="nil"/>
            </w:tcBorders>
            <w:vAlign w:val="top"/>
          </w:tcPr>
          <w:p w14:paraId="6EDB2A9F">
            <w:pPr>
              <w:rPr>
                <w:rFonts w:ascii="Arial"/>
                <w:sz w:val="21"/>
              </w:rPr>
            </w:pPr>
          </w:p>
        </w:tc>
        <w:tc>
          <w:tcPr>
            <w:tcW w:w="123" w:type="dxa"/>
            <w:vMerge w:val="continue"/>
            <w:tcBorders>
              <w:top w:val="nil"/>
              <w:left w:val="nil"/>
              <w:bottom w:val="nil"/>
              <w:right w:val="single" w:color="000000" w:sz="6" w:space="0"/>
            </w:tcBorders>
            <w:vAlign w:val="top"/>
          </w:tcPr>
          <w:p w14:paraId="644CF8ED">
            <w:pPr>
              <w:rPr>
                <w:rFonts w:ascii="Arial"/>
                <w:sz w:val="21"/>
              </w:rPr>
            </w:pPr>
          </w:p>
        </w:tc>
      </w:tr>
      <w:tr w14:paraId="1086E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751" w:type="dxa"/>
            <w:vMerge w:val="continue"/>
            <w:tcBorders>
              <w:top w:val="nil"/>
              <w:left w:val="single" w:color="000000" w:sz="6" w:space="0"/>
              <w:bottom w:val="nil"/>
            </w:tcBorders>
            <w:vAlign w:val="top"/>
          </w:tcPr>
          <w:p w14:paraId="676728D2">
            <w:pPr>
              <w:rPr>
                <w:rFonts w:ascii="Arial"/>
                <w:sz w:val="21"/>
              </w:rPr>
            </w:pPr>
          </w:p>
        </w:tc>
        <w:tc>
          <w:tcPr>
            <w:tcW w:w="112" w:type="dxa"/>
            <w:vMerge w:val="continue"/>
            <w:tcBorders>
              <w:top w:val="nil"/>
              <w:bottom w:val="nil"/>
              <w:right w:val="nil"/>
            </w:tcBorders>
            <w:vAlign w:val="top"/>
          </w:tcPr>
          <w:p w14:paraId="3298550A">
            <w:pPr>
              <w:rPr>
                <w:rFonts w:ascii="Arial"/>
                <w:sz w:val="21"/>
              </w:rPr>
            </w:pPr>
          </w:p>
        </w:tc>
        <w:tc>
          <w:tcPr>
            <w:tcW w:w="1028" w:type="dxa"/>
            <w:gridSpan w:val="2"/>
            <w:vMerge w:val="continue"/>
            <w:tcBorders>
              <w:top w:val="nil"/>
              <w:left w:val="nil"/>
              <w:bottom w:val="nil"/>
            </w:tcBorders>
            <w:vAlign w:val="top"/>
          </w:tcPr>
          <w:p w14:paraId="4F2E4F7A">
            <w:pPr>
              <w:rPr>
                <w:rFonts w:ascii="Arial"/>
                <w:sz w:val="21"/>
              </w:rPr>
            </w:pPr>
          </w:p>
        </w:tc>
        <w:tc>
          <w:tcPr>
            <w:tcW w:w="973" w:type="dxa"/>
            <w:vMerge w:val="continue"/>
            <w:tcBorders>
              <w:top w:val="nil"/>
            </w:tcBorders>
            <w:vAlign w:val="top"/>
          </w:tcPr>
          <w:p w14:paraId="442AD2EF">
            <w:pPr>
              <w:rPr>
                <w:rFonts w:ascii="Arial"/>
                <w:sz w:val="21"/>
              </w:rPr>
            </w:pPr>
          </w:p>
        </w:tc>
        <w:tc>
          <w:tcPr>
            <w:tcW w:w="989" w:type="dxa"/>
            <w:vAlign w:val="top"/>
          </w:tcPr>
          <w:p w14:paraId="0249D50D">
            <w:pPr>
              <w:pStyle w:val="6"/>
              <w:spacing w:before="297" w:line="221" w:lineRule="auto"/>
              <w:ind w:left="109"/>
              <w:rPr>
                <w:sz w:val="20"/>
                <w:szCs w:val="20"/>
              </w:rPr>
            </w:pPr>
            <w:r>
              <w:rPr>
                <w:spacing w:val="-2"/>
                <w:sz w:val="20"/>
                <w:szCs w:val="20"/>
              </w:rPr>
              <w:t>烟气黑度</w:t>
            </w:r>
          </w:p>
        </w:tc>
        <w:tc>
          <w:tcPr>
            <w:tcW w:w="937" w:type="dxa"/>
            <w:vAlign w:val="top"/>
          </w:tcPr>
          <w:p w14:paraId="684CD14A">
            <w:pPr>
              <w:pStyle w:val="6"/>
              <w:spacing w:before="297" w:line="234" w:lineRule="auto"/>
              <w:ind w:left="221"/>
              <w:rPr>
                <w:sz w:val="20"/>
                <w:szCs w:val="20"/>
              </w:rPr>
            </w:pPr>
            <w:r>
              <w:rPr>
                <w:rFonts w:ascii="Times New Roman" w:hAnsi="Times New Roman" w:eastAsia="Times New Roman" w:cs="Times New Roman"/>
                <w:spacing w:val="-6"/>
                <w:sz w:val="20"/>
                <w:szCs w:val="20"/>
              </w:rPr>
              <w:t>1</w:t>
            </w:r>
            <w:r>
              <w:rPr>
                <w:spacing w:val="-6"/>
                <w:sz w:val="20"/>
                <w:szCs w:val="20"/>
              </w:rPr>
              <w:t>次</w:t>
            </w:r>
            <w:r>
              <w:rPr>
                <w:rFonts w:ascii="Times New Roman" w:hAnsi="Times New Roman" w:eastAsia="Times New Roman" w:cs="Times New Roman"/>
                <w:spacing w:val="-6"/>
                <w:sz w:val="20"/>
                <w:szCs w:val="20"/>
              </w:rPr>
              <w:t>/</w:t>
            </w:r>
            <w:r>
              <w:rPr>
                <w:spacing w:val="-6"/>
                <w:sz w:val="20"/>
                <w:szCs w:val="20"/>
              </w:rPr>
              <w:t>年</w:t>
            </w:r>
          </w:p>
        </w:tc>
        <w:tc>
          <w:tcPr>
            <w:tcW w:w="2152" w:type="dxa"/>
            <w:gridSpan w:val="3"/>
            <w:vAlign w:val="top"/>
          </w:tcPr>
          <w:p w14:paraId="1AC2D63B">
            <w:pPr>
              <w:pStyle w:val="6"/>
              <w:spacing w:before="38" w:line="221" w:lineRule="auto"/>
              <w:ind w:left="93"/>
              <w:rPr>
                <w:sz w:val="20"/>
                <w:szCs w:val="20"/>
              </w:rPr>
            </w:pPr>
            <w:r>
              <w:rPr>
                <w:spacing w:val="-2"/>
                <w:sz w:val="20"/>
                <w:szCs w:val="20"/>
              </w:rPr>
              <w:t>《工业炉窑大气污染物</w:t>
            </w:r>
          </w:p>
          <w:p w14:paraId="74C57B4A">
            <w:pPr>
              <w:pStyle w:val="6"/>
              <w:spacing w:before="19" w:line="221" w:lineRule="auto"/>
              <w:ind w:left="592"/>
              <w:rPr>
                <w:sz w:val="20"/>
                <w:szCs w:val="20"/>
              </w:rPr>
            </w:pPr>
            <w:r>
              <w:rPr>
                <w:spacing w:val="-2"/>
                <w:sz w:val="20"/>
                <w:szCs w:val="20"/>
              </w:rPr>
              <w:t>排放标准》</w:t>
            </w:r>
          </w:p>
          <w:p w14:paraId="6C338043">
            <w:pPr>
              <w:pStyle w:val="6"/>
              <w:spacing w:before="20" w:line="198" w:lineRule="auto"/>
              <w:ind w:left="325"/>
              <w:rPr>
                <w:sz w:val="20"/>
                <w:szCs w:val="20"/>
              </w:rPr>
            </w:pPr>
            <w:r>
              <w:rPr>
                <w:rFonts w:hint="eastAsia"/>
                <w:spacing w:val="-1"/>
                <w:sz w:val="20"/>
                <w:szCs w:val="20"/>
                <w:lang w:eastAsia="zh-CN"/>
              </w:rPr>
              <w:t>(</w:t>
            </w:r>
            <w:r>
              <w:rPr>
                <w:rFonts w:ascii="Times New Roman" w:hAnsi="Times New Roman" w:eastAsia="Times New Roman" w:cs="Times New Roman"/>
                <w:spacing w:val="-1"/>
                <w:sz w:val="20"/>
                <w:szCs w:val="20"/>
              </w:rPr>
              <w:t>GB9078-1996</w:t>
            </w:r>
            <w:r>
              <w:rPr>
                <w:rFonts w:hint="eastAsia" w:ascii="Times New Roman" w:hAnsi="Times New Roman" w:eastAsia="宋体" w:cs="Times New Roman"/>
                <w:spacing w:val="-1"/>
                <w:sz w:val="20"/>
                <w:szCs w:val="20"/>
                <w:lang w:eastAsia="zh-CN"/>
              </w:rPr>
              <w:t>)</w:t>
            </w:r>
          </w:p>
        </w:tc>
        <w:tc>
          <w:tcPr>
            <w:tcW w:w="1848" w:type="dxa"/>
            <w:gridSpan w:val="2"/>
            <w:vMerge w:val="continue"/>
            <w:tcBorders>
              <w:top w:val="nil"/>
              <w:bottom w:val="nil"/>
              <w:right w:val="nil"/>
            </w:tcBorders>
            <w:vAlign w:val="top"/>
          </w:tcPr>
          <w:p w14:paraId="7E7D78D2">
            <w:pPr>
              <w:rPr>
                <w:rFonts w:ascii="Arial"/>
                <w:sz w:val="21"/>
              </w:rPr>
            </w:pPr>
          </w:p>
        </w:tc>
        <w:tc>
          <w:tcPr>
            <w:tcW w:w="123" w:type="dxa"/>
            <w:vMerge w:val="continue"/>
            <w:tcBorders>
              <w:top w:val="nil"/>
              <w:left w:val="nil"/>
              <w:bottom w:val="nil"/>
              <w:right w:val="single" w:color="000000" w:sz="6" w:space="0"/>
            </w:tcBorders>
            <w:vAlign w:val="top"/>
          </w:tcPr>
          <w:p w14:paraId="578105D0">
            <w:pPr>
              <w:rPr>
                <w:rFonts w:ascii="Arial"/>
                <w:sz w:val="21"/>
              </w:rPr>
            </w:pPr>
          </w:p>
        </w:tc>
      </w:tr>
      <w:tr w14:paraId="79794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751" w:type="dxa"/>
            <w:vMerge w:val="continue"/>
            <w:tcBorders>
              <w:top w:val="nil"/>
              <w:left w:val="single" w:color="000000" w:sz="6" w:space="0"/>
              <w:bottom w:val="nil"/>
            </w:tcBorders>
            <w:vAlign w:val="top"/>
          </w:tcPr>
          <w:p w14:paraId="2786CE61">
            <w:pPr>
              <w:rPr>
                <w:rFonts w:ascii="Arial"/>
                <w:sz w:val="21"/>
              </w:rPr>
            </w:pPr>
          </w:p>
        </w:tc>
        <w:tc>
          <w:tcPr>
            <w:tcW w:w="112" w:type="dxa"/>
            <w:vMerge w:val="continue"/>
            <w:tcBorders>
              <w:top w:val="nil"/>
              <w:right w:val="nil"/>
            </w:tcBorders>
            <w:vAlign w:val="top"/>
          </w:tcPr>
          <w:p w14:paraId="2FF7D6BE">
            <w:pPr>
              <w:rPr>
                <w:rFonts w:ascii="Arial"/>
                <w:sz w:val="21"/>
              </w:rPr>
            </w:pPr>
          </w:p>
        </w:tc>
        <w:tc>
          <w:tcPr>
            <w:tcW w:w="1028" w:type="dxa"/>
            <w:gridSpan w:val="2"/>
            <w:vMerge w:val="continue"/>
            <w:tcBorders>
              <w:top w:val="nil"/>
              <w:left w:val="nil"/>
            </w:tcBorders>
            <w:vAlign w:val="top"/>
          </w:tcPr>
          <w:p w14:paraId="374B34F4">
            <w:pPr>
              <w:rPr>
                <w:rFonts w:ascii="Arial"/>
                <w:sz w:val="21"/>
              </w:rPr>
            </w:pPr>
          </w:p>
        </w:tc>
        <w:tc>
          <w:tcPr>
            <w:tcW w:w="973" w:type="dxa"/>
            <w:vAlign w:val="top"/>
          </w:tcPr>
          <w:p w14:paraId="1AC6A011">
            <w:pPr>
              <w:pStyle w:val="6"/>
              <w:spacing w:before="168" w:line="221" w:lineRule="auto"/>
              <w:ind w:left="293"/>
              <w:rPr>
                <w:sz w:val="20"/>
                <w:szCs w:val="20"/>
              </w:rPr>
            </w:pPr>
            <w:r>
              <w:rPr>
                <w:spacing w:val="-3"/>
                <w:sz w:val="20"/>
                <w:szCs w:val="20"/>
              </w:rPr>
              <w:t>厂界</w:t>
            </w:r>
          </w:p>
        </w:tc>
        <w:tc>
          <w:tcPr>
            <w:tcW w:w="989" w:type="dxa"/>
            <w:vAlign w:val="top"/>
          </w:tcPr>
          <w:p w14:paraId="542D2140">
            <w:pPr>
              <w:pStyle w:val="6"/>
              <w:spacing w:before="168" w:line="221" w:lineRule="auto"/>
              <w:ind w:left="207"/>
              <w:rPr>
                <w:sz w:val="20"/>
                <w:szCs w:val="20"/>
              </w:rPr>
            </w:pPr>
            <w:r>
              <w:rPr>
                <w:spacing w:val="-2"/>
                <w:sz w:val="20"/>
                <w:szCs w:val="20"/>
              </w:rPr>
              <w:t>颗粒物</w:t>
            </w:r>
          </w:p>
        </w:tc>
        <w:tc>
          <w:tcPr>
            <w:tcW w:w="937" w:type="dxa"/>
            <w:vAlign w:val="top"/>
          </w:tcPr>
          <w:p w14:paraId="4716CBEE">
            <w:pPr>
              <w:pStyle w:val="6"/>
              <w:spacing w:before="168" w:line="234" w:lineRule="auto"/>
              <w:ind w:left="122"/>
              <w:rPr>
                <w:sz w:val="20"/>
                <w:szCs w:val="20"/>
              </w:rPr>
            </w:pPr>
            <w:r>
              <w:rPr>
                <w:rFonts w:ascii="Times New Roman" w:hAnsi="Times New Roman" w:eastAsia="Times New Roman" w:cs="Times New Roman"/>
                <w:spacing w:val="-5"/>
                <w:sz w:val="20"/>
                <w:szCs w:val="20"/>
              </w:rPr>
              <w:t>1</w:t>
            </w:r>
            <w:r>
              <w:rPr>
                <w:spacing w:val="-5"/>
                <w:sz w:val="20"/>
                <w:szCs w:val="20"/>
              </w:rPr>
              <w:t>次</w:t>
            </w:r>
            <w:r>
              <w:rPr>
                <w:rFonts w:ascii="Times New Roman" w:hAnsi="Times New Roman" w:eastAsia="Times New Roman" w:cs="Times New Roman"/>
                <w:spacing w:val="-5"/>
                <w:sz w:val="20"/>
                <w:szCs w:val="20"/>
              </w:rPr>
              <w:t>/</w:t>
            </w:r>
            <w:r>
              <w:rPr>
                <w:spacing w:val="-5"/>
                <w:sz w:val="20"/>
                <w:szCs w:val="20"/>
              </w:rPr>
              <w:t>半年</w:t>
            </w:r>
          </w:p>
        </w:tc>
        <w:tc>
          <w:tcPr>
            <w:tcW w:w="2152" w:type="dxa"/>
            <w:gridSpan w:val="3"/>
            <w:vAlign w:val="top"/>
          </w:tcPr>
          <w:p w14:paraId="1D0A6349">
            <w:pPr>
              <w:pStyle w:val="6"/>
              <w:spacing w:before="39" w:line="219" w:lineRule="auto"/>
              <w:ind w:left="45" w:firstLine="46"/>
              <w:rPr>
                <w:sz w:val="20"/>
                <w:szCs w:val="20"/>
              </w:rPr>
            </w:pPr>
            <w:r>
              <w:rPr>
                <w:spacing w:val="-8"/>
                <w:sz w:val="20"/>
                <w:szCs w:val="20"/>
              </w:rPr>
              <w:t>《大气污染物综合排放</w:t>
            </w:r>
            <w:r>
              <w:rPr>
                <w:spacing w:val="2"/>
                <w:sz w:val="20"/>
                <w:szCs w:val="20"/>
              </w:rPr>
              <w:t xml:space="preserve">  </w:t>
            </w:r>
            <w:r>
              <w:rPr>
                <w:spacing w:val="-9"/>
                <w:sz w:val="20"/>
                <w:szCs w:val="20"/>
              </w:rPr>
              <w:t>标准》（</w:t>
            </w:r>
            <w:r>
              <w:rPr>
                <w:rFonts w:ascii="Times New Roman" w:hAnsi="Times New Roman" w:eastAsia="Times New Roman" w:cs="Times New Roman"/>
                <w:spacing w:val="-9"/>
                <w:sz w:val="20"/>
                <w:szCs w:val="20"/>
              </w:rPr>
              <w:t>GB16297-1996</w:t>
            </w:r>
            <w:r>
              <w:rPr>
                <w:spacing w:val="-9"/>
                <w:sz w:val="20"/>
                <w:szCs w:val="20"/>
              </w:rPr>
              <w:t>）</w:t>
            </w:r>
          </w:p>
        </w:tc>
        <w:tc>
          <w:tcPr>
            <w:tcW w:w="1848" w:type="dxa"/>
            <w:gridSpan w:val="2"/>
            <w:vMerge w:val="continue"/>
            <w:tcBorders>
              <w:top w:val="nil"/>
              <w:right w:val="nil"/>
            </w:tcBorders>
            <w:vAlign w:val="top"/>
          </w:tcPr>
          <w:p w14:paraId="151AFBC7">
            <w:pPr>
              <w:rPr>
                <w:rFonts w:ascii="Arial"/>
                <w:sz w:val="21"/>
              </w:rPr>
            </w:pPr>
          </w:p>
        </w:tc>
        <w:tc>
          <w:tcPr>
            <w:tcW w:w="123" w:type="dxa"/>
            <w:vMerge w:val="continue"/>
            <w:tcBorders>
              <w:top w:val="nil"/>
              <w:left w:val="nil"/>
              <w:right w:val="single" w:color="000000" w:sz="6" w:space="0"/>
            </w:tcBorders>
            <w:vAlign w:val="top"/>
          </w:tcPr>
          <w:p w14:paraId="3AB3573B">
            <w:pPr>
              <w:rPr>
                <w:rFonts w:ascii="Arial"/>
                <w:sz w:val="21"/>
              </w:rPr>
            </w:pPr>
          </w:p>
        </w:tc>
      </w:tr>
      <w:tr w14:paraId="422B30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6" w:hRule="atLeast"/>
        </w:trPr>
        <w:tc>
          <w:tcPr>
            <w:tcW w:w="751" w:type="dxa"/>
            <w:vMerge w:val="continue"/>
            <w:tcBorders>
              <w:top w:val="nil"/>
              <w:left w:val="single" w:color="000000" w:sz="6" w:space="0"/>
              <w:bottom w:val="single" w:color="000000" w:sz="6" w:space="0"/>
            </w:tcBorders>
            <w:vAlign w:val="top"/>
          </w:tcPr>
          <w:p w14:paraId="39D46ED1">
            <w:pPr>
              <w:rPr>
                <w:rFonts w:ascii="Arial"/>
                <w:sz w:val="21"/>
              </w:rPr>
            </w:pPr>
          </w:p>
        </w:tc>
        <w:tc>
          <w:tcPr>
            <w:tcW w:w="8162" w:type="dxa"/>
            <w:gridSpan w:val="12"/>
            <w:tcBorders>
              <w:bottom w:val="single" w:color="000000" w:sz="6" w:space="0"/>
              <w:right w:val="single" w:color="000000" w:sz="6" w:space="0"/>
            </w:tcBorders>
            <w:vAlign w:val="top"/>
          </w:tcPr>
          <w:p w14:paraId="445FDAD3">
            <w:pPr>
              <w:pStyle w:val="6"/>
              <w:spacing w:before="148" w:line="352" w:lineRule="auto"/>
              <w:ind w:left="108" w:right="102" w:firstLine="419"/>
              <w:jc w:val="both"/>
            </w:pPr>
            <w:r>
              <w:rPr>
                <w:spacing w:val="-5"/>
              </w:rPr>
              <w:t>本项目应在废气排放口设置科学、规范、便于采样监测的监测点</w:t>
            </w:r>
            <w:r>
              <w:rPr>
                <w:spacing w:val="-6"/>
              </w:rPr>
              <w:t>位，</w:t>
            </w:r>
            <w:r>
              <w:rPr>
                <w:spacing w:val="43"/>
              </w:rPr>
              <w:t xml:space="preserve"> </w:t>
            </w:r>
            <w:r>
              <w:rPr>
                <w:spacing w:val="-6"/>
              </w:rPr>
              <w:t>避开对测试人</w:t>
            </w:r>
            <w:r>
              <w:t xml:space="preserve"> 员操作有危险的场所，排放口的设置应按照《排污单位污染物排</w:t>
            </w:r>
            <w:r>
              <w:rPr>
                <w:spacing w:val="-1"/>
              </w:rPr>
              <w:t>放口监测点位设置 技</w:t>
            </w:r>
            <w:r>
              <w:t xml:space="preserve"> </w:t>
            </w:r>
            <w:r>
              <w:rPr>
                <w:spacing w:val="-3"/>
              </w:rPr>
              <w:t>术规范》（</w:t>
            </w:r>
            <w:r>
              <w:rPr>
                <w:rFonts w:ascii="Times New Roman" w:hAnsi="Times New Roman" w:eastAsia="Times New Roman" w:cs="Times New Roman"/>
                <w:spacing w:val="-3"/>
              </w:rPr>
              <w:t>HJ</w:t>
            </w:r>
            <w:r>
              <w:rPr>
                <w:rFonts w:ascii="Times New Roman" w:hAnsi="Times New Roman" w:eastAsia="Times New Roman" w:cs="Times New Roman"/>
                <w:spacing w:val="36"/>
                <w:w w:val="101"/>
              </w:rPr>
              <w:t xml:space="preserve"> </w:t>
            </w:r>
            <w:r>
              <w:rPr>
                <w:rFonts w:ascii="Times New Roman" w:hAnsi="Times New Roman" w:eastAsia="Times New Roman" w:cs="Times New Roman"/>
                <w:spacing w:val="-3"/>
              </w:rPr>
              <w:t>1405</w:t>
            </w:r>
            <w:r>
              <w:rPr>
                <w:spacing w:val="-3"/>
              </w:rPr>
              <w:t>—</w:t>
            </w:r>
            <w:r>
              <w:rPr>
                <w:rFonts w:ascii="Times New Roman" w:hAnsi="Times New Roman" w:eastAsia="Times New Roman" w:cs="Times New Roman"/>
                <w:spacing w:val="-3"/>
              </w:rPr>
              <w:t>2024</w:t>
            </w:r>
            <w:r>
              <w:rPr>
                <w:spacing w:val="-3"/>
              </w:rPr>
              <w:t>）的相应要求开展。</w:t>
            </w:r>
          </w:p>
          <w:p w14:paraId="40B4AC3E">
            <w:pPr>
              <w:pStyle w:val="6"/>
              <w:spacing w:line="234" w:lineRule="auto"/>
              <w:ind w:left="112"/>
            </w:pPr>
            <w:r>
              <w:rPr>
                <w:rFonts w:ascii="Times New Roman" w:hAnsi="Times New Roman" w:eastAsia="Times New Roman" w:cs="Times New Roman"/>
                <w:b/>
                <w:bCs/>
                <w:spacing w:val="-3"/>
              </w:rPr>
              <w:t>1.6</w:t>
            </w:r>
            <w:r>
              <w:rPr>
                <w:b/>
                <w:bCs/>
                <w:spacing w:val="-3"/>
              </w:rPr>
              <w:t>废气排放环境影响分析</w:t>
            </w:r>
          </w:p>
          <w:p w14:paraId="6718CF4C">
            <w:pPr>
              <w:pStyle w:val="6"/>
              <w:spacing w:before="133" w:line="350" w:lineRule="auto"/>
              <w:ind w:left="105" w:right="102" w:firstLine="421"/>
            </w:pPr>
            <w:r>
              <w:t>本项目位于达州市通川区东岳新型工业集聚区，建设区</w:t>
            </w:r>
            <w:r>
              <w:rPr>
                <w:spacing w:val="-1"/>
              </w:rPr>
              <w:t>域属于环境空气质量达标</w:t>
            </w:r>
            <w:r>
              <w:t xml:space="preserve">  </w:t>
            </w:r>
            <w:r>
              <w:rPr>
                <w:spacing w:val="-1"/>
              </w:rPr>
              <w:t>区。项目所在区域大气环境质量现状良好。本项目通过对废气采取合理可行的收集、治</w:t>
            </w:r>
            <w:r>
              <w:t xml:space="preserve"> </w:t>
            </w:r>
            <w:r>
              <w:rPr>
                <w:spacing w:val="-1"/>
              </w:rPr>
              <w:t>理技术处理后且满足达标排放，对周围环境保护目标及大气环境影响较小，属于可接受</w:t>
            </w:r>
            <w:r>
              <w:t xml:space="preserve"> </w:t>
            </w:r>
            <w:r>
              <w:rPr>
                <w:spacing w:val="-9"/>
              </w:rPr>
              <w:t>程度。</w:t>
            </w:r>
          </w:p>
          <w:p w14:paraId="7520F82D">
            <w:pPr>
              <w:spacing w:line="241" w:lineRule="auto"/>
              <w:ind w:left="50"/>
              <w:rPr>
                <w:rFonts w:ascii="黑体" w:hAnsi="黑体" w:eastAsia="黑体" w:cs="黑体"/>
                <w:sz w:val="21"/>
                <w:szCs w:val="21"/>
              </w:rPr>
            </w:pPr>
            <w:r>
              <w:rPr>
                <w:rFonts w:ascii="Times New Roman" w:hAnsi="Times New Roman" w:eastAsia="Times New Roman" w:cs="Times New Roman"/>
                <w:spacing w:val="5"/>
                <w:sz w:val="21"/>
                <w:szCs w:val="21"/>
              </w:rPr>
              <w:t>2</w:t>
            </w:r>
            <w:r>
              <w:rPr>
                <w:rFonts w:ascii="黑体" w:hAnsi="黑体" w:eastAsia="黑体" w:cs="黑体"/>
                <w:spacing w:val="5"/>
                <w:sz w:val="21"/>
                <w:szCs w:val="21"/>
              </w:rPr>
              <w:t>、废水</w:t>
            </w:r>
          </w:p>
          <w:p w14:paraId="6FB0D414">
            <w:pPr>
              <w:pStyle w:val="6"/>
              <w:spacing w:before="133" w:line="233" w:lineRule="auto"/>
              <w:ind w:left="103"/>
            </w:pPr>
            <w:r>
              <w:rPr>
                <w:rFonts w:ascii="Times New Roman" w:hAnsi="Times New Roman" w:eastAsia="Times New Roman" w:cs="Times New Roman"/>
                <w:b/>
                <w:bCs/>
                <w:spacing w:val="-2"/>
              </w:rPr>
              <w:t>2.1</w:t>
            </w:r>
            <w:r>
              <w:rPr>
                <w:b/>
                <w:bCs/>
                <w:spacing w:val="-2"/>
              </w:rPr>
              <w:t>产污环节及产生量</w:t>
            </w:r>
          </w:p>
          <w:p w14:paraId="702F7DE8">
            <w:pPr>
              <w:pStyle w:val="6"/>
              <w:spacing w:before="134" w:line="293" w:lineRule="auto"/>
              <w:ind w:left="106" w:right="26" w:firstLine="423"/>
            </w:pPr>
            <w:r>
              <w:t>项目营运期的生产废水主要是</w:t>
            </w:r>
            <w:r>
              <w:rPr>
                <w:rFonts w:ascii="Times New Roman" w:hAnsi="Times New Roman" w:eastAsia="Times New Roman" w:cs="Times New Roman"/>
              </w:rPr>
              <w:t>2</w:t>
            </w:r>
            <w:r>
              <w:t>套喷淋塔产生的喷</w:t>
            </w:r>
            <w:r>
              <w:rPr>
                <w:spacing w:val="-1"/>
              </w:rPr>
              <w:t>淋废水，单套喷淋塔的喷淋废水</w:t>
            </w:r>
            <w:r>
              <w:t xml:space="preserve">  </w:t>
            </w:r>
            <w:r>
              <w:rPr>
                <w:spacing w:val="-10"/>
              </w:rPr>
              <w:t>产生量约</w:t>
            </w:r>
            <w:r>
              <w:rPr>
                <w:rFonts w:ascii="Times New Roman" w:hAnsi="Times New Roman" w:eastAsia="Times New Roman" w:cs="Times New Roman"/>
                <w:spacing w:val="-10"/>
              </w:rPr>
              <w:t>13.5m</w:t>
            </w:r>
            <w:r>
              <w:rPr>
                <w:rFonts w:ascii="Times New Roman" w:hAnsi="Times New Roman" w:eastAsia="Times New Roman" w:cs="Times New Roman"/>
                <w:spacing w:val="-10"/>
                <w:position w:val="7"/>
                <w:sz w:val="14"/>
                <w:szCs w:val="14"/>
              </w:rPr>
              <w:t>3</w:t>
            </w:r>
            <w:r>
              <w:rPr>
                <w:rFonts w:ascii="Times New Roman" w:hAnsi="Times New Roman" w:eastAsia="Times New Roman" w:cs="Times New Roman"/>
                <w:spacing w:val="-10"/>
              </w:rPr>
              <w:t>/d</w:t>
            </w:r>
            <w:r>
              <w:rPr>
                <w:spacing w:val="-10"/>
              </w:rPr>
              <w:t>（</w:t>
            </w:r>
            <w:r>
              <w:rPr>
                <w:rFonts w:ascii="Times New Roman" w:hAnsi="Times New Roman" w:eastAsia="Times New Roman" w:cs="Times New Roman"/>
                <w:spacing w:val="-10"/>
              </w:rPr>
              <w:t>1.35m</w:t>
            </w:r>
            <w:r>
              <w:rPr>
                <w:rFonts w:ascii="Times New Roman" w:hAnsi="Times New Roman" w:eastAsia="Times New Roman" w:cs="Times New Roman"/>
                <w:spacing w:val="-10"/>
                <w:position w:val="7"/>
                <w:sz w:val="14"/>
                <w:szCs w:val="14"/>
              </w:rPr>
              <w:t>3</w:t>
            </w:r>
            <w:r>
              <w:rPr>
                <w:rFonts w:ascii="Times New Roman" w:hAnsi="Times New Roman" w:eastAsia="Times New Roman" w:cs="Times New Roman"/>
                <w:spacing w:val="-10"/>
              </w:rPr>
              <w:t>/h</w:t>
            </w:r>
            <w:r>
              <w:rPr>
                <w:spacing w:val="-10"/>
              </w:rPr>
              <w:t>）。员工办公会</w:t>
            </w:r>
            <w:r>
              <w:rPr>
                <w:spacing w:val="-11"/>
              </w:rPr>
              <w:t>产生少量的生活污水，约</w:t>
            </w:r>
            <w:r>
              <w:rPr>
                <w:rFonts w:ascii="Times New Roman" w:hAnsi="Times New Roman" w:eastAsia="Times New Roman" w:cs="Times New Roman"/>
                <w:spacing w:val="-11"/>
              </w:rPr>
              <w:t>0.65m</w:t>
            </w:r>
            <w:r>
              <w:rPr>
                <w:rFonts w:ascii="Times New Roman" w:hAnsi="Times New Roman" w:eastAsia="Times New Roman" w:cs="Times New Roman"/>
                <w:spacing w:val="-11"/>
                <w:position w:val="7"/>
                <w:sz w:val="14"/>
                <w:szCs w:val="14"/>
              </w:rPr>
              <w:t>3</w:t>
            </w:r>
            <w:r>
              <w:rPr>
                <w:rFonts w:ascii="Times New Roman" w:hAnsi="Times New Roman" w:eastAsia="Times New Roman" w:cs="Times New Roman"/>
                <w:spacing w:val="-11"/>
              </w:rPr>
              <w:t>/d</w:t>
            </w:r>
            <w:r>
              <w:rPr>
                <w:spacing w:val="-11"/>
              </w:rPr>
              <w:t>（</w:t>
            </w:r>
            <w:r>
              <w:rPr>
                <w:rFonts w:ascii="Times New Roman" w:hAnsi="Times New Roman" w:eastAsia="Times New Roman" w:cs="Times New Roman"/>
                <w:spacing w:val="3"/>
              </w:rPr>
              <w:t>214.5m</w:t>
            </w:r>
            <w:r>
              <w:rPr>
                <w:rFonts w:ascii="Times New Roman" w:hAnsi="Times New Roman" w:eastAsia="Times New Roman" w:cs="Times New Roman"/>
                <w:spacing w:val="3"/>
                <w:position w:val="7"/>
                <w:sz w:val="14"/>
                <w:szCs w:val="14"/>
              </w:rPr>
              <w:t>3</w:t>
            </w:r>
            <w:r>
              <w:rPr>
                <w:rFonts w:ascii="Times New Roman" w:hAnsi="Times New Roman" w:eastAsia="Times New Roman" w:cs="Times New Roman"/>
                <w:spacing w:val="3"/>
              </w:rPr>
              <w:t>/a</w:t>
            </w:r>
            <w:r>
              <w:rPr>
                <w:spacing w:val="-59"/>
                <w:w w:val="99"/>
              </w:rPr>
              <w:t>）。</w:t>
            </w:r>
          </w:p>
        </w:tc>
      </w:tr>
    </w:tbl>
    <w:p w14:paraId="400659DA">
      <w:pPr>
        <w:rPr>
          <w:rFonts w:ascii="Arial"/>
          <w:sz w:val="21"/>
        </w:rPr>
      </w:pPr>
    </w:p>
    <w:p w14:paraId="32616C65">
      <w:pPr>
        <w:rPr>
          <w:rFonts w:ascii="Arial" w:hAnsi="Arial" w:eastAsia="Arial" w:cs="Arial"/>
          <w:sz w:val="21"/>
          <w:szCs w:val="21"/>
        </w:rPr>
        <w:sectPr>
          <w:footerReference r:id="rId62" w:type="default"/>
          <w:pgSz w:w="11908" w:h="16840"/>
          <w:pgMar w:top="1431" w:right="1489" w:bottom="1053" w:left="1489" w:header="0" w:footer="801" w:gutter="0"/>
          <w:cols w:space="720" w:num="1"/>
        </w:sectPr>
      </w:pPr>
    </w:p>
    <w:p w14:paraId="60695F49">
      <w:pPr>
        <w:spacing w:before="28"/>
      </w:pPr>
    </w:p>
    <w:tbl>
      <w:tblPr>
        <w:tblStyle w:val="5"/>
        <w:tblW w:w="891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0"/>
        <w:gridCol w:w="8163"/>
      </w:tblGrid>
      <w:tr w14:paraId="02719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09" w:hRule="atLeast"/>
        </w:trPr>
        <w:tc>
          <w:tcPr>
            <w:tcW w:w="750" w:type="dxa"/>
            <w:tcBorders>
              <w:top w:val="single" w:color="000000" w:sz="2" w:space="0"/>
              <w:right w:val="single" w:color="000000" w:sz="2" w:space="0"/>
            </w:tcBorders>
            <w:vAlign w:val="top"/>
          </w:tcPr>
          <w:p w14:paraId="2AA2FD34">
            <w:pPr>
              <w:spacing w:line="250" w:lineRule="auto"/>
              <w:rPr>
                <w:rFonts w:ascii="Arial"/>
                <w:sz w:val="21"/>
              </w:rPr>
            </w:pPr>
          </w:p>
          <w:p w14:paraId="3E678731">
            <w:pPr>
              <w:spacing w:line="250" w:lineRule="auto"/>
              <w:rPr>
                <w:rFonts w:ascii="Arial"/>
                <w:sz w:val="21"/>
              </w:rPr>
            </w:pPr>
          </w:p>
          <w:p w14:paraId="06CBF1DA">
            <w:pPr>
              <w:spacing w:line="250" w:lineRule="auto"/>
              <w:rPr>
                <w:rFonts w:ascii="Arial"/>
                <w:sz w:val="21"/>
              </w:rPr>
            </w:pPr>
          </w:p>
          <w:p w14:paraId="58FA15C6">
            <w:pPr>
              <w:spacing w:line="250" w:lineRule="auto"/>
              <w:rPr>
                <w:rFonts w:ascii="Arial"/>
                <w:sz w:val="21"/>
              </w:rPr>
            </w:pPr>
          </w:p>
          <w:p w14:paraId="5342248F">
            <w:pPr>
              <w:spacing w:line="250" w:lineRule="auto"/>
              <w:rPr>
                <w:rFonts w:ascii="Arial"/>
                <w:sz w:val="21"/>
              </w:rPr>
            </w:pPr>
          </w:p>
          <w:p w14:paraId="148E02B2">
            <w:pPr>
              <w:spacing w:line="250" w:lineRule="auto"/>
              <w:rPr>
                <w:rFonts w:ascii="Arial"/>
                <w:sz w:val="21"/>
              </w:rPr>
            </w:pPr>
          </w:p>
          <w:p w14:paraId="3A6EF57D">
            <w:pPr>
              <w:spacing w:line="250" w:lineRule="auto"/>
              <w:rPr>
                <w:rFonts w:ascii="Arial"/>
                <w:sz w:val="21"/>
              </w:rPr>
            </w:pPr>
          </w:p>
          <w:p w14:paraId="4C13F9D3">
            <w:pPr>
              <w:spacing w:line="250" w:lineRule="auto"/>
              <w:rPr>
                <w:rFonts w:ascii="Arial"/>
                <w:sz w:val="21"/>
              </w:rPr>
            </w:pPr>
          </w:p>
          <w:p w14:paraId="4FC639DB">
            <w:pPr>
              <w:spacing w:line="250" w:lineRule="auto"/>
              <w:rPr>
                <w:rFonts w:ascii="Arial"/>
                <w:sz w:val="21"/>
              </w:rPr>
            </w:pPr>
          </w:p>
          <w:p w14:paraId="0FA6CA2F">
            <w:pPr>
              <w:spacing w:line="250" w:lineRule="auto"/>
              <w:rPr>
                <w:rFonts w:ascii="Arial"/>
                <w:sz w:val="21"/>
              </w:rPr>
            </w:pPr>
          </w:p>
          <w:p w14:paraId="26102665">
            <w:pPr>
              <w:spacing w:line="250" w:lineRule="auto"/>
              <w:rPr>
                <w:rFonts w:ascii="Arial"/>
                <w:sz w:val="21"/>
              </w:rPr>
            </w:pPr>
          </w:p>
          <w:p w14:paraId="5AE559A5">
            <w:pPr>
              <w:spacing w:line="250" w:lineRule="auto"/>
              <w:rPr>
                <w:rFonts w:ascii="Arial"/>
                <w:sz w:val="21"/>
              </w:rPr>
            </w:pPr>
          </w:p>
          <w:p w14:paraId="567CFA2A">
            <w:pPr>
              <w:spacing w:line="251" w:lineRule="auto"/>
              <w:rPr>
                <w:rFonts w:ascii="Arial"/>
                <w:sz w:val="21"/>
              </w:rPr>
            </w:pPr>
          </w:p>
          <w:p w14:paraId="0785BB83">
            <w:pPr>
              <w:spacing w:line="251" w:lineRule="auto"/>
              <w:rPr>
                <w:rFonts w:ascii="Arial"/>
                <w:sz w:val="21"/>
              </w:rPr>
            </w:pPr>
          </w:p>
          <w:p w14:paraId="628277CD">
            <w:pPr>
              <w:spacing w:line="251" w:lineRule="auto"/>
              <w:rPr>
                <w:rFonts w:ascii="Arial"/>
                <w:sz w:val="21"/>
              </w:rPr>
            </w:pPr>
          </w:p>
          <w:p w14:paraId="04014563">
            <w:pPr>
              <w:spacing w:line="251" w:lineRule="auto"/>
              <w:rPr>
                <w:rFonts w:ascii="Arial"/>
                <w:sz w:val="21"/>
              </w:rPr>
            </w:pPr>
          </w:p>
          <w:p w14:paraId="2AF3ABFF">
            <w:pPr>
              <w:spacing w:line="251" w:lineRule="auto"/>
              <w:rPr>
                <w:rFonts w:ascii="Arial"/>
                <w:sz w:val="21"/>
              </w:rPr>
            </w:pPr>
          </w:p>
          <w:p w14:paraId="1F92C5F3">
            <w:pPr>
              <w:spacing w:line="251" w:lineRule="auto"/>
              <w:rPr>
                <w:rFonts w:ascii="Arial"/>
                <w:sz w:val="21"/>
              </w:rPr>
            </w:pPr>
          </w:p>
          <w:p w14:paraId="65691A21">
            <w:pPr>
              <w:spacing w:line="251" w:lineRule="auto"/>
              <w:rPr>
                <w:rFonts w:ascii="Arial"/>
                <w:sz w:val="21"/>
              </w:rPr>
            </w:pPr>
          </w:p>
          <w:p w14:paraId="78512128">
            <w:pPr>
              <w:spacing w:line="251" w:lineRule="auto"/>
              <w:rPr>
                <w:rFonts w:ascii="Arial"/>
                <w:sz w:val="21"/>
              </w:rPr>
            </w:pPr>
          </w:p>
          <w:p w14:paraId="2296DBA4">
            <w:pPr>
              <w:pStyle w:val="6"/>
              <w:spacing w:before="68" w:line="220" w:lineRule="auto"/>
              <w:ind w:left="162"/>
            </w:pPr>
            <w:r>
              <w:rPr>
                <w:b/>
                <w:bCs/>
                <w:spacing w:val="-4"/>
              </w:rPr>
              <w:t>运营</w:t>
            </w:r>
          </w:p>
          <w:p w14:paraId="7A7F3A6F">
            <w:pPr>
              <w:pStyle w:val="6"/>
              <w:spacing w:before="22" w:line="220" w:lineRule="auto"/>
              <w:ind w:left="164"/>
            </w:pPr>
            <w:r>
              <w:rPr>
                <w:b/>
                <w:bCs/>
                <w:spacing w:val="-5"/>
              </w:rPr>
              <w:t>期环</w:t>
            </w:r>
          </w:p>
          <w:p w14:paraId="31D8B475">
            <w:pPr>
              <w:pStyle w:val="6"/>
              <w:spacing w:before="22" w:line="220" w:lineRule="auto"/>
              <w:ind w:left="163"/>
            </w:pPr>
            <w:r>
              <w:rPr>
                <w:b/>
                <w:bCs/>
                <w:spacing w:val="-5"/>
              </w:rPr>
              <w:t>境影</w:t>
            </w:r>
          </w:p>
          <w:p w14:paraId="7860D510">
            <w:pPr>
              <w:pStyle w:val="6"/>
              <w:spacing w:before="22" w:line="222" w:lineRule="auto"/>
              <w:ind w:left="173"/>
            </w:pPr>
            <w:r>
              <w:rPr>
                <w:b/>
                <w:bCs/>
                <w:spacing w:val="-7"/>
              </w:rPr>
              <w:t>响和</w:t>
            </w:r>
          </w:p>
          <w:p w14:paraId="14B1E603">
            <w:pPr>
              <w:pStyle w:val="6"/>
              <w:spacing w:before="18" w:line="220" w:lineRule="auto"/>
              <w:ind w:left="163"/>
            </w:pPr>
            <w:r>
              <w:rPr>
                <w:b/>
                <w:bCs/>
                <w:spacing w:val="-5"/>
              </w:rPr>
              <w:t>保护</w:t>
            </w:r>
          </w:p>
          <w:p w14:paraId="5C1D996D">
            <w:pPr>
              <w:pStyle w:val="6"/>
              <w:spacing w:before="22" w:line="220" w:lineRule="auto"/>
              <w:ind w:left="162"/>
            </w:pPr>
            <w:r>
              <w:rPr>
                <w:b/>
                <w:bCs/>
                <w:spacing w:val="-4"/>
              </w:rPr>
              <w:t>措施</w:t>
            </w:r>
          </w:p>
        </w:tc>
        <w:tc>
          <w:tcPr>
            <w:tcW w:w="8163" w:type="dxa"/>
            <w:tcBorders>
              <w:top w:val="single" w:color="000000" w:sz="2" w:space="0"/>
              <w:left w:val="single" w:color="000000" w:sz="2" w:space="0"/>
            </w:tcBorders>
            <w:vAlign w:val="top"/>
          </w:tcPr>
          <w:p w14:paraId="3535E280">
            <w:pPr>
              <w:pStyle w:val="6"/>
              <w:spacing w:before="144" w:line="234" w:lineRule="auto"/>
              <w:ind w:left="104"/>
            </w:pPr>
            <w:r>
              <w:rPr>
                <w:rFonts w:ascii="Times New Roman" w:hAnsi="Times New Roman" w:eastAsia="Times New Roman" w:cs="Times New Roman"/>
                <w:b/>
                <w:bCs/>
                <w:spacing w:val="-2"/>
              </w:rPr>
              <w:t>2.2</w:t>
            </w:r>
            <w:r>
              <w:rPr>
                <w:b/>
                <w:bCs/>
                <w:spacing w:val="-2"/>
              </w:rPr>
              <w:t>治理措施及排放情况</w:t>
            </w:r>
          </w:p>
          <w:p w14:paraId="21049B7C">
            <w:pPr>
              <w:pStyle w:val="6"/>
              <w:spacing w:before="133" w:line="232" w:lineRule="auto"/>
              <w:ind w:left="533"/>
            </w:pPr>
            <w:r>
              <w:rPr>
                <w:spacing w:val="-4"/>
              </w:rPr>
              <w:t>（</w:t>
            </w:r>
            <w:r>
              <w:rPr>
                <w:rFonts w:ascii="Times New Roman" w:hAnsi="Times New Roman" w:eastAsia="Times New Roman" w:cs="Times New Roman"/>
                <w:spacing w:val="-4"/>
              </w:rPr>
              <w:t>1</w:t>
            </w:r>
            <w:r>
              <w:rPr>
                <w:spacing w:val="-4"/>
              </w:rPr>
              <w:t>）喷淋废水</w:t>
            </w:r>
          </w:p>
          <w:p w14:paraId="08DA24CC">
            <w:pPr>
              <w:pStyle w:val="6"/>
              <w:spacing w:before="138" w:line="351" w:lineRule="auto"/>
              <w:ind w:left="106" w:right="101" w:firstLine="424"/>
            </w:pPr>
            <w:r>
              <w:rPr>
                <w:spacing w:val="-1"/>
              </w:rPr>
              <w:t>项目喷淋塔运行过程产生的喷淋废水即为喷淋塔的循环喷淋水。当循环</w:t>
            </w:r>
            <w:r>
              <w:rPr>
                <w:spacing w:val="-2"/>
              </w:rPr>
              <w:t>水逐渐富集</w:t>
            </w:r>
            <w:r>
              <w:t xml:space="preserve"> </w:t>
            </w:r>
            <w:r>
              <w:rPr>
                <w:spacing w:val="-1"/>
              </w:rPr>
              <w:t>颗粒物达到一定的浓度后，如不及时处理将影响喷淋塔的净化效果和设备的正常运行。</w:t>
            </w:r>
          </w:p>
          <w:p w14:paraId="41838998">
            <w:pPr>
              <w:pStyle w:val="6"/>
              <w:spacing w:before="3" w:line="351" w:lineRule="auto"/>
              <w:ind w:left="110" w:right="101" w:firstLine="417"/>
            </w:pPr>
            <w:r>
              <w:rPr>
                <w:spacing w:val="-1"/>
              </w:rPr>
              <w:t>根据建设单位介绍，本项目所采用的喷淋塔底部设计有水槽，水槽分内外两级</w:t>
            </w:r>
            <w:r>
              <w:rPr>
                <w:spacing w:val="-2"/>
              </w:rPr>
              <w:t>，之</w:t>
            </w:r>
            <w:r>
              <w:t xml:space="preserve"> </w:t>
            </w:r>
            <w:r>
              <w:rPr>
                <w:spacing w:val="-1"/>
              </w:rPr>
              <w:t>间设计有超细过滤筛网。喷淋废水首先会落入底部内侧的水槽，废水通过超细过</w:t>
            </w:r>
            <w:r>
              <w:rPr>
                <w:spacing w:val="-2"/>
              </w:rPr>
              <w:t>滤筛网</w:t>
            </w:r>
            <w:r>
              <w:t xml:space="preserve"> </w:t>
            </w:r>
            <w:r>
              <w:rPr>
                <w:spacing w:val="-1"/>
              </w:rPr>
              <w:t>时会拦截绝大部分的粉尘沉淀物，使进入外侧水槽的喷淋水悬浮物含量极少，然</w:t>
            </w:r>
            <w:r>
              <w:rPr>
                <w:spacing w:val="-2"/>
              </w:rPr>
              <w:t>后再由</w:t>
            </w:r>
            <w:r>
              <w:t xml:space="preserve"> </w:t>
            </w:r>
            <w:r>
              <w:rPr>
                <w:spacing w:val="-3"/>
              </w:rPr>
              <w:t>水泵泵取回用，达到循环回用的目的。</w:t>
            </w:r>
          </w:p>
          <w:p w14:paraId="39913BC7">
            <w:pPr>
              <w:pStyle w:val="6"/>
              <w:spacing w:line="351" w:lineRule="auto"/>
              <w:ind w:left="106" w:right="101" w:firstLine="423"/>
            </w:pPr>
            <w:r>
              <w:rPr>
                <w:spacing w:val="-1"/>
              </w:rPr>
              <w:t>建设单位在日常管理过程会定期检查循环水的水质状况，定期抽取筛网</w:t>
            </w:r>
            <w:r>
              <w:rPr>
                <w:spacing w:val="-2"/>
              </w:rPr>
              <w:t>并清理附着</w:t>
            </w:r>
            <w:r>
              <w:t xml:space="preserve"> </w:t>
            </w:r>
            <w:r>
              <w:rPr>
                <w:spacing w:val="-2"/>
              </w:rPr>
              <w:t>在上面的沉积物，并送至湿粉料堆放间做原料使用。</w:t>
            </w:r>
          </w:p>
          <w:p w14:paraId="2408B3D7">
            <w:pPr>
              <w:pStyle w:val="6"/>
              <w:spacing w:line="233" w:lineRule="auto"/>
              <w:ind w:left="533"/>
            </w:pPr>
            <w:r>
              <w:rPr>
                <w:spacing w:val="-4"/>
              </w:rPr>
              <w:t>（</w:t>
            </w:r>
            <w:r>
              <w:rPr>
                <w:rFonts w:ascii="Times New Roman" w:hAnsi="Times New Roman" w:eastAsia="Times New Roman" w:cs="Times New Roman"/>
                <w:spacing w:val="-4"/>
              </w:rPr>
              <w:t>2</w:t>
            </w:r>
            <w:r>
              <w:rPr>
                <w:spacing w:val="-4"/>
              </w:rPr>
              <w:t>）生活污水</w:t>
            </w:r>
          </w:p>
          <w:p w14:paraId="11D8272F">
            <w:pPr>
              <w:pStyle w:val="6"/>
              <w:spacing w:before="137" w:line="348" w:lineRule="auto"/>
              <w:ind w:left="108" w:right="44" w:firstLine="419"/>
            </w:pPr>
            <w:r>
              <w:rPr>
                <w:spacing w:val="-1"/>
              </w:rPr>
              <w:t>根据调查，本项目所租用厂房的亚飞玻璃公司，已经在厂房南侧办公楼区域建</w:t>
            </w:r>
            <w:r>
              <w:rPr>
                <w:spacing w:val="-2"/>
              </w:rPr>
              <w:t>设了</w:t>
            </w:r>
            <w:r>
              <w:t xml:space="preserve"> </w:t>
            </w:r>
            <w:r>
              <w:rPr>
                <w:spacing w:val="-5"/>
              </w:rPr>
              <w:t>化粪池</w:t>
            </w:r>
            <w:r>
              <w:rPr>
                <w:rFonts w:ascii="Times New Roman" w:hAnsi="Times New Roman" w:eastAsia="Times New Roman" w:cs="Times New Roman"/>
                <w:spacing w:val="-5"/>
              </w:rPr>
              <w:t>2</w:t>
            </w:r>
            <w:r>
              <w:rPr>
                <w:spacing w:val="-5"/>
              </w:rPr>
              <w:t>个，总容积约</w:t>
            </w:r>
            <w:r>
              <w:rPr>
                <w:rFonts w:ascii="Times New Roman" w:hAnsi="Times New Roman" w:eastAsia="Times New Roman" w:cs="Times New Roman"/>
                <w:spacing w:val="-5"/>
              </w:rPr>
              <w:t>100m</w:t>
            </w:r>
            <w:r>
              <w:rPr>
                <w:rFonts w:ascii="Times New Roman" w:hAnsi="Times New Roman" w:eastAsia="Times New Roman" w:cs="Times New Roman"/>
                <w:spacing w:val="-5"/>
                <w:position w:val="7"/>
                <w:sz w:val="14"/>
                <w:szCs w:val="14"/>
              </w:rPr>
              <w:t>3</w:t>
            </w:r>
            <w:r>
              <w:rPr>
                <w:spacing w:val="-5"/>
              </w:rPr>
              <w:t>。本项目生活污水全部依托亚飞玻璃公司已有设施</w:t>
            </w:r>
            <w:r>
              <w:rPr>
                <w:spacing w:val="-6"/>
              </w:rPr>
              <w:t>收集处理，</w:t>
            </w:r>
            <w:r>
              <w:t xml:space="preserve"> </w:t>
            </w:r>
            <w:r>
              <w:rPr>
                <w:spacing w:val="-1"/>
                <w:sz w:val="20"/>
                <w:szCs w:val="20"/>
              </w:rPr>
              <w:t>经场镇污水管网进入东岳场镇生活污水处理厂处理</w:t>
            </w:r>
            <w:r>
              <w:rPr>
                <w:spacing w:val="-1"/>
              </w:rPr>
              <w:t>。</w:t>
            </w:r>
          </w:p>
          <w:p w14:paraId="6F835298">
            <w:pPr>
              <w:pStyle w:val="6"/>
              <w:spacing w:before="11" w:line="233" w:lineRule="auto"/>
              <w:ind w:left="104"/>
            </w:pPr>
            <w:r>
              <w:rPr>
                <w:rFonts w:ascii="Times New Roman" w:hAnsi="Times New Roman" w:eastAsia="Times New Roman" w:cs="Times New Roman"/>
                <w:b/>
                <w:bCs/>
                <w:spacing w:val="-2"/>
              </w:rPr>
              <w:t>2.3</w:t>
            </w:r>
            <w:r>
              <w:rPr>
                <w:b/>
                <w:bCs/>
                <w:spacing w:val="-2"/>
              </w:rPr>
              <w:t>废水依托处理可行性分析</w:t>
            </w:r>
          </w:p>
          <w:p w14:paraId="26175194">
            <w:pPr>
              <w:pStyle w:val="6"/>
              <w:spacing w:before="134" w:line="352" w:lineRule="auto"/>
              <w:ind w:left="107" w:right="102" w:firstLine="419"/>
              <w:jc w:val="both"/>
            </w:pPr>
            <w:r>
              <w:rPr>
                <w:spacing w:val="-1"/>
              </w:rPr>
              <w:t>根据调查，本项目位于东岳场镇，距离本项目较近的场镇生活污水处理厂为</w:t>
            </w:r>
            <w:r>
              <w:rPr>
                <w:spacing w:val="-2"/>
              </w:rPr>
              <w:t>东岳场</w:t>
            </w:r>
            <w:r>
              <w:t xml:space="preserve"> 镇生活污水处理厂。本项目生活污水依托租用厂房厂区已建的化粪池</w:t>
            </w:r>
            <w:r>
              <w:rPr>
                <w:spacing w:val="-1"/>
              </w:rPr>
              <w:t>处理后，</w:t>
            </w:r>
            <w:r>
              <w:rPr>
                <w:spacing w:val="-1"/>
                <w:sz w:val="20"/>
                <w:szCs w:val="20"/>
              </w:rPr>
              <w:t>经场镇污</w:t>
            </w:r>
            <w:r>
              <w:rPr>
                <w:sz w:val="20"/>
                <w:szCs w:val="20"/>
              </w:rPr>
              <w:t xml:space="preserve"> 水管网进入东岳场镇生活污水处理厂处理后</w:t>
            </w:r>
            <w:r>
              <w:t>，</w:t>
            </w:r>
            <w:r>
              <w:rPr>
                <w:spacing w:val="-1"/>
              </w:rPr>
              <w:t>达标排放至双龙河。</w:t>
            </w:r>
          </w:p>
          <w:p w14:paraId="2731C402">
            <w:pPr>
              <w:pStyle w:val="6"/>
              <w:spacing w:line="349" w:lineRule="auto"/>
              <w:ind w:left="104" w:right="101" w:firstLine="423"/>
            </w:pPr>
            <w:r>
              <w:rPr>
                <w:spacing w:val="-1"/>
              </w:rPr>
              <w:t>根据调查，达州市通川区东岳镇污水处理厂位于东岳镇山桥村，于</w:t>
            </w:r>
            <w:r>
              <w:rPr>
                <w:rFonts w:ascii="Times New Roman" w:hAnsi="Times New Roman" w:eastAsia="Times New Roman" w:cs="Times New Roman"/>
                <w:spacing w:val="-1"/>
              </w:rPr>
              <w:t>2016</w:t>
            </w:r>
            <w:r>
              <w:rPr>
                <w:spacing w:val="-1"/>
              </w:rPr>
              <w:t>年开始建设</w:t>
            </w:r>
            <w:r>
              <w:t xml:space="preserve"> </w:t>
            </w:r>
            <w:r>
              <w:rPr>
                <w:rFonts w:ascii="Times New Roman" w:hAnsi="Times New Roman" w:eastAsia="Times New Roman" w:cs="Times New Roman"/>
                <w:spacing w:val="-1"/>
              </w:rPr>
              <w:t>2019</w:t>
            </w:r>
            <w:r>
              <w:rPr>
                <w:spacing w:val="-1"/>
              </w:rPr>
              <w:t xml:space="preserve">年建成投入运行。东岳镇污水处理厂占地 </w:t>
            </w:r>
            <w:r>
              <w:rPr>
                <w:rFonts w:ascii="Times New Roman" w:hAnsi="Times New Roman" w:eastAsia="Times New Roman" w:cs="Times New Roman"/>
                <w:spacing w:val="-1"/>
              </w:rPr>
              <w:t>3776.25m</w:t>
            </w:r>
            <w:r>
              <w:rPr>
                <w:rFonts w:ascii="Times New Roman" w:hAnsi="Times New Roman" w:eastAsia="Times New Roman" w:cs="Times New Roman"/>
                <w:spacing w:val="-1"/>
                <w:position w:val="7"/>
                <w:sz w:val="14"/>
                <w:szCs w:val="14"/>
              </w:rPr>
              <w:t xml:space="preserve">2 </w:t>
            </w:r>
            <w:r>
              <w:rPr>
                <w:spacing w:val="-1"/>
              </w:rPr>
              <w:t>，设计处理能力</w:t>
            </w:r>
            <w:r>
              <w:rPr>
                <w:rFonts w:ascii="Times New Roman" w:hAnsi="Times New Roman" w:eastAsia="Times New Roman" w:cs="Times New Roman"/>
                <w:spacing w:val="-1"/>
              </w:rPr>
              <w:t>1000m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/d</w:t>
            </w:r>
            <w:r>
              <w:rPr>
                <w:spacing w:val="-1"/>
              </w:rPr>
              <w:t>，采</w:t>
            </w:r>
            <w:r>
              <w:t xml:space="preserve"> 用</w:t>
            </w:r>
            <w:r>
              <w:rPr>
                <w:rFonts w:ascii="Times New Roman" w:hAnsi="Times New Roman" w:eastAsia="Times New Roman" w:cs="Times New Roman"/>
              </w:rPr>
              <w:t>PASG</w:t>
            </w:r>
            <w:r>
              <w:t>工艺，处理后污水达到《城镇污水处理厂污染</w:t>
            </w:r>
            <w:r>
              <w:rPr>
                <w:spacing w:val="-1"/>
              </w:rPr>
              <w:t>物排放标准》</w:t>
            </w:r>
            <w:r>
              <w:rPr>
                <w:rFonts w:hint="eastAsia"/>
                <w:spacing w:val="-1"/>
                <w:lang w:eastAsia="zh-CN"/>
              </w:rPr>
              <w:t>（</w:t>
            </w:r>
            <w:r>
              <w:rPr>
                <w:rFonts w:ascii="Times New Roman" w:hAnsi="Times New Roman" w:eastAsia="Times New Roman" w:cs="Times New Roman"/>
                <w:spacing w:val="-1"/>
              </w:rPr>
              <w:t xml:space="preserve">GB18918-2002)  </w:t>
            </w:r>
            <w:r>
              <w:rPr>
                <w:spacing w:val="-1"/>
              </w:rPr>
              <w:t>一</w:t>
            </w:r>
            <w:r>
              <w:t xml:space="preserve"> 级</w:t>
            </w:r>
            <w:r>
              <w:rPr>
                <w:rFonts w:ascii="Times New Roman" w:hAnsi="Times New Roman" w:eastAsia="Times New Roman" w:cs="Times New Roman"/>
              </w:rPr>
              <w:t>A</w:t>
            </w:r>
            <w:r>
              <w:t>类标准后，排入双龙河。东岳镇污水处理厂运行至今出现老化和损坏</w:t>
            </w:r>
            <w:r>
              <w:rPr>
                <w:spacing w:val="-1"/>
              </w:rPr>
              <w:t>的情况，以及</w:t>
            </w:r>
            <w:r>
              <w:t xml:space="preserve"> 工艺本身原因，使得实际处理能力达不到设计处理能力</w:t>
            </w:r>
            <w:r>
              <w:rPr>
                <w:rFonts w:ascii="Times New Roman" w:hAnsi="Times New Roman" w:eastAsia="Times New Roman" w:cs="Times New Roman"/>
              </w:rPr>
              <w:t>1000m</w:t>
            </w:r>
            <w:r>
              <w:rPr>
                <w:rFonts w:ascii="Times New Roman" w:hAnsi="Times New Roman" w:eastAsia="Times New Roman" w:cs="Times New Roman"/>
                <w:position w:val="7"/>
                <w:sz w:val="14"/>
                <w:szCs w:val="14"/>
              </w:rPr>
              <w:t>3</w:t>
            </w:r>
            <w:r>
              <w:rPr>
                <w:rFonts w:ascii="Times New Roman" w:hAnsi="Times New Roman" w:eastAsia="Times New Roman" w:cs="Times New Roman"/>
              </w:rPr>
              <w:t>/d</w:t>
            </w:r>
            <w:r>
              <w:rPr>
                <w:rFonts w:hint="eastAsia" w:ascii="Times New Roman" w:hAnsi="Times New Roman" w:eastAsia="宋体" w:cs="Times New Roman"/>
                <w:lang w:eastAsia="zh-CN"/>
              </w:rPr>
              <w:t>（</w:t>
            </w:r>
            <w:r>
              <w:t>实</w:t>
            </w:r>
            <w:r>
              <w:rPr>
                <w:spacing w:val="-1"/>
              </w:rPr>
              <w:t>际处理能力≤</w:t>
            </w:r>
            <w:r>
              <w:rPr>
                <w:rFonts w:ascii="Times New Roman" w:hAnsi="Times New Roman" w:eastAsia="Times New Roman" w:cs="Times New Roman"/>
                <w:spacing w:val="-1"/>
              </w:rPr>
              <w:t>500m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/d</w:t>
            </w:r>
            <w:r>
              <w:rPr>
                <w:spacing w:val="-1"/>
              </w:rPr>
              <w:t>，超过此进水量后出水部分指标会超标</w:t>
            </w:r>
            <w:r>
              <w:rPr>
                <w:rFonts w:hint="eastAsia"/>
                <w:spacing w:val="-1"/>
                <w:lang w:eastAsia="zh-CN"/>
              </w:rPr>
              <w:t>）</w:t>
            </w:r>
            <w:r>
              <w:rPr>
                <w:rFonts w:ascii="Times New Roman" w:hAnsi="Times New Roman" w:eastAsia="Times New Roman" w:cs="Times New Roman"/>
                <w:spacing w:val="-20"/>
              </w:rPr>
              <w:t xml:space="preserve"> </w:t>
            </w:r>
            <w:r>
              <w:rPr>
                <w:spacing w:val="-1"/>
              </w:rPr>
              <w:t>。</w:t>
            </w:r>
            <w:r>
              <w:rPr>
                <w:rFonts w:ascii="Times New Roman" w:hAnsi="Times New Roman" w:eastAsia="Times New Roman" w:cs="Times New Roman"/>
                <w:spacing w:val="-1"/>
              </w:rPr>
              <w:t>2023</w:t>
            </w:r>
            <w:r>
              <w:rPr>
                <w:spacing w:val="-1"/>
              </w:rPr>
              <w:t>年，东岳镇污水处理厂启动了扩</w:t>
            </w:r>
            <w:r>
              <w:t xml:space="preserve"> </w:t>
            </w:r>
            <w:r>
              <w:rPr>
                <w:spacing w:val="-1"/>
              </w:rPr>
              <w:t>建工程，拟在原厂区空地增加一套一体化污水处理设备，设计处理能力</w:t>
            </w:r>
            <w:r>
              <w:rPr>
                <w:rFonts w:ascii="Times New Roman" w:hAnsi="Times New Roman" w:eastAsia="Times New Roman" w:cs="Times New Roman"/>
                <w:spacing w:val="-1"/>
              </w:rPr>
              <w:t>1</w:t>
            </w:r>
            <w:r>
              <w:rPr>
                <w:rFonts w:ascii="Times New Roman" w:hAnsi="Times New Roman" w:eastAsia="Times New Roman" w:cs="Times New Roman"/>
                <w:spacing w:val="-2"/>
              </w:rPr>
              <w:t>000t/d</w:t>
            </w:r>
            <w:r>
              <w:rPr>
                <w:spacing w:val="-2"/>
              </w:rPr>
              <w:t>，工艺采</w:t>
            </w:r>
            <w:r>
              <w:t xml:space="preserve"> </w:t>
            </w:r>
            <w:r>
              <w:rPr>
                <w:spacing w:val="-1"/>
              </w:rPr>
              <w:t>用“</w:t>
            </w:r>
            <w:r>
              <w:rPr>
                <w:rFonts w:ascii="Times New Roman" w:hAnsi="Times New Roman" w:eastAsia="Times New Roman" w:cs="Times New Roman"/>
                <w:spacing w:val="-1"/>
              </w:rPr>
              <w:t>AAO(MBBR)+</w:t>
            </w:r>
            <w:r>
              <w:rPr>
                <w:spacing w:val="-1"/>
              </w:rPr>
              <w:t>沉淀池</w:t>
            </w:r>
            <w:r>
              <w:rPr>
                <w:rFonts w:ascii="Times New Roman" w:hAnsi="Times New Roman" w:eastAsia="Times New Roman" w:cs="Times New Roman"/>
                <w:spacing w:val="-1"/>
              </w:rPr>
              <w:t>+</w:t>
            </w:r>
            <w:r>
              <w:rPr>
                <w:spacing w:val="-1"/>
              </w:rPr>
              <w:t>微絮凝除磷</w:t>
            </w:r>
            <w:r>
              <w:rPr>
                <w:rFonts w:ascii="Times New Roman" w:hAnsi="Times New Roman" w:eastAsia="Times New Roman" w:cs="Times New Roman"/>
                <w:spacing w:val="-1"/>
              </w:rPr>
              <w:t>D</w:t>
            </w:r>
            <w:r>
              <w:rPr>
                <w:spacing w:val="-1"/>
              </w:rPr>
              <w:t>型滤池</w:t>
            </w:r>
            <w:r>
              <w:rPr>
                <w:rFonts w:ascii="Times New Roman" w:hAnsi="Times New Roman" w:eastAsia="Times New Roman" w:cs="Times New Roman"/>
                <w:spacing w:val="-1"/>
              </w:rPr>
              <w:t>+</w:t>
            </w:r>
            <w:r>
              <w:rPr>
                <w:spacing w:val="-1"/>
              </w:rPr>
              <w:t>紫外线消毒”，优化原厌氧池功能等。</w:t>
            </w:r>
            <w:r>
              <w:rPr>
                <w:spacing w:val="1"/>
              </w:rPr>
              <w:t xml:space="preserve"> </w:t>
            </w:r>
            <w:r>
              <w:rPr>
                <w:spacing w:val="-1"/>
              </w:rPr>
              <w:t xml:space="preserve">同时保留原设备处理能力，总处理能力达到 </w:t>
            </w:r>
            <w:r>
              <w:rPr>
                <w:rFonts w:ascii="Times New Roman" w:hAnsi="Times New Roman" w:eastAsia="Times New Roman" w:cs="Times New Roman"/>
                <w:spacing w:val="-1"/>
              </w:rPr>
              <w:t>1500m</w:t>
            </w:r>
            <w:r>
              <w:rPr>
                <w:rFonts w:ascii="Times New Roman" w:hAnsi="Times New Roman" w:eastAsia="Times New Roman" w:cs="Times New Roman"/>
                <w:spacing w:val="-2"/>
              </w:rPr>
              <w:t>/d</w:t>
            </w:r>
            <w:r>
              <w:rPr>
                <w:spacing w:val="-2"/>
              </w:rPr>
              <w:t>，处理出水水质达《城镇污水处理</w:t>
            </w:r>
            <w:r>
              <w:t xml:space="preserve"> </w:t>
            </w:r>
            <w:r>
              <w:rPr>
                <w:spacing w:val="-1"/>
              </w:rPr>
              <w:t>厂污染物排放标准》</w:t>
            </w:r>
            <w:r>
              <w:rPr>
                <w:rFonts w:hint="eastAsia"/>
                <w:spacing w:val="-1"/>
                <w:lang w:eastAsia="zh-CN"/>
              </w:rPr>
              <w:t>（</w:t>
            </w:r>
            <w:r>
              <w:rPr>
                <w:rFonts w:ascii="Times New Roman" w:hAnsi="Times New Roman" w:eastAsia="Times New Roman" w:cs="Times New Roman"/>
                <w:spacing w:val="-1"/>
              </w:rPr>
              <w:t>GB18918-2002</w:t>
            </w:r>
            <w:r>
              <w:rPr>
                <w:rFonts w:hint="eastAsia" w:ascii="Times New Roman" w:hAnsi="Times New Roman" w:eastAsia="宋体" w:cs="Times New Roman"/>
                <w:spacing w:val="-1"/>
                <w:lang w:eastAsia="zh-CN"/>
              </w:rPr>
              <w:t>）</w:t>
            </w:r>
            <w:r>
              <w:rPr>
                <w:spacing w:val="-1"/>
              </w:rPr>
              <w:t>一级</w:t>
            </w:r>
            <w:r>
              <w:rPr>
                <w:rFonts w:ascii="Times New Roman" w:hAnsi="Times New Roman" w:eastAsia="Times New Roman" w:cs="Times New Roman"/>
                <w:spacing w:val="-1"/>
              </w:rPr>
              <w:t>A</w:t>
            </w:r>
            <w:r>
              <w:rPr>
                <w:spacing w:val="-1"/>
              </w:rPr>
              <w:t>标后排</w:t>
            </w:r>
            <w:r>
              <w:rPr>
                <w:spacing w:val="-2"/>
              </w:rPr>
              <w:t>入双龙河。</w:t>
            </w:r>
          </w:p>
          <w:p w14:paraId="1EAC851A">
            <w:pPr>
              <w:pStyle w:val="6"/>
              <w:spacing w:before="23" w:line="344" w:lineRule="auto"/>
              <w:ind w:left="125" w:right="131" w:firstLine="403"/>
            </w:pPr>
            <w:r>
              <w:rPr>
                <w:spacing w:val="-1"/>
              </w:rPr>
              <w:t>本项目生活污水</w:t>
            </w:r>
            <w:r>
              <w:rPr>
                <w:rFonts w:ascii="Times New Roman" w:hAnsi="Times New Roman" w:eastAsia="Times New Roman" w:cs="Times New Roman"/>
                <w:spacing w:val="-1"/>
              </w:rPr>
              <w:t>0.65m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/d</w:t>
            </w:r>
            <w:r>
              <w:rPr>
                <w:spacing w:val="-1"/>
              </w:rPr>
              <w:t>，仅占东岳镇污水处理厂的</w:t>
            </w:r>
            <w:r>
              <w:rPr>
                <w:rFonts w:ascii="Times New Roman" w:hAnsi="Times New Roman" w:eastAsia="Times New Roman" w:cs="Times New Roman"/>
                <w:spacing w:val="-1"/>
              </w:rPr>
              <w:t>0.043%</w:t>
            </w:r>
            <w:r>
              <w:rPr>
                <w:rFonts w:ascii="Times New Roman" w:hAnsi="Times New Roman" w:eastAsia="Times New Roman" w:cs="Times New Roman"/>
                <w:spacing w:val="-20"/>
              </w:rPr>
              <w:t xml:space="preserve"> </w:t>
            </w:r>
            <w:r>
              <w:rPr>
                <w:spacing w:val="-1"/>
              </w:rPr>
              <w:t>，水量不会突破</w:t>
            </w:r>
            <w:r>
              <w:rPr>
                <w:rFonts w:hint="eastAsia"/>
                <w:spacing w:val="-1"/>
                <w:lang w:eastAsia="zh-CN"/>
              </w:rPr>
              <w:t>污水处理厂</w:t>
            </w:r>
            <w:r>
              <w:t xml:space="preserve"> </w:t>
            </w:r>
            <w:r>
              <w:rPr>
                <w:spacing w:val="-1"/>
              </w:rPr>
              <w:t>的处理能力。生活污水经化粪池预处理后，水质能够达到《污水综合排放标准》</w:t>
            </w:r>
          </w:p>
          <w:p w14:paraId="09AE965A">
            <w:pPr>
              <w:pStyle w:val="6"/>
              <w:spacing w:before="16" w:line="213" w:lineRule="auto"/>
              <w:ind w:left="108"/>
            </w:pPr>
            <w:r>
              <w:rPr>
                <w:rFonts w:ascii="Times New Roman" w:hAnsi="Times New Roman" w:eastAsia="Times New Roman" w:cs="Times New Roman"/>
                <w:spacing w:val="-1"/>
              </w:rPr>
              <w:t>(GB8978-1996)</w:t>
            </w:r>
            <w:r>
              <w:rPr>
                <w:spacing w:val="-1"/>
              </w:rPr>
              <w:t>Ⅲ类水质标准，满足东岳污水处理厂进水水质</w:t>
            </w:r>
            <w:r>
              <w:rPr>
                <w:spacing w:val="-2"/>
              </w:rPr>
              <w:t>要求。</w:t>
            </w:r>
          </w:p>
          <w:p w14:paraId="570491F2">
            <w:pPr>
              <w:pStyle w:val="6"/>
              <w:spacing w:before="157" w:line="220" w:lineRule="auto"/>
              <w:ind w:left="527"/>
            </w:pPr>
            <w:r>
              <w:rPr>
                <w:spacing w:val="-1"/>
              </w:rPr>
              <w:t>通过环评调查，目前东岳场镇污水处理厂处于正常运行状态，配套建设有从东</w:t>
            </w:r>
            <w:r>
              <w:rPr>
                <w:spacing w:val="-2"/>
              </w:rPr>
              <w:t>岳场</w:t>
            </w:r>
          </w:p>
        </w:tc>
      </w:tr>
    </w:tbl>
    <w:p w14:paraId="588F70FC">
      <w:pPr>
        <w:rPr>
          <w:rFonts w:ascii="Arial"/>
          <w:sz w:val="21"/>
        </w:rPr>
      </w:pPr>
    </w:p>
    <w:p w14:paraId="13A497F2">
      <w:pPr>
        <w:rPr>
          <w:rFonts w:ascii="Arial" w:hAnsi="Arial" w:eastAsia="Arial" w:cs="Arial"/>
          <w:sz w:val="21"/>
          <w:szCs w:val="21"/>
        </w:rPr>
        <w:sectPr>
          <w:footerReference r:id="rId63" w:type="default"/>
          <w:pgSz w:w="11908" w:h="16840"/>
          <w:pgMar w:top="1431" w:right="1489" w:bottom="1053" w:left="1489" w:header="0" w:footer="801" w:gutter="0"/>
          <w:cols w:space="720" w:num="1"/>
        </w:sectPr>
      </w:pPr>
    </w:p>
    <w:p w14:paraId="459E5660">
      <w:pPr>
        <w:spacing w:before="28"/>
      </w:pPr>
    </w:p>
    <w:tbl>
      <w:tblPr>
        <w:tblStyle w:val="5"/>
        <w:tblW w:w="891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70"/>
        <w:gridCol w:w="621"/>
        <w:gridCol w:w="490"/>
        <w:gridCol w:w="217"/>
        <w:gridCol w:w="238"/>
        <w:gridCol w:w="582"/>
        <w:gridCol w:w="29"/>
        <w:gridCol w:w="562"/>
        <w:gridCol w:w="674"/>
        <w:gridCol w:w="123"/>
        <w:gridCol w:w="441"/>
        <w:gridCol w:w="318"/>
        <w:gridCol w:w="144"/>
        <w:gridCol w:w="462"/>
        <w:gridCol w:w="306"/>
        <w:gridCol w:w="140"/>
        <w:gridCol w:w="604"/>
        <w:gridCol w:w="615"/>
        <w:gridCol w:w="134"/>
        <w:gridCol w:w="723"/>
        <w:gridCol w:w="590"/>
        <w:gridCol w:w="80"/>
      </w:tblGrid>
      <w:tr w14:paraId="2204E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7" w:hRule="atLeast"/>
        </w:trPr>
        <w:tc>
          <w:tcPr>
            <w:tcW w:w="750" w:type="dxa"/>
            <w:vMerge w:val="restart"/>
            <w:tcBorders>
              <w:left w:val="single" w:color="000000" w:sz="6" w:space="0"/>
              <w:bottom w:val="nil"/>
            </w:tcBorders>
            <w:vAlign w:val="top"/>
          </w:tcPr>
          <w:p w14:paraId="687FC9E1">
            <w:pPr>
              <w:spacing w:line="250" w:lineRule="auto"/>
              <w:rPr>
                <w:rFonts w:ascii="Arial"/>
                <w:sz w:val="21"/>
              </w:rPr>
            </w:pPr>
          </w:p>
          <w:p w14:paraId="27B87A94">
            <w:pPr>
              <w:spacing w:line="250" w:lineRule="auto"/>
              <w:rPr>
                <w:rFonts w:ascii="Arial"/>
                <w:sz w:val="21"/>
              </w:rPr>
            </w:pPr>
          </w:p>
          <w:p w14:paraId="5F308142">
            <w:pPr>
              <w:spacing w:line="251" w:lineRule="auto"/>
              <w:rPr>
                <w:rFonts w:ascii="Arial"/>
                <w:sz w:val="21"/>
              </w:rPr>
            </w:pPr>
          </w:p>
          <w:p w14:paraId="54A6AD99">
            <w:pPr>
              <w:spacing w:line="251" w:lineRule="auto"/>
              <w:rPr>
                <w:rFonts w:ascii="Arial"/>
                <w:sz w:val="21"/>
              </w:rPr>
            </w:pPr>
          </w:p>
          <w:p w14:paraId="3ED4B9CD">
            <w:pPr>
              <w:spacing w:line="251" w:lineRule="auto"/>
              <w:rPr>
                <w:rFonts w:ascii="Arial"/>
                <w:sz w:val="21"/>
              </w:rPr>
            </w:pPr>
          </w:p>
          <w:p w14:paraId="1CDE1531">
            <w:pPr>
              <w:spacing w:line="251" w:lineRule="auto"/>
              <w:rPr>
                <w:rFonts w:ascii="Arial"/>
                <w:sz w:val="21"/>
              </w:rPr>
            </w:pPr>
          </w:p>
          <w:p w14:paraId="1A674AF7">
            <w:pPr>
              <w:spacing w:line="251" w:lineRule="auto"/>
              <w:rPr>
                <w:rFonts w:ascii="Arial"/>
                <w:sz w:val="21"/>
              </w:rPr>
            </w:pPr>
          </w:p>
          <w:p w14:paraId="15721983">
            <w:pPr>
              <w:spacing w:line="251" w:lineRule="auto"/>
              <w:rPr>
                <w:rFonts w:ascii="Arial"/>
                <w:sz w:val="21"/>
              </w:rPr>
            </w:pPr>
          </w:p>
          <w:p w14:paraId="309D8856">
            <w:pPr>
              <w:spacing w:line="251" w:lineRule="auto"/>
              <w:rPr>
                <w:rFonts w:ascii="Arial"/>
                <w:sz w:val="21"/>
              </w:rPr>
            </w:pPr>
          </w:p>
          <w:p w14:paraId="22A10AE2">
            <w:pPr>
              <w:spacing w:line="251" w:lineRule="auto"/>
              <w:rPr>
                <w:rFonts w:ascii="Arial"/>
                <w:sz w:val="21"/>
              </w:rPr>
            </w:pPr>
          </w:p>
          <w:p w14:paraId="53EF2DBD">
            <w:pPr>
              <w:spacing w:line="251" w:lineRule="auto"/>
              <w:rPr>
                <w:rFonts w:ascii="Arial"/>
                <w:sz w:val="21"/>
              </w:rPr>
            </w:pPr>
          </w:p>
          <w:p w14:paraId="3BA4C572">
            <w:pPr>
              <w:spacing w:line="251" w:lineRule="auto"/>
              <w:rPr>
                <w:rFonts w:ascii="Arial"/>
                <w:sz w:val="21"/>
              </w:rPr>
            </w:pPr>
          </w:p>
          <w:p w14:paraId="059A99A2">
            <w:pPr>
              <w:spacing w:line="251" w:lineRule="auto"/>
              <w:rPr>
                <w:rFonts w:ascii="Arial"/>
                <w:sz w:val="21"/>
              </w:rPr>
            </w:pPr>
          </w:p>
          <w:p w14:paraId="6C81190F">
            <w:pPr>
              <w:spacing w:line="251" w:lineRule="auto"/>
              <w:rPr>
                <w:rFonts w:ascii="Arial"/>
                <w:sz w:val="21"/>
              </w:rPr>
            </w:pPr>
          </w:p>
          <w:p w14:paraId="6EAEFF43">
            <w:pPr>
              <w:spacing w:line="251" w:lineRule="auto"/>
              <w:rPr>
                <w:rFonts w:ascii="Arial"/>
                <w:sz w:val="21"/>
              </w:rPr>
            </w:pPr>
          </w:p>
          <w:p w14:paraId="3340464B">
            <w:pPr>
              <w:spacing w:line="251" w:lineRule="auto"/>
              <w:rPr>
                <w:rFonts w:ascii="Arial"/>
                <w:sz w:val="21"/>
              </w:rPr>
            </w:pPr>
          </w:p>
          <w:p w14:paraId="5F4DACD3">
            <w:pPr>
              <w:spacing w:line="251" w:lineRule="auto"/>
              <w:rPr>
                <w:rFonts w:ascii="Arial"/>
                <w:sz w:val="21"/>
              </w:rPr>
            </w:pPr>
          </w:p>
          <w:p w14:paraId="3DA3F495">
            <w:pPr>
              <w:spacing w:line="251" w:lineRule="auto"/>
              <w:rPr>
                <w:rFonts w:ascii="Arial"/>
                <w:sz w:val="21"/>
              </w:rPr>
            </w:pPr>
          </w:p>
          <w:p w14:paraId="45779FD0">
            <w:pPr>
              <w:spacing w:line="251" w:lineRule="auto"/>
              <w:rPr>
                <w:rFonts w:ascii="Arial"/>
                <w:sz w:val="21"/>
              </w:rPr>
            </w:pPr>
          </w:p>
          <w:p w14:paraId="7D0AB599">
            <w:pPr>
              <w:pStyle w:val="6"/>
              <w:spacing w:before="68" w:line="220" w:lineRule="auto"/>
              <w:ind w:left="162"/>
            </w:pPr>
            <w:r>
              <w:rPr>
                <w:b/>
                <w:bCs/>
                <w:spacing w:val="-4"/>
              </w:rPr>
              <w:t>运营</w:t>
            </w:r>
          </w:p>
          <w:p w14:paraId="2C626704">
            <w:pPr>
              <w:pStyle w:val="6"/>
              <w:spacing w:before="22" w:line="220" w:lineRule="auto"/>
              <w:ind w:left="164"/>
            </w:pPr>
            <w:r>
              <w:rPr>
                <w:b/>
                <w:bCs/>
                <w:spacing w:val="-5"/>
              </w:rPr>
              <w:t>期环</w:t>
            </w:r>
          </w:p>
          <w:p w14:paraId="6C971812">
            <w:pPr>
              <w:pStyle w:val="6"/>
              <w:spacing w:before="22" w:line="220" w:lineRule="auto"/>
              <w:ind w:left="163"/>
            </w:pPr>
            <w:r>
              <w:rPr>
                <w:b/>
                <w:bCs/>
                <w:spacing w:val="-5"/>
              </w:rPr>
              <w:t>境影</w:t>
            </w:r>
          </w:p>
          <w:p w14:paraId="32D79B86">
            <w:pPr>
              <w:pStyle w:val="6"/>
              <w:spacing w:before="22" w:line="222" w:lineRule="auto"/>
              <w:ind w:left="173"/>
            </w:pPr>
            <w:r>
              <w:rPr>
                <w:b/>
                <w:bCs/>
                <w:spacing w:val="-7"/>
              </w:rPr>
              <w:t>响和</w:t>
            </w:r>
          </w:p>
          <w:p w14:paraId="29C7E07A">
            <w:pPr>
              <w:pStyle w:val="6"/>
              <w:spacing w:before="20" w:line="220" w:lineRule="auto"/>
              <w:ind w:left="163"/>
            </w:pPr>
            <w:r>
              <w:rPr>
                <w:b/>
                <w:bCs/>
                <w:spacing w:val="-5"/>
              </w:rPr>
              <w:t>保护</w:t>
            </w:r>
          </w:p>
          <w:p w14:paraId="4E4DAC77">
            <w:pPr>
              <w:pStyle w:val="6"/>
              <w:spacing w:before="22" w:line="220" w:lineRule="auto"/>
              <w:ind w:left="162"/>
            </w:pPr>
            <w:r>
              <w:rPr>
                <w:b/>
                <w:bCs/>
                <w:spacing w:val="-4"/>
              </w:rPr>
              <w:t>措施</w:t>
            </w:r>
          </w:p>
        </w:tc>
        <w:tc>
          <w:tcPr>
            <w:tcW w:w="8163" w:type="dxa"/>
            <w:gridSpan w:val="22"/>
            <w:tcBorders>
              <w:right w:val="single" w:color="000000" w:sz="6" w:space="0"/>
            </w:tcBorders>
            <w:vAlign w:val="top"/>
          </w:tcPr>
          <w:p w14:paraId="035BE046">
            <w:pPr>
              <w:pStyle w:val="6"/>
              <w:spacing w:before="144" w:line="352" w:lineRule="auto"/>
              <w:ind w:left="108" w:right="119" w:hanging="1"/>
            </w:pPr>
            <w:r>
              <w:rPr>
                <w:spacing w:val="-3"/>
              </w:rPr>
              <w:t>镇至该污水处理厂的截污干管。</w:t>
            </w:r>
            <w:r>
              <w:rPr>
                <w:spacing w:val="-47"/>
              </w:rPr>
              <w:t xml:space="preserve"> </w:t>
            </w:r>
            <w:r>
              <w:rPr>
                <w:spacing w:val="-3"/>
              </w:rPr>
              <w:t>目前，本项目建设区域的市政污水管网已经建成投运，</w:t>
            </w:r>
            <w:r>
              <w:t xml:space="preserve"> </w:t>
            </w:r>
            <w:r>
              <w:rPr>
                <w:spacing w:val="-1"/>
              </w:rPr>
              <w:t>生活污水可经市政污水管网进入东岳场镇污水处理厂。</w:t>
            </w:r>
          </w:p>
          <w:p w14:paraId="797B7C46">
            <w:pPr>
              <w:pStyle w:val="6"/>
              <w:spacing w:before="2" w:line="351" w:lineRule="auto"/>
              <w:ind w:left="108" w:right="102" w:firstLine="419"/>
              <w:jc w:val="both"/>
            </w:pPr>
            <w:r>
              <w:rPr>
                <w:spacing w:val="-1"/>
              </w:rPr>
              <w:t>根据达州市金地水务有限公司《东岳镇污水处理厂改扩建项目环境影响报告</w:t>
            </w:r>
            <w:r>
              <w:rPr>
                <w:spacing w:val="-2"/>
              </w:rPr>
              <w:t>表》，</w:t>
            </w:r>
            <w:r>
              <w:t xml:space="preserve"> </w:t>
            </w:r>
            <w:r>
              <w:rPr>
                <w:spacing w:val="-5"/>
              </w:rPr>
              <w:t>本项目所处区域位于东岳镇污水处理厂的收水范围。因此，</w:t>
            </w:r>
            <w:r>
              <w:rPr>
                <w:spacing w:val="45"/>
              </w:rPr>
              <w:t xml:space="preserve"> </w:t>
            </w:r>
            <w:r>
              <w:rPr>
                <w:spacing w:val="-5"/>
              </w:rPr>
              <w:t>本项目废水排入东岳镇生活</w:t>
            </w:r>
            <w:r>
              <w:t xml:space="preserve"> </w:t>
            </w:r>
            <w:r>
              <w:rPr>
                <w:spacing w:val="-3"/>
              </w:rPr>
              <w:t>污水处理厂处理是可行的，也是可靠的。</w:t>
            </w:r>
          </w:p>
          <w:p w14:paraId="6208925B">
            <w:pPr>
              <w:pStyle w:val="6"/>
              <w:spacing w:line="233" w:lineRule="auto"/>
              <w:ind w:left="104"/>
            </w:pPr>
            <w:r>
              <w:rPr>
                <w:rFonts w:ascii="Times New Roman" w:hAnsi="Times New Roman" w:eastAsia="Times New Roman" w:cs="Times New Roman"/>
                <w:b/>
                <w:bCs/>
                <w:spacing w:val="-2"/>
              </w:rPr>
              <w:t>2.4</w:t>
            </w:r>
            <w:r>
              <w:rPr>
                <w:b/>
                <w:bCs/>
                <w:spacing w:val="-2"/>
              </w:rPr>
              <w:t>污染物源强及治理设施信息</w:t>
            </w:r>
          </w:p>
          <w:p w14:paraId="7D1BBE70">
            <w:pPr>
              <w:spacing w:before="78" w:line="210" w:lineRule="auto"/>
              <w:ind w:left="1802"/>
              <w:rPr>
                <w:rFonts w:ascii="黑体" w:hAnsi="黑体" w:eastAsia="黑体" w:cs="黑体"/>
                <w:sz w:val="20"/>
                <w:szCs w:val="20"/>
              </w:rPr>
            </w:pPr>
            <w:r>
              <w:rPr>
                <w:rFonts w:ascii="黑体" w:hAnsi="黑体" w:eastAsia="黑体" w:cs="黑体"/>
                <w:spacing w:val="-1"/>
                <w:sz w:val="20"/>
                <w:szCs w:val="20"/>
              </w:rPr>
              <w:t>表</w:t>
            </w:r>
            <w:r>
              <w:rPr>
                <w:rFonts w:ascii="Times New Roman" w:hAnsi="Times New Roman" w:eastAsia="Times New Roman" w:cs="Times New Roman"/>
                <w:spacing w:val="-1"/>
                <w:sz w:val="20"/>
                <w:szCs w:val="20"/>
              </w:rPr>
              <w:t xml:space="preserve">4-8      </w:t>
            </w:r>
            <w:r>
              <w:rPr>
                <w:rFonts w:ascii="黑体" w:hAnsi="黑体" w:eastAsia="黑体" w:cs="黑体"/>
                <w:spacing w:val="-1"/>
                <w:sz w:val="20"/>
                <w:szCs w:val="20"/>
              </w:rPr>
              <w:t>废水污染源源强核算结果及相关参数一览表</w:t>
            </w:r>
          </w:p>
        </w:tc>
      </w:tr>
      <w:tr w14:paraId="776D2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 w:hRule="atLeast"/>
        </w:trPr>
        <w:tc>
          <w:tcPr>
            <w:tcW w:w="750" w:type="dxa"/>
            <w:vMerge w:val="continue"/>
            <w:tcBorders>
              <w:top w:val="nil"/>
              <w:left w:val="single" w:color="000000" w:sz="6" w:space="0"/>
              <w:bottom w:val="nil"/>
            </w:tcBorders>
            <w:vAlign w:val="top"/>
          </w:tcPr>
          <w:p w14:paraId="07DD2B12">
            <w:pPr>
              <w:rPr>
                <w:rFonts w:ascii="Arial"/>
                <w:sz w:val="21"/>
              </w:rPr>
            </w:pPr>
          </w:p>
        </w:tc>
        <w:tc>
          <w:tcPr>
            <w:tcW w:w="70" w:type="dxa"/>
            <w:tcBorders>
              <w:top w:val="nil"/>
              <w:bottom w:val="nil"/>
              <w:right w:val="single" w:color="000000" w:sz="4" w:space="0"/>
            </w:tcBorders>
            <w:vAlign w:val="top"/>
          </w:tcPr>
          <w:p w14:paraId="227F6021">
            <w:pPr>
              <w:spacing w:line="198" w:lineRule="exact"/>
              <w:rPr>
                <w:rFonts w:ascii="Arial"/>
                <w:sz w:val="17"/>
              </w:rPr>
            </w:pPr>
          </w:p>
        </w:tc>
        <w:tc>
          <w:tcPr>
            <w:tcW w:w="621" w:type="dxa"/>
            <w:vMerge w:val="restart"/>
            <w:tcBorders>
              <w:left w:val="single" w:color="000000" w:sz="4" w:space="0"/>
              <w:bottom w:val="nil"/>
            </w:tcBorders>
            <w:vAlign w:val="top"/>
          </w:tcPr>
          <w:p w14:paraId="73F50B14">
            <w:pPr>
              <w:pStyle w:val="6"/>
              <w:spacing w:before="239" w:line="250" w:lineRule="auto"/>
              <w:ind w:left="135" w:right="60" w:hanging="100"/>
              <w:rPr>
                <w:sz w:val="15"/>
                <w:szCs w:val="15"/>
              </w:rPr>
            </w:pPr>
            <w:r>
              <w:rPr>
                <w:b/>
                <w:bCs/>
                <w:spacing w:val="5"/>
                <w:sz w:val="15"/>
                <w:szCs w:val="15"/>
              </w:rPr>
              <w:t>工序</w:t>
            </w:r>
            <w:r>
              <w:rPr>
                <w:rFonts w:ascii="Times New Roman" w:hAnsi="Times New Roman" w:eastAsia="Times New Roman" w:cs="Times New Roman"/>
                <w:b/>
                <w:bCs/>
                <w:spacing w:val="5"/>
                <w:sz w:val="15"/>
                <w:szCs w:val="15"/>
              </w:rPr>
              <w:t>/</w:t>
            </w:r>
            <w:r>
              <w:rPr>
                <w:b/>
                <w:bCs/>
                <w:spacing w:val="5"/>
                <w:sz w:val="15"/>
                <w:szCs w:val="15"/>
              </w:rPr>
              <w:t>生</w:t>
            </w:r>
            <w:r>
              <w:rPr>
                <w:sz w:val="15"/>
                <w:szCs w:val="15"/>
              </w:rPr>
              <w:t xml:space="preserve"> </w:t>
            </w:r>
            <w:r>
              <w:rPr>
                <w:b/>
                <w:bCs/>
                <w:spacing w:val="5"/>
                <w:sz w:val="15"/>
                <w:szCs w:val="15"/>
              </w:rPr>
              <w:t>产线</w:t>
            </w:r>
          </w:p>
        </w:tc>
        <w:tc>
          <w:tcPr>
            <w:tcW w:w="490" w:type="dxa"/>
            <w:vMerge w:val="restart"/>
            <w:tcBorders>
              <w:bottom w:val="nil"/>
            </w:tcBorders>
            <w:vAlign w:val="top"/>
          </w:tcPr>
          <w:p w14:paraId="75158737">
            <w:pPr>
              <w:pStyle w:val="6"/>
              <w:spacing w:before="239" w:line="258" w:lineRule="auto"/>
              <w:ind w:left="144" w:right="105" w:hanging="78"/>
              <w:rPr>
                <w:sz w:val="15"/>
                <w:szCs w:val="15"/>
              </w:rPr>
            </w:pPr>
            <w:r>
              <w:rPr>
                <w:b/>
                <w:bCs/>
                <w:spacing w:val="4"/>
                <w:sz w:val="15"/>
                <w:szCs w:val="15"/>
              </w:rPr>
              <w:t>污染</w:t>
            </w:r>
            <w:r>
              <w:rPr>
                <w:sz w:val="15"/>
                <w:szCs w:val="15"/>
              </w:rPr>
              <w:t xml:space="preserve"> </w:t>
            </w:r>
            <w:r>
              <w:rPr>
                <w:b/>
                <w:bCs/>
                <w:spacing w:val="2"/>
                <w:sz w:val="15"/>
                <w:szCs w:val="15"/>
              </w:rPr>
              <w:t>源</w:t>
            </w:r>
          </w:p>
        </w:tc>
        <w:tc>
          <w:tcPr>
            <w:tcW w:w="455" w:type="dxa"/>
            <w:gridSpan w:val="2"/>
            <w:vMerge w:val="restart"/>
            <w:tcBorders>
              <w:bottom w:val="nil"/>
            </w:tcBorders>
            <w:vAlign w:val="top"/>
          </w:tcPr>
          <w:p w14:paraId="22E7B371">
            <w:pPr>
              <w:pStyle w:val="6"/>
              <w:spacing w:before="239" w:line="257" w:lineRule="auto"/>
              <w:ind w:left="129" w:right="86" w:hanging="79"/>
              <w:rPr>
                <w:sz w:val="15"/>
                <w:szCs w:val="15"/>
              </w:rPr>
            </w:pPr>
            <w:r>
              <w:rPr>
                <w:b/>
                <w:bCs/>
                <w:spacing w:val="4"/>
                <w:sz w:val="15"/>
                <w:szCs w:val="15"/>
              </w:rPr>
              <w:t>污染</w:t>
            </w:r>
            <w:r>
              <w:rPr>
                <w:sz w:val="15"/>
                <w:szCs w:val="15"/>
              </w:rPr>
              <w:t xml:space="preserve"> </w:t>
            </w:r>
            <w:r>
              <w:rPr>
                <w:b/>
                <w:bCs/>
                <w:spacing w:val="1"/>
                <w:sz w:val="15"/>
                <w:szCs w:val="15"/>
              </w:rPr>
              <w:t>物</w:t>
            </w:r>
          </w:p>
        </w:tc>
        <w:tc>
          <w:tcPr>
            <w:tcW w:w="2411" w:type="dxa"/>
            <w:gridSpan w:val="6"/>
            <w:vAlign w:val="top"/>
          </w:tcPr>
          <w:p w14:paraId="068F574D">
            <w:pPr>
              <w:pStyle w:val="6"/>
              <w:spacing w:before="26" w:line="211" w:lineRule="auto"/>
              <w:ind w:left="795"/>
              <w:rPr>
                <w:sz w:val="15"/>
                <w:szCs w:val="15"/>
              </w:rPr>
            </w:pPr>
            <w:r>
              <w:rPr>
                <w:b/>
                <w:bCs/>
                <w:spacing w:val="7"/>
                <w:sz w:val="15"/>
                <w:szCs w:val="15"/>
              </w:rPr>
              <w:t>污染物产生</w:t>
            </w:r>
          </w:p>
        </w:tc>
        <w:tc>
          <w:tcPr>
            <w:tcW w:w="924" w:type="dxa"/>
            <w:gridSpan w:val="3"/>
            <w:vAlign w:val="top"/>
          </w:tcPr>
          <w:p w14:paraId="32D4FDBA">
            <w:pPr>
              <w:pStyle w:val="6"/>
              <w:spacing w:before="26" w:line="211" w:lineRule="auto"/>
              <w:ind w:left="143"/>
              <w:rPr>
                <w:sz w:val="15"/>
                <w:szCs w:val="15"/>
              </w:rPr>
            </w:pPr>
            <w:r>
              <w:rPr>
                <w:b/>
                <w:bCs/>
                <w:spacing w:val="6"/>
                <w:sz w:val="15"/>
                <w:szCs w:val="15"/>
              </w:rPr>
              <w:t>治理措施</w:t>
            </w:r>
          </w:p>
        </w:tc>
        <w:tc>
          <w:tcPr>
            <w:tcW w:w="2522" w:type="dxa"/>
            <w:gridSpan w:val="6"/>
            <w:vAlign w:val="top"/>
          </w:tcPr>
          <w:p w14:paraId="034D9F99">
            <w:pPr>
              <w:pStyle w:val="6"/>
              <w:spacing w:before="26" w:line="211" w:lineRule="auto"/>
              <w:ind w:left="867"/>
              <w:rPr>
                <w:sz w:val="15"/>
                <w:szCs w:val="15"/>
              </w:rPr>
            </w:pPr>
            <w:r>
              <w:rPr>
                <w:b/>
                <w:bCs/>
                <w:spacing w:val="7"/>
                <w:sz w:val="15"/>
                <w:szCs w:val="15"/>
              </w:rPr>
              <w:t>污染物排放</w:t>
            </w:r>
          </w:p>
        </w:tc>
        <w:tc>
          <w:tcPr>
            <w:tcW w:w="590" w:type="dxa"/>
            <w:vMerge w:val="restart"/>
            <w:tcBorders>
              <w:bottom w:val="nil"/>
            </w:tcBorders>
            <w:vAlign w:val="top"/>
          </w:tcPr>
          <w:p w14:paraId="6E12232B">
            <w:pPr>
              <w:pStyle w:val="6"/>
              <w:spacing w:before="134" w:line="233" w:lineRule="auto"/>
              <w:ind w:left="146"/>
              <w:rPr>
                <w:sz w:val="15"/>
                <w:szCs w:val="15"/>
              </w:rPr>
            </w:pPr>
            <w:r>
              <w:rPr>
                <w:b/>
                <w:bCs/>
                <w:spacing w:val="5"/>
                <w:sz w:val="15"/>
                <w:szCs w:val="15"/>
              </w:rPr>
              <w:t>排放</w:t>
            </w:r>
          </w:p>
          <w:p w14:paraId="1917B459">
            <w:pPr>
              <w:pStyle w:val="6"/>
              <w:spacing w:before="18" w:line="233" w:lineRule="auto"/>
              <w:ind w:left="154"/>
              <w:rPr>
                <w:sz w:val="15"/>
                <w:szCs w:val="15"/>
              </w:rPr>
            </w:pPr>
            <w:r>
              <w:rPr>
                <w:b/>
                <w:bCs/>
                <w:spacing w:val="1"/>
                <w:sz w:val="15"/>
                <w:szCs w:val="15"/>
              </w:rPr>
              <w:t>时间</w:t>
            </w:r>
          </w:p>
          <w:p w14:paraId="01AD8916">
            <w:pPr>
              <w:pStyle w:val="6"/>
              <w:spacing w:before="17" w:line="210" w:lineRule="exact"/>
              <w:ind w:left="49"/>
              <w:rPr>
                <w:sz w:val="15"/>
                <w:szCs w:val="15"/>
              </w:rPr>
            </w:pPr>
            <w:r>
              <w:rPr>
                <w:rFonts w:hint="eastAsia"/>
                <w:b/>
                <w:bCs/>
                <w:spacing w:val="1"/>
                <w:position w:val="1"/>
                <w:sz w:val="15"/>
                <w:szCs w:val="15"/>
                <w:lang w:eastAsia="zh-CN"/>
              </w:rPr>
              <w:t>(</w:t>
            </w:r>
            <w:r>
              <w:rPr>
                <w:rFonts w:ascii="Times New Roman" w:hAnsi="Times New Roman" w:eastAsia="Times New Roman" w:cs="Times New Roman"/>
                <w:b/>
                <w:bCs/>
                <w:spacing w:val="1"/>
                <w:position w:val="1"/>
                <w:sz w:val="15"/>
                <w:szCs w:val="15"/>
              </w:rPr>
              <w:t>d/a</w:t>
            </w:r>
            <w:r>
              <w:rPr>
                <w:rFonts w:hint="eastAsia" w:ascii="Times New Roman" w:hAnsi="Times New Roman" w:eastAsia="宋体" w:cs="Times New Roman"/>
                <w:b/>
                <w:bCs/>
                <w:spacing w:val="1"/>
                <w:position w:val="1"/>
                <w:sz w:val="15"/>
                <w:szCs w:val="15"/>
                <w:lang w:eastAsia="zh-CN"/>
              </w:rPr>
              <w:t>)</w:t>
            </w:r>
          </w:p>
        </w:tc>
        <w:tc>
          <w:tcPr>
            <w:tcW w:w="80" w:type="dxa"/>
            <w:tcBorders>
              <w:top w:val="nil"/>
              <w:bottom w:val="nil"/>
              <w:right w:val="single" w:color="000000" w:sz="6" w:space="0"/>
            </w:tcBorders>
            <w:vAlign w:val="top"/>
          </w:tcPr>
          <w:p w14:paraId="24796071">
            <w:pPr>
              <w:spacing w:line="198" w:lineRule="exact"/>
              <w:rPr>
                <w:rFonts w:ascii="Arial"/>
                <w:sz w:val="17"/>
              </w:rPr>
            </w:pPr>
          </w:p>
        </w:tc>
      </w:tr>
      <w:tr w14:paraId="0C154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50" w:type="dxa"/>
            <w:vMerge w:val="continue"/>
            <w:tcBorders>
              <w:top w:val="nil"/>
              <w:left w:val="single" w:color="000000" w:sz="6" w:space="0"/>
              <w:bottom w:val="nil"/>
            </w:tcBorders>
            <w:vAlign w:val="top"/>
          </w:tcPr>
          <w:p w14:paraId="63AC0E65">
            <w:pPr>
              <w:rPr>
                <w:rFonts w:ascii="Arial"/>
                <w:sz w:val="21"/>
              </w:rPr>
            </w:pPr>
          </w:p>
        </w:tc>
        <w:tc>
          <w:tcPr>
            <w:tcW w:w="70" w:type="dxa"/>
            <w:tcBorders>
              <w:top w:val="nil"/>
              <w:bottom w:val="nil"/>
              <w:right w:val="single" w:color="000000" w:sz="4" w:space="0"/>
            </w:tcBorders>
            <w:vAlign w:val="top"/>
          </w:tcPr>
          <w:p w14:paraId="2B96B9BB">
            <w:pPr>
              <w:rPr>
                <w:rFonts w:ascii="Arial"/>
                <w:sz w:val="21"/>
              </w:rPr>
            </w:pPr>
          </w:p>
        </w:tc>
        <w:tc>
          <w:tcPr>
            <w:tcW w:w="621" w:type="dxa"/>
            <w:vMerge w:val="continue"/>
            <w:tcBorders>
              <w:top w:val="nil"/>
              <w:left w:val="single" w:color="000000" w:sz="4" w:space="0"/>
            </w:tcBorders>
            <w:vAlign w:val="top"/>
          </w:tcPr>
          <w:p w14:paraId="2AC311C5">
            <w:pPr>
              <w:rPr>
                <w:rFonts w:ascii="Arial"/>
                <w:sz w:val="21"/>
              </w:rPr>
            </w:pPr>
          </w:p>
        </w:tc>
        <w:tc>
          <w:tcPr>
            <w:tcW w:w="490" w:type="dxa"/>
            <w:vMerge w:val="continue"/>
            <w:tcBorders>
              <w:top w:val="nil"/>
            </w:tcBorders>
            <w:vAlign w:val="top"/>
          </w:tcPr>
          <w:p w14:paraId="652FAAEC">
            <w:pPr>
              <w:rPr>
                <w:rFonts w:ascii="Arial"/>
                <w:sz w:val="21"/>
              </w:rPr>
            </w:pPr>
          </w:p>
        </w:tc>
        <w:tc>
          <w:tcPr>
            <w:tcW w:w="455" w:type="dxa"/>
            <w:gridSpan w:val="2"/>
            <w:vMerge w:val="continue"/>
            <w:tcBorders>
              <w:top w:val="nil"/>
            </w:tcBorders>
            <w:vAlign w:val="top"/>
          </w:tcPr>
          <w:p w14:paraId="2122F2BD">
            <w:pPr>
              <w:rPr>
                <w:rFonts w:ascii="Arial"/>
                <w:sz w:val="21"/>
              </w:rPr>
            </w:pPr>
          </w:p>
        </w:tc>
        <w:tc>
          <w:tcPr>
            <w:tcW w:w="582" w:type="dxa"/>
            <w:vAlign w:val="top"/>
          </w:tcPr>
          <w:p w14:paraId="35DE6621">
            <w:pPr>
              <w:pStyle w:val="6"/>
              <w:spacing w:before="134" w:line="231" w:lineRule="auto"/>
              <w:ind w:left="114"/>
              <w:rPr>
                <w:sz w:val="15"/>
                <w:szCs w:val="15"/>
              </w:rPr>
            </w:pPr>
            <w:r>
              <w:rPr>
                <w:b/>
                <w:bCs/>
                <w:spacing w:val="4"/>
                <w:sz w:val="15"/>
                <w:szCs w:val="15"/>
              </w:rPr>
              <w:t>核算</w:t>
            </w:r>
          </w:p>
          <w:p w14:paraId="768F48F8">
            <w:pPr>
              <w:pStyle w:val="6"/>
              <w:spacing w:before="19" w:line="233" w:lineRule="auto"/>
              <w:ind w:left="113"/>
              <w:rPr>
                <w:sz w:val="15"/>
                <w:szCs w:val="15"/>
              </w:rPr>
            </w:pPr>
            <w:r>
              <w:rPr>
                <w:b/>
                <w:bCs/>
                <w:spacing w:val="5"/>
                <w:sz w:val="15"/>
                <w:szCs w:val="15"/>
              </w:rPr>
              <w:t>方法</w:t>
            </w:r>
          </w:p>
        </w:tc>
        <w:tc>
          <w:tcPr>
            <w:tcW w:w="591" w:type="dxa"/>
            <w:gridSpan w:val="2"/>
            <w:vAlign w:val="top"/>
          </w:tcPr>
          <w:p w14:paraId="652316E3">
            <w:pPr>
              <w:pStyle w:val="6"/>
              <w:spacing w:before="42" w:line="247" w:lineRule="auto"/>
              <w:ind w:left="44" w:right="66" w:firstLine="79"/>
              <w:rPr>
                <w:rFonts w:ascii="Times New Roman" w:hAnsi="Times New Roman" w:eastAsia="Times New Roman" w:cs="Times New Roman"/>
                <w:sz w:val="15"/>
                <w:szCs w:val="15"/>
              </w:rPr>
            </w:pPr>
            <w:r>
              <w:rPr>
                <w:b/>
                <w:bCs/>
                <w:spacing w:val="5"/>
                <w:sz w:val="15"/>
                <w:szCs w:val="15"/>
              </w:rPr>
              <w:t>废水</w:t>
            </w:r>
            <w:r>
              <w:rPr>
                <w:sz w:val="15"/>
                <w:szCs w:val="15"/>
              </w:rPr>
              <w:t xml:space="preserve">  </w:t>
            </w:r>
            <w:r>
              <w:rPr>
                <w:b/>
                <w:bCs/>
                <w:spacing w:val="6"/>
                <w:sz w:val="15"/>
                <w:szCs w:val="15"/>
              </w:rPr>
              <w:t>产生量</w:t>
            </w:r>
            <w:r>
              <w:rPr>
                <w:spacing w:val="1"/>
                <w:sz w:val="15"/>
                <w:szCs w:val="15"/>
              </w:rPr>
              <w:t xml:space="preserve"> </w:t>
            </w:r>
            <w:r>
              <w:rPr>
                <w:rFonts w:ascii="Times New Roman" w:hAnsi="Times New Roman" w:eastAsia="Times New Roman" w:cs="Times New Roman"/>
                <w:b/>
                <w:bCs/>
                <w:spacing w:val="8"/>
                <w:sz w:val="15"/>
                <w:szCs w:val="15"/>
              </w:rPr>
              <w:t>(m</w:t>
            </w:r>
            <w:r>
              <w:rPr>
                <w:rFonts w:ascii="Times New Roman" w:hAnsi="Times New Roman" w:eastAsia="Times New Roman" w:cs="Times New Roman"/>
                <w:b/>
                <w:bCs/>
                <w:spacing w:val="8"/>
                <w:position w:val="5"/>
                <w:sz w:val="9"/>
                <w:szCs w:val="9"/>
              </w:rPr>
              <w:t>3</w:t>
            </w:r>
            <w:r>
              <w:rPr>
                <w:rFonts w:ascii="Times New Roman" w:hAnsi="Times New Roman" w:eastAsia="Times New Roman" w:cs="Times New Roman"/>
                <w:b/>
                <w:bCs/>
                <w:spacing w:val="8"/>
                <w:sz w:val="15"/>
                <w:szCs w:val="15"/>
              </w:rPr>
              <w:t>/a)</w:t>
            </w:r>
          </w:p>
        </w:tc>
        <w:tc>
          <w:tcPr>
            <w:tcW w:w="674" w:type="dxa"/>
            <w:vAlign w:val="top"/>
          </w:tcPr>
          <w:p w14:paraId="5E6E5D56">
            <w:pPr>
              <w:pStyle w:val="6"/>
              <w:spacing w:before="31" w:line="231" w:lineRule="auto"/>
              <w:ind w:left="174"/>
              <w:rPr>
                <w:sz w:val="15"/>
                <w:szCs w:val="15"/>
              </w:rPr>
            </w:pPr>
            <w:r>
              <w:rPr>
                <w:b/>
                <w:bCs/>
                <w:spacing w:val="5"/>
                <w:sz w:val="15"/>
                <w:szCs w:val="15"/>
              </w:rPr>
              <w:t>产生</w:t>
            </w:r>
          </w:p>
          <w:p w14:paraId="3DCC9842">
            <w:pPr>
              <w:pStyle w:val="6"/>
              <w:spacing w:before="19" w:line="232" w:lineRule="auto"/>
              <w:ind w:left="174"/>
              <w:rPr>
                <w:sz w:val="15"/>
                <w:szCs w:val="15"/>
              </w:rPr>
            </w:pPr>
            <w:r>
              <w:rPr>
                <w:b/>
                <w:bCs/>
                <w:spacing w:val="5"/>
                <w:sz w:val="15"/>
                <w:szCs w:val="15"/>
              </w:rPr>
              <w:t>浓度</w:t>
            </w:r>
          </w:p>
          <w:p w14:paraId="0A10EFB9">
            <w:pPr>
              <w:pStyle w:val="6"/>
              <w:spacing w:before="19" w:line="215" w:lineRule="auto"/>
              <w:ind w:left="11"/>
              <w:rPr>
                <w:sz w:val="15"/>
                <w:szCs w:val="15"/>
              </w:rPr>
            </w:pPr>
            <w:r>
              <w:rPr>
                <w:rFonts w:hint="eastAsia"/>
                <w:b/>
                <w:bCs/>
                <w:spacing w:val="2"/>
                <w:sz w:val="15"/>
                <w:szCs w:val="15"/>
                <w:lang w:eastAsia="zh-CN"/>
              </w:rPr>
              <w:t>(</w:t>
            </w:r>
            <w:r>
              <w:rPr>
                <w:rFonts w:ascii="Times New Roman" w:hAnsi="Times New Roman" w:eastAsia="Times New Roman" w:cs="Times New Roman"/>
                <w:b/>
                <w:bCs/>
                <w:sz w:val="15"/>
                <w:szCs w:val="15"/>
              </w:rPr>
              <w:t>mg</w:t>
            </w:r>
            <w:r>
              <w:rPr>
                <w:rFonts w:ascii="Times New Roman" w:hAnsi="Times New Roman" w:eastAsia="Times New Roman" w:cs="Times New Roman"/>
                <w:b/>
                <w:bCs/>
                <w:spacing w:val="2"/>
                <w:sz w:val="15"/>
                <w:szCs w:val="15"/>
              </w:rPr>
              <w:t>/L</w:t>
            </w:r>
            <w:r>
              <w:rPr>
                <w:rFonts w:hint="eastAsia" w:ascii="Times New Roman" w:hAnsi="Times New Roman" w:eastAsia="宋体" w:cs="Times New Roman"/>
                <w:b/>
                <w:bCs/>
                <w:spacing w:val="2"/>
                <w:sz w:val="15"/>
                <w:szCs w:val="15"/>
                <w:lang w:eastAsia="zh-CN"/>
              </w:rPr>
              <w:t>)</w:t>
            </w:r>
          </w:p>
        </w:tc>
        <w:tc>
          <w:tcPr>
            <w:tcW w:w="564" w:type="dxa"/>
            <w:gridSpan w:val="2"/>
            <w:vAlign w:val="top"/>
          </w:tcPr>
          <w:p w14:paraId="7F684165">
            <w:pPr>
              <w:pStyle w:val="6"/>
              <w:spacing w:before="134" w:line="231" w:lineRule="auto"/>
              <w:ind w:left="39"/>
              <w:rPr>
                <w:sz w:val="15"/>
                <w:szCs w:val="15"/>
              </w:rPr>
            </w:pPr>
            <w:r>
              <w:rPr>
                <w:b/>
                <w:bCs/>
                <w:spacing w:val="6"/>
                <w:sz w:val="15"/>
                <w:szCs w:val="15"/>
              </w:rPr>
              <w:t>产生量</w:t>
            </w:r>
          </w:p>
          <w:p w14:paraId="0827E1C1">
            <w:pPr>
              <w:pStyle w:val="6"/>
              <w:spacing w:before="19" w:line="210" w:lineRule="exact"/>
              <w:ind w:left="43"/>
              <w:rPr>
                <w:sz w:val="15"/>
                <w:szCs w:val="15"/>
              </w:rPr>
            </w:pPr>
            <w:r>
              <w:rPr>
                <w:rFonts w:hint="eastAsia"/>
                <w:b/>
                <w:bCs/>
                <w:spacing w:val="-1"/>
                <w:position w:val="1"/>
                <w:sz w:val="15"/>
                <w:szCs w:val="15"/>
                <w:lang w:eastAsia="zh-CN"/>
              </w:rPr>
              <w:t>(</w:t>
            </w:r>
            <w:r>
              <w:rPr>
                <w:rFonts w:ascii="Times New Roman" w:hAnsi="Times New Roman" w:eastAsia="Times New Roman" w:cs="Times New Roman"/>
                <w:b/>
                <w:bCs/>
                <w:spacing w:val="-1"/>
                <w:position w:val="1"/>
                <w:sz w:val="15"/>
                <w:szCs w:val="15"/>
              </w:rPr>
              <w:t>t/a</w:t>
            </w:r>
            <w:r>
              <w:rPr>
                <w:rFonts w:hint="eastAsia" w:ascii="Times New Roman" w:hAnsi="Times New Roman" w:eastAsia="宋体" w:cs="Times New Roman"/>
                <w:b/>
                <w:bCs/>
                <w:spacing w:val="-1"/>
                <w:position w:val="1"/>
                <w:sz w:val="15"/>
                <w:szCs w:val="15"/>
                <w:lang w:eastAsia="zh-CN"/>
              </w:rPr>
              <w:t>)</w:t>
            </w:r>
          </w:p>
        </w:tc>
        <w:tc>
          <w:tcPr>
            <w:tcW w:w="462" w:type="dxa"/>
            <w:gridSpan w:val="2"/>
            <w:vAlign w:val="top"/>
          </w:tcPr>
          <w:p w14:paraId="2C57232B">
            <w:pPr>
              <w:pStyle w:val="6"/>
              <w:spacing w:before="238" w:line="241" w:lineRule="auto"/>
              <w:ind w:left="69"/>
              <w:rPr>
                <w:sz w:val="15"/>
                <w:szCs w:val="15"/>
              </w:rPr>
            </w:pPr>
            <w:r>
              <w:rPr>
                <w:b/>
                <w:bCs/>
                <w:spacing w:val="4"/>
                <w:sz w:val="15"/>
                <w:szCs w:val="15"/>
              </w:rPr>
              <w:t>工艺</w:t>
            </w:r>
          </w:p>
        </w:tc>
        <w:tc>
          <w:tcPr>
            <w:tcW w:w="462" w:type="dxa"/>
            <w:vAlign w:val="top"/>
          </w:tcPr>
          <w:p w14:paraId="11FAF699">
            <w:pPr>
              <w:pStyle w:val="6"/>
              <w:spacing w:before="146" w:line="231" w:lineRule="auto"/>
              <w:ind w:left="71"/>
              <w:rPr>
                <w:sz w:val="15"/>
                <w:szCs w:val="15"/>
              </w:rPr>
            </w:pPr>
            <w:r>
              <w:rPr>
                <w:b/>
                <w:bCs/>
                <w:spacing w:val="3"/>
                <w:sz w:val="15"/>
                <w:szCs w:val="15"/>
              </w:rPr>
              <w:t>效率</w:t>
            </w:r>
          </w:p>
          <w:p w14:paraId="16A02FCC">
            <w:pPr>
              <w:spacing w:before="36" w:line="238" w:lineRule="auto"/>
              <w:ind w:left="120"/>
              <w:rPr>
                <w:rFonts w:ascii="Times New Roman" w:hAnsi="Times New Roman" w:eastAsia="Times New Roman" w:cs="Times New Roman"/>
                <w:sz w:val="15"/>
                <w:szCs w:val="15"/>
              </w:rPr>
            </w:pPr>
            <w:r>
              <w:rPr>
                <w:rFonts w:ascii="Times New Roman" w:hAnsi="Times New Roman" w:eastAsia="Times New Roman" w:cs="Times New Roman"/>
                <w:b/>
                <w:bCs/>
                <w:spacing w:val="6"/>
                <w:sz w:val="15"/>
                <w:szCs w:val="15"/>
              </w:rPr>
              <w:t>/%</w:t>
            </w:r>
          </w:p>
        </w:tc>
        <w:tc>
          <w:tcPr>
            <w:tcW w:w="446" w:type="dxa"/>
            <w:gridSpan w:val="2"/>
            <w:vAlign w:val="top"/>
          </w:tcPr>
          <w:p w14:paraId="13882D98">
            <w:pPr>
              <w:pStyle w:val="6"/>
              <w:spacing w:before="134" w:line="231" w:lineRule="auto"/>
              <w:ind w:left="63"/>
              <w:rPr>
                <w:sz w:val="15"/>
                <w:szCs w:val="15"/>
              </w:rPr>
            </w:pPr>
            <w:r>
              <w:rPr>
                <w:b/>
                <w:bCs/>
                <w:spacing w:val="4"/>
                <w:sz w:val="15"/>
                <w:szCs w:val="15"/>
              </w:rPr>
              <w:t>核算</w:t>
            </w:r>
          </w:p>
          <w:p w14:paraId="7EDA4F56">
            <w:pPr>
              <w:pStyle w:val="6"/>
              <w:spacing w:before="19" w:line="233" w:lineRule="auto"/>
              <w:ind w:left="61"/>
              <w:rPr>
                <w:sz w:val="15"/>
                <w:szCs w:val="15"/>
              </w:rPr>
            </w:pPr>
            <w:r>
              <w:rPr>
                <w:b/>
                <w:bCs/>
                <w:spacing w:val="5"/>
                <w:sz w:val="15"/>
                <w:szCs w:val="15"/>
              </w:rPr>
              <w:t>方法</w:t>
            </w:r>
          </w:p>
        </w:tc>
        <w:tc>
          <w:tcPr>
            <w:tcW w:w="604" w:type="dxa"/>
            <w:vAlign w:val="top"/>
          </w:tcPr>
          <w:p w14:paraId="594048F2">
            <w:pPr>
              <w:pStyle w:val="6"/>
              <w:spacing w:before="42" w:line="247" w:lineRule="auto"/>
              <w:ind w:left="58" w:right="66" w:firstLine="79"/>
              <w:rPr>
                <w:rFonts w:ascii="Times New Roman" w:hAnsi="Times New Roman" w:eastAsia="Times New Roman" w:cs="Times New Roman"/>
                <w:sz w:val="15"/>
                <w:szCs w:val="15"/>
              </w:rPr>
            </w:pPr>
            <w:r>
              <w:rPr>
                <w:b/>
                <w:bCs/>
                <w:spacing w:val="5"/>
                <w:sz w:val="15"/>
                <w:szCs w:val="15"/>
              </w:rPr>
              <w:t>废水</w:t>
            </w:r>
            <w:r>
              <w:rPr>
                <w:sz w:val="15"/>
                <w:szCs w:val="15"/>
              </w:rPr>
              <w:t xml:space="preserve">  </w:t>
            </w:r>
            <w:r>
              <w:rPr>
                <w:b/>
                <w:bCs/>
                <w:spacing w:val="6"/>
                <w:sz w:val="15"/>
                <w:szCs w:val="15"/>
              </w:rPr>
              <w:t>排放量</w:t>
            </w:r>
            <w:r>
              <w:rPr>
                <w:spacing w:val="1"/>
                <w:sz w:val="15"/>
                <w:szCs w:val="15"/>
              </w:rPr>
              <w:t xml:space="preserve"> </w:t>
            </w:r>
            <w:r>
              <w:rPr>
                <w:rFonts w:ascii="Times New Roman" w:hAnsi="Times New Roman" w:eastAsia="Times New Roman" w:cs="Times New Roman"/>
                <w:b/>
                <w:bCs/>
                <w:spacing w:val="8"/>
                <w:sz w:val="15"/>
                <w:szCs w:val="15"/>
              </w:rPr>
              <w:t>(m</w:t>
            </w:r>
            <w:r>
              <w:rPr>
                <w:rFonts w:ascii="Times New Roman" w:hAnsi="Times New Roman" w:eastAsia="Times New Roman" w:cs="Times New Roman"/>
                <w:b/>
                <w:bCs/>
                <w:spacing w:val="8"/>
                <w:position w:val="5"/>
                <w:sz w:val="9"/>
                <w:szCs w:val="9"/>
              </w:rPr>
              <w:t>3</w:t>
            </w:r>
            <w:r>
              <w:rPr>
                <w:rFonts w:ascii="Times New Roman" w:hAnsi="Times New Roman" w:eastAsia="Times New Roman" w:cs="Times New Roman"/>
                <w:b/>
                <w:bCs/>
                <w:spacing w:val="8"/>
                <w:sz w:val="15"/>
                <w:szCs w:val="15"/>
              </w:rPr>
              <w:t>/a)</w:t>
            </w:r>
          </w:p>
        </w:tc>
        <w:tc>
          <w:tcPr>
            <w:tcW w:w="749" w:type="dxa"/>
            <w:gridSpan w:val="2"/>
            <w:vAlign w:val="top"/>
          </w:tcPr>
          <w:p w14:paraId="059B1314">
            <w:pPr>
              <w:pStyle w:val="6"/>
              <w:spacing w:before="134" w:line="232" w:lineRule="auto"/>
              <w:ind w:left="48"/>
              <w:rPr>
                <w:sz w:val="15"/>
                <w:szCs w:val="15"/>
              </w:rPr>
            </w:pPr>
            <w:r>
              <w:rPr>
                <w:b/>
                <w:bCs/>
                <w:spacing w:val="7"/>
                <w:sz w:val="15"/>
                <w:szCs w:val="15"/>
              </w:rPr>
              <w:t>排放浓度</w:t>
            </w:r>
          </w:p>
          <w:p w14:paraId="74DB8DE9">
            <w:pPr>
              <w:pStyle w:val="6"/>
              <w:spacing w:before="19" w:line="225" w:lineRule="auto"/>
              <w:ind w:left="39"/>
              <w:rPr>
                <w:sz w:val="15"/>
                <w:szCs w:val="15"/>
              </w:rPr>
            </w:pPr>
            <w:r>
              <w:rPr>
                <w:rFonts w:hint="eastAsia"/>
                <w:b/>
                <w:bCs/>
                <w:spacing w:val="2"/>
                <w:sz w:val="15"/>
                <w:szCs w:val="15"/>
                <w:lang w:eastAsia="zh-CN"/>
              </w:rPr>
              <w:t>(</w:t>
            </w:r>
            <w:r>
              <w:rPr>
                <w:rFonts w:ascii="Times New Roman" w:hAnsi="Times New Roman" w:eastAsia="Times New Roman" w:cs="Times New Roman"/>
                <w:b/>
                <w:bCs/>
                <w:sz w:val="15"/>
                <w:szCs w:val="15"/>
              </w:rPr>
              <w:t>mg</w:t>
            </w:r>
            <w:r>
              <w:rPr>
                <w:rFonts w:ascii="Times New Roman" w:hAnsi="Times New Roman" w:eastAsia="Times New Roman" w:cs="Times New Roman"/>
                <w:b/>
                <w:bCs/>
                <w:spacing w:val="2"/>
                <w:sz w:val="15"/>
                <w:szCs w:val="15"/>
              </w:rPr>
              <w:t>/L</w:t>
            </w:r>
            <w:r>
              <w:rPr>
                <w:rFonts w:hint="eastAsia" w:ascii="Times New Roman" w:hAnsi="Times New Roman" w:eastAsia="宋体" w:cs="Times New Roman"/>
                <w:b/>
                <w:bCs/>
                <w:spacing w:val="2"/>
                <w:sz w:val="15"/>
                <w:szCs w:val="15"/>
                <w:lang w:eastAsia="zh-CN"/>
              </w:rPr>
              <w:t>)</w:t>
            </w:r>
          </w:p>
        </w:tc>
        <w:tc>
          <w:tcPr>
            <w:tcW w:w="723" w:type="dxa"/>
            <w:vAlign w:val="top"/>
          </w:tcPr>
          <w:p w14:paraId="0FDB495E">
            <w:pPr>
              <w:pStyle w:val="6"/>
              <w:spacing w:before="133" w:line="233" w:lineRule="auto"/>
              <w:ind w:left="124"/>
              <w:rPr>
                <w:sz w:val="15"/>
                <w:szCs w:val="15"/>
              </w:rPr>
            </w:pPr>
            <w:r>
              <w:rPr>
                <w:b/>
                <w:bCs/>
                <w:spacing w:val="6"/>
                <w:sz w:val="15"/>
                <w:szCs w:val="15"/>
              </w:rPr>
              <w:t>排放量</w:t>
            </w:r>
          </w:p>
          <w:p w14:paraId="695EE72B">
            <w:pPr>
              <w:pStyle w:val="6"/>
              <w:spacing w:before="18" w:line="210" w:lineRule="exact"/>
              <w:ind w:left="128"/>
              <w:rPr>
                <w:sz w:val="15"/>
                <w:szCs w:val="15"/>
              </w:rPr>
            </w:pPr>
            <w:r>
              <w:rPr>
                <w:rFonts w:hint="eastAsia"/>
                <w:b/>
                <w:bCs/>
                <w:spacing w:val="-1"/>
                <w:position w:val="1"/>
                <w:sz w:val="15"/>
                <w:szCs w:val="15"/>
                <w:lang w:eastAsia="zh-CN"/>
              </w:rPr>
              <w:t>(</w:t>
            </w:r>
            <w:r>
              <w:rPr>
                <w:rFonts w:ascii="Times New Roman" w:hAnsi="Times New Roman" w:eastAsia="Times New Roman" w:cs="Times New Roman"/>
                <w:b/>
                <w:bCs/>
                <w:spacing w:val="-1"/>
                <w:position w:val="1"/>
                <w:sz w:val="15"/>
                <w:szCs w:val="15"/>
              </w:rPr>
              <w:t>t/a</w:t>
            </w:r>
            <w:r>
              <w:rPr>
                <w:rFonts w:hint="eastAsia" w:ascii="Times New Roman" w:hAnsi="Times New Roman" w:eastAsia="宋体" w:cs="Times New Roman"/>
                <w:b/>
                <w:bCs/>
                <w:spacing w:val="-1"/>
                <w:position w:val="1"/>
                <w:sz w:val="15"/>
                <w:szCs w:val="15"/>
                <w:lang w:eastAsia="zh-CN"/>
              </w:rPr>
              <w:t>)</w:t>
            </w:r>
          </w:p>
        </w:tc>
        <w:tc>
          <w:tcPr>
            <w:tcW w:w="590" w:type="dxa"/>
            <w:vMerge w:val="continue"/>
            <w:tcBorders>
              <w:top w:val="nil"/>
            </w:tcBorders>
            <w:vAlign w:val="top"/>
          </w:tcPr>
          <w:p w14:paraId="39C7F434">
            <w:pPr>
              <w:rPr>
                <w:rFonts w:ascii="Arial"/>
                <w:sz w:val="21"/>
              </w:rPr>
            </w:pPr>
          </w:p>
        </w:tc>
        <w:tc>
          <w:tcPr>
            <w:tcW w:w="80" w:type="dxa"/>
            <w:tcBorders>
              <w:top w:val="nil"/>
              <w:bottom w:val="nil"/>
              <w:right w:val="single" w:color="000000" w:sz="6" w:space="0"/>
            </w:tcBorders>
            <w:vAlign w:val="top"/>
          </w:tcPr>
          <w:p w14:paraId="58FB8C1C">
            <w:pPr>
              <w:rPr>
                <w:rFonts w:ascii="Arial"/>
                <w:sz w:val="21"/>
              </w:rPr>
            </w:pPr>
          </w:p>
        </w:tc>
      </w:tr>
      <w:tr w14:paraId="42346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 w:hRule="atLeast"/>
        </w:trPr>
        <w:tc>
          <w:tcPr>
            <w:tcW w:w="750" w:type="dxa"/>
            <w:vMerge w:val="continue"/>
            <w:tcBorders>
              <w:top w:val="nil"/>
              <w:left w:val="single" w:color="000000" w:sz="6" w:space="0"/>
              <w:bottom w:val="nil"/>
            </w:tcBorders>
            <w:vAlign w:val="top"/>
          </w:tcPr>
          <w:p w14:paraId="646836A3">
            <w:pPr>
              <w:rPr>
                <w:rFonts w:ascii="Arial"/>
                <w:sz w:val="21"/>
              </w:rPr>
            </w:pPr>
          </w:p>
        </w:tc>
        <w:tc>
          <w:tcPr>
            <w:tcW w:w="70" w:type="dxa"/>
            <w:tcBorders>
              <w:top w:val="nil"/>
              <w:bottom w:val="nil"/>
              <w:right w:val="single" w:color="000000" w:sz="4" w:space="0"/>
            </w:tcBorders>
            <w:vAlign w:val="top"/>
          </w:tcPr>
          <w:p w14:paraId="1C99E038">
            <w:pPr>
              <w:spacing w:line="175" w:lineRule="exact"/>
              <w:rPr>
                <w:rFonts w:ascii="Arial"/>
                <w:sz w:val="15"/>
              </w:rPr>
            </w:pPr>
          </w:p>
        </w:tc>
        <w:tc>
          <w:tcPr>
            <w:tcW w:w="621" w:type="dxa"/>
            <w:vMerge w:val="restart"/>
            <w:tcBorders>
              <w:left w:val="single" w:color="000000" w:sz="4" w:space="0"/>
              <w:bottom w:val="nil"/>
            </w:tcBorders>
            <w:vAlign w:val="top"/>
          </w:tcPr>
          <w:p w14:paraId="3E969944">
            <w:pPr>
              <w:pStyle w:val="6"/>
              <w:spacing w:before="131" w:line="231" w:lineRule="auto"/>
              <w:ind w:left="59"/>
              <w:rPr>
                <w:sz w:val="15"/>
                <w:szCs w:val="15"/>
              </w:rPr>
            </w:pPr>
            <w:r>
              <w:rPr>
                <w:spacing w:val="6"/>
                <w:sz w:val="15"/>
                <w:szCs w:val="15"/>
              </w:rPr>
              <w:t>办公区</w:t>
            </w:r>
          </w:p>
        </w:tc>
        <w:tc>
          <w:tcPr>
            <w:tcW w:w="490" w:type="dxa"/>
            <w:vMerge w:val="restart"/>
            <w:tcBorders>
              <w:bottom w:val="nil"/>
            </w:tcBorders>
            <w:vAlign w:val="top"/>
          </w:tcPr>
          <w:p w14:paraId="1BF82996">
            <w:pPr>
              <w:pStyle w:val="6"/>
              <w:spacing w:before="27" w:line="232" w:lineRule="auto"/>
              <w:ind w:left="67"/>
              <w:rPr>
                <w:sz w:val="15"/>
                <w:szCs w:val="15"/>
              </w:rPr>
            </w:pPr>
            <w:r>
              <w:rPr>
                <w:spacing w:val="5"/>
                <w:sz w:val="15"/>
                <w:szCs w:val="15"/>
              </w:rPr>
              <w:t>生活</w:t>
            </w:r>
          </w:p>
          <w:p w14:paraId="2AA8F2CE">
            <w:pPr>
              <w:pStyle w:val="6"/>
              <w:spacing w:before="19" w:line="214" w:lineRule="auto"/>
              <w:ind w:left="67"/>
              <w:rPr>
                <w:sz w:val="15"/>
                <w:szCs w:val="15"/>
              </w:rPr>
            </w:pPr>
            <w:r>
              <w:rPr>
                <w:spacing w:val="5"/>
                <w:sz w:val="15"/>
                <w:szCs w:val="15"/>
              </w:rPr>
              <w:t>污水</w:t>
            </w:r>
          </w:p>
        </w:tc>
        <w:tc>
          <w:tcPr>
            <w:tcW w:w="455" w:type="dxa"/>
            <w:gridSpan w:val="2"/>
            <w:vAlign w:val="top"/>
          </w:tcPr>
          <w:p w14:paraId="5422856F">
            <w:pPr>
              <w:spacing w:before="44" w:line="183" w:lineRule="auto"/>
              <w:ind w:left="40"/>
              <w:rPr>
                <w:rFonts w:ascii="Times New Roman" w:hAnsi="Times New Roman" w:eastAsia="Times New Roman" w:cs="Times New Roman"/>
                <w:sz w:val="15"/>
                <w:szCs w:val="15"/>
              </w:rPr>
            </w:pPr>
            <w:r>
              <w:rPr>
                <w:rFonts w:ascii="Times New Roman" w:hAnsi="Times New Roman" w:eastAsia="Times New Roman" w:cs="Times New Roman"/>
                <w:spacing w:val="4"/>
                <w:sz w:val="15"/>
                <w:szCs w:val="15"/>
              </w:rPr>
              <w:t>COD</w:t>
            </w:r>
          </w:p>
        </w:tc>
        <w:tc>
          <w:tcPr>
            <w:tcW w:w="582" w:type="dxa"/>
            <w:vMerge w:val="restart"/>
            <w:tcBorders>
              <w:bottom w:val="nil"/>
            </w:tcBorders>
            <w:vAlign w:val="top"/>
          </w:tcPr>
          <w:p w14:paraId="34EBAFBA">
            <w:pPr>
              <w:pStyle w:val="6"/>
              <w:spacing w:before="131" w:line="231" w:lineRule="auto"/>
              <w:ind w:left="36"/>
              <w:rPr>
                <w:sz w:val="15"/>
                <w:szCs w:val="15"/>
              </w:rPr>
            </w:pPr>
            <w:r>
              <w:rPr>
                <w:spacing w:val="6"/>
                <w:sz w:val="15"/>
                <w:szCs w:val="15"/>
              </w:rPr>
              <w:t>系数法</w:t>
            </w:r>
          </w:p>
        </w:tc>
        <w:tc>
          <w:tcPr>
            <w:tcW w:w="591" w:type="dxa"/>
            <w:gridSpan w:val="2"/>
            <w:vMerge w:val="restart"/>
            <w:tcBorders>
              <w:bottom w:val="nil"/>
            </w:tcBorders>
            <w:vAlign w:val="top"/>
          </w:tcPr>
          <w:p w14:paraId="2F99BEAB">
            <w:pPr>
              <w:spacing w:before="156" w:line="176" w:lineRule="exact"/>
              <w:ind w:left="102"/>
              <w:rPr>
                <w:rFonts w:ascii="Times New Roman" w:hAnsi="Times New Roman" w:eastAsia="Times New Roman" w:cs="Times New Roman"/>
                <w:sz w:val="15"/>
                <w:szCs w:val="15"/>
              </w:rPr>
            </w:pPr>
            <w:r>
              <w:rPr>
                <w:rFonts w:ascii="Times New Roman" w:hAnsi="Times New Roman" w:eastAsia="Times New Roman" w:cs="Times New Roman"/>
                <w:spacing w:val="3"/>
                <w:sz w:val="15"/>
                <w:szCs w:val="15"/>
              </w:rPr>
              <w:t>214.5</w:t>
            </w:r>
          </w:p>
        </w:tc>
        <w:tc>
          <w:tcPr>
            <w:tcW w:w="674" w:type="dxa"/>
            <w:vAlign w:val="top"/>
          </w:tcPr>
          <w:p w14:paraId="2A9670E5">
            <w:pPr>
              <w:spacing w:before="41" w:line="187" w:lineRule="auto"/>
              <w:ind w:left="210"/>
              <w:rPr>
                <w:rFonts w:ascii="Times New Roman" w:hAnsi="Times New Roman" w:eastAsia="Times New Roman" w:cs="Times New Roman"/>
                <w:sz w:val="15"/>
                <w:szCs w:val="15"/>
              </w:rPr>
            </w:pPr>
            <w:r>
              <w:rPr>
                <w:rFonts w:ascii="Times New Roman" w:hAnsi="Times New Roman" w:eastAsia="Times New Roman" w:cs="Times New Roman"/>
                <w:spacing w:val="4"/>
                <w:sz w:val="15"/>
                <w:szCs w:val="15"/>
              </w:rPr>
              <w:t>450</w:t>
            </w:r>
          </w:p>
        </w:tc>
        <w:tc>
          <w:tcPr>
            <w:tcW w:w="564" w:type="dxa"/>
            <w:gridSpan w:val="2"/>
            <w:vAlign w:val="top"/>
          </w:tcPr>
          <w:p w14:paraId="1D5682DE">
            <w:pPr>
              <w:spacing w:before="41" w:line="187" w:lineRule="auto"/>
              <w:ind w:left="99"/>
              <w:rPr>
                <w:rFonts w:ascii="Times New Roman" w:hAnsi="Times New Roman" w:eastAsia="Times New Roman" w:cs="Times New Roman"/>
                <w:sz w:val="15"/>
                <w:szCs w:val="15"/>
              </w:rPr>
            </w:pPr>
            <w:r>
              <w:rPr>
                <w:rFonts w:ascii="Times New Roman" w:hAnsi="Times New Roman" w:eastAsia="Times New Roman" w:cs="Times New Roman"/>
                <w:spacing w:val="3"/>
                <w:sz w:val="15"/>
                <w:szCs w:val="15"/>
              </w:rPr>
              <w:t>0.097</w:t>
            </w:r>
          </w:p>
        </w:tc>
        <w:tc>
          <w:tcPr>
            <w:tcW w:w="462" w:type="dxa"/>
            <w:gridSpan w:val="2"/>
            <w:vMerge w:val="restart"/>
            <w:tcBorders>
              <w:bottom w:val="nil"/>
            </w:tcBorders>
            <w:vAlign w:val="top"/>
          </w:tcPr>
          <w:p w14:paraId="57814201">
            <w:pPr>
              <w:pStyle w:val="6"/>
              <w:spacing w:before="131" w:line="231" w:lineRule="auto"/>
              <w:ind w:left="68"/>
              <w:rPr>
                <w:sz w:val="15"/>
                <w:szCs w:val="15"/>
              </w:rPr>
            </w:pPr>
            <w:r>
              <w:rPr>
                <w:spacing w:val="6"/>
                <w:sz w:val="15"/>
                <w:szCs w:val="15"/>
              </w:rPr>
              <w:t>厌氧</w:t>
            </w:r>
          </w:p>
        </w:tc>
        <w:tc>
          <w:tcPr>
            <w:tcW w:w="462" w:type="dxa"/>
            <w:vAlign w:val="top"/>
          </w:tcPr>
          <w:p w14:paraId="142B30AD">
            <w:pPr>
              <w:spacing w:before="41" w:line="187" w:lineRule="auto"/>
              <w:ind w:left="199"/>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w:t>
            </w:r>
          </w:p>
        </w:tc>
        <w:tc>
          <w:tcPr>
            <w:tcW w:w="446" w:type="dxa"/>
            <w:gridSpan w:val="2"/>
            <w:vMerge w:val="restart"/>
            <w:tcBorders>
              <w:bottom w:val="nil"/>
            </w:tcBorders>
            <w:vAlign w:val="top"/>
          </w:tcPr>
          <w:p w14:paraId="4D687C2B">
            <w:pPr>
              <w:spacing w:before="156" w:line="176" w:lineRule="exact"/>
              <w:ind w:left="194"/>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w:t>
            </w:r>
          </w:p>
        </w:tc>
        <w:tc>
          <w:tcPr>
            <w:tcW w:w="604" w:type="dxa"/>
            <w:vMerge w:val="restart"/>
            <w:tcBorders>
              <w:bottom w:val="nil"/>
            </w:tcBorders>
            <w:vAlign w:val="top"/>
          </w:tcPr>
          <w:p w14:paraId="555D8059">
            <w:pPr>
              <w:spacing w:before="156" w:line="176" w:lineRule="exact"/>
              <w:ind w:left="116"/>
              <w:rPr>
                <w:rFonts w:ascii="Times New Roman" w:hAnsi="Times New Roman" w:eastAsia="Times New Roman" w:cs="Times New Roman"/>
                <w:sz w:val="15"/>
                <w:szCs w:val="15"/>
              </w:rPr>
            </w:pPr>
            <w:r>
              <w:rPr>
                <w:rFonts w:ascii="Times New Roman" w:hAnsi="Times New Roman" w:eastAsia="Times New Roman" w:cs="Times New Roman"/>
                <w:spacing w:val="3"/>
                <w:sz w:val="15"/>
                <w:szCs w:val="15"/>
              </w:rPr>
              <w:t>214.5</w:t>
            </w:r>
          </w:p>
        </w:tc>
        <w:tc>
          <w:tcPr>
            <w:tcW w:w="749" w:type="dxa"/>
            <w:gridSpan w:val="2"/>
            <w:vAlign w:val="top"/>
          </w:tcPr>
          <w:p w14:paraId="49531945">
            <w:pPr>
              <w:spacing w:before="41" w:line="187" w:lineRule="auto"/>
              <w:ind w:left="248"/>
              <w:rPr>
                <w:rFonts w:ascii="Times New Roman" w:hAnsi="Times New Roman" w:eastAsia="Times New Roman" w:cs="Times New Roman"/>
                <w:sz w:val="15"/>
                <w:szCs w:val="15"/>
              </w:rPr>
            </w:pPr>
            <w:r>
              <w:rPr>
                <w:rFonts w:ascii="Times New Roman" w:hAnsi="Times New Roman" w:eastAsia="Times New Roman" w:cs="Times New Roman"/>
                <w:spacing w:val="3"/>
                <w:sz w:val="15"/>
                <w:szCs w:val="15"/>
              </w:rPr>
              <w:t>350</w:t>
            </w:r>
          </w:p>
        </w:tc>
        <w:tc>
          <w:tcPr>
            <w:tcW w:w="723" w:type="dxa"/>
            <w:vAlign w:val="top"/>
          </w:tcPr>
          <w:p w14:paraId="33645CCD">
            <w:pPr>
              <w:spacing w:before="41" w:line="187" w:lineRule="auto"/>
              <w:ind w:left="185"/>
              <w:rPr>
                <w:rFonts w:ascii="Times New Roman" w:hAnsi="Times New Roman" w:eastAsia="Times New Roman" w:cs="Times New Roman"/>
                <w:sz w:val="15"/>
                <w:szCs w:val="15"/>
              </w:rPr>
            </w:pPr>
            <w:r>
              <w:rPr>
                <w:rFonts w:ascii="Times New Roman" w:hAnsi="Times New Roman" w:eastAsia="Times New Roman" w:cs="Times New Roman"/>
                <w:spacing w:val="3"/>
                <w:sz w:val="15"/>
                <w:szCs w:val="15"/>
              </w:rPr>
              <w:t>0.075</w:t>
            </w:r>
          </w:p>
        </w:tc>
        <w:tc>
          <w:tcPr>
            <w:tcW w:w="590" w:type="dxa"/>
            <w:vMerge w:val="restart"/>
            <w:tcBorders>
              <w:bottom w:val="nil"/>
            </w:tcBorders>
            <w:vAlign w:val="top"/>
          </w:tcPr>
          <w:p w14:paraId="5F5672ED">
            <w:pPr>
              <w:spacing w:before="156" w:line="176" w:lineRule="exact"/>
              <w:ind w:left="278"/>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w:t>
            </w:r>
          </w:p>
        </w:tc>
        <w:tc>
          <w:tcPr>
            <w:tcW w:w="80" w:type="dxa"/>
            <w:tcBorders>
              <w:top w:val="nil"/>
              <w:bottom w:val="nil"/>
              <w:right w:val="single" w:color="000000" w:sz="6" w:space="0"/>
            </w:tcBorders>
            <w:vAlign w:val="top"/>
          </w:tcPr>
          <w:p w14:paraId="439FED02">
            <w:pPr>
              <w:spacing w:line="175" w:lineRule="exact"/>
              <w:rPr>
                <w:rFonts w:ascii="Arial"/>
                <w:sz w:val="15"/>
              </w:rPr>
            </w:pPr>
          </w:p>
        </w:tc>
      </w:tr>
      <w:tr w14:paraId="245E6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 w:hRule="atLeast"/>
        </w:trPr>
        <w:tc>
          <w:tcPr>
            <w:tcW w:w="750" w:type="dxa"/>
            <w:vMerge w:val="continue"/>
            <w:tcBorders>
              <w:top w:val="nil"/>
              <w:left w:val="single" w:color="000000" w:sz="6" w:space="0"/>
              <w:bottom w:val="nil"/>
            </w:tcBorders>
            <w:vAlign w:val="top"/>
          </w:tcPr>
          <w:p w14:paraId="54143741">
            <w:pPr>
              <w:rPr>
                <w:rFonts w:ascii="Arial"/>
                <w:sz w:val="21"/>
              </w:rPr>
            </w:pPr>
          </w:p>
        </w:tc>
        <w:tc>
          <w:tcPr>
            <w:tcW w:w="70" w:type="dxa"/>
            <w:tcBorders>
              <w:top w:val="nil"/>
              <w:bottom w:val="nil"/>
              <w:right w:val="single" w:color="000000" w:sz="4" w:space="0"/>
            </w:tcBorders>
            <w:vAlign w:val="top"/>
          </w:tcPr>
          <w:p w14:paraId="3C3D8390">
            <w:pPr>
              <w:spacing w:line="218" w:lineRule="exact"/>
              <w:rPr>
                <w:rFonts w:ascii="Arial"/>
                <w:sz w:val="18"/>
              </w:rPr>
            </w:pPr>
          </w:p>
        </w:tc>
        <w:tc>
          <w:tcPr>
            <w:tcW w:w="621" w:type="dxa"/>
            <w:vMerge w:val="continue"/>
            <w:tcBorders>
              <w:top w:val="nil"/>
              <w:left w:val="single" w:color="000000" w:sz="4" w:space="0"/>
            </w:tcBorders>
            <w:vAlign w:val="top"/>
          </w:tcPr>
          <w:p w14:paraId="4B49F5DE">
            <w:pPr>
              <w:rPr>
                <w:rFonts w:ascii="Arial"/>
                <w:sz w:val="21"/>
              </w:rPr>
            </w:pPr>
          </w:p>
        </w:tc>
        <w:tc>
          <w:tcPr>
            <w:tcW w:w="490" w:type="dxa"/>
            <w:vMerge w:val="continue"/>
            <w:tcBorders>
              <w:top w:val="nil"/>
            </w:tcBorders>
            <w:vAlign w:val="top"/>
          </w:tcPr>
          <w:p w14:paraId="19B2D4AC">
            <w:pPr>
              <w:rPr>
                <w:rFonts w:ascii="Arial"/>
                <w:sz w:val="21"/>
              </w:rPr>
            </w:pPr>
          </w:p>
        </w:tc>
        <w:tc>
          <w:tcPr>
            <w:tcW w:w="455" w:type="dxa"/>
            <w:gridSpan w:val="2"/>
            <w:vAlign w:val="top"/>
          </w:tcPr>
          <w:p w14:paraId="7E3D7C80">
            <w:pPr>
              <w:pStyle w:val="6"/>
              <w:spacing w:before="36" w:line="223" w:lineRule="auto"/>
              <w:ind w:left="49"/>
              <w:rPr>
                <w:sz w:val="15"/>
                <w:szCs w:val="15"/>
              </w:rPr>
            </w:pPr>
            <w:r>
              <w:rPr>
                <w:spacing w:val="6"/>
                <w:sz w:val="15"/>
                <w:szCs w:val="15"/>
              </w:rPr>
              <w:t>氨氮</w:t>
            </w:r>
          </w:p>
        </w:tc>
        <w:tc>
          <w:tcPr>
            <w:tcW w:w="582" w:type="dxa"/>
            <w:vMerge w:val="continue"/>
            <w:tcBorders>
              <w:top w:val="nil"/>
            </w:tcBorders>
            <w:vAlign w:val="top"/>
          </w:tcPr>
          <w:p w14:paraId="4EA917D9">
            <w:pPr>
              <w:rPr>
                <w:rFonts w:ascii="Arial"/>
                <w:sz w:val="21"/>
              </w:rPr>
            </w:pPr>
          </w:p>
        </w:tc>
        <w:tc>
          <w:tcPr>
            <w:tcW w:w="591" w:type="dxa"/>
            <w:gridSpan w:val="2"/>
            <w:vMerge w:val="continue"/>
            <w:tcBorders>
              <w:top w:val="nil"/>
            </w:tcBorders>
            <w:vAlign w:val="top"/>
          </w:tcPr>
          <w:p w14:paraId="5EA3E8C8">
            <w:pPr>
              <w:rPr>
                <w:rFonts w:ascii="Arial"/>
                <w:sz w:val="21"/>
              </w:rPr>
            </w:pPr>
          </w:p>
        </w:tc>
        <w:tc>
          <w:tcPr>
            <w:tcW w:w="674" w:type="dxa"/>
            <w:vAlign w:val="top"/>
          </w:tcPr>
          <w:p w14:paraId="65AAA96C">
            <w:pPr>
              <w:spacing w:before="63" w:line="215" w:lineRule="auto"/>
              <w:ind w:left="251"/>
              <w:rPr>
                <w:rFonts w:ascii="Times New Roman" w:hAnsi="Times New Roman" w:eastAsia="Times New Roman" w:cs="Times New Roman"/>
                <w:sz w:val="15"/>
                <w:szCs w:val="15"/>
              </w:rPr>
            </w:pPr>
            <w:r>
              <w:rPr>
                <w:rFonts w:ascii="Times New Roman" w:hAnsi="Times New Roman" w:eastAsia="Times New Roman" w:cs="Times New Roman"/>
                <w:spacing w:val="4"/>
                <w:sz w:val="15"/>
                <w:szCs w:val="15"/>
              </w:rPr>
              <w:t>45</w:t>
            </w:r>
          </w:p>
        </w:tc>
        <w:tc>
          <w:tcPr>
            <w:tcW w:w="564" w:type="dxa"/>
            <w:gridSpan w:val="2"/>
            <w:vAlign w:val="top"/>
          </w:tcPr>
          <w:p w14:paraId="09E2126E">
            <w:pPr>
              <w:spacing w:before="63" w:line="215" w:lineRule="auto"/>
              <w:ind w:left="60"/>
              <w:rPr>
                <w:rFonts w:ascii="Times New Roman" w:hAnsi="Times New Roman" w:eastAsia="Times New Roman" w:cs="Times New Roman"/>
                <w:sz w:val="15"/>
                <w:szCs w:val="15"/>
              </w:rPr>
            </w:pPr>
            <w:r>
              <w:rPr>
                <w:rFonts w:ascii="Times New Roman" w:hAnsi="Times New Roman" w:eastAsia="Times New Roman" w:cs="Times New Roman"/>
                <w:spacing w:val="3"/>
                <w:sz w:val="15"/>
                <w:szCs w:val="15"/>
              </w:rPr>
              <w:t>0.0097</w:t>
            </w:r>
          </w:p>
        </w:tc>
        <w:tc>
          <w:tcPr>
            <w:tcW w:w="462" w:type="dxa"/>
            <w:gridSpan w:val="2"/>
            <w:vMerge w:val="continue"/>
            <w:tcBorders>
              <w:top w:val="nil"/>
            </w:tcBorders>
            <w:vAlign w:val="top"/>
          </w:tcPr>
          <w:p w14:paraId="2DC7A4F0">
            <w:pPr>
              <w:rPr>
                <w:rFonts w:ascii="Arial"/>
                <w:sz w:val="21"/>
              </w:rPr>
            </w:pPr>
          </w:p>
        </w:tc>
        <w:tc>
          <w:tcPr>
            <w:tcW w:w="462" w:type="dxa"/>
            <w:vAlign w:val="top"/>
          </w:tcPr>
          <w:p w14:paraId="7A5C85A6">
            <w:pPr>
              <w:spacing w:before="63" w:line="215" w:lineRule="auto"/>
              <w:ind w:left="199"/>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w:t>
            </w:r>
          </w:p>
        </w:tc>
        <w:tc>
          <w:tcPr>
            <w:tcW w:w="446" w:type="dxa"/>
            <w:gridSpan w:val="2"/>
            <w:vMerge w:val="continue"/>
            <w:tcBorders>
              <w:top w:val="nil"/>
            </w:tcBorders>
            <w:vAlign w:val="top"/>
          </w:tcPr>
          <w:p w14:paraId="1A8E64BD">
            <w:pPr>
              <w:rPr>
                <w:rFonts w:ascii="Arial"/>
                <w:sz w:val="21"/>
              </w:rPr>
            </w:pPr>
          </w:p>
        </w:tc>
        <w:tc>
          <w:tcPr>
            <w:tcW w:w="604" w:type="dxa"/>
            <w:vMerge w:val="continue"/>
            <w:tcBorders>
              <w:top w:val="nil"/>
            </w:tcBorders>
            <w:vAlign w:val="top"/>
          </w:tcPr>
          <w:p w14:paraId="376441D6">
            <w:pPr>
              <w:rPr>
                <w:rFonts w:ascii="Arial"/>
                <w:sz w:val="21"/>
              </w:rPr>
            </w:pPr>
          </w:p>
        </w:tc>
        <w:tc>
          <w:tcPr>
            <w:tcW w:w="749" w:type="dxa"/>
            <w:gridSpan w:val="2"/>
            <w:vAlign w:val="top"/>
          </w:tcPr>
          <w:p w14:paraId="354F2DE1">
            <w:pPr>
              <w:spacing w:before="63" w:line="215" w:lineRule="auto"/>
              <w:ind w:left="289"/>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35</w:t>
            </w:r>
          </w:p>
        </w:tc>
        <w:tc>
          <w:tcPr>
            <w:tcW w:w="723" w:type="dxa"/>
            <w:vAlign w:val="top"/>
          </w:tcPr>
          <w:p w14:paraId="77895B21">
            <w:pPr>
              <w:spacing w:before="63" w:line="215" w:lineRule="auto"/>
              <w:ind w:left="144"/>
              <w:rPr>
                <w:rFonts w:ascii="Times New Roman" w:hAnsi="Times New Roman" w:eastAsia="Times New Roman" w:cs="Times New Roman"/>
                <w:sz w:val="15"/>
                <w:szCs w:val="15"/>
              </w:rPr>
            </w:pPr>
            <w:r>
              <w:rPr>
                <w:rFonts w:ascii="Times New Roman" w:hAnsi="Times New Roman" w:eastAsia="Times New Roman" w:cs="Times New Roman"/>
                <w:spacing w:val="3"/>
                <w:sz w:val="15"/>
                <w:szCs w:val="15"/>
              </w:rPr>
              <w:t>0.0075</w:t>
            </w:r>
          </w:p>
        </w:tc>
        <w:tc>
          <w:tcPr>
            <w:tcW w:w="590" w:type="dxa"/>
            <w:vMerge w:val="continue"/>
            <w:tcBorders>
              <w:top w:val="nil"/>
            </w:tcBorders>
            <w:vAlign w:val="top"/>
          </w:tcPr>
          <w:p w14:paraId="533D6E54">
            <w:pPr>
              <w:rPr>
                <w:rFonts w:ascii="Arial"/>
                <w:sz w:val="21"/>
              </w:rPr>
            </w:pPr>
          </w:p>
        </w:tc>
        <w:tc>
          <w:tcPr>
            <w:tcW w:w="80" w:type="dxa"/>
            <w:tcBorders>
              <w:top w:val="nil"/>
              <w:bottom w:val="nil"/>
              <w:right w:val="single" w:color="000000" w:sz="6" w:space="0"/>
            </w:tcBorders>
            <w:vAlign w:val="top"/>
          </w:tcPr>
          <w:p w14:paraId="14867818">
            <w:pPr>
              <w:spacing w:line="218" w:lineRule="exact"/>
              <w:rPr>
                <w:rFonts w:ascii="Arial"/>
                <w:sz w:val="18"/>
              </w:rPr>
            </w:pPr>
          </w:p>
        </w:tc>
      </w:tr>
      <w:tr w14:paraId="6CFD8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50" w:type="dxa"/>
            <w:vMerge w:val="continue"/>
            <w:tcBorders>
              <w:top w:val="nil"/>
              <w:left w:val="single" w:color="000000" w:sz="6" w:space="0"/>
              <w:bottom w:val="nil"/>
            </w:tcBorders>
            <w:vAlign w:val="top"/>
          </w:tcPr>
          <w:p w14:paraId="5C404C2D">
            <w:pPr>
              <w:rPr>
                <w:rFonts w:ascii="Arial"/>
                <w:sz w:val="21"/>
              </w:rPr>
            </w:pPr>
          </w:p>
        </w:tc>
        <w:tc>
          <w:tcPr>
            <w:tcW w:w="70" w:type="dxa"/>
            <w:tcBorders>
              <w:top w:val="nil"/>
              <w:bottom w:val="nil"/>
              <w:right w:val="single" w:color="000000" w:sz="4" w:space="0"/>
            </w:tcBorders>
            <w:vAlign w:val="top"/>
          </w:tcPr>
          <w:p w14:paraId="368348DC">
            <w:pPr>
              <w:rPr>
                <w:rFonts w:ascii="Arial"/>
                <w:sz w:val="21"/>
              </w:rPr>
            </w:pPr>
          </w:p>
        </w:tc>
        <w:tc>
          <w:tcPr>
            <w:tcW w:w="621" w:type="dxa"/>
            <w:tcBorders>
              <w:left w:val="single" w:color="000000" w:sz="4" w:space="0"/>
            </w:tcBorders>
            <w:vAlign w:val="top"/>
          </w:tcPr>
          <w:p w14:paraId="33A487F6">
            <w:pPr>
              <w:pStyle w:val="6"/>
              <w:spacing w:before="132" w:line="231" w:lineRule="auto"/>
              <w:ind w:left="57"/>
              <w:rPr>
                <w:sz w:val="15"/>
                <w:szCs w:val="15"/>
              </w:rPr>
            </w:pPr>
            <w:r>
              <w:rPr>
                <w:spacing w:val="7"/>
                <w:sz w:val="15"/>
                <w:szCs w:val="15"/>
              </w:rPr>
              <w:t>生产线</w:t>
            </w:r>
          </w:p>
        </w:tc>
        <w:tc>
          <w:tcPr>
            <w:tcW w:w="490" w:type="dxa"/>
            <w:vAlign w:val="top"/>
          </w:tcPr>
          <w:p w14:paraId="794C01D6">
            <w:pPr>
              <w:pStyle w:val="6"/>
              <w:spacing w:before="28" w:line="235" w:lineRule="auto"/>
              <w:ind w:left="153" w:right="26" w:hanging="153"/>
              <w:rPr>
                <w:sz w:val="15"/>
                <w:szCs w:val="15"/>
              </w:rPr>
            </w:pPr>
            <w:r>
              <w:rPr>
                <w:spacing w:val="2"/>
                <w:sz w:val="15"/>
                <w:szCs w:val="15"/>
              </w:rPr>
              <w:t>喷淋废</w:t>
            </w:r>
            <w:r>
              <w:rPr>
                <w:spacing w:val="1"/>
                <w:sz w:val="15"/>
                <w:szCs w:val="15"/>
              </w:rPr>
              <w:t xml:space="preserve"> </w:t>
            </w:r>
            <w:r>
              <w:rPr>
                <w:sz w:val="15"/>
                <w:szCs w:val="15"/>
              </w:rPr>
              <w:t>水</w:t>
            </w:r>
          </w:p>
        </w:tc>
        <w:tc>
          <w:tcPr>
            <w:tcW w:w="455" w:type="dxa"/>
            <w:gridSpan w:val="2"/>
            <w:vAlign w:val="top"/>
          </w:tcPr>
          <w:p w14:paraId="17775076">
            <w:pPr>
              <w:pStyle w:val="6"/>
              <w:spacing w:before="28" w:line="235" w:lineRule="auto"/>
              <w:ind w:left="129" w:right="87" w:hanging="78"/>
              <w:rPr>
                <w:sz w:val="15"/>
                <w:szCs w:val="15"/>
              </w:rPr>
            </w:pPr>
            <w:r>
              <w:rPr>
                <w:spacing w:val="5"/>
                <w:sz w:val="15"/>
                <w:szCs w:val="15"/>
              </w:rPr>
              <w:t>悬浮</w:t>
            </w:r>
            <w:r>
              <w:rPr>
                <w:sz w:val="15"/>
                <w:szCs w:val="15"/>
              </w:rPr>
              <w:t xml:space="preserve"> </w:t>
            </w:r>
            <w:r>
              <w:rPr>
                <w:spacing w:val="3"/>
                <w:sz w:val="15"/>
                <w:szCs w:val="15"/>
              </w:rPr>
              <w:t>物</w:t>
            </w:r>
          </w:p>
        </w:tc>
        <w:tc>
          <w:tcPr>
            <w:tcW w:w="582" w:type="dxa"/>
            <w:vAlign w:val="top"/>
          </w:tcPr>
          <w:p w14:paraId="2B27D07A">
            <w:pPr>
              <w:pStyle w:val="6"/>
              <w:spacing w:before="132" w:line="231" w:lineRule="auto"/>
              <w:ind w:left="36"/>
              <w:rPr>
                <w:sz w:val="15"/>
                <w:szCs w:val="15"/>
              </w:rPr>
            </w:pPr>
            <w:r>
              <w:rPr>
                <w:spacing w:val="6"/>
                <w:sz w:val="15"/>
                <w:szCs w:val="15"/>
              </w:rPr>
              <w:t>系数法</w:t>
            </w:r>
          </w:p>
        </w:tc>
        <w:tc>
          <w:tcPr>
            <w:tcW w:w="591" w:type="dxa"/>
            <w:gridSpan w:val="2"/>
            <w:vAlign w:val="top"/>
          </w:tcPr>
          <w:p w14:paraId="6FF6B807">
            <w:pPr>
              <w:spacing w:before="158" w:line="176" w:lineRule="exact"/>
              <w:ind w:left="129"/>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8910</w:t>
            </w:r>
          </w:p>
        </w:tc>
        <w:tc>
          <w:tcPr>
            <w:tcW w:w="674" w:type="dxa"/>
            <w:vAlign w:val="top"/>
          </w:tcPr>
          <w:p w14:paraId="218110C8">
            <w:pPr>
              <w:spacing w:before="158" w:line="176" w:lineRule="exact"/>
              <w:ind w:left="306"/>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w:t>
            </w:r>
          </w:p>
        </w:tc>
        <w:tc>
          <w:tcPr>
            <w:tcW w:w="564" w:type="dxa"/>
            <w:gridSpan w:val="2"/>
            <w:vAlign w:val="top"/>
          </w:tcPr>
          <w:p w14:paraId="0F381401">
            <w:pPr>
              <w:spacing w:before="158" w:line="176" w:lineRule="exact"/>
              <w:ind w:left="252"/>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w:t>
            </w:r>
          </w:p>
        </w:tc>
        <w:tc>
          <w:tcPr>
            <w:tcW w:w="462" w:type="dxa"/>
            <w:gridSpan w:val="2"/>
            <w:vAlign w:val="top"/>
          </w:tcPr>
          <w:p w14:paraId="2C67DF03">
            <w:pPr>
              <w:pStyle w:val="6"/>
              <w:spacing w:before="132" w:line="233" w:lineRule="auto"/>
              <w:ind w:left="68"/>
              <w:rPr>
                <w:sz w:val="15"/>
                <w:szCs w:val="15"/>
              </w:rPr>
            </w:pPr>
            <w:r>
              <w:rPr>
                <w:spacing w:val="6"/>
                <w:sz w:val="15"/>
                <w:szCs w:val="15"/>
              </w:rPr>
              <w:t>过滤</w:t>
            </w:r>
          </w:p>
        </w:tc>
        <w:tc>
          <w:tcPr>
            <w:tcW w:w="462" w:type="dxa"/>
            <w:vAlign w:val="top"/>
          </w:tcPr>
          <w:p w14:paraId="077E7252">
            <w:pPr>
              <w:spacing w:before="158" w:line="176" w:lineRule="exact"/>
              <w:ind w:left="199"/>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w:t>
            </w:r>
          </w:p>
        </w:tc>
        <w:tc>
          <w:tcPr>
            <w:tcW w:w="446" w:type="dxa"/>
            <w:gridSpan w:val="2"/>
            <w:vAlign w:val="top"/>
          </w:tcPr>
          <w:p w14:paraId="52E1B412">
            <w:pPr>
              <w:spacing w:before="158" w:line="176" w:lineRule="exact"/>
              <w:ind w:left="194"/>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w:t>
            </w:r>
          </w:p>
        </w:tc>
        <w:tc>
          <w:tcPr>
            <w:tcW w:w="604" w:type="dxa"/>
            <w:vAlign w:val="top"/>
          </w:tcPr>
          <w:p w14:paraId="46CC64A9">
            <w:pPr>
              <w:spacing w:before="158" w:line="176" w:lineRule="exact"/>
              <w:ind w:left="270"/>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w:t>
            </w:r>
          </w:p>
        </w:tc>
        <w:tc>
          <w:tcPr>
            <w:tcW w:w="749" w:type="dxa"/>
            <w:gridSpan w:val="2"/>
            <w:vAlign w:val="top"/>
          </w:tcPr>
          <w:p w14:paraId="6584EADF">
            <w:pPr>
              <w:spacing w:before="158" w:line="176" w:lineRule="exact"/>
              <w:ind w:left="340"/>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w:t>
            </w:r>
          </w:p>
        </w:tc>
        <w:tc>
          <w:tcPr>
            <w:tcW w:w="723" w:type="dxa"/>
            <w:vAlign w:val="top"/>
          </w:tcPr>
          <w:p w14:paraId="2D529DA2">
            <w:pPr>
              <w:spacing w:before="158" w:line="176" w:lineRule="exact"/>
              <w:ind w:left="336"/>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w:t>
            </w:r>
          </w:p>
        </w:tc>
        <w:tc>
          <w:tcPr>
            <w:tcW w:w="590" w:type="dxa"/>
            <w:vAlign w:val="top"/>
          </w:tcPr>
          <w:p w14:paraId="09BF489A">
            <w:pPr>
              <w:spacing w:before="158" w:line="176" w:lineRule="exact"/>
              <w:ind w:left="278"/>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w:t>
            </w:r>
          </w:p>
        </w:tc>
        <w:tc>
          <w:tcPr>
            <w:tcW w:w="80" w:type="dxa"/>
            <w:tcBorders>
              <w:top w:val="nil"/>
              <w:bottom w:val="nil"/>
              <w:right w:val="single" w:color="000000" w:sz="6" w:space="0"/>
            </w:tcBorders>
            <w:vAlign w:val="top"/>
          </w:tcPr>
          <w:p w14:paraId="1544FB0F">
            <w:pPr>
              <w:rPr>
                <w:rFonts w:ascii="Arial"/>
                <w:sz w:val="21"/>
              </w:rPr>
            </w:pPr>
          </w:p>
        </w:tc>
      </w:tr>
      <w:tr w14:paraId="708AA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750" w:type="dxa"/>
            <w:vMerge w:val="continue"/>
            <w:tcBorders>
              <w:top w:val="nil"/>
              <w:left w:val="single" w:color="000000" w:sz="6" w:space="0"/>
              <w:bottom w:val="nil"/>
            </w:tcBorders>
            <w:vAlign w:val="top"/>
          </w:tcPr>
          <w:p w14:paraId="6750E45B">
            <w:pPr>
              <w:rPr>
                <w:rFonts w:ascii="Arial"/>
                <w:sz w:val="21"/>
              </w:rPr>
            </w:pPr>
          </w:p>
        </w:tc>
        <w:tc>
          <w:tcPr>
            <w:tcW w:w="8163" w:type="dxa"/>
            <w:gridSpan w:val="22"/>
            <w:tcBorders>
              <w:right w:val="single" w:color="000000" w:sz="6" w:space="0"/>
            </w:tcBorders>
            <w:vAlign w:val="top"/>
          </w:tcPr>
          <w:p w14:paraId="3D335684">
            <w:pPr>
              <w:spacing w:before="88" w:line="207" w:lineRule="auto"/>
              <w:ind w:left="1902"/>
              <w:rPr>
                <w:rFonts w:ascii="黑体" w:hAnsi="黑体" w:eastAsia="黑体" w:cs="黑体"/>
                <w:sz w:val="20"/>
                <w:szCs w:val="20"/>
              </w:rPr>
            </w:pPr>
            <w:r>
              <w:rPr>
                <w:rFonts w:ascii="黑体" w:hAnsi="黑体" w:eastAsia="黑体" w:cs="黑体"/>
                <w:spacing w:val="-1"/>
                <w:sz w:val="20"/>
                <w:szCs w:val="20"/>
              </w:rPr>
              <w:t>表</w:t>
            </w:r>
            <w:r>
              <w:rPr>
                <w:rFonts w:ascii="Times New Roman" w:hAnsi="Times New Roman" w:eastAsia="Times New Roman" w:cs="Times New Roman"/>
                <w:spacing w:val="-1"/>
                <w:sz w:val="20"/>
                <w:szCs w:val="20"/>
              </w:rPr>
              <w:t xml:space="preserve">4-9      </w:t>
            </w:r>
            <w:r>
              <w:rPr>
                <w:rFonts w:ascii="黑体" w:hAnsi="黑体" w:eastAsia="黑体" w:cs="黑体"/>
                <w:spacing w:val="-1"/>
                <w:sz w:val="20"/>
                <w:szCs w:val="20"/>
              </w:rPr>
              <w:t>废水类别、污染物及污染治理设施信息表</w:t>
            </w:r>
          </w:p>
        </w:tc>
      </w:tr>
      <w:tr w14:paraId="0DCCC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 w:hRule="atLeast"/>
        </w:trPr>
        <w:tc>
          <w:tcPr>
            <w:tcW w:w="750" w:type="dxa"/>
            <w:vMerge w:val="continue"/>
            <w:tcBorders>
              <w:top w:val="nil"/>
              <w:left w:val="single" w:color="000000" w:sz="6" w:space="0"/>
              <w:bottom w:val="nil"/>
            </w:tcBorders>
            <w:vAlign w:val="top"/>
          </w:tcPr>
          <w:p w14:paraId="42CA0E87">
            <w:pPr>
              <w:rPr>
                <w:rFonts w:ascii="Arial"/>
                <w:sz w:val="21"/>
              </w:rPr>
            </w:pPr>
          </w:p>
        </w:tc>
        <w:tc>
          <w:tcPr>
            <w:tcW w:w="70" w:type="dxa"/>
            <w:tcBorders>
              <w:top w:val="nil"/>
              <w:bottom w:val="nil"/>
              <w:right w:val="single" w:color="000000" w:sz="4" w:space="0"/>
            </w:tcBorders>
            <w:vAlign w:val="top"/>
          </w:tcPr>
          <w:p w14:paraId="78D59974">
            <w:pPr>
              <w:spacing w:line="194" w:lineRule="exact"/>
              <w:rPr>
                <w:rFonts w:ascii="Arial"/>
                <w:sz w:val="16"/>
              </w:rPr>
            </w:pPr>
          </w:p>
        </w:tc>
        <w:tc>
          <w:tcPr>
            <w:tcW w:w="621" w:type="dxa"/>
            <w:vMerge w:val="restart"/>
            <w:tcBorders>
              <w:left w:val="single" w:color="000000" w:sz="4" w:space="0"/>
              <w:bottom w:val="nil"/>
            </w:tcBorders>
            <w:vAlign w:val="top"/>
          </w:tcPr>
          <w:p w14:paraId="026086D9">
            <w:pPr>
              <w:pStyle w:val="6"/>
              <w:spacing w:before="243" w:line="231" w:lineRule="auto"/>
              <w:ind w:left="153"/>
              <w:rPr>
                <w:sz w:val="15"/>
                <w:szCs w:val="15"/>
              </w:rPr>
            </w:pPr>
            <w:r>
              <w:rPr>
                <w:b/>
                <w:bCs/>
                <w:spacing w:val="5"/>
                <w:sz w:val="15"/>
                <w:szCs w:val="15"/>
              </w:rPr>
              <w:t>废水</w:t>
            </w:r>
          </w:p>
          <w:p w14:paraId="7F36B5F2">
            <w:pPr>
              <w:pStyle w:val="6"/>
              <w:spacing w:before="18" w:line="231" w:lineRule="auto"/>
              <w:ind w:left="154"/>
              <w:rPr>
                <w:sz w:val="15"/>
                <w:szCs w:val="15"/>
              </w:rPr>
            </w:pPr>
            <w:r>
              <w:rPr>
                <w:b/>
                <w:bCs/>
                <w:spacing w:val="5"/>
                <w:sz w:val="15"/>
                <w:szCs w:val="15"/>
              </w:rPr>
              <w:t>类别</w:t>
            </w:r>
          </w:p>
        </w:tc>
        <w:tc>
          <w:tcPr>
            <w:tcW w:w="707" w:type="dxa"/>
            <w:gridSpan w:val="2"/>
            <w:vMerge w:val="restart"/>
            <w:tcBorders>
              <w:bottom w:val="nil"/>
            </w:tcBorders>
            <w:vAlign w:val="top"/>
          </w:tcPr>
          <w:p w14:paraId="1F7815FC">
            <w:pPr>
              <w:pStyle w:val="6"/>
              <w:spacing w:before="243" w:line="255" w:lineRule="auto"/>
              <w:ind w:left="210" w:right="97" w:hanging="79"/>
              <w:rPr>
                <w:sz w:val="15"/>
                <w:szCs w:val="15"/>
              </w:rPr>
            </w:pPr>
            <w:r>
              <w:rPr>
                <w:b/>
                <w:bCs/>
                <w:spacing w:val="6"/>
                <w:sz w:val="15"/>
                <w:szCs w:val="15"/>
              </w:rPr>
              <w:t>污染物</w:t>
            </w:r>
            <w:r>
              <w:rPr>
                <w:sz w:val="15"/>
                <w:szCs w:val="15"/>
              </w:rPr>
              <w:t xml:space="preserve"> </w:t>
            </w:r>
            <w:r>
              <w:rPr>
                <w:b/>
                <w:bCs/>
                <w:spacing w:val="5"/>
                <w:sz w:val="15"/>
                <w:szCs w:val="15"/>
              </w:rPr>
              <w:t>种类</w:t>
            </w:r>
          </w:p>
        </w:tc>
        <w:tc>
          <w:tcPr>
            <w:tcW w:w="849" w:type="dxa"/>
            <w:gridSpan w:val="3"/>
            <w:vMerge w:val="restart"/>
            <w:tcBorders>
              <w:bottom w:val="nil"/>
            </w:tcBorders>
            <w:vAlign w:val="top"/>
          </w:tcPr>
          <w:p w14:paraId="276F090D">
            <w:pPr>
              <w:pStyle w:val="6"/>
              <w:spacing w:before="243" w:line="233" w:lineRule="auto"/>
              <w:ind w:left="203"/>
              <w:rPr>
                <w:sz w:val="15"/>
                <w:szCs w:val="15"/>
              </w:rPr>
            </w:pPr>
            <w:r>
              <w:rPr>
                <w:b/>
                <w:bCs/>
                <w:spacing w:val="6"/>
                <w:sz w:val="15"/>
                <w:szCs w:val="15"/>
              </w:rPr>
              <w:t>排放去</w:t>
            </w:r>
          </w:p>
          <w:p w14:paraId="3232B055">
            <w:pPr>
              <w:pStyle w:val="6"/>
              <w:spacing w:before="17" w:line="233" w:lineRule="auto"/>
              <w:ind w:left="380"/>
              <w:rPr>
                <w:sz w:val="15"/>
                <w:szCs w:val="15"/>
              </w:rPr>
            </w:pPr>
            <w:r>
              <w:rPr>
                <w:b/>
                <w:bCs/>
                <w:spacing w:val="-2"/>
                <w:sz w:val="15"/>
                <w:szCs w:val="15"/>
              </w:rPr>
              <w:t>向</w:t>
            </w:r>
          </w:p>
        </w:tc>
        <w:tc>
          <w:tcPr>
            <w:tcW w:w="562" w:type="dxa"/>
            <w:vMerge w:val="restart"/>
            <w:tcBorders>
              <w:bottom w:val="nil"/>
            </w:tcBorders>
            <w:vAlign w:val="top"/>
          </w:tcPr>
          <w:p w14:paraId="602A3DC7">
            <w:pPr>
              <w:pStyle w:val="6"/>
              <w:spacing w:before="243" w:line="233" w:lineRule="auto"/>
              <w:ind w:left="135"/>
              <w:rPr>
                <w:sz w:val="15"/>
                <w:szCs w:val="15"/>
              </w:rPr>
            </w:pPr>
            <w:r>
              <w:rPr>
                <w:b/>
                <w:bCs/>
                <w:spacing w:val="5"/>
                <w:sz w:val="15"/>
                <w:szCs w:val="15"/>
              </w:rPr>
              <w:t>排放</w:t>
            </w:r>
          </w:p>
          <w:p w14:paraId="72C251D5">
            <w:pPr>
              <w:pStyle w:val="6"/>
              <w:spacing w:before="17" w:line="231" w:lineRule="auto"/>
              <w:ind w:left="135"/>
              <w:rPr>
                <w:sz w:val="15"/>
                <w:szCs w:val="15"/>
              </w:rPr>
            </w:pPr>
            <w:r>
              <w:rPr>
                <w:b/>
                <w:bCs/>
                <w:spacing w:val="5"/>
                <w:sz w:val="15"/>
                <w:szCs w:val="15"/>
              </w:rPr>
              <w:t>规律</w:t>
            </w:r>
          </w:p>
        </w:tc>
        <w:tc>
          <w:tcPr>
            <w:tcW w:w="3212" w:type="dxa"/>
            <w:gridSpan w:val="9"/>
            <w:vAlign w:val="top"/>
          </w:tcPr>
          <w:p w14:paraId="3AC66914">
            <w:pPr>
              <w:pStyle w:val="6"/>
              <w:spacing w:before="29" w:line="202" w:lineRule="auto"/>
              <w:ind w:left="1141"/>
              <w:rPr>
                <w:sz w:val="15"/>
                <w:szCs w:val="15"/>
              </w:rPr>
            </w:pPr>
            <w:r>
              <w:rPr>
                <w:b/>
                <w:bCs/>
                <w:spacing w:val="7"/>
                <w:sz w:val="15"/>
                <w:szCs w:val="15"/>
              </w:rPr>
              <w:t>污染治理设施</w:t>
            </w:r>
          </w:p>
        </w:tc>
        <w:tc>
          <w:tcPr>
            <w:tcW w:w="615" w:type="dxa"/>
            <w:vMerge w:val="restart"/>
            <w:tcBorders>
              <w:bottom w:val="nil"/>
            </w:tcBorders>
            <w:vAlign w:val="top"/>
          </w:tcPr>
          <w:p w14:paraId="7DC196A4">
            <w:pPr>
              <w:pStyle w:val="6"/>
              <w:spacing w:before="138" w:line="233" w:lineRule="auto"/>
              <w:ind w:left="171"/>
              <w:rPr>
                <w:sz w:val="15"/>
                <w:szCs w:val="15"/>
              </w:rPr>
            </w:pPr>
            <w:r>
              <w:rPr>
                <w:b/>
                <w:bCs/>
                <w:spacing w:val="5"/>
                <w:sz w:val="15"/>
                <w:szCs w:val="15"/>
              </w:rPr>
              <w:t>排放</w:t>
            </w:r>
          </w:p>
          <w:p w14:paraId="173C273C">
            <w:pPr>
              <w:pStyle w:val="6"/>
              <w:spacing w:before="18" w:line="257" w:lineRule="auto"/>
              <w:ind w:left="254" w:right="124" w:hanging="59"/>
              <w:rPr>
                <w:sz w:val="15"/>
                <w:szCs w:val="15"/>
              </w:rPr>
            </w:pPr>
            <w:r>
              <w:rPr>
                <w:b/>
                <w:bCs/>
                <w:spacing w:val="-7"/>
                <w:sz w:val="15"/>
                <w:szCs w:val="15"/>
              </w:rPr>
              <w:t>口编</w:t>
            </w:r>
            <w:r>
              <w:rPr>
                <w:sz w:val="15"/>
                <w:szCs w:val="15"/>
              </w:rPr>
              <w:t xml:space="preserve"> </w:t>
            </w:r>
            <w:r>
              <w:rPr>
                <w:b/>
                <w:bCs/>
                <w:spacing w:val="-2"/>
                <w:sz w:val="15"/>
                <w:szCs w:val="15"/>
              </w:rPr>
              <w:t>号</w:t>
            </w:r>
          </w:p>
        </w:tc>
        <w:tc>
          <w:tcPr>
            <w:tcW w:w="857" w:type="dxa"/>
            <w:gridSpan w:val="2"/>
            <w:vMerge w:val="restart"/>
            <w:tcBorders>
              <w:bottom w:val="nil"/>
            </w:tcBorders>
            <w:vAlign w:val="top"/>
          </w:tcPr>
          <w:p w14:paraId="7D34E56C">
            <w:pPr>
              <w:pStyle w:val="6"/>
              <w:spacing w:before="35" w:line="233" w:lineRule="auto"/>
              <w:ind w:left="203"/>
              <w:rPr>
                <w:sz w:val="15"/>
                <w:szCs w:val="15"/>
              </w:rPr>
            </w:pPr>
            <w:r>
              <w:rPr>
                <w:b/>
                <w:bCs/>
                <w:spacing w:val="6"/>
                <w:sz w:val="15"/>
                <w:szCs w:val="15"/>
              </w:rPr>
              <w:t>排放口</w:t>
            </w:r>
          </w:p>
          <w:p w14:paraId="695D70C4">
            <w:pPr>
              <w:pStyle w:val="6"/>
              <w:spacing w:before="18" w:line="233" w:lineRule="auto"/>
              <w:ind w:left="205"/>
              <w:rPr>
                <w:sz w:val="15"/>
                <w:szCs w:val="15"/>
              </w:rPr>
            </w:pPr>
            <w:r>
              <w:rPr>
                <w:b/>
                <w:bCs/>
                <w:spacing w:val="5"/>
                <w:sz w:val="15"/>
                <w:szCs w:val="15"/>
              </w:rPr>
              <w:t>设置是</w:t>
            </w:r>
          </w:p>
          <w:p w14:paraId="6509A9FF">
            <w:pPr>
              <w:pStyle w:val="6"/>
              <w:spacing w:before="17" w:line="237" w:lineRule="auto"/>
              <w:ind w:left="284" w:right="173" w:hanging="76"/>
              <w:rPr>
                <w:sz w:val="15"/>
                <w:szCs w:val="15"/>
              </w:rPr>
            </w:pPr>
            <w:r>
              <w:rPr>
                <w:b/>
                <w:bCs/>
                <w:spacing w:val="5"/>
                <w:sz w:val="15"/>
                <w:szCs w:val="15"/>
              </w:rPr>
              <w:t>否符合</w:t>
            </w:r>
            <w:r>
              <w:rPr>
                <w:sz w:val="15"/>
                <w:szCs w:val="15"/>
              </w:rPr>
              <w:t xml:space="preserve"> </w:t>
            </w:r>
            <w:r>
              <w:rPr>
                <w:b/>
                <w:bCs/>
                <w:spacing w:val="5"/>
                <w:sz w:val="15"/>
                <w:szCs w:val="15"/>
              </w:rPr>
              <w:t>要求</w:t>
            </w:r>
          </w:p>
        </w:tc>
        <w:tc>
          <w:tcPr>
            <w:tcW w:w="590" w:type="dxa"/>
            <w:vMerge w:val="restart"/>
            <w:tcBorders>
              <w:bottom w:val="nil"/>
            </w:tcBorders>
            <w:vAlign w:val="top"/>
          </w:tcPr>
          <w:p w14:paraId="22960173">
            <w:pPr>
              <w:pStyle w:val="6"/>
              <w:spacing w:before="138" w:line="233" w:lineRule="auto"/>
              <w:ind w:left="142"/>
              <w:rPr>
                <w:sz w:val="15"/>
                <w:szCs w:val="15"/>
              </w:rPr>
            </w:pPr>
            <w:r>
              <w:rPr>
                <w:b/>
                <w:bCs/>
                <w:spacing w:val="5"/>
                <w:sz w:val="15"/>
                <w:szCs w:val="15"/>
              </w:rPr>
              <w:t>排放</w:t>
            </w:r>
          </w:p>
          <w:p w14:paraId="488948EC">
            <w:pPr>
              <w:pStyle w:val="6"/>
              <w:spacing w:before="17" w:line="261" w:lineRule="auto"/>
              <w:ind w:left="227" w:right="128" w:hanging="61"/>
              <w:rPr>
                <w:sz w:val="15"/>
                <w:szCs w:val="15"/>
              </w:rPr>
            </w:pPr>
            <w:r>
              <w:rPr>
                <w:b/>
                <w:bCs/>
                <w:spacing w:val="-7"/>
                <w:sz w:val="15"/>
                <w:szCs w:val="15"/>
              </w:rPr>
              <w:t>口类</w:t>
            </w:r>
            <w:r>
              <w:rPr>
                <w:sz w:val="15"/>
                <w:szCs w:val="15"/>
              </w:rPr>
              <w:t xml:space="preserve"> </w:t>
            </w:r>
            <w:r>
              <w:rPr>
                <w:b/>
                <w:bCs/>
                <w:spacing w:val="-2"/>
                <w:sz w:val="15"/>
                <w:szCs w:val="15"/>
              </w:rPr>
              <w:t>型</w:t>
            </w:r>
          </w:p>
        </w:tc>
        <w:tc>
          <w:tcPr>
            <w:tcW w:w="80" w:type="dxa"/>
            <w:tcBorders>
              <w:top w:val="nil"/>
              <w:bottom w:val="nil"/>
              <w:right w:val="single" w:color="000000" w:sz="6" w:space="0"/>
            </w:tcBorders>
            <w:vAlign w:val="top"/>
          </w:tcPr>
          <w:p w14:paraId="4A88E91B">
            <w:pPr>
              <w:spacing w:line="194" w:lineRule="exact"/>
              <w:rPr>
                <w:rFonts w:ascii="Arial"/>
                <w:sz w:val="16"/>
              </w:rPr>
            </w:pPr>
          </w:p>
        </w:tc>
      </w:tr>
      <w:tr w14:paraId="7D118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50" w:type="dxa"/>
            <w:vMerge w:val="continue"/>
            <w:tcBorders>
              <w:top w:val="nil"/>
              <w:left w:val="single" w:color="000000" w:sz="6" w:space="0"/>
              <w:bottom w:val="nil"/>
            </w:tcBorders>
            <w:vAlign w:val="top"/>
          </w:tcPr>
          <w:p w14:paraId="4BBEED0C">
            <w:pPr>
              <w:rPr>
                <w:rFonts w:ascii="Arial"/>
                <w:sz w:val="21"/>
              </w:rPr>
            </w:pPr>
          </w:p>
        </w:tc>
        <w:tc>
          <w:tcPr>
            <w:tcW w:w="70" w:type="dxa"/>
            <w:tcBorders>
              <w:top w:val="nil"/>
              <w:bottom w:val="nil"/>
              <w:right w:val="single" w:color="000000" w:sz="4" w:space="0"/>
            </w:tcBorders>
            <w:vAlign w:val="top"/>
          </w:tcPr>
          <w:p w14:paraId="3E1FFA38">
            <w:pPr>
              <w:rPr>
                <w:rFonts w:ascii="Arial"/>
                <w:sz w:val="21"/>
              </w:rPr>
            </w:pPr>
          </w:p>
        </w:tc>
        <w:tc>
          <w:tcPr>
            <w:tcW w:w="621" w:type="dxa"/>
            <w:vMerge w:val="continue"/>
            <w:tcBorders>
              <w:top w:val="nil"/>
              <w:left w:val="single" w:color="000000" w:sz="4" w:space="0"/>
            </w:tcBorders>
            <w:vAlign w:val="top"/>
          </w:tcPr>
          <w:p w14:paraId="4D111FEC">
            <w:pPr>
              <w:rPr>
                <w:rFonts w:ascii="Arial"/>
                <w:sz w:val="21"/>
              </w:rPr>
            </w:pPr>
          </w:p>
        </w:tc>
        <w:tc>
          <w:tcPr>
            <w:tcW w:w="707" w:type="dxa"/>
            <w:gridSpan w:val="2"/>
            <w:vMerge w:val="continue"/>
            <w:tcBorders>
              <w:top w:val="nil"/>
            </w:tcBorders>
            <w:vAlign w:val="top"/>
          </w:tcPr>
          <w:p w14:paraId="0D11B266">
            <w:pPr>
              <w:rPr>
                <w:rFonts w:ascii="Arial"/>
                <w:sz w:val="21"/>
              </w:rPr>
            </w:pPr>
          </w:p>
        </w:tc>
        <w:tc>
          <w:tcPr>
            <w:tcW w:w="849" w:type="dxa"/>
            <w:gridSpan w:val="3"/>
            <w:vMerge w:val="continue"/>
            <w:tcBorders>
              <w:top w:val="nil"/>
            </w:tcBorders>
            <w:vAlign w:val="top"/>
          </w:tcPr>
          <w:p w14:paraId="3A43C7ED">
            <w:pPr>
              <w:rPr>
                <w:rFonts w:ascii="Arial"/>
                <w:sz w:val="21"/>
              </w:rPr>
            </w:pPr>
          </w:p>
        </w:tc>
        <w:tc>
          <w:tcPr>
            <w:tcW w:w="562" w:type="dxa"/>
            <w:vMerge w:val="continue"/>
            <w:tcBorders>
              <w:top w:val="nil"/>
            </w:tcBorders>
            <w:vAlign w:val="top"/>
          </w:tcPr>
          <w:p w14:paraId="315A5C2B">
            <w:pPr>
              <w:rPr>
                <w:rFonts w:ascii="Arial"/>
                <w:sz w:val="21"/>
              </w:rPr>
            </w:pPr>
          </w:p>
        </w:tc>
        <w:tc>
          <w:tcPr>
            <w:tcW w:w="797" w:type="dxa"/>
            <w:gridSpan w:val="2"/>
            <w:vAlign w:val="top"/>
          </w:tcPr>
          <w:p w14:paraId="1BBCEAA9">
            <w:pPr>
              <w:pStyle w:val="6"/>
              <w:spacing w:before="39" w:line="232" w:lineRule="auto"/>
              <w:ind w:left="169"/>
              <w:rPr>
                <w:sz w:val="15"/>
                <w:szCs w:val="15"/>
              </w:rPr>
            </w:pPr>
            <w:r>
              <w:rPr>
                <w:b/>
                <w:bCs/>
                <w:spacing w:val="6"/>
                <w:sz w:val="15"/>
                <w:szCs w:val="15"/>
              </w:rPr>
              <w:t>污染治</w:t>
            </w:r>
          </w:p>
          <w:p w14:paraId="1197B59C">
            <w:pPr>
              <w:pStyle w:val="6"/>
              <w:spacing w:before="19" w:line="233" w:lineRule="auto"/>
              <w:ind w:left="249" w:right="148" w:hanging="79"/>
              <w:rPr>
                <w:sz w:val="15"/>
                <w:szCs w:val="15"/>
              </w:rPr>
            </w:pPr>
            <w:r>
              <w:rPr>
                <w:b/>
                <w:bCs/>
                <w:spacing w:val="6"/>
                <w:sz w:val="15"/>
                <w:szCs w:val="15"/>
              </w:rPr>
              <w:t>理设施</w:t>
            </w:r>
            <w:r>
              <w:rPr>
                <w:sz w:val="15"/>
                <w:szCs w:val="15"/>
              </w:rPr>
              <w:t xml:space="preserve"> </w:t>
            </w:r>
            <w:r>
              <w:rPr>
                <w:b/>
                <w:bCs/>
                <w:spacing w:val="4"/>
                <w:sz w:val="15"/>
                <w:szCs w:val="15"/>
              </w:rPr>
              <w:t>编号</w:t>
            </w:r>
          </w:p>
        </w:tc>
        <w:tc>
          <w:tcPr>
            <w:tcW w:w="759" w:type="dxa"/>
            <w:gridSpan w:val="2"/>
            <w:vAlign w:val="top"/>
          </w:tcPr>
          <w:p w14:paraId="41547C03">
            <w:pPr>
              <w:pStyle w:val="6"/>
              <w:spacing w:before="39" w:line="232" w:lineRule="auto"/>
              <w:ind w:left="151"/>
              <w:rPr>
                <w:sz w:val="15"/>
                <w:szCs w:val="15"/>
              </w:rPr>
            </w:pPr>
            <w:r>
              <w:rPr>
                <w:b/>
                <w:bCs/>
                <w:spacing w:val="6"/>
                <w:sz w:val="15"/>
                <w:szCs w:val="15"/>
              </w:rPr>
              <w:t>污染治</w:t>
            </w:r>
          </w:p>
          <w:p w14:paraId="41EA48B4">
            <w:pPr>
              <w:pStyle w:val="6"/>
              <w:spacing w:before="19" w:line="233" w:lineRule="auto"/>
              <w:ind w:left="232" w:right="128" w:hanging="80"/>
              <w:rPr>
                <w:sz w:val="15"/>
                <w:szCs w:val="15"/>
              </w:rPr>
            </w:pPr>
            <w:r>
              <w:rPr>
                <w:b/>
                <w:bCs/>
                <w:spacing w:val="6"/>
                <w:sz w:val="15"/>
                <w:szCs w:val="15"/>
              </w:rPr>
              <w:t>理设施</w:t>
            </w:r>
            <w:r>
              <w:rPr>
                <w:sz w:val="15"/>
                <w:szCs w:val="15"/>
              </w:rPr>
              <w:t xml:space="preserve"> </w:t>
            </w:r>
            <w:r>
              <w:rPr>
                <w:b/>
                <w:bCs/>
                <w:spacing w:val="4"/>
                <w:sz w:val="15"/>
                <w:szCs w:val="15"/>
              </w:rPr>
              <w:t>名称</w:t>
            </w:r>
          </w:p>
        </w:tc>
        <w:tc>
          <w:tcPr>
            <w:tcW w:w="912" w:type="dxa"/>
            <w:gridSpan w:val="3"/>
            <w:vAlign w:val="top"/>
          </w:tcPr>
          <w:p w14:paraId="59D1B70E">
            <w:pPr>
              <w:pStyle w:val="6"/>
              <w:spacing w:before="142" w:line="232" w:lineRule="auto"/>
              <w:ind w:left="149"/>
              <w:rPr>
                <w:sz w:val="15"/>
                <w:szCs w:val="15"/>
              </w:rPr>
            </w:pPr>
            <w:r>
              <w:rPr>
                <w:b/>
                <w:bCs/>
                <w:spacing w:val="7"/>
                <w:sz w:val="15"/>
                <w:szCs w:val="15"/>
              </w:rPr>
              <w:t>污染治理</w:t>
            </w:r>
          </w:p>
          <w:p w14:paraId="4A46CD7F">
            <w:pPr>
              <w:pStyle w:val="6"/>
              <w:spacing w:before="18" w:line="233" w:lineRule="auto"/>
              <w:ind w:left="150"/>
              <w:rPr>
                <w:sz w:val="15"/>
                <w:szCs w:val="15"/>
              </w:rPr>
            </w:pPr>
            <w:r>
              <w:rPr>
                <w:b/>
                <w:bCs/>
                <w:spacing w:val="6"/>
                <w:sz w:val="15"/>
                <w:szCs w:val="15"/>
              </w:rPr>
              <w:t>设施工艺</w:t>
            </w:r>
          </w:p>
        </w:tc>
        <w:tc>
          <w:tcPr>
            <w:tcW w:w="744" w:type="dxa"/>
            <w:gridSpan w:val="2"/>
            <w:vAlign w:val="top"/>
          </w:tcPr>
          <w:p w14:paraId="187F1F89">
            <w:pPr>
              <w:pStyle w:val="6"/>
              <w:spacing w:before="39" w:line="232" w:lineRule="auto"/>
              <w:ind w:left="152"/>
              <w:rPr>
                <w:sz w:val="15"/>
                <w:szCs w:val="15"/>
              </w:rPr>
            </w:pPr>
            <w:r>
              <w:rPr>
                <w:b/>
                <w:bCs/>
                <w:spacing w:val="5"/>
                <w:sz w:val="15"/>
                <w:szCs w:val="15"/>
              </w:rPr>
              <w:t>是否为</w:t>
            </w:r>
          </w:p>
          <w:p w14:paraId="2D7B5C4C">
            <w:pPr>
              <w:pStyle w:val="6"/>
              <w:spacing w:before="19" w:line="232" w:lineRule="auto"/>
              <w:ind w:left="151"/>
              <w:rPr>
                <w:sz w:val="15"/>
                <w:szCs w:val="15"/>
              </w:rPr>
            </w:pPr>
            <w:r>
              <w:rPr>
                <w:b/>
                <w:bCs/>
                <w:spacing w:val="6"/>
                <w:sz w:val="15"/>
                <w:szCs w:val="15"/>
              </w:rPr>
              <w:t>可行技</w:t>
            </w:r>
          </w:p>
          <w:p w14:paraId="511E8DCB">
            <w:pPr>
              <w:pStyle w:val="6"/>
              <w:spacing w:before="19" w:line="211" w:lineRule="auto"/>
              <w:ind w:left="312"/>
              <w:rPr>
                <w:sz w:val="15"/>
                <w:szCs w:val="15"/>
              </w:rPr>
            </w:pPr>
            <w:r>
              <w:rPr>
                <w:b/>
                <w:bCs/>
                <w:sz w:val="15"/>
                <w:szCs w:val="15"/>
              </w:rPr>
              <w:t>术</w:t>
            </w:r>
          </w:p>
        </w:tc>
        <w:tc>
          <w:tcPr>
            <w:tcW w:w="615" w:type="dxa"/>
            <w:vMerge w:val="continue"/>
            <w:tcBorders>
              <w:top w:val="nil"/>
            </w:tcBorders>
            <w:vAlign w:val="top"/>
          </w:tcPr>
          <w:p w14:paraId="356BFFF1">
            <w:pPr>
              <w:rPr>
                <w:rFonts w:ascii="Arial"/>
                <w:sz w:val="21"/>
              </w:rPr>
            </w:pPr>
          </w:p>
        </w:tc>
        <w:tc>
          <w:tcPr>
            <w:tcW w:w="857" w:type="dxa"/>
            <w:gridSpan w:val="2"/>
            <w:vMerge w:val="continue"/>
            <w:tcBorders>
              <w:top w:val="nil"/>
            </w:tcBorders>
            <w:vAlign w:val="top"/>
          </w:tcPr>
          <w:p w14:paraId="6687DDC5">
            <w:pPr>
              <w:rPr>
                <w:rFonts w:ascii="Arial"/>
                <w:sz w:val="21"/>
              </w:rPr>
            </w:pPr>
          </w:p>
        </w:tc>
        <w:tc>
          <w:tcPr>
            <w:tcW w:w="590" w:type="dxa"/>
            <w:vMerge w:val="continue"/>
            <w:tcBorders>
              <w:top w:val="nil"/>
            </w:tcBorders>
            <w:vAlign w:val="top"/>
          </w:tcPr>
          <w:p w14:paraId="15B0D1BD">
            <w:pPr>
              <w:rPr>
                <w:rFonts w:ascii="Arial"/>
                <w:sz w:val="21"/>
              </w:rPr>
            </w:pPr>
          </w:p>
        </w:tc>
        <w:tc>
          <w:tcPr>
            <w:tcW w:w="80" w:type="dxa"/>
            <w:tcBorders>
              <w:top w:val="nil"/>
              <w:bottom w:val="nil"/>
              <w:right w:val="single" w:color="000000" w:sz="6" w:space="0"/>
            </w:tcBorders>
            <w:vAlign w:val="top"/>
          </w:tcPr>
          <w:p w14:paraId="14434021">
            <w:pPr>
              <w:rPr>
                <w:rFonts w:ascii="Arial"/>
                <w:sz w:val="21"/>
              </w:rPr>
            </w:pPr>
          </w:p>
        </w:tc>
      </w:tr>
      <w:tr w14:paraId="1C6B2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50" w:type="dxa"/>
            <w:vMerge w:val="continue"/>
            <w:tcBorders>
              <w:top w:val="nil"/>
              <w:left w:val="single" w:color="000000" w:sz="6" w:space="0"/>
              <w:bottom w:val="nil"/>
            </w:tcBorders>
            <w:vAlign w:val="top"/>
          </w:tcPr>
          <w:p w14:paraId="3F0C7E3B">
            <w:pPr>
              <w:rPr>
                <w:rFonts w:ascii="Arial"/>
                <w:sz w:val="21"/>
              </w:rPr>
            </w:pPr>
          </w:p>
        </w:tc>
        <w:tc>
          <w:tcPr>
            <w:tcW w:w="70" w:type="dxa"/>
            <w:tcBorders>
              <w:top w:val="nil"/>
              <w:bottom w:val="nil"/>
              <w:right w:val="single" w:color="000000" w:sz="4" w:space="0"/>
            </w:tcBorders>
            <w:vAlign w:val="top"/>
          </w:tcPr>
          <w:p w14:paraId="20326CCD">
            <w:pPr>
              <w:rPr>
                <w:rFonts w:ascii="Arial"/>
                <w:sz w:val="21"/>
              </w:rPr>
            </w:pPr>
          </w:p>
        </w:tc>
        <w:tc>
          <w:tcPr>
            <w:tcW w:w="621" w:type="dxa"/>
            <w:tcBorders>
              <w:left w:val="single" w:color="000000" w:sz="4" w:space="0"/>
            </w:tcBorders>
            <w:vAlign w:val="top"/>
          </w:tcPr>
          <w:p w14:paraId="5E84596E">
            <w:pPr>
              <w:pStyle w:val="6"/>
              <w:spacing w:before="133" w:line="232" w:lineRule="auto"/>
              <w:ind w:left="157"/>
              <w:rPr>
                <w:sz w:val="15"/>
                <w:szCs w:val="15"/>
              </w:rPr>
            </w:pPr>
            <w:r>
              <w:rPr>
                <w:spacing w:val="5"/>
                <w:sz w:val="15"/>
                <w:szCs w:val="15"/>
              </w:rPr>
              <w:t>生活</w:t>
            </w:r>
          </w:p>
          <w:p w14:paraId="759BA851">
            <w:pPr>
              <w:pStyle w:val="6"/>
              <w:spacing w:before="19" w:line="231" w:lineRule="auto"/>
              <w:ind w:left="157"/>
              <w:rPr>
                <w:sz w:val="15"/>
                <w:szCs w:val="15"/>
              </w:rPr>
            </w:pPr>
            <w:r>
              <w:rPr>
                <w:spacing w:val="5"/>
                <w:sz w:val="15"/>
                <w:szCs w:val="15"/>
              </w:rPr>
              <w:t>污水</w:t>
            </w:r>
          </w:p>
        </w:tc>
        <w:tc>
          <w:tcPr>
            <w:tcW w:w="707" w:type="dxa"/>
            <w:gridSpan w:val="2"/>
            <w:vAlign w:val="top"/>
          </w:tcPr>
          <w:p w14:paraId="4860C000">
            <w:pPr>
              <w:pStyle w:val="6"/>
              <w:spacing w:before="145" w:line="231" w:lineRule="auto"/>
              <w:ind w:left="131"/>
              <w:rPr>
                <w:sz w:val="15"/>
                <w:szCs w:val="15"/>
              </w:rPr>
            </w:pPr>
            <w:r>
              <w:rPr>
                <w:spacing w:val="4"/>
                <w:sz w:val="15"/>
                <w:szCs w:val="15"/>
              </w:rPr>
              <w:t>氨氮、</w:t>
            </w:r>
          </w:p>
          <w:p w14:paraId="3FBA4EBD">
            <w:pPr>
              <w:spacing w:before="37" w:line="195" w:lineRule="auto"/>
              <w:ind w:left="202"/>
              <w:rPr>
                <w:rFonts w:ascii="Times New Roman" w:hAnsi="Times New Roman" w:eastAsia="Times New Roman" w:cs="Times New Roman"/>
                <w:sz w:val="15"/>
                <w:szCs w:val="15"/>
              </w:rPr>
            </w:pPr>
            <w:r>
              <w:rPr>
                <w:rFonts w:ascii="Times New Roman" w:hAnsi="Times New Roman" w:eastAsia="Times New Roman" w:cs="Times New Roman"/>
                <w:spacing w:val="4"/>
                <w:sz w:val="15"/>
                <w:szCs w:val="15"/>
              </w:rPr>
              <w:t>COD</w:t>
            </w:r>
          </w:p>
        </w:tc>
        <w:tc>
          <w:tcPr>
            <w:tcW w:w="849" w:type="dxa"/>
            <w:gridSpan w:val="3"/>
            <w:vAlign w:val="top"/>
          </w:tcPr>
          <w:p w14:paraId="503850CF">
            <w:pPr>
              <w:pStyle w:val="6"/>
              <w:spacing w:before="30" w:line="232" w:lineRule="auto"/>
              <w:ind w:left="205"/>
              <w:rPr>
                <w:sz w:val="15"/>
                <w:szCs w:val="15"/>
              </w:rPr>
            </w:pPr>
            <w:r>
              <w:rPr>
                <w:spacing w:val="7"/>
                <w:sz w:val="15"/>
                <w:szCs w:val="15"/>
              </w:rPr>
              <w:t>亚飞玻</w:t>
            </w:r>
          </w:p>
          <w:p w14:paraId="41184F18">
            <w:pPr>
              <w:pStyle w:val="6"/>
              <w:spacing w:before="19" w:line="232" w:lineRule="auto"/>
              <w:ind w:left="204"/>
              <w:rPr>
                <w:sz w:val="15"/>
                <w:szCs w:val="15"/>
              </w:rPr>
            </w:pPr>
            <w:r>
              <w:rPr>
                <w:spacing w:val="7"/>
                <w:sz w:val="15"/>
                <w:szCs w:val="15"/>
              </w:rPr>
              <w:t>璃公司</w:t>
            </w:r>
          </w:p>
          <w:p w14:paraId="5F73F266">
            <w:pPr>
              <w:pStyle w:val="6"/>
              <w:spacing w:before="19" w:line="210" w:lineRule="auto"/>
              <w:ind w:left="204"/>
              <w:rPr>
                <w:sz w:val="15"/>
                <w:szCs w:val="15"/>
              </w:rPr>
            </w:pPr>
            <w:r>
              <w:rPr>
                <w:spacing w:val="7"/>
                <w:sz w:val="15"/>
                <w:szCs w:val="15"/>
              </w:rPr>
              <w:t>化粪池</w:t>
            </w:r>
          </w:p>
        </w:tc>
        <w:tc>
          <w:tcPr>
            <w:tcW w:w="562" w:type="dxa"/>
            <w:vAlign w:val="top"/>
          </w:tcPr>
          <w:p w14:paraId="393C5D1E">
            <w:pPr>
              <w:pStyle w:val="6"/>
              <w:spacing w:before="238" w:line="231" w:lineRule="auto"/>
              <w:ind w:left="147"/>
              <w:rPr>
                <w:sz w:val="15"/>
                <w:szCs w:val="15"/>
              </w:rPr>
            </w:pPr>
            <w:r>
              <w:rPr>
                <w:sz w:val="15"/>
                <w:szCs w:val="15"/>
              </w:rPr>
              <w:t>间歇</w:t>
            </w:r>
          </w:p>
        </w:tc>
        <w:tc>
          <w:tcPr>
            <w:tcW w:w="797" w:type="dxa"/>
            <w:gridSpan w:val="2"/>
            <w:vAlign w:val="top"/>
          </w:tcPr>
          <w:p w14:paraId="7B344089">
            <w:pPr>
              <w:spacing w:before="264" w:line="176" w:lineRule="exact"/>
              <w:ind w:left="163"/>
              <w:rPr>
                <w:rFonts w:ascii="Times New Roman" w:hAnsi="Times New Roman" w:eastAsia="Times New Roman" w:cs="Times New Roman"/>
                <w:sz w:val="15"/>
                <w:szCs w:val="15"/>
              </w:rPr>
            </w:pPr>
            <w:r>
              <w:rPr>
                <w:rFonts w:ascii="Times New Roman" w:hAnsi="Times New Roman" w:eastAsia="Times New Roman" w:cs="Times New Roman"/>
                <w:sz w:val="15"/>
                <w:szCs w:val="15"/>
              </w:rPr>
              <w:t>TW</w:t>
            </w:r>
            <w:r>
              <w:rPr>
                <w:rFonts w:ascii="Times New Roman" w:hAnsi="Times New Roman" w:eastAsia="Times New Roman" w:cs="Times New Roman"/>
                <w:spacing w:val="8"/>
                <w:sz w:val="15"/>
                <w:szCs w:val="15"/>
              </w:rPr>
              <w:t>001</w:t>
            </w:r>
          </w:p>
        </w:tc>
        <w:tc>
          <w:tcPr>
            <w:tcW w:w="759" w:type="dxa"/>
            <w:gridSpan w:val="2"/>
            <w:vAlign w:val="top"/>
          </w:tcPr>
          <w:p w14:paraId="17230FD2">
            <w:pPr>
              <w:pStyle w:val="6"/>
              <w:spacing w:before="238" w:line="231" w:lineRule="auto"/>
              <w:ind w:left="152"/>
              <w:rPr>
                <w:sz w:val="15"/>
                <w:szCs w:val="15"/>
              </w:rPr>
            </w:pPr>
            <w:r>
              <w:rPr>
                <w:spacing w:val="7"/>
                <w:sz w:val="15"/>
                <w:szCs w:val="15"/>
              </w:rPr>
              <w:t>化粪池</w:t>
            </w:r>
          </w:p>
        </w:tc>
        <w:tc>
          <w:tcPr>
            <w:tcW w:w="912" w:type="dxa"/>
            <w:gridSpan w:val="3"/>
            <w:vAlign w:val="top"/>
          </w:tcPr>
          <w:p w14:paraId="1F74D141">
            <w:pPr>
              <w:pStyle w:val="6"/>
              <w:spacing w:before="237" w:line="231" w:lineRule="auto"/>
              <w:ind w:left="309"/>
              <w:rPr>
                <w:sz w:val="15"/>
                <w:szCs w:val="15"/>
              </w:rPr>
            </w:pPr>
            <w:r>
              <w:rPr>
                <w:spacing w:val="6"/>
                <w:sz w:val="15"/>
                <w:szCs w:val="15"/>
              </w:rPr>
              <w:t>厌氧</w:t>
            </w:r>
          </w:p>
        </w:tc>
        <w:tc>
          <w:tcPr>
            <w:tcW w:w="744" w:type="dxa"/>
            <w:gridSpan w:val="2"/>
            <w:vAlign w:val="top"/>
          </w:tcPr>
          <w:p w14:paraId="6A9C712C">
            <w:pPr>
              <w:pStyle w:val="6"/>
              <w:spacing w:before="238" w:line="235" w:lineRule="auto"/>
              <w:ind w:left="313"/>
              <w:rPr>
                <w:sz w:val="15"/>
                <w:szCs w:val="15"/>
              </w:rPr>
            </w:pPr>
            <w:r>
              <w:rPr>
                <w:sz w:val="15"/>
                <w:szCs w:val="15"/>
              </w:rPr>
              <w:t>是</w:t>
            </w:r>
          </w:p>
        </w:tc>
        <w:tc>
          <w:tcPr>
            <w:tcW w:w="615" w:type="dxa"/>
            <w:vAlign w:val="top"/>
          </w:tcPr>
          <w:p w14:paraId="6DDE3F11">
            <w:pPr>
              <w:spacing w:before="264" w:line="176" w:lineRule="exact"/>
              <w:ind w:left="304"/>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w:t>
            </w:r>
          </w:p>
        </w:tc>
        <w:tc>
          <w:tcPr>
            <w:tcW w:w="857" w:type="dxa"/>
            <w:gridSpan w:val="2"/>
            <w:vAlign w:val="top"/>
          </w:tcPr>
          <w:p w14:paraId="265F1FF1">
            <w:pPr>
              <w:spacing w:before="264" w:line="176" w:lineRule="exact"/>
              <w:ind w:left="415"/>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w:t>
            </w:r>
          </w:p>
        </w:tc>
        <w:tc>
          <w:tcPr>
            <w:tcW w:w="590" w:type="dxa"/>
            <w:vAlign w:val="top"/>
          </w:tcPr>
          <w:p w14:paraId="1C433D93">
            <w:pPr>
              <w:spacing w:before="264" w:line="176" w:lineRule="exact"/>
              <w:ind w:left="273"/>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w:t>
            </w:r>
          </w:p>
        </w:tc>
        <w:tc>
          <w:tcPr>
            <w:tcW w:w="80" w:type="dxa"/>
            <w:tcBorders>
              <w:top w:val="nil"/>
              <w:bottom w:val="nil"/>
              <w:right w:val="single" w:color="000000" w:sz="6" w:space="0"/>
            </w:tcBorders>
            <w:vAlign w:val="top"/>
          </w:tcPr>
          <w:p w14:paraId="74048887">
            <w:pPr>
              <w:rPr>
                <w:rFonts w:ascii="Arial"/>
                <w:sz w:val="21"/>
              </w:rPr>
            </w:pPr>
          </w:p>
        </w:tc>
      </w:tr>
      <w:tr w14:paraId="34E0B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50" w:type="dxa"/>
            <w:vMerge w:val="continue"/>
            <w:tcBorders>
              <w:top w:val="nil"/>
              <w:left w:val="single" w:color="000000" w:sz="6" w:space="0"/>
              <w:bottom w:val="nil"/>
            </w:tcBorders>
            <w:vAlign w:val="top"/>
          </w:tcPr>
          <w:p w14:paraId="354F62DB">
            <w:pPr>
              <w:rPr>
                <w:rFonts w:ascii="Arial"/>
                <w:sz w:val="21"/>
              </w:rPr>
            </w:pPr>
          </w:p>
        </w:tc>
        <w:tc>
          <w:tcPr>
            <w:tcW w:w="70" w:type="dxa"/>
            <w:tcBorders>
              <w:top w:val="nil"/>
              <w:bottom w:val="nil"/>
              <w:right w:val="single" w:color="000000" w:sz="4" w:space="0"/>
            </w:tcBorders>
            <w:vAlign w:val="top"/>
          </w:tcPr>
          <w:p w14:paraId="6DB783FA">
            <w:pPr>
              <w:rPr>
                <w:rFonts w:ascii="Arial"/>
                <w:sz w:val="21"/>
              </w:rPr>
            </w:pPr>
          </w:p>
        </w:tc>
        <w:tc>
          <w:tcPr>
            <w:tcW w:w="621" w:type="dxa"/>
            <w:tcBorders>
              <w:left w:val="single" w:color="000000" w:sz="4" w:space="0"/>
            </w:tcBorders>
            <w:vAlign w:val="top"/>
          </w:tcPr>
          <w:p w14:paraId="7F18B2D7">
            <w:pPr>
              <w:pStyle w:val="6"/>
              <w:spacing w:before="31" w:line="231" w:lineRule="auto"/>
              <w:ind w:left="157"/>
              <w:rPr>
                <w:sz w:val="15"/>
                <w:szCs w:val="15"/>
              </w:rPr>
            </w:pPr>
            <w:r>
              <w:rPr>
                <w:spacing w:val="5"/>
                <w:sz w:val="15"/>
                <w:szCs w:val="15"/>
              </w:rPr>
              <w:t>生产</w:t>
            </w:r>
          </w:p>
          <w:p w14:paraId="1BAB099F">
            <w:pPr>
              <w:pStyle w:val="6"/>
              <w:spacing w:before="19" w:line="209" w:lineRule="auto"/>
              <w:ind w:left="155"/>
              <w:rPr>
                <w:sz w:val="15"/>
                <w:szCs w:val="15"/>
              </w:rPr>
            </w:pPr>
            <w:r>
              <w:rPr>
                <w:spacing w:val="6"/>
                <w:sz w:val="15"/>
                <w:szCs w:val="15"/>
              </w:rPr>
              <w:t>废水</w:t>
            </w:r>
          </w:p>
        </w:tc>
        <w:tc>
          <w:tcPr>
            <w:tcW w:w="707" w:type="dxa"/>
            <w:gridSpan w:val="2"/>
            <w:vAlign w:val="top"/>
          </w:tcPr>
          <w:p w14:paraId="3AB40306">
            <w:pPr>
              <w:spacing w:before="164" w:line="195" w:lineRule="auto"/>
              <w:ind w:left="286"/>
              <w:rPr>
                <w:rFonts w:ascii="Times New Roman" w:hAnsi="Times New Roman" w:eastAsia="Times New Roman" w:cs="Times New Roman"/>
                <w:sz w:val="15"/>
                <w:szCs w:val="15"/>
              </w:rPr>
            </w:pPr>
            <w:r>
              <w:rPr>
                <w:rFonts w:ascii="Times New Roman" w:hAnsi="Times New Roman" w:eastAsia="Times New Roman" w:cs="Times New Roman"/>
                <w:sz w:val="15"/>
                <w:szCs w:val="15"/>
              </w:rPr>
              <w:t>SS</w:t>
            </w:r>
          </w:p>
        </w:tc>
        <w:tc>
          <w:tcPr>
            <w:tcW w:w="849" w:type="dxa"/>
            <w:gridSpan w:val="3"/>
            <w:vAlign w:val="top"/>
          </w:tcPr>
          <w:p w14:paraId="10357F89">
            <w:pPr>
              <w:spacing w:before="161" w:line="175" w:lineRule="exact"/>
              <w:ind w:left="415"/>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w:t>
            </w:r>
          </w:p>
        </w:tc>
        <w:tc>
          <w:tcPr>
            <w:tcW w:w="562" w:type="dxa"/>
            <w:vAlign w:val="top"/>
          </w:tcPr>
          <w:p w14:paraId="746D3B18">
            <w:pPr>
              <w:spacing w:before="161" w:line="175" w:lineRule="exact"/>
              <w:ind w:left="267"/>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w:t>
            </w:r>
          </w:p>
        </w:tc>
        <w:tc>
          <w:tcPr>
            <w:tcW w:w="797" w:type="dxa"/>
            <w:gridSpan w:val="2"/>
            <w:vAlign w:val="top"/>
          </w:tcPr>
          <w:p w14:paraId="59E22EE6">
            <w:pPr>
              <w:spacing w:before="161" w:line="175" w:lineRule="exact"/>
              <w:ind w:left="163"/>
              <w:rPr>
                <w:rFonts w:ascii="Times New Roman" w:hAnsi="Times New Roman" w:eastAsia="Times New Roman" w:cs="Times New Roman"/>
                <w:sz w:val="15"/>
                <w:szCs w:val="15"/>
              </w:rPr>
            </w:pPr>
            <w:r>
              <w:rPr>
                <w:rFonts w:ascii="Times New Roman" w:hAnsi="Times New Roman" w:eastAsia="Times New Roman" w:cs="Times New Roman"/>
                <w:sz w:val="15"/>
                <w:szCs w:val="15"/>
              </w:rPr>
              <w:t>TW</w:t>
            </w:r>
            <w:r>
              <w:rPr>
                <w:rFonts w:ascii="Times New Roman" w:hAnsi="Times New Roman" w:eastAsia="Times New Roman" w:cs="Times New Roman"/>
                <w:spacing w:val="8"/>
                <w:sz w:val="15"/>
                <w:szCs w:val="15"/>
              </w:rPr>
              <w:t>002</w:t>
            </w:r>
          </w:p>
        </w:tc>
        <w:tc>
          <w:tcPr>
            <w:tcW w:w="759" w:type="dxa"/>
            <w:gridSpan w:val="2"/>
            <w:vAlign w:val="top"/>
          </w:tcPr>
          <w:p w14:paraId="0A28D096">
            <w:pPr>
              <w:pStyle w:val="6"/>
              <w:spacing w:before="31" w:line="233" w:lineRule="auto"/>
              <w:ind w:left="150"/>
              <w:rPr>
                <w:sz w:val="15"/>
                <w:szCs w:val="15"/>
              </w:rPr>
            </w:pPr>
            <w:r>
              <w:rPr>
                <w:spacing w:val="7"/>
                <w:sz w:val="15"/>
                <w:szCs w:val="15"/>
              </w:rPr>
              <w:t>超细过</w:t>
            </w:r>
          </w:p>
          <w:p w14:paraId="62CE56C9">
            <w:pPr>
              <w:pStyle w:val="6"/>
              <w:spacing w:before="18" w:line="209" w:lineRule="auto"/>
              <w:ind w:left="152"/>
              <w:rPr>
                <w:sz w:val="15"/>
                <w:szCs w:val="15"/>
              </w:rPr>
            </w:pPr>
            <w:r>
              <w:rPr>
                <w:spacing w:val="7"/>
                <w:sz w:val="15"/>
                <w:szCs w:val="15"/>
              </w:rPr>
              <w:t>滤筛网</w:t>
            </w:r>
          </w:p>
        </w:tc>
        <w:tc>
          <w:tcPr>
            <w:tcW w:w="912" w:type="dxa"/>
            <w:gridSpan w:val="3"/>
            <w:vAlign w:val="top"/>
          </w:tcPr>
          <w:p w14:paraId="46B2556F">
            <w:pPr>
              <w:pStyle w:val="6"/>
              <w:spacing w:before="135" w:line="233" w:lineRule="auto"/>
              <w:ind w:left="309"/>
              <w:rPr>
                <w:sz w:val="15"/>
                <w:szCs w:val="15"/>
              </w:rPr>
            </w:pPr>
            <w:r>
              <w:rPr>
                <w:spacing w:val="6"/>
                <w:sz w:val="15"/>
                <w:szCs w:val="15"/>
              </w:rPr>
              <w:t>过滤</w:t>
            </w:r>
          </w:p>
        </w:tc>
        <w:tc>
          <w:tcPr>
            <w:tcW w:w="744" w:type="dxa"/>
            <w:gridSpan w:val="2"/>
            <w:vAlign w:val="top"/>
          </w:tcPr>
          <w:p w14:paraId="74D794F5">
            <w:pPr>
              <w:pStyle w:val="6"/>
              <w:spacing w:before="134" w:line="235" w:lineRule="auto"/>
              <w:ind w:left="313"/>
              <w:rPr>
                <w:sz w:val="15"/>
                <w:szCs w:val="15"/>
              </w:rPr>
            </w:pPr>
            <w:r>
              <w:rPr>
                <w:sz w:val="15"/>
                <w:szCs w:val="15"/>
              </w:rPr>
              <w:t>是</w:t>
            </w:r>
          </w:p>
        </w:tc>
        <w:tc>
          <w:tcPr>
            <w:tcW w:w="615" w:type="dxa"/>
            <w:vAlign w:val="top"/>
          </w:tcPr>
          <w:p w14:paraId="7A7A1EBF">
            <w:pPr>
              <w:spacing w:before="161" w:line="175" w:lineRule="exact"/>
              <w:ind w:left="304"/>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w:t>
            </w:r>
          </w:p>
        </w:tc>
        <w:tc>
          <w:tcPr>
            <w:tcW w:w="857" w:type="dxa"/>
            <w:gridSpan w:val="2"/>
            <w:vAlign w:val="top"/>
          </w:tcPr>
          <w:p w14:paraId="3375575D">
            <w:pPr>
              <w:spacing w:before="161" w:line="175" w:lineRule="exact"/>
              <w:ind w:left="415"/>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w:t>
            </w:r>
          </w:p>
        </w:tc>
        <w:tc>
          <w:tcPr>
            <w:tcW w:w="590" w:type="dxa"/>
            <w:vAlign w:val="top"/>
          </w:tcPr>
          <w:p w14:paraId="3A632E1D">
            <w:pPr>
              <w:spacing w:before="161" w:line="175" w:lineRule="exact"/>
              <w:ind w:left="273"/>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w:t>
            </w:r>
          </w:p>
        </w:tc>
        <w:tc>
          <w:tcPr>
            <w:tcW w:w="80" w:type="dxa"/>
            <w:tcBorders>
              <w:top w:val="nil"/>
              <w:bottom w:val="nil"/>
              <w:right w:val="single" w:color="000000" w:sz="6" w:space="0"/>
            </w:tcBorders>
            <w:vAlign w:val="top"/>
          </w:tcPr>
          <w:p w14:paraId="0E7E1CC7">
            <w:pPr>
              <w:rPr>
                <w:rFonts w:ascii="Arial"/>
                <w:sz w:val="21"/>
              </w:rPr>
            </w:pPr>
          </w:p>
        </w:tc>
      </w:tr>
      <w:tr w14:paraId="7DCD9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2" w:hRule="atLeast"/>
        </w:trPr>
        <w:tc>
          <w:tcPr>
            <w:tcW w:w="750" w:type="dxa"/>
            <w:vMerge w:val="continue"/>
            <w:tcBorders>
              <w:top w:val="nil"/>
              <w:left w:val="single" w:color="000000" w:sz="6" w:space="0"/>
              <w:bottom w:val="single" w:color="000000" w:sz="6" w:space="0"/>
            </w:tcBorders>
            <w:vAlign w:val="top"/>
          </w:tcPr>
          <w:p w14:paraId="61AE3082">
            <w:pPr>
              <w:rPr>
                <w:rFonts w:ascii="Arial"/>
                <w:sz w:val="21"/>
              </w:rPr>
            </w:pPr>
          </w:p>
        </w:tc>
        <w:tc>
          <w:tcPr>
            <w:tcW w:w="8163" w:type="dxa"/>
            <w:gridSpan w:val="22"/>
            <w:tcBorders>
              <w:bottom w:val="single" w:color="000000" w:sz="6" w:space="0"/>
              <w:right w:val="single" w:color="000000" w:sz="6" w:space="0"/>
            </w:tcBorders>
            <w:vAlign w:val="top"/>
          </w:tcPr>
          <w:p w14:paraId="759F2CB2">
            <w:pPr>
              <w:pStyle w:val="6"/>
              <w:spacing w:before="148" w:line="235" w:lineRule="auto"/>
              <w:ind w:left="104"/>
            </w:pPr>
            <w:r>
              <w:rPr>
                <w:rFonts w:ascii="Times New Roman" w:hAnsi="Times New Roman" w:eastAsia="Times New Roman" w:cs="Times New Roman"/>
                <w:b/>
                <w:bCs/>
                <w:spacing w:val="-2"/>
              </w:rPr>
              <w:t>2.5</w:t>
            </w:r>
            <w:r>
              <w:rPr>
                <w:b/>
                <w:bCs/>
                <w:spacing w:val="-2"/>
              </w:rPr>
              <w:t>监测计划</w:t>
            </w:r>
          </w:p>
          <w:p w14:paraId="531FF39E">
            <w:pPr>
              <w:pStyle w:val="6"/>
              <w:spacing w:before="132" w:line="352" w:lineRule="auto"/>
              <w:ind w:left="106" w:right="109" w:firstLine="424"/>
            </w:pPr>
            <w:r>
              <w:rPr>
                <w:spacing w:val="-1"/>
              </w:rPr>
              <w:t>项目生产废水循环使用不外排，生活污水依托亚飞</w:t>
            </w:r>
            <w:r>
              <w:rPr>
                <w:spacing w:val="-2"/>
              </w:rPr>
              <w:t>玻璃公司已建化粪池收集后，进</w:t>
            </w:r>
            <w:r>
              <w:t xml:space="preserve"> </w:t>
            </w:r>
            <w:r>
              <w:rPr>
                <w:spacing w:val="-2"/>
              </w:rPr>
              <w:t>入东岳场镇生活污水处理厂处理。因此不制定废水监测计划。</w:t>
            </w:r>
          </w:p>
          <w:p w14:paraId="22E882D0">
            <w:pPr>
              <w:pStyle w:val="6"/>
              <w:spacing w:line="233" w:lineRule="auto"/>
              <w:ind w:left="104"/>
            </w:pPr>
            <w:r>
              <w:rPr>
                <w:rFonts w:ascii="Times New Roman" w:hAnsi="Times New Roman" w:eastAsia="Times New Roman" w:cs="Times New Roman"/>
                <w:b/>
                <w:bCs/>
                <w:spacing w:val="-2"/>
              </w:rPr>
              <w:t>2.6</w:t>
            </w:r>
            <w:r>
              <w:rPr>
                <w:b/>
                <w:bCs/>
                <w:spacing w:val="-2"/>
              </w:rPr>
              <w:t>地表水影响分析</w:t>
            </w:r>
          </w:p>
          <w:p w14:paraId="7FEA7B10">
            <w:pPr>
              <w:pStyle w:val="6"/>
              <w:spacing w:before="134" w:line="349" w:lineRule="auto"/>
              <w:ind w:left="111" w:right="101" w:firstLine="417"/>
              <w:jc w:val="both"/>
            </w:pPr>
            <w:r>
              <w:rPr>
                <w:spacing w:val="-1"/>
              </w:rPr>
              <w:t>本项目生产废水循环使用不外排，生活污水经化粪池收集后进入东岳场镇生</w:t>
            </w:r>
            <w:r>
              <w:rPr>
                <w:spacing w:val="-2"/>
              </w:rPr>
              <w:t>活污水</w:t>
            </w:r>
            <w:r>
              <w:t xml:space="preserve"> </w:t>
            </w:r>
            <w:r>
              <w:rPr>
                <w:spacing w:val="-1"/>
              </w:rPr>
              <w:t>处理厂处理后排入双龙河，污染物排放量较小，不会对双</w:t>
            </w:r>
            <w:r>
              <w:rPr>
                <w:spacing w:val="-2"/>
              </w:rPr>
              <w:t>龙河的水质造成污染影响。本</w:t>
            </w:r>
            <w:r>
              <w:t xml:space="preserve"> </w:t>
            </w:r>
            <w:r>
              <w:rPr>
                <w:spacing w:val="-2"/>
              </w:rPr>
              <w:t>项目废水不直接外排，对区域地表水体影响较小。</w:t>
            </w:r>
          </w:p>
          <w:p w14:paraId="5C50093C">
            <w:pPr>
              <w:spacing w:line="242" w:lineRule="auto"/>
              <w:ind w:left="55"/>
              <w:rPr>
                <w:rFonts w:ascii="黑体" w:hAnsi="黑体" w:eastAsia="黑体" w:cs="黑体"/>
                <w:sz w:val="21"/>
                <w:szCs w:val="21"/>
              </w:rPr>
            </w:pPr>
            <w:r>
              <w:rPr>
                <w:rFonts w:ascii="Times New Roman" w:hAnsi="Times New Roman" w:eastAsia="Times New Roman" w:cs="Times New Roman"/>
                <w:spacing w:val="2"/>
                <w:sz w:val="21"/>
                <w:szCs w:val="21"/>
              </w:rPr>
              <w:t>3</w:t>
            </w:r>
            <w:r>
              <w:rPr>
                <w:rFonts w:ascii="黑体" w:hAnsi="黑体" w:eastAsia="黑体" w:cs="黑体"/>
                <w:spacing w:val="2"/>
                <w:sz w:val="21"/>
                <w:szCs w:val="21"/>
              </w:rPr>
              <w:t>、噪声</w:t>
            </w:r>
          </w:p>
          <w:p w14:paraId="55A86E10">
            <w:pPr>
              <w:pStyle w:val="6"/>
              <w:spacing w:before="133" w:line="234" w:lineRule="auto"/>
              <w:ind w:left="102"/>
            </w:pPr>
            <w:r>
              <w:rPr>
                <w:rFonts w:ascii="Times New Roman" w:hAnsi="Times New Roman" w:eastAsia="Times New Roman" w:cs="Times New Roman"/>
                <w:b/>
                <w:bCs/>
                <w:spacing w:val="-2"/>
              </w:rPr>
              <w:t>3.1</w:t>
            </w:r>
            <w:r>
              <w:rPr>
                <w:b/>
                <w:bCs/>
                <w:spacing w:val="-2"/>
              </w:rPr>
              <w:t>噪声源强</w:t>
            </w:r>
          </w:p>
          <w:p w14:paraId="571C0062">
            <w:pPr>
              <w:pStyle w:val="6"/>
              <w:spacing w:before="133" w:line="349" w:lineRule="auto"/>
              <w:ind w:left="106" w:right="29" w:firstLine="427"/>
              <w:jc w:val="both"/>
            </w:pPr>
            <w:r>
              <w:rPr>
                <w:spacing w:val="-8"/>
              </w:rPr>
              <w:t>营运期噪声主要来源于装载机、叉车、削片机、给料机、粉碎机、制粒机、 烘干机、</w:t>
            </w:r>
            <w:r>
              <w:rPr>
                <w:spacing w:val="17"/>
              </w:rPr>
              <w:t xml:space="preserve"> </w:t>
            </w:r>
            <w:r>
              <w:rPr>
                <w:spacing w:val="-1"/>
              </w:rPr>
              <w:t>包装机、空压机、风机及输送设备等，噪声源强为</w:t>
            </w:r>
            <w:r>
              <w:rPr>
                <w:rFonts w:ascii="Times New Roman" w:hAnsi="Times New Roman" w:eastAsia="Times New Roman" w:cs="Times New Roman"/>
                <w:spacing w:val="-1"/>
              </w:rPr>
              <w:t>75</w:t>
            </w:r>
            <w:r>
              <w:rPr>
                <w:spacing w:val="-1"/>
              </w:rPr>
              <w:t>～</w:t>
            </w:r>
            <w:r>
              <w:rPr>
                <w:rFonts w:ascii="Times New Roman" w:hAnsi="Times New Roman" w:eastAsia="Times New Roman" w:cs="Times New Roman"/>
                <w:spacing w:val="-1"/>
              </w:rPr>
              <w:t>90dB(A)</w:t>
            </w:r>
            <w:r>
              <w:rPr>
                <w:rFonts w:ascii="Times New Roman" w:hAnsi="Times New Roman" w:eastAsia="Times New Roman" w:cs="Times New Roman"/>
                <w:spacing w:val="-24"/>
              </w:rPr>
              <w:t xml:space="preserve"> </w:t>
            </w:r>
            <w:r>
              <w:rPr>
                <w:spacing w:val="-1"/>
              </w:rPr>
              <w:t>。另外，物料运</w:t>
            </w:r>
            <w:r>
              <w:rPr>
                <w:spacing w:val="-2"/>
              </w:rPr>
              <w:t>输车辆</w:t>
            </w:r>
            <w:r>
              <w:t xml:space="preserve">  </w:t>
            </w:r>
            <w:r>
              <w:rPr>
                <w:spacing w:val="-1"/>
              </w:rPr>
              <w:t>会产生一定的交通噪声，噪声声压级约</w:t>
            </w:r>
            <w:r>
              <w:rPr>
                <w:rFonts w:ascii="Times New Roman" w:hAnsi="Times New Roman" w:eastAsia="Times New Roman" w:cs="Times New Roman"/>
                <w:spacing w:val="-1"/>
              </w:rPr>
              <w:t>75</w:t>
            </w:r>
            <w:r>
              <w:rPr>
                <w:spacing w:val="-1"/>
              </w:rPr>
              <w:t>～</w:t>
            </w:r>
            <w:r>
              <w:rPr>
                <w:rFonts w:ascii="Times New Roman" w:hAnsi="Times New Roman" w:eastAsia="Times New Roman" w:cs="Times New Roman"/>
                <w:spacing w:val="-1"/>
              </w:rPr>
              <w:t>85dB(A</w:t>
            </w:r>
            <w:r>
              <w:rPr>
                <w:rFonts w:hint="eastAsia" w:ascii="Times New Roman" w:hAnsi="Times New Roman" w:eastAsia="宋体" w:cs="Times New Roman"/>
                <w:spacing w:val="-1"/>
                <w:lang w:eastAsia="zh-CN"/>
              </w:rPr>
              <w:t>）</w:t>
            </w:r>
            <w:r>
              <w:rPr>
                <w:spacing w:val="-1"/>
              </w:rPr>
              <w:t>。</w:t>
            </w:r>
          </w:p>
          <w:p w14:paraId="6F85F90A">
            <w:pPr>
              <w:pStyle w:val="6"/>
              <w:spacing w:before="9" w:line="220" w:lineRule="auto"/>
              <w:ind w:left="531"/>
            </w:pPr>
            <w:r>
              <w:rPr>
                <w:spacing w:val="-5"/>
              </w:rPr>
              <w:t>项目室内声源调查表如下：</w:t>
            </w:r>
          </w:p>
        </w:tc>
      </w:tr>
    </w:tbl>
    <w:p w14:paraId="28BB5748">
      <w:pPr>
        <w:rPr>
          <w:rFonts w:ascii="Arial"/>
          <w:sz w:val="21"/>
        </w:rPr>
      </w:pPr>
    </w:p>
    <w:p w14:paraId="2BCF66F4">
      <w:pPr>
        <w:rPr>
          <w:rFonts w:ascii="Arial" w:hAnsi="Arial" w:eastAsia="Arial" w:cs="Arial"/>
          <w:sz w:val="21"/>
          <w:szCs w:val="21"/>
        </w:rPr>
        <w:sectPr>
          <w:footerReference r:id="rId64" w:type="default"/>
          <w:pgSz w:w="11908" w:h="16840"/>
          <w:pgMar w:top="1431" w:right="1489" w:bottom="1053" w:left="1489" w:header="0" w:footer="801" w:gutter="0"/>
          <w:cols w:space="720" w:num="1"/>
        </w:sectPr>
      </w:pPr>
    </w:p>
    <w:p w14:paraId="37ACB8AD">
      <w:pPr>
        <w:spacing w:before="28"/>
      </w:pPr>
    </w:p>
    <w:tbl>
      <w:tblPr>
        <w:tblStyle w:val="5"/>
        <w:tblW w:w="891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97"/>
        <w:gridCol w:w="38"/>
        <w:gridCol w:w="325"/>
        <w:gridCol w:w="347"/>
        <w:gridCol w:w="175"/>
        <w:gridCol w:w="789"/>
        <w:gridCol w:w="119"/>
        <w:gridCol w:w="533"/>
        <w:gridCol w:w="683"/>
        <w:gridCol w:w="492"/>
        <w:gridCol w:w="816"/>
        <w:gridCol w:w="485"/>
        <w:gridCol w:w="144"/>
        <w:gridCol w:w="495"/>
        <w:gridCol w:w="484"/>
        <w:gridCol w:w="650"/>
        <w:gridCol w:w="460"/>
        <w:gridCol w:w="246"/>
        <w:gridCol w:w="640"/>
        <w:gridCol w:w="38"/>
        <w:gridCol w:w="107"/>
      </w:tblGrid>
      <w:tr w14:paraId="654F9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750" w:type="dxa"/>
            <w:vMerge w:val="restart"/>
            <w:tcBorders>
              <w:left w:val="single" w:color="000000" w:sz="6" w:space="0"/>
              <w:bottom w:val="nil"/>
            </w:tcBorders>
            <w:vAlign w:val="top"/>
          </w:tcPr>
          <w:p w14:paraId="71B73500">
            <w:pPr>
              <w:rPr>
                <w:rFonts w:ascii="Arial"/>
                <w:sz w:val="21"/>
              </w:rPr>
            </w:pPr>
          </w:p>
        </w:tc>
        <w:tc>
          <w:tcPr>
            <w:tcW w:w="8163" w:type="dxa"/>
            <w:gridSpan w:val="21"/>
            <w:tcBorders>
              <w:right w:val="single" w:color="000000" w:sz="6" w:space="0"/>
            </w:tcBorders>
            <w:vAlign w:val="top"/>
          </w:tcPr>
          <w:p w14:paraId="61293EE4">
            <w:pPr>
              <w:spacing w:before="89" w:line="212" w:lineRule="auto"/>
              <w:ind w:left="1914"/>
              <w:rPr>
                <w:rFonts w:ascii="黑体" w:hAnsi="黑体" w:eastAsia="黑体" w:cs="黑体"/>
                <w:sz w:val="20"/>
                <w:szCs w:val="20"/>
              </w:rPr>
            </w:pPr>
            <w:r>
              <w:rPr>
                <w:rFonts w:ascii="黑体" w:hAnsi="黑体" w:eastAsia="黑体" w:cs="黑体"/>
                <w:spacing w:val="-1"/>
                <w:sz w:val="20"/>
                <w:szCs w:val="20"/>
              </w:rPr>
              <w:t>表</w:t>
            </w:r>
            <w:r>
              <w:rPr>
                <w:rFonts w:ascii="Times New Roman" w:hAnsi="Times New Roman" w:eastAsia="Times New Roman" w:cs="Times New Roman"/>
                <w:spacing w:val="-1"/>
                <w:sz w:val="20"/>
                <w:szCs w:val="20"/>
              </w:rPr>
              <w:t xml:space="preserve">4-10    </w:t>
            </w:r>
            <w:r>
              <w:rPr>
                <w:rFonts w:ascii="黑体" w:hAnsi="黑体" w:eastAsia="黑体" w:cs="黑体"/>
                <w:spacing w:val="-1"/>
                <w:sz w:val="20"/>
                <w:szCs w:val="20"/>
              </w:rPr>
              <w:t>项目室内声源调查一览表单位：</w:t>
            </w:r>
            <w:r>
              <w:rPr>
                <w:rFonts w:ascii="Times New Roman" w:hAnsi="Times New Roman" w:eastAsia="Times New Roman" w:cs="Times New Roman"/>
                <w:spacing w:val="-1"/>
                <w:sz w:val="20"/>
                <w:szCs w:val="20"/>
              </w:rPr>
              <w:t>dB</w:t>
            </w:r>
            <w:r>
              <w:rPr>
                <w:rFonts w:ascii="黑体" w:hAnsi="黑体" w:eastAsia="黑体" w:cs="黑体"/>
                <w:spacing w:val="-1"/>
                <w:sz w:val="20"/>
                <w:szCs w:val="20"/>
              </w:rPr>
              <w:t>（</w:t>
            </w:r>
            <w:r>
              <w:rPr>
                <w:rFonts w:ascii="Times New Roman" w:hAnsi="Times New Roman" w:eastAsia="Times New Roman" w:cs="Times New Roman"/>
                <w:spacing w:val="-1"/>
                <w:sz w:val="20"/>
                <w:szCs w:val="20"/>
              </w:rPr>
              <w:t>A</w:t>
            </w:r>
            <w:r>
              <w:rPr>
                <w:rFonts w:ascii="黑体" w:hAnsi="黑体" w:eastAsia="黑体" w:cs="黑体"/>
                <w:spacing w:val="-1"/>
                <w:sz w:val="20"/>
                <w:szCs w:val="20"/>
              </w:rPr>
              <w:t>）</w:t>
            </w:r>
          </w:p>
        </w:tc>
      </w:tr>
      <w:tr w14:paraId="58331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750" w:type="dxa"/>
            <w:vMerge w:val="continue"/>
            <w:tcBorders>
              <w:top w:val="nil"/>
              <w:left w:val="single" w:color="000000" w:sz="6" w:space="0"/>
              <w:bottom w:val="nil"/>
            </w:tcBorders>
            <w:vAlign w:val="top"/>
          </w:tcPr>
          <w:p w14:paraId="682DAE60">
            <w:pPr>
              <w:rPr>
                <w:rFonts w:ascii="Arial"/>
                <w:sz w:val="21"/>
              </w:rPr>
            </w:pPr>
          </w:p>
        </w:tc>
        <w:tc>
          <w:tcPr>
            <w:tcW w:w="460" w:type="dxa"/>
            <w:gridSpan w:val="3"/>
            <w:vMerge w:val="restart"/>
            <w:tcBorders>
              <w:bottom w:val="nil"/>
            </w:tcBorders>
            <w:textDirection w:val="tbRlV"/>
            <w:vAlign w:val="top"/>
          </w:tcPr>
          <w:p w14:paraId="41B15F53">
            <w:pPr>
              <w:pStyle w:val="6"/>
              <w:spacing w:before="95" w:line="208" w:lineRule="auto"/>
              <w:ind w:left="350"/>
              <w:rPr>
                <w:sz w:val="18"/>
                <w:szCs w:val="18"/>
              </w:rPr>
            </w:pPr>
            <w:r>
              <w:pict>
                <v:shape id="_x0000_s1063" o:spid="_x0000_s1063" style="position:absolute;left:0pt;margin-left:4.35pt;margin-top:0.25pt;height:56pt;width:0.5pt;mso-position-horizontal-relative:page;mso-position-vertical-relative:page;z-index:251701248;mso-width-relative:page;mso-height-relative:page;" fillcolor="#000000" filled="t" stroked="f" coordsize="10,1120" path="m0,530l9,530,9,0,0,0,0,530xem0,540l9,540,9,530,0,530,0,540xem0,1119l9,1119,9,540,0,540,0,1119xe">
                  <v:path/>
                  <v:fill on="t" focussize="0,0"/>
                  <v:stroke on="f"/>
                  <v:imagedata o:title=""/>
                  <o:lock v:ext="edit"/>
                </v:shape>
              </w:pict>
            </w:r>
            <w:r>
              <w:rPr>
                <w:b/>
                <w:bCs/>
                <w:spacing w:val="-2"/>
                <w:sz w:val="18"/>
                <w:szCs w:val="18"/>
              </w:rPr>
              <w:t>区</w:t>
            </w:r>
            <w:r>
              <w:rPr>
                <w:spacing w:val="10"/>
                <w:sz w:val="18"/>
                <w:szCs w:val="18"/>
              </w:rPr>
              <w:t xml:space="preserve"> </w:t>
            </w:r>
            <w:r>
              <w:rPr>
                <w:b/>
                <w:bCs/>
                <w:spacing w:val="-2"/>
                <w:sz w:val="18"/>
                <w:szCs w:val="18"/>
              </w:rPr>
              <w:t>域</w:t>
            </w:r>
          </w:p>
        </w:tc>
        <w:tc>
          <w:tcPr>
            <w:tcW w:w="522" w:type="dxa"/>
            <w:gridSpan w:val="2"/>
            <w:vMerge w:val="restart"/>
            <w:tcBorders>
              <w:bottom w:val="nil"/>
            </w:tcBorders>
            <w:vAlign w:val="top"/>
          </w:tcPr>
          <w:p w14:paraId="584FA86A">
            <w:pPr>
              <w:pStyle w:val="6"/>
              <w:spacing w:before="211" w:line="220" w:lineRule="auto"/>
              <w:ind w:left="81"/>
              <w:rPr>
                <w:sz w:val="18"/>
                <w:szCs w:val="18"/>
              </w:rPr>
            </w:pPr>
            <w:r>
              <w:rPr>
                <w:b/>
                <w:bCs/>
                <w:spacing w:val="-4"/>
                <w:sz w:val="18"/>
                <w:szCs w:val="18"/>
              </w:rPr>
              <w:t>建筑</w:t>
            </w:r>
          </w:p>
          <w:p w14:paraId="0ADE80F1">
            <w:pPr>
              <w:pStyle w:val="6"/>
              <w:spacing w:before="65" w:line="290" w:lineRule="auto"/>
              <w:ind w:left="168" w:right="82" w:hanging="89"/>
              <w:rPr>
                <w:sz w:val="18"/>
                <w:szCs w:val="18"/>
              </w:rPr>
            </w:pPr>
            <w:r>
              <w:rPr>
                <w:b/>
                <w:bCs/>
                <w:spacing w:val="-5"/>
                <w:sz w:val="18"/>
                <w:szCs w:val="18"/>
              </w:rPr>
              <w:t>物名</w:t>
            </w:r>
            <w:r>
              <w:rPr>
                <w:sz w:val="18"/>
                <w:szCs w:val="18"/>
              </w:rPr>
              <w:t xml:space="preserve"> </w:t>
            </w:r>
            <w:r>
              <w:rPr>
                <w:b/>
                <w:bCs/>
                <w:spacing w:val="-2"/>
                <w:sz w:val="18"/>
                <w:szCs w:val="18"/>
              </w:rPr>
              <w:t>称</w:t>
            </w:r>
          </w:p>
        </w:tc>
        <w:tc>
          <w:tcPr>
            <w:tcW w:w="789" w:type="dxa"/>
            <w:vMerge w:val="restart"/>
            <w:tcBorders>
              <w:bottom w:val="nil"/>
            </w:tcBorders>
            <w:vAlign w:val="top"/>
          </w:tcPr>
          <w:p w14:paraId="267F4926">
            <w:pPr>
              <w:spacing w:line="290" w:lineRule="auto"/>
              <w:rPr>
                <w:rFonts w:ascii="Arial"/>
                <w:sz w:val="21"/>
              </w:rPr>
            </w:pPr>
          </w:p>
          <w:p w14:paraId="23D56A3B">
            <w:pPr>
              <w:pStyle w:val="6"/>
              <w:spacing w:before="58" w:line="220" w:lineRule="auto"/>
              <w:ind w:left="219"/>
              <w:rPr>
                <w:sz w:val="18"/>
                <w:szCs w:val="18"/>
              </w:rPr>
            </w:pPr>
            <w:r>
              <w:rPr>
                <w:b/>
                <w:bCs/>
                <w:spacing w:val="-5"/>
                <w:sz w:val="18"/>
                <w:szCs w:val="18"/>
              </w:rPr>
              <w:t>声源</w:t>
            </w:r>
          </w:p>
          <w:p w14:paraId="38255A4C">
            <w:pPr>
              <w:pStyle w:val="6"/>
              <w:spacing w:before="65" w:line="222" w:lineRule="auto"/>
              <w:ind w:left="217"/>
              <w:rPr>
                <w:sz w:val="18"/>
                <w:szCs w:val="18"/>
              </w:rPr>
            </w:pPr>
            <w:r>
              <w:rPr>
                <w:b/>
                <w:bCs/>
                <w:spacing w:val="-4"/>
                <w:sz w:val="18"/>
                <w:szCs w:val="18"/>
              </w:rPr>
              <w:t>名称</w:t>
            </w:r>
          </w:p>
        </w:tc>
        <w:tc>
          <w:tcPr>
            <w:tcW w:w="652" w:type="dxa"/>
            <w:gridSpan w:val="2"/>
            <w:vMerge w:val="restart"/>
            <w:tcBorders>
              <w:bottom w:val="nil"/>
            </w:tcBorders>
            <w:vAlign w:val="top"/>
          </w:tcPr>
          <w:p w14:paraId="17E3FD98">
            <w:pPr>
              <w:pStyle w:val="6"/>
              <w:spacing w:before="211" w:line="220" w:lineRule="auto"/>
              <w:ind w:left="151"/>
              <w:rPr>
                <w:sz w:val="18"/>
                <w:szCs w:val="18"/>
              </w:rPr>
            </w:pPr>
            <w:r>
              <w:rPr>
                <w:b/>
                <w:bCs/>
                <w:spacing w:val="-5"/>
                <w:sz w:val="18"/>
                <w:szCs w:val="18"/>
              </w:rPr>
              <w:t>声功</w:t>
            </w:r>
          </w:p>
          <w:p w14:paraId="3C0B64CB">
            <w:pPr>
              <w:pStyle w:val="6"/>
              <w:spacing w:before="65" w:line="312" w:lineRule="auto"/>
              <w:ind w:left="61" w:right="65" w:firstLine="87"/>
              <w:rPr>
                <w:rFonts w:ascii="Times New Roman" w:hAnsi="Times New Roman" w:eastAsia="Times New Roman" w:cs="Times New Roman"/>
                <w:sz w:val="18"/>
                <w:szCs w:val="18"/>
              </w:rPr>
            </w:pPr>
            <w:r>
              <w:rPr>
                <w:b/>
                <w:bCs/>
                <w:spacing w:val="-6"/>
                <w:sz w:val="18"/>
                <w:szCs w:val="18"/>
              </w:rPr>
              <w:t>率级</w:t>
            </w:r>
            <w:r>
              <w:rPr>
                <w:sz w:val="18"/>
                <w:szCs w:val="18"/>
              </w:rPr>
              <w:t xml:space="preserve">  </w:t>
            </w:r>
            <w:r>
              <w:rPr>
                <w:rFonts w:ascii="Times New Roman" w:hAnsi="Times New Roman" w:eastAsia="Times New Roman" w:cs="Times New Roman"/>
                <w:b/>
                <w:bCs/>
                <w:spacing w:val="-1"/>
                <w:sz w:val="18"/>
                <w:szCs w:val="18"/>
              </w:rPr>
              <w:t>/dB(A)</w:t>
            </w:r>
          </w:p>
        </w:tc>
        <w:tc>
          <w:tcPr>
            <w:tcW w:w="683" w:type="dxa"/>
            <w:vMerge w:val="restart"/>
            <w:tcBorders>
              <w:bottom w:val="nil"/>
            </w:tcBorders>
            <w:vAlign w:val="top"/>
          </w:tcPr>
          <w:p w14:paraId="2F754C25">
            <w:pPr>
              <w:spacing w:line="290" w:lineRule="auto"/>
              <w:rPr>
                <w:rFonts w:ascii="Arial"/>
                <w:sz w:val="21"/>
              </w:rPr>
            </w:pPr>
          </w:p>
          <w:p w14:paraId="5C7A0317">
            <w:pPr>
              <w:pStyle w:val="6"/>
              <w:spacing w:before="58" w:line="220" w:lineRule="auto"/>
              <w:ind w:left="76"/>
              <w:rPr>
                <w:sz w:val="18"/>
                <w:szCs w:val="18"/>
              </w:rPr>
            </w:pPr>
            <w:r>
              <w:rPr>
                <w:b/>
                <w:bCs/>
                <w:spacing w:val="-4"/>
                <w:sz w:val="18"/>
                <w:szCs w:val="18"/>
              </w:rPr>
              <w:t>声源控</w:t>
            </w:r>
          </w:p>
          <w:p w14:paraId="5F9F2409">
            <w:pPr>
              <w:pStyle w:val="6"/>
              <w:spacing w:before="66" w:line="220" w:lineRule="auto"/>
              <w:ind w:left="73"/>
              <w:rPr>
                <w:sz w:val="18"/>
                <w:szCs w:val="18"/>
              </w:rPr>
            </w:pPr>
            <w:r>
              <w:rPr>
                <w:b/>
                <w:bCs/>
                <w:spacing w:val="-4"/>
                <w:sz w:val="18"/>
                <w:szCs w:val="18"/>
              </w:rPr>
              <w:t>制措施</w:t>
            </w:r>
          </w:p>
        </w:tc>
        <w:tc>
          <w:tcPr>
            <w:tcW w:w="1308" w:type="dxa"/>
            <w:gridSpan w:val="2"/>
            <w:vAlign w:val="top"/>
          </w:tcPr>
          <w:p w14:paraId="512385D6">
            <w:pPr>
              <w:pStyle w:val="6"/>
              <w:spacing w:before="165" w:line="222" w:lineRule="auto"/>
              <w:ind w:left="116"/>
              <w:rPr>
                <w:rFonts w:ascii="Calibri" w:hAnsi="Calibri" w:eastAsia="Calibri" w:cs="Calibri"/>
              </w:rPr>
            </w:pPr>
            <w:r>
              <w:rPr>
                <w:b/>
                <w:bCs/>
                <w:spacing w:val="-15"/>
                <w:w w:val="93"/>
                <w:sz w:val="18"/>
                <w:szCs w:val="18"/>
              </w:rPr>
              <w:t>空间相对位置</w:t>
            </w:r>
            <w:r>
              <w:rPr>
                <w:rFonts w:ascii="Calibri" w:hAnsi="Calibri" w:eastAsia="Calibri" w:cs="Calibri"/>
                <w:spacing w:val="-15"/>
                <w:w w:val="93"/>
              </w:rPr>
              <w:t>/m</w:t>
            </w:r>
          </w:p>
        </w:tc>
        <w:tc>
          <w:tcPr>
            <w:tcW w:w="485" w:type="dxa"/>
            <w:vMerge w:val="restart"/>
            <w:tcBorders>
              <w:bottom w:val="nil"/>
            </w:tcBorders>
            <w:vAlign w:val="top"/>
          </w:tcPr>
          <w:p w14:paraId="31B9067B">
            <w:pPr>
              <w:pStyle w:val="6"/>
              <w:spacing w:before="70" w:line="227" w:lineRule="auto"/>
              <w:ind w:left="68"/>
              <w:rPr>
                <w:sz w:val="18"/>
                <w:szCs w:val="18"/>
              </w:rPr>
            </w:pPr>
            <w:r>
              <w:rPr>
                <w:b/>
                <w:bCs/>
                <w:spacing w:val="-4"/>
                <w:sz w:val="18"/>
                <w:szCs w:val="18"/>
              </w:rPr>
              <w:t>距室</w:t>
            </w:r>
          </w:p>
          <w:p w14:paraId="27BA2EB1">
            <w:pPr>
              <w:pStyle w:val="6"/>
              <w:spacing w:before="57" w:line="220" w:lineRule="auto"/>
              <w:ind w:left="90"/>
              <w:rPr>
                <w:sz w:val="18"/>
                <w:szCs w:val="18"/>
              </w:rPr>
            </w:pPr>
            <w:r>
              <w:rPr>
                <w:b/>
                <w:bCs/>
                <w:spacing w:val="-9"/>
                <w:sz w:val="18"/>
                <w:szCs w:val="18"/>
              </w:rPr>
              <w:t>内边</w:t>
            </w:r>
          </w:p>
          <w:p w14:paraId="7EFF0C92">
            <w:pPr>
              <w:pStyle w:val="6"/>
              <w:spacing w:before="66" w:line="247" w:lineRule="auto"/>
              <w:ind w:left="62" w:right="46" w:firstLine="11"/>
              <w:rPr>
                <w:rFonts w:ascii="Times New Roman" w:hAnsi="Times New Roman" w:eastAsia="Times New Roman" w:cs="Times New Roman"/>
                <w:sz w:val="18"/>
                <w:szCs w:val="18"/>
              </w:rPr>
            </w:pPr>
            <w:r>
              <w:rPr>
                <w:b/>
                <w:bCs/>
                <w:spacing w:val="-7"/>
                <w:sz w:val="18"/>
                <w:szCs w:val="18"/>
              </w:rPr>
              <w:t>界距</w:t>
            </w:r>
            <w:r>
              <w:rPr>
                <w:sz w:val="18"/>
                <w:szCs w:val="18"/>
              </w:rPr>
              <w:t xml:space="preserve"> </w:t>
            </w:r>
            <w:r>
              <w:rPr>
                <w:b/>
                <w:bCs/>
                <w:spacing w:val="-4"/>
                <w:sz w:val="18"/>
                <w:szCs w:val="18"/>
              </w:rPr>
              <w:t>离</w:t>
            </w:r>
            <w:r>
              <w:rPr>
                <w:rFonts w:ascii="Times New Roman" w:hAnsi="Times New Roman" w:eastAsia="Times New Roman" w:cs="Times New Roman"/>
                <w:b/>
                <w:bCs/>
                <w:spacing w:val="-4"/>
                <w:sz w:val="18"/>
                <w:szCs w:val="18"/>
              </w:rPr>
              <w:t>/m</w:t>
            </w:r>
          </w:p>
        </w:tc>
        <w:tc>
          <w:tcPr>
            <w:tcW w:w="639" w:type="dxa"/>
            <w:gridSpan w:val="2"/>
            <w:vMerge w:val="restart"/>
            <w:tcBorders>
              <w:bottom w:val="nil"/>
            </w:tcBorders>
            <w:vAlign w:val="top"/>
          </w:tcPr>
          <w:p w14:paraId="45822BB5">
            <w:pPr>
              <w:pStyle w:val="6"/>
              <w:spacing w:before="210" w:line="220" w:lineRule="auto"/>
              <w:ind w:left="58"/>
              <w:rPr>
                <w:sz w:val="18"/>
                <w:szCs w:val="18"/>
              </w:rPr>
            </w:pPr>
            <w:r>
              <w:rPr>
                <w:b/>
                <w:bCs/>
                <w:spacing w:val="-4"/>
                <w:sz w:val="18"/>
                <w:szCs w:val="18"/>
              </w:rPr>
              <w:t>室内边</w:t>
            </w:r>
          </w:p>
          <w:p w14:paraId="282C1B8C">
            <w:pPr>
              <w:pStyle w:val="6"/>
              <w:spacing w:before="66" w:line="312" w:lineRule="auto"/>
              <w:ind w:left="59" w:right="42"/>
              <w:rPr>
                <w:rFonts w:ascii="Times New Roman" w:hAnsi="Times New Roman" w:eastAsia="Times New Roman" w:cs="Times New Roman"/>
                <w:sz w:val="18"/>
                <w:szCs w:val="18"/>
              </w:rPr>
            </w:pPr>
            <w:r>
              <w:rPr>
                <w:b/>
                <w:bCs/>
                <w:spacing w:val="-5"/>
                <w:sz w:val="18"/>
                <w:szCs w:val="18"/>
              </w:rPr>
              <w:t>界声级</w:t>
            </w:r>
            <w:r>
              <w:rPr>
                <w:sz w:val="18"/>
                <w:szCs w:val="18"/>
              </w:rPr>
              <w:t xml:space="preserve"> </w:t>
            </w:r>
            <w:r>
              <w:rPr>
                <w:rFonts w:ascii="Times New Roman" w:hAnsi="Times New Roman" w:eastAsia="Times New Roman" w:cs="Times New Roman"/>
                <w:b/>
                <w:bCs/>
                <w:spacing w:val="-1"/>
                <w:sz w:val="18"/>
                <w:szCs w:val="18"/>
              </w:rPr>
              <w:t>/dB(A)</w:t>
            </w:r>
          </w:p>
        </w:tc>
        <w:tc>
          <w:tcPr>
            <w:tcW w:w="484" w:type="dxa"/>
            <w:vMerge w:val="restart"/>
            <w:tcBorders>
              <w:bottom w:val="nil"/>
            </w:tcBorders>
            <w:vAlign w:val="top"/>
          </w:tcPr>
          <w:p w14:paraId="048094A4">
            <w:pPr>
              <w:spacing w:line="290" w:lineRule="auto"/>
              <w:rPr>
                <w:rFonts w:ascii="Arial"/>
                <w:sz w:val="21"/>
              </w:rPr>
            </w:pPr>
          </w:p>
          <w:p w14:paraId="27FA9868">
            <w:pPr>
              <w:pStyle w:val="6"/>
              <w:spacing w:before="58" w:line="220" w:lineRule="auto"/>
              <w:ind w:left="68"/>
              <w:rPr>
                <w:sz w:val="18"/>
                <w:szCs w:val="18"/>
              </w:rPr>
            </w:pPr>
            <w:r>
              <w:rPr>
                <w:b/>
                <w:bCs/>
                <w:spacing w:val="-4"/>
                <w:sz w:val="18"/>
                <w:szCs w:val="18"/>
              </w:rPr>
              <w:t>运行</w:t>
            </w:r>
          </w:p>
          <w:p w14:paraId="129E9A6D">
            <w:pPr>
              <w:pStyle w:val="6"/>
              <w:spacing w:before="66" w:line="221" w:lineRule="auto"/>
              <w:ind w:left="77"/>
              <w:rPr>
                <w:sz w:val="18"/>
                <w:szCs w:val="18"/>
              </w:rPr>
            </w:pPr>
            <w:r>
              <w:rPr>
                <w:b/>
                <w:bCs/>
                <w:spacing w:val="-6"/>
                <w:sz w:val="18"/>
                <w:szCs w:val="18"/>
              </w:rPr>
              <w:t>时段</w:t>
            </w:r>
          </w:p>
        </w:tc>
        <w:tc>
          <w:tcPr>
            <w:tcW w:w="650" w:type="dxa"/>
            <w:vMerge w:val="restart"/>
            <w:tcBorders>
              <w:bottom w:val="nil"/>
            </w:tcBorders>
            <w:vAlign w:val="top"/>
          </w:tcPr>
          <w:p w14:paraId="1F0ABC9C">
            <w:pPr>
              <w:pStyle w:val="6"/>
              <w:spacing w:before="211" w:line="220" w:lineRule="auto"/>
              <w:ind w:left="115"/>
              <w:rPr>
                <w:sz w:val="18"/>
                <w:szCs w:val="18"/>
              </w:rPr>
            </w:pPr>
            <w:r>
              <w:rPr>
                <w:b/>
                <w:bCs/>
                <w:spacing w:val="-17"/>
                <w:sz w:val="18"/>
                <w:szCs w:val="18"/>
              </w:rPr>
              <w:t>建筑物</w:t>
            </w:r>
          </w:p>
          <w:p w14:paraId="3BD2C010">
            <w:pPr>
              <w:pStyle w:val="6"/>
              <w:spacing w:before="65" w:line="287" w:lineRule="auto"/>
              <w:ind w:left="55" w:right="17" w:firstLine="57"/>
              <w:rPr>
                <w:rFonts w:ascii="Times New Roman" w:hAnsi="Times New Roman" w:eastAsia="Times New Roman" w:cs="Times New Roman"/>
                <w:sz w:val="18"/>
                <w:szCs w:val="18"/>
              </w:rPr>
            </w:pPr>
            <w:r>
              <w:rPr>
                <w:b/>
                <w:bCs/>
                <w:spacing w:val="-11"/>
                <w:w w:val="91"/>
                <w:sz w:val="18"/>
                <w:szCs w:val="18"/>
              </w:rPr>
              <w:t>插入损</w:t>
            </w:r>
            <w:r>
              <w:rPr>
                <w:spacing w:val="2"/>
                <w:sz w:val="18"/>
                <w:szCs w:val="18"/>
              </w:rPr>
              <w:t xml:space="preserve"> </w:t>
            </w:r>
            <w:r>
              <w:rPr>
                <w:b/>
                <w:bCs/>
                <w:spacing w:val="-6"/>
                <w:w w:val="87"/>
                <w:sz w:val="18"/>
                <w:szCs w:val="18"/>
              </w:rPr>
              <w:t>失</w:t>
            </w:r>
            <w:r>
              <w:rPr>
                <w:rFonts w:ascii="Times New Roman" w:hAnsi="Times New Roman" w:eastAsia="Times New Roman" w:cs="Times New Roman"/>
                <w:b/>
                <w:bCs/>
                <w:spacing w:val="-6"/>
                <w:w w:val="87"/>
                <w:sz w:val="18"/>
                <w:szCs w:val="18"/>
              </w:rPr>
              <w:t>/dB(A)</w:t>
            </w:r>
          </w:p>
        </w:tc>
        <w:tc>
          <w:tcPr>
            <w:tcW w:w="1384" w:type="dxa"/>
            <w:gridSpan w:val="4"/>
            <w:tcBorders>
              <w:right w:val="single" w:color="000000" w:sz="8" w:space="0"/>
            </w:tcBorders>
            <w:vAlign w:val="top"/>
          </w:tcPr>
          <w:p w14:paraId="3C03A5A4">
            <w:pPr>
              <w:pStyle w:val="6"/>
              <w:spacing w:before="195" w:line="220" w:lineRule="auto"/>
              <w:ind w:left="164"/>
              <w:rPr>
                <w:sz w:val="18"/>
                <w:szCs w:val="18"/>
              </w:rPr>
            </w:pPr>
            <w:r>
              <w:rPr>
                <w:b/>
                <w:bCs/>
                <w:spacing w:val="-3"/>
                <w:sz w:val="18"/>
                <w:szCs w:val="18"/>
              </w:rPr>
              <w:t>建筑物外噪声</w:t>
            </w:r>
          </w:p>
        </w:tc>
        <w:tc>
          <w:tcPr>
            <w:tcW w:w="107" w:type="dxa"/>
            <w:tcBorders>
              <w:left w:val="single" w:color="000000" w:sz="8" w:space="0"/>
              <w:right w:val="single" w:color="000000" w:sz="6" w:space="0"/>
            </w:tcBorders>
            <w:vAlign w:val="top"/>
          </w:tcPr>
          <w:p w14:paraId="23902474">
            <w:pPr>
              <w:rPr>
                <w:rFonts w:ascii="Arial"/>
                <w:sz w:val="21"/>
              </w:rPr>
            </w:pPr>
          </w:p>
        </w:tc>
      </w:tr>
      <w:tr w14:paraId="512F1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750" w:type="dxa"/>
            <w:vMerge w:val="continue"/>
            <w:tcBorders>
              <w:top w:val="nil"/>
              <w:left w:val="single" w:color="000000" w:sz="6" w:space="0"/>
              <w:bottom w:val="nil"/>
            </w:tcBorders>
            <w:vAlign w:val="top"/>
          </w:tcPr>
          <w:p w14:paraId="0453214E">
            <w:pPr>
              <w:rPr>
                <w:rFonts w:ascii="Arial"/>
                <w:sz w:val="21"/>
              </w:rPr>
            </w:pPr>
          </w:p>
        </w:tc>
        <w:tc>
          <w:tcPr>
            <w:tcW w:w="460" w:type="dxa"/>
            <w:gridSpan w:val="3"/>
            <w:vMerge w:val="continue"/>
            <w:tcBorders>
              <w:top w:val="nil"/>
            </w:tcBorders>
            <w:textDirection w:val="tbRlV"/>
            <w:vAlign w:val="top"/>
          </w:tcPr>
          <w:p w14:paraId="5E58FBF1">
            <w:pPr>
              <w:rPr>
                <w:rFonts w:ascii="Arial"/>
                <w:sz w:val="21"/>
              </w:rPr>
            </w:pPr>
          </w:p>
        </w:tc>
        <w:tc>
          <w:tcPr>
            <w:tcW w:w="522" w:type="dxa"/>
            <w:gridSpan w:val="2"/>
            <w:vMerge w:val="continue"/>
            <w:tcBorders>
              <w:top w:val="nil"/>
            </w:tcBorders>
            <w:vAlign w:val="top"/>
          </w:tcPr>
          <w:p w14:paraId="1224B560">
            <w:pPr>
              <w:rPr>
                <w:rFonts w:ascii="Arial"/>
                <w:sz w:val="21"/>
              </w:rPr>
            </w:pPr>
          </w:p>
        </w:tc>
        <w:tc>
          <w:tcPr>
            <w:tcW w:w="789" w:type="dxa"/>
            <w:vMerge w:val="continue"/>
            <w:tcBorders>
              <w:top w:val="nil"/>
            </w:tcBorders>
            <w:vAlign w:val="top"/>
          </w:tcPr>
          <w:p w14:paraId="3F65B069">
            <w:pPr>
              <w:rPr>
                <w:rFonts w:ascii="Arial"/>
                <w:sz w:val="21"/>
              </w:rPr>
            </w:pPr>
          </w:p>
        </w:tc>
        <w:tc>
          <w:tcPr>
            <w:tcW w:w="652" w:type="dxa"/>
            <w:gridSpan w:val="2"/>
            <w:vMerge w:val="continue"/>
            <w:tcBorders>
              <w:top w:val="nil"/>
            </w:tcBorders>
            <w:vAlign w:val="top"/>
          </w:tcPr>
          <w:p w14:paraId="4DC4215C">
            <w:pPr>
              <w:rPr>
                <w:rFonts w:ascii="Arial"/>
                <w:sz w:val="21"/>
              </w:rPr>
            </w:pPr>
          </w:p>
        </w:tc>
        <w:tc>
          <w:tcPr>
            <w:tcW w:w="683" w:type="dxa"/>
            <w:vMerge w:val="continue"/>
            <w:tcBorders>
              <w:top w:val="nil"/>
            </w:tcBorders>
            <w:vAlign w:val="top"/>
          </w:tcPr>
          <w:p w14:paraId="3C7A3DA3">
            <w:pPr>
              <w:rPr>
                <w:rFonts w:ascii="Arial"/>
                <w:sz w:val="21"/>
              </w:rPr>
            </w:pPr>
          </w:p>
        </w:tc>
        <w:tc>
          <w:tcPr>
            <w:tcW w:w="1308" w:type="dxa"/>
            <w:gridSpan w:val="2"/>
            <w:vAlign w:val="top"/>
          </w:tcPr>
          <w:p w14:paraId="49230E00">
            <w:pPr>
              <w:pStyle w:val="6"/>
              <w:spacing w:before="236" w:line="176" w:lineRule="auto"/>
              <w:ind w:left="281"/>
              <w:rPr>
                <w:rFonts w:ascii="Times New Roman" w:hAnsi="Times New Roman" w:eastAsia="Times New Roman" w:cs="Times New Roman"/>
                <w:sz w:val="18"/>
                <w:szCs w:val="18"/>
              </w:rPr>
            </w:pPr>
            <w:r>
              <w:rPr>
                <w:rFonts w:ascii="Times New Roman" w:hAnsi="Times New Roman" w:eastAsia="Times New Roman" w:cs="Times New Roman"/>
                <w:b/>
                <w:bCs/>
                <w:spacing w:val="-9"/>
                <w:sz w:val="18"/>
                <w:szCs w:val="18"/>
              </w:rPr>
              <w:t>X</w:t>
            </w:r>
            <w:r>
              <w:rPr>
                <w:rFonts w:ascii="Times New Roman" w:hAnsi="Times New Roman" w:eastAsia="Times New Roman" w:cs="Times New Roman"/>
                <w:b/>
                <w:bCs/>
                <w:spacing w:val="-23"/>
                <w:sz w:val="18"/>
                <w:szCs w:val="18"/>
              </w:rPr>
              <w:t xml:space="preserve"> </w:t>
            </w:r>
            <w:r>
              <w:rPr>
                <w:rFonts w:hint="eastAsia" w:ascii="Times New Roman" w:hAnsi="Times New Roman" w:eastAsia="宋体" w:cs="Times New Roman"/>
                <w:b/>
                <w:bCs/>
                <w:spacing w:val="-23"/>
                <w:sz w:val="18"/>
                <w:szCs w:val="18"/>
                <w:lang w:eastAsia="zh-CN"/>
              </w:rPr>
              <w:t xml:space="preserve">, </w:t>
            </w:r>
            <w:r>
              <w:rPr>
                <w:rFonts w:ascii="Times New Roman" w:hAnsi="Times New Roman" w:eastAsia="Times New Roman" w:cs="Times New Roman"/>
                <w:b/>
                <w:bCs/>
                <w:spacing w:val="-9"/>
                <w:sz w:val="18"/>
                <w:szCs w:val="18"/>
              </w:rPr>
              <w:t>Y</w:t>
            </w:r>
            <w:r>
              <w:rPr>
                <w:rFonts w:ascii="Times New Roman" w:hAnsi="Times New Roman" w:eastAsia="Times New Roman" w:cs="Times New Roman"/>
                <w:b/>
                <w:bCs/>
                <w:spacing w:val="-24"/>
                <w:sz w:val="18"/>
                <w:szCs w:val="18"/>
              </w:rPr>
              <w:t xml:space="preserve"> </w:t>
            </w:r>
            <w:r>
              <w:rPr>
                <w:rFonts w:hint="eastAsia" w:ascii="Times New Roman" w:hAnsi="Times New Roman" w:eastAsia="宋体" w:cs="Times New Roman"/>
                <w:b/>
                <w:bCs/>
                <w:spacing w:val="-24"/>
                <w:sz w:val="18"/>
                <w:szCs w:val="18"/>
                <w:lang w:eastAsia="zh-CN"/>
              </w:rPr>
              <w:t xml:space="preserve">, </w:t>
            </w:r>
            <w:r>
              <w:rPr>
                <w:rFonts w:ascii="Times New Roman" w:hAnsi="Times New Roman" w:eastAsia="Times New Roman" w:cs="Times New Roman"/>
                <w:b/>
                <w:bCs/>
                <w:spacing w:val="-9"/>
                <w:sz w:val="18"/>
                <w:szCs w:val="18"/>
              </w:rPr>
              <w:t>Z</w:t>
            </w:r>
          </w:p>
        </w:tc>
        <w:tc>
          <w:tcPr>
            <w:tcW w:w="485" w:type="dxa"/>
            <w:vMerge w:val="continue"/>
            <w:tcBorders>
              <w:top w:val="nil"/>
            </w:tcBorders>
            <w:vAlign w:val="top"/>
          </w:tcPr>
          <w:p w14:paraId="2F23B4ED">
            <w:pPr>
              <w:rPr>
                <w:rFonts w:ascii="Arial"/>
                <w:sz w:val="21"/>
              </w:rPr>
            </w:pPr>
          </w:p>
        </w:tc>
        <w:tc>
          <w:tcPr>
            <w:tcW w:w="639" w:type="dxa"/>
            <w:gridSpan w:val="2"/>
            <w:vMerge w:val="continue"/>
            <w:tcBorders>
              <w:top w:val="nil"/>
            </w:tcBorders>
            <w:vAlign w:val="top"/>
          </w:tcPr>
          <w:p w14:paraId="73ACC71F">
            <w:pPr>
              <w:rPr>
                <w:rFonts w:ascii="Arial"/>
                <w:sz w:val="21"/>
              </w:rPr>
            </w:pPr>
          </w:p>
        </w:tc>
        <w:tc>
          <w:tcPr>
            <w:tcW w:w="484" w:type="dxa"/>
            <w:vMerge w:val="continue"/>
            <w:tcBorders>
              <w:top w:val="nil"/>
            </w:tcBorders>
            <w:vAlign w:val="top"/>
          </w:tcPr>
          <w:p w14:paraId="087E73E7">
            <w:pPr>
              <w:rPr>
                <w:rFonts w:ascii="Arial"/>
                <w:sz w:val="21"/>
              </w:rPr>
            </w:pPr>
          </w:p>
        </w:tc>
        <w:tc>
          <w:tcPr>
            <w:tcW w:w="650" w:type="dxa"/>
            <w:vMerge w:val="continue"/>
            <w:tcBorders>
              <w:top w:val="nil"/>
            </w:tcBorders>
            <w:vAlign w:val="top"/>
          </w:tcPr>
          <w:p w14:paraId="7648B1A6">
            <w:pPr>
              <w:rPr>
                <w:rFonts w:ascii="Arial"/>
                <w:sz w:val="21"/>
              </w:rPr>
            </w:pPr>
          </w:p>
        </w:tc>
        <w:tc>
          <w:tcPr>
            <w:tcW w:w="706" w:type="dxa"/>
            <w:gridSpan w:val="2"/>
            <w:vAlign w:val="top"/>
          </w:tcPr>
          <w:p w14:paraId="11C0728E">
            <w:pPr>
              <w:pStyle w:val="6"/>
              <w:spacing w:before="80" w:line="268" w:lineRule="auto"/>
              <w:ind w:left="97" w:right="72" w:hanging="1"/>
              <w:rPr>
                <w:rFonts w:ascii="Times New Roman" w:hAnsi="Times New Roman" w:eastAsia="Times New Roman" w:cs="Times New Roman"/>
                <w:sz w:val="18"/>
                <w:szCs w:val="18"/>
              </w:rPr>
            </w:pPr>
            <w:r>
              <w:rPr>
                <w:b/>
                <w:bCs/>
                <w:spacing w:val="-5"/>
                <w:sz w:val="18"/>
                <w:szCs w:val="18"/>
              </w:rPr>
              <w:t>声压级</w:t>
            </w:r>
            <w:r>
              <w:rPr>
                <w:sz w:val="18"/>
                <w:szCs w:val="18"/>
              </w:rPr>
              <w:t xml:space="preserve"> </w:t>
            </w:r>
            <w:r>
              <w:rPr>
                <w:rFonts w:ascii="Times New Roman" w:hAnsi="Times New Roman" w:eastAsia="Times New Roman" w:cs="Times New Roman"/>
                <w:b/>
                <w:bCs/>
                <w:spacing w:val="-1"/>
                <w:sz w:val="18"/>
                <w:szCs w:val="18"/>
              </w:rPr>
              <w:t>/dB(A)</w:t>
            </w:r>
          </w:p>
        </w:tc>
        <w:tc>
          <w:tcPr>
            <w:tcW w:w="678" w:type="dxa"/>
            <w:gridSpan w:val="2"/>
            <w:tcBorders>
              <w:right w:val="single" w:color="000000" w:sz="8" w:space="0"/>
            </w:tcBorders>
            <w:vAlign w:val="top"/>
          </w:tcPr>
          <w:p w14:paraId="3E0FB2C2">
            <w:pPr>
              <w:pStyle w:val="6"/>
              <w:spacing w:before="80" w:line="220" w:lineRule="auto"/>
              <w:ind w:left="82"/>
              <w:rPr>
                <w:sz w:val="18"/>
                <w:szCs w:val="18"/>
              </w:rPr>
            </w:pPr>
            <w:r>
              <w:rPr>
                <w:b/>
                <w:bCs/>
                <w:spacing w:val="-4"/>
                <w:sz w:val="18"/>
                <w:szCs w:val="18"/>
              </w:rPr>
              <w:t>建筑物</w:t>
            </w:r>
          </w:p>
          <w:p w14:paraId="617D6E64">
            <w:pPr>
              <w:pStyle w:val="6"/>
              <w:spacing w:before="66" w:line="217" w:lineRule="auto"/>
              <w:ind w:left="83"/>
              <w:rPr>
                <w:sz w:val="18"/>
                <w:szCs w:val="18"/>
              </w:rPr>
            </w:pPr>
            <w:r>
              <w:rPr>
                <w:b/>
                <w:bCs/>
                <w:spacing w:val="-4"/>
                <w:sz w:val="18"/>
                <w:szCs w:val="18"/>
              </w:rPr>
              <w:t>外距离</w:t>
            </w:r>
          </w:p>
        </w:tc>
        <w:tc>
          <w:tcPr>
            <w:tcW w:w="107" w:type="dxa"/>
            <w:tcBorders>
              <w:left w:val="single" w:color="000000" w:sz="8" w:space="0"/>
              <w:right w:val="single" w:color="000000" w:sz="6" w:space="0"/>
            </w:tcBorders>
            <w:vAlign w:val="top"/>
          </w:tcPr>
          <w:p w14:paraId="7D916CF0">
            <w:pPr>
              <w:rPr>
                <w:rFonts w:ascii="Arial"/>
                <w:sz w:val="21"/>
              </w:rPr>
            </w:pPr>
          </w:p>
        </w:tc>
      </w:tr>
      <w:tr w14:paraId="6393B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50" w:type="dxa"/>
            <w:vMerge w:val="continue"/>
            <w:tcBorders>
              <w:top w:val="nil"/>
              <w:left w:val="single" w:color="000000" w:sz="6" w:space="0"/>
              <w:bottom w:val="nil"/>
            </w:tcBorders>
            <w:vAlign w:val="top"/>
          </w:tcPr>
          <w:p w14:paraId="558E08C2">
            <w:pPr>
              <w:rPr>
                <w:rFonts w:ascii="Arial"/>
                <w:sz w:val="21"/>
              </w:rPr>
            </w:pPr>
          </w:p>
        </w:tc>
        <w:tc>
          <w:tcPr>
            <w:tcW w:w="460" w:type="dxa"/>
            <w:gridSpan w:val="3"/>
            <w:vMerge w:val="restart"/>
            <w:tcBorders>
              <w:bottom w:val="nil"/>
            </w:tcBorders>
            <w:textDirection w:val="tbRlV"/>
            <w:vAlign w:val="top"/>
          </w:tcPr>
          <w:p w14:paraId="50A26A56">
            <w:pPr>
              <w:pStyle w:val="6"/>
              <w:spacing w:before="96" w:line="208" w:lineRule="auto"/>
              <w:ind w:left="1534"/>
              <w:rPr>
                <w:sz w:val="18"/>
                <w:szCs w:val="18"/>
              </w:rPr>
            </w:pPr>
            <w:r>
              <w:pict>
                <v:shape id="_x0000_s1064" o:spid="_x0000_s1064" style="position:absolute;left:0pt;margin-left:4.35pt;margin-top:0.35pt;height:188.3pt;width:0.5pt;mso-position-horizontal-relative:page;mso-position-vertical-relative:page;z-index:251700224;mso-width-relative:page;mso-height-relative:page;" fillcolor="#000000" filled="t" stroked="f" coordsize="10,3766" path="m0,280l9,280,9,0,0,0,0,280xem0,290l9,290,9,280,0,280,0,290xem0,571l9,571,9,290,0,290,0,571xem0,580l9,580,9,571,0,571,0,580xem0,865l9,865,9,580,0,580,0,865xem0,874l9,874,9,865,0,865,0,874xem0,1155l9,1155,9,874,0,874,0,1155xem0,1165l9,1165,9,1155,0,1155,0,1165xem0,1446l9,1446,9,1165,0,1165,0,1446xem0,1455l9,1455,9,1446,0,1446,0,1455xem0,1735l9,1735,9,1455,0,1455,0,1735xem0,1744l9,1744,9,1735,0,1735,0,1744xem0,2025l9,2025,9,1744,0,1744,0,2025xem0,2035l9,2035,9,2025,0,2025,0,2035xem0,2316l9,2316,9,2035,0,2035,0,2316xem0,2325l9,2325,9,2316,0,2316,0,2325xem0,2605l9,2605,9,2325,0,2325,0,2605xem0,2614l9,2614,9,2605,0,2605,0,2614xem0,2895l9,2895,9,2614,0,2614,0,2895xem0,2905l9,2905,9,2895,0,2895,0,2905xem0,3186l9,3186,9,2905,0,2905,0,3186xem0,3195l9,3195,9,3186,0,3186,0,3195xem0,3475l9,3475,9,3195,0,3195,0,3475xem0,3484l9,3484,9,3475,0,3475,0,3484xem0,3765l9,3765,9,3484,0,3484,0,3765xe">
                  <v:path/>
                  <v:fill on="t" focussize="0,0"/>
                  <v:stroke on="f"/>
                  <v:imagedata o:title=""/>
                  <o:lock v:ext="edit"/>
                </v:shape>
              </w:pict>
            </w:r>
            <w:r>
              <w:rPr>
                <w:sz w:val="18"/>
                <w:szCs w:val="18"/>
              </w:rPr>
              <w:t>生</w:t>
            </w:r>
            <w:r>
              <w:rPr>
                <w:spacing w:val="10"/>
                <w:sz w:val="18"/>
                <w:szCs w:val="18"/>
              </w:rPr>
              <w:t xml:space="preserve"> </w:t>
            </w:r>
            <w:r>
              <w:rPr>
                <w:sz w:val="18"/>
                <w:szCs w:val="18"/>
              </w:rPr>
              <w:t>产</w:t>
            </w:r>
            <w:r>
              <w:rPr>
                <w:spacing w:val="9"/>
                <w:sz w:val="18"/>
                <w:szCs w:val="18"/>
              </w:rPr>
              <w:t xml:space="preserve"> </w:t>
            </w:r>
            <w:r>
              <w:rPr>
                <w:sz w:val="18"/>
                <w:szCs w:val="18"/>
              </w:rPr>
              <w:t>区</w:t>
            </w:r>
          </w:p>
        </w:tc>
        <w:tc>
          <w:tcPr>
            <w:tcW w:w="522" w:type="dxa"/>
            <w:gridSpan w:val="2"/>
            <w:vMerge w:val="restart"/>
            <w:tcBorders>
              <w:bottom w:val="nil"/>
            </w:tcBorders>
            <w:vAlign w:val="top"/>
          </w:tcPr>
          <w:p w14:paraId="6887FBE4">
            <w:pPr>
              <w:spacing w:line="262" w:lineRule="auto"/>
              <w:rPr>
                <w:rFonts w:ascii="Arial"/>
                <w:sz w:val="21"/>
              </w:rPr>
            </w:pPr>
          </w:p>
          <w:p w14:paraId="58CA25BF">
            <w:pPr>
              <w:spacing w:line="262" w:lineRule="auto"/>
              <w:rPr>
                <w:rFonts w:ascii="Arial"/>
                <w:sz w:val="21"/>
              </w:rPr>
            </w:pPr>
          </w:p>
          <w:p w14:paraId="570CF942">
            <w:pPr>
              <w:spacing w:line="262" w:lineRule="auto"/>
              <w:rPr>
                <w:rFonts w:ascii="Arial"/>
                <w:sz w:val="21"/>
              </w:rPr>
            </w:pPr>
          </w:p>
          <w:p w14:paraId="11511DF7">
            <w:pPr>
              <w:spacing w:line="263" w:lineRule="auto"/>
              <w:rPr>
                <w:rFonts w:ascii="Arial"/>
                <w:sz w:val="21"/>
              </w:rPr>
            </w:pPr>
          </w:p>
          <w:p w14:paraId="648A2059">
            <w:pPr>
              <w:pStyle w:val="6"/>
              <w:spacing w:before="59" w:line="221" w:lineRule="auto"/>
              <w:ind w:left="83"/>
              <w:rPr>
                <w:sz w:val="18"/>
                <w:szCs w:val="18"/>
              </w:rPr>
            </w:pPr>
            <w:r>
              <w:rPr>
                <w:spacing w:val="-5"/>
                <w:sz w:val="18"/>
                <w:szCs w:val="18"/>
              </w:rPr>
              <w:t>一般</w:t>
            </w:r>
          </w:p>
          <w:p w14:paraId="3E72882B">
            <w:pPr>
              <w:pStyle w:val="6"/>
              <w:spacing w:before="65" w:line="232" w:lineRule="auto"/>
              <w:ind w:left="83"/>
              <w:rPr>
                <w:sz w:val="18"/>
                <w:szCs w:val="18"/>
              </w:rPr>
            </w:pPr>
            <w:r>
              <w:rPr>
                <w:spacing w:val="-3"/>
                <w:sz w:val="18"/>
                <w:szCs w:val="18"/>
              </w:rPr>
              <w:t>工业</w:t>
            </w:r>
          </w:p>
          <w:p w14:paraId="39B846B7">
            <w:pPr>
              <w:pStyle w:val="6"/>
              <w:spacing w:before="53" w:line="220" w:lineRule="auto"/>
              <w:ind w:left="96"/>
              <w:rPr>
                <w:sz w:val="18"/>
                <w:szCs w:val="18"/>
              </w:rPr>
            </w:pPr>
            <w:r>
              <w:rPr>
                <w:spacing w:val="-6"/>
                <w:sz w:val="18"/>
                <w:szCs w:val="18"/>
              </w:rPr>
              <w:t>固体</w:t>
            </w:r>
          </w:p>
          <w:p w14:paraId="5390CEAA">
            <w:pPr>
              <w:pStyle w:val="6"/>
              <w:spacing w:before="65" w:line="220" w:lineRule="auto"/>
              <w:ind w:left="80"/>
              <w:rPr>
                <w:sz w:val="18"/>
                <w:szCs w:val="18"/>
              </w:rPr>
            </w:pPr>
            <w:r>
              <w:rPr>
                <w:spacing w:val="-2"/>
                <w:sz w:val="18"/>
                <w:szCs w:val="18"/>
              </w:rPr>
              <w:t>废物</w:t>
            </w:r>
          </w:p>
          <w:p w14:paraId="452EC8B4">
            <w:pPr>
              <w:pStyle w:val="6"/>
              <w:spacing w:before="66" w:line="289" w:lineRule="auto"/>
              <w:ind w:left="172" w:right="82" w:hanging="90"/>
              <w:rPr>
                <w:sz w:val="18"/>
                <w:szCs w:val="18"/>
              </w:rPr>
            </w:pPr>
            <w:r>
              <w:rPr>
                <w:spacing w:val="-5"/>
                <w:sz w:val="18"/>
                <w:szCs w:val="18"/>
              </w:rPr>
              <w:t>生产</w:t>
            </w:r>
            <w:r>
              <w:rPr>
                <w:sz w:val="18"/>
                <w:szCs w:val="18"/>
              </w:rPr>
              <w:t xml:space="preserve"> 线</w:t>
            </w:r>
          </w:p>
        </w:tc>
        <w:tc>
          <w:tcPr>
            <w:tcW w:w="789" w:type="dxa"/>
            <w:vAlign w:val="top"/>
          </w:tcPr>
          <w:p w14:paraId="51FEA873">
            <w:pPr>
              <w:pStyle w:val="6"/>
              <w:spacing w:before="53" w:line="219" w:lineRule="auto"/>
              <w:ind w:left="125"/>
              <w:rPr>
                <w:sz w:val="18"/>
                <w:szCs w:val="18"/>
              </w:rPr>
            </w:pPr>
            <w:r>
              <w:rPr>
                <w:spacing w:val="-2"/>
                <w:sz w:val="18"/>
                <w:szCs w:val="18"/>
              </w:rPr>
              <w:t>装载机</w:t>
            </w:r>
          </w:p>
        </w:tc>
        <w:tc>
          <w:tcPr>
            <w:tcW w:w="652" w:type="dxa"/>
            <w:gridSpan w:val="2"/>
            <w:vAlign w:val="top"/>
          </w:tcPr>
          <w:p w14:paraId="69500DC8">
            <w:pPr>
              <w:spacing w:before="81" w:line="224" w:lineRule="auto"/>
              <w:ind w:left="24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80</w:t>
            </w:r>
          </w:p>
        </w:tc>
        <w:tc>
          <w:tcPr>
            <w:tcW w:w="683" w:type="dxa"/>
            <w:vMerge w:val="restart"/>
            <w:tcBorders>
              <w:bottom w:val="nil"/>
            </w:tcBorders>
            <w:vAlign w:val="top"/>
          </w:tcPr>
          <w:p w14:paraId="326E15C4">
            <w:pPr>
              <w:spacing w:line="297" w:lineRule="auto"/>
              <w:rPr>
                <w:rFonts w:ascii="Arial"/>
                <w:sz w:val="21"/>
              </w:rPr>
            </w:pPr>
          </w:p>
          <w:p w14:paraId="0B49EF0B">
            <w:pPr>
              <w:spacing w:line="297" w:lineRule="auto"/>
              <w:rPr>
                <w:rFonts w:ascii="Arial"/>
                <w:sz w:val="21"/>
              </w:rPr>
            </w:pPr>
          </w:p>
          <w:p w14:paraId="5E842A5F">
            <w:pPr>
              <w:spacing w:line="297" w:lineRule="auto"/>
              <w:rPr>
                <w:rFonts w:ascii="Arial"/>
                <w:sz w:val="21"/>
              </w:rPr>
            </w:pPr>
          </w:p>
          <w:p w14:paraId="00DFA0BA">
            <w:pPr>
              <w:spacing w:line="297" w:lineRule="auto"/>
              <w:rPr>
                <w:rFonts w:ascii="Arial"/>
                <w:sz w:val="21"/>
              </w:rPr>
            </w:pPr>
          </w:p>
          <w:p w14:paraId="5F8EFC64">
            <w:pPr>
              <w:pStyle w:val="6"/>
              <w:spacing w:before="59" w:line="220" w:lineRule="auto"/>
              <w:ind w:left="73"/>
              <w:rPr>
                <w:sz w:val="18"/>
                <w:szCs w:val="18"/>
              </w:rPr>
            </w:pPr>
            <w:r>
              <w:rPr>
                <w:spacing w:val="-2"/>
                <w:sz w:val="18"/>
                <w:szCs w:val="18"/>
              </w:rPr>
              <w:t>优选设</w:t>
            </w:r>
          </w:p>
          <w:p w14:paraId="41150F7B">
            <w:pPr>
              <w:pStyle w:val="6"/>
              <w:spacing w:before="66" w:line="287" w:lineRule="auto"/>
              <w:ind w:left="75" w:right="70"/>
              <w:jc w:val="both"/>
              <w:rPr>
                <w:sz w:val="18"/>
                <w:szCs w:val="18"/>
              </w:rPr>
            </w:pPr>
            <w:r>
              <w:rPr>
                <w:spacing w:val="-4"/>
                <w:sz w:val="18"/>
                <w:szCs w:val="18"/>
              </w:rPr>
              <w:t>备、基</w:t>
            </w:r>
            <w:r>
              <w:rPr>
                <w:spacing w:val="1"/>
                <w:sz w:val="18"/>
                <w:szCs w:val="18"/>
              </w:rPr>
              <w:t xml:space="preserve"> </w:t>
            </w:r>
            <w:r>
              <w:rPr>
                <w:spacing w:val="40"/>
                <w:sz w:val="18"/>
                <w:szCs w:val="18"/>
              </w:rPr>
              <w:t>础减</w:t>
            </w:r>
            <w:r>
              <w:rPr>
                <w:sz w:val="18"/>
                <w:szCs w:val="18"/>
              </w:rPr>
              <w:t xml:space="preserve">  </w:t>
            </w:r>
            <w:r>
              <w:rPr>
                <w:spacing w:val="-3"/>
                <w:sz w:val="18"/>
                <w:szCs w:val="18"/>
              </w:rPr>
              <w:t>震、建</w:t>
            </w:r>
          </w:p>
          <w:p w14:paraId="380EF77F">
            <w:pPr>
              <w:pStyle w:val="6"/>
              <w:spacing w:line="220" w:lineRule="auto"/>
              <w:ind w:left="75"/>
              <w:rPr>
                <w:sz w:val="18"/>
                <w:szCs w:val="18"/>
              </w:rPr>
            </w:pPr>
            <w:r>
              <w:rPr>
                <w:spacing w:val="-2"/>
                <w:sz w:val="18"/>
                <w:szCs w:val="18"/>
              </w:rPr>
              <w:t>筑隔声</w:t>
            </w:r>
          </w:p>
        </w:tc>
        <w:tc>
          <w:tcPr>
            <w:tcW w:w="1308" w:type="dxa"/>
            <w:gridSpan w:val="2"/>
            <w:vAlign w:val="top"/>
          </w:tcPr>
          <w:p w14:paraId="6D95D513">
            <w:pPr>
              <w:spacing w:before="103" w:line="199"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-16.92,</w:t>
            </w:r>
            <w:r>
              <w:rPr>
                <w:rFonts w:ascii="Times New Roman" w:hAnsi="Times New Roman" w:eastAsia="Times New Roman" w:cs="Times New Roman"/>
                <w:spacing w:val="28"/>
                <w:w w:val="101"/>
                <w:sz w:val="18"/>
                <w:szCs w:val="18"/>
              </w:rPr>
              <w:t xml:space="preserve"> </w:t>
            </w:r>
            <w:r>
              <w:rPr>
                <w:rFonts w:ascii="Times New Roman" w:hAnsi="Times New Roman" w:eastAsia="Times New Roman" w:cs="Times New Roman"/>
                <w:spacing w:val="-2"/>
                <w:sz w:val="18"/>
                <w:szCs w:val="18"/>
              </w:rPr>
              <w:t>36.29,0</w:t>
            </w:r>
          </w:p>
        </w:tc>
        <w:tc>
          <w:tcPr>
            <w:tcW w:w="485" w:type="dxa"/>
            <w:vAlign w:val="top"/>
          </w:tcPr>
          <w:p w14:paraId="2FE0948A">
            <w:pPr>
              <w:spacing w:before="103" w:line="199" w:lineRule="auto"/>
              <w:ind w:left="17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tc>
        <w:tc>
          <w:tcPr>
            <w:tcW w:w="639" w:type="dxa"/>
            <w:gridSpan w:val="2"/>
            <w:vAlign w:val="top"/>
          </w:tcPr>
          <w:p w14:paraId="070B4B88">
            <w:pPr>
              <w:spacing w:before="103" w:line="199" w:lineRule="auto"/>
              <w:ind w:left="17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60.0</w:t>
            </w:r>
          </w:p>
        </w:tc>
        <w:tc>
          <w:tcPr>
            <w:tcW w:w="484" w:type="dxa"/>
            <w:vMerge w:val="restart"/>
            <w:tcBorders>
              <w:bottom w:val="nil"/>
            </w:tcBorders>
            <w:vAlign w:val="top"/>
          </w:tcPr>
          <w:p w14:paraId="4AB1BFFC">
            <w:pPr>
              <w:spacing w:line="267" w:lineRule="auto"/>
              <w:rPr>
                <w:rFonts w:ascii="Arial"/>
                <w:sz w:val="21"/>
              </w:rPr>
            </w:pPr>
          </w:p>
          <w:p w14:paraId="77927C47">
            <w:pPr>
              <w:spacing w:line="267" w:lineRule="auto"/>
              <w:rPr>
                <w:rFonts w:ascii="Arial"/>
                <w:sz w:val="21"/>
              </w:rPr>
            </w:pPr>
          </w:p>
          <w:p w14:paraId="72F4231D">
            <w:pPr>
              <w:spacing w:line="267" w:lineRule="auto"/>
              <w:rPr>
                <w:rFonts w:ascii="Arial"/>
                <w:sz w:val="21"/>
              </w:rPr>
            </w:pPr>
          </w:p>
          <w:p w14:paraId="048F00DB">
            <w:pPr>
              <w:spacing w:line="268" w:lineRule="auto"/>
              <w:rPr>
                <w:rFonts w:ascii="Arial"/>
                <w:sz w:val="21"/>
              </w:rPr>
            </w:pPr>
          </w:p>
          <w:p w14:paraId="1C84D62B">
            <w:pPr>
              <w:spacing w:line="268" w:lineRule="auto"/>
              <w:rPr>
                <w:rFonts w:ascii="Arial"/>
                <w:sz w:val="21"/>
              </w:rPr>
            </w:pPr>
          </w:p>
          <w:p w14:paraId="04B60866">
            <w:pPr>
              <w:spacing w:line="268" w:lineRule="auto"/>
              <w:rPr>
                <w:rFonts w:ascii="Arial"/>
                <w:sz w:val="21"/>
              </w:rPr>
            </w:pPr>
          </w:p>
          <w:p w14:paraId="2ADCBF7A">
            <w:pPr>
              <w:pStyle w:val="6"/>
              <w:spacing w:before="59" w:line="330" w:lineRule="auto"/>
              <w:ind w:left="128" w:right="56" w:hanging="59"/>
              <w:rPr>
                <w:rFonts w:ascii="Times New Roman" w:hAnsi="Times New Roman" w:eastAsia="Times New Roman" w:cs="Times New Roman"/>
                <w:sz w:val="18"/>
                <w:szCs w:val="18"/>
              </w:rPr>
            </w:pPr>
            <w:r>
              <w:rPr>
                <w:spacing w:val="-4"/>
                <w:sz w:val="18"/>
                <w:szCs w:val="18"/>
              </w:rPr>
              <w:t>昼间</w:t>
            </w:r>
            <w:r>
              <w:rPr>
                <w:sz w:val="18"/>
                <w:szCs w:val="18"/>
              </w:rPr>
              <w:t xml:space="preserve"> </w:t>
            </w:r>
            <w:r>
              <w:rPr>
                <w:rFonts w:ascii="Times New Roman" w:hAnsi="Times New Roman" w:eastAsia="Times New Roman" w:cs="Times New Roman"/>
                <w:spacing w:val="-5"/>
                <w:sz w:val="18"/>
                <w:szCs w:val="18"/>
              </w:rPr>
              <w:t>10h</w:t>
            </w:r>
          </w:p>
        </w:tc>
        <w:tc>
          <w:tcPr>
            <w:tcW w:w="650" w:type="dxa"/>
            <w:vAlign w:val="top"/>
          </w:tcPr>
          <w:p w14:paraId="6FD68594">
            <w:pPr>
              <w:spacing w:before="103" w:line="199" w:lineRule="auto"/>
              <w:ind w:left="24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p>
        </w:tc>
        <w:tc>
          <w:tcPr>
            <w:tcW w:w="706" w:type="dxa"/>
            <w:gridSpan w:val="2"/>
            <w:vAlign w:val="top"/>
          </w:tcPr>
          <w:p w14:paraId="3A27E174">
            <w:pPr>
              <w:spacing w:before="103" w:line="199" w:lineRule="auto"/>
              <w:ind w:left="27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34</w:t>
            </w:r>
          </w:p>
        </w:tc>
        <w:tc>
          <w:tcPr>
            <w:tcW w:w="678" w:type="dxa"/>
            <w:gridSpan w:val="2"/>
            <w:tcBorders>
              <w:right w:val="single" w:color="000000" w:sz="8" w:space="0"/>
            </w:tcBorders>
            <w:vAlign w:val="top"/>
          </w:tcPr>
          <w:p w14:paraId="466783C0">
            <w:pPr>
              <w:spacing w:before="103" w:line="199" w:lineRule="auto"/>
              <w:ind w:left="319"/>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07" w:type="dxa"/>
            <w:tcBorders>
              <w:left w:val="single" w:color="000000" w:sz="8" w:space="0"/>
              <w:right w:val="single" w:color="000000" w:sz="6" w:space="0"/>
            </w:tcBorders>
            <w:vAlign w:val="top"/>
          </w:tcPr>
          <w:p w14:paraId="015DACA0">
            <w:pPr>
              <w:rPr>
                <w:rFonts w:ascii="Arial"/>
                <w:sz w:val="21"/>
              </w:rPr>
            </w:pPr>
          </w:p>
        </w:tc>
      </w:tr>
      <w:tr w14:paraId="67A52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50" w:type="dxa"/>
            <w:vMerge w:val="continue"/>
            <w:tcBorders>
              <w:top w:val="nil"/>
              <w:left w:val="single" w:color="000000" w:sz="6" w:space="0"/>
              <w:bottom w:val="nil"/>
            </w:tcBorders>
            <w:vAlign w:val="top"/>
          </w:tcPr>
          <w:p w14:paraId="36CCB033">
            <w:pPr>
              <w:rPr>
                <w:rFonts w:ascii="Arial"/>
                <w:sz w:val="21"/>
              </w:rPr>
            </w:pPr>
          </w:p>
        </w:tc>
        <w:tc>
          <w:tcPr>
            <w:tcW w:w="460" w:type="dxa"/>
            <w:gridSpan w:val="3"/>
            <w:vMerge w:val="continue"/>
            <w:tcBorders>
              <w:top w:val="nil"/>
              <w:bottom w:val="nil"/>
            </w:tcBorders>
            <w:textDirection w:val="tbRlV"/>
            <w:vAlign w:val="top"/>
          </w:tcPr>
          <w:p w14:paraId="2B39AA7F">
            <w:pPr>
              <w:rPr>
                <w:rFonts w:ascii="Arial"/>
                <w:sz w:val="21"/>
              </w:rPr>
            </w:pPr>
          </w:p>
        </w:tc>
        <w:tc>
          <w:tcPr>
            <w:tcW w:w="522" w:type="dxa"/>
            <w:gridSpan w:val="2"/>
            <w:vMerge w:val="continue"/>
            <w:tcBorders>
              <w:top w:val="nil"/>
              <w:bottom w:val="nil"/>
            </w:tcBorders>
            <w:vAlign w:val="top"/>
          </w:tcPr>
          <w:p w14:paraId="36ACA0E1">
            <w:pPr>
              <w:rPr>
                <w:rFonts w:ascii="Arial"/>
                <w:sz w:val="21"/>
              </w:rPr>
            </w:pPr>
          </w:p>
        </w:tc>
        <w:tc>
          <w:tcPr>
            <w:tcW w:w="789" w:type="dxa"/>
            <w:vAlign w:val="top"/>
          </w:tcPr>
          <w:p w14:paraId="3EE1F94D">
            <w:pPr>
              <w:pStyle w:val="6"/>
              <w:spacing w:before="57" w:line="220" w:lineRule="auto"/>
              <w:ind w:left="216"/>
              <w:rPr>
                <w:sz w:val="18"/>
                <w:szCs w:val="18"/>
              </w:rPr>
            </w:pPr>
            <w:r>
              <w:rPr>
                <w:spacing w:val="-3"/>
                <w:sz w:val="18"/>
                <w:szCs w:val="18"/>
              </w:rPr>
              <w:t>叉车</w:t>
            </w:r>
          </w:p>
        </w:tc>
        <w:tc>
          <w:tcPr>
            <w:tcW w:w="652" w:type="dxa"/>
            <w:gridSpan w:val="2"/>
            <w:vAlign w:val="top"/>
          </w:tcPr>
          <w:p w14:paraId="45D92FF6">
            <w:pPr>
              <w:spacing w:before="80" w:line="225" w:lineRule="auto"/>
              <w:ind w:left="23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75</w:t>
            </w:r>
          </w:p>
        </w:tc>
        <w:tc>
          <w:tcPr>
            <w:tcW w:w="683" w:type="dxa"/>
            <w:vMerge w:val="continue"/>
            <w:tcBorders>
              <w:top w:val="nil"/>
              <w:bottom w:val="nil"/>
            </w:tcBorders>
            <w:vAlign w:val="top"/>
          </w:tcPr>
          <w:p w14:paraId="58F4170D">
            <w:pPr>
              <w:rPr>
                <w:rFonts w:ascii="Arial"/>
                <w:sz w:val="21"/>
              </w:rPr>
            </w:pPr>
          </w:p>
        </w:tc>
        <w:tc>
          <w:tcPr>
            <w:tcW w:w="1308" w:type="dxa"/>
            <w:gridSpan w:val="2"/>
            <w:vAlign w:val="top"/>
          </w:tcPr>
          <w:p w14:paraId="3B27E604">
            <w:pPr>
              <w:spacing w:before="102" w:line="200"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-14.82,</w:t>
            </w:r>
            <w:r>
              <w:rPr>
                <w:rFonts w:ascii="Times New Roman" w:hAnsi="Times New Roman" w:eastAsia="Times New Roman" w:cs="Times New Roman"/>
                <w:spacing w:val="15"/>
                <w:sz w:val="18"/>
                <w:szCs w:val="18"/>
              </w:rPr>
              <w:t xml:space="preserve"> </w:t>
            </w:r>
            <w:r>
              <w:rPr>
                <w:rFonts w:ascii="Times New Roman" w:hAnsi="Times New Roman" w:eastAsia="Times New Roman" w:cs="Times New Roman"/>
                <w:spacing w:val="-1"/>
                <w:sz w:val="18"/>
                <w:szCs w:val="18"/>
              </w:rPr>
              <w:t>71.99,0</w:t>
            </w:r>
          </w:p>
        </w:tc>
        <w:tc>
          <w:tcPr>
            <w:tcW w:w="485" w:type="dxa"/>
            <w:vAlign w:val="top"/>
          </w:tcPr>
          <w:p w14:paraId="2002ABEE">
            <w:pPr>
              <w:spacing w:before="102" w:line="200" w:lineRule="auto"/>
              <w:ind w:left="17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13</w:t>
            </w:r>
          </w:p>
        </w:tc>
        <w:tc>
          <w:tcPr>
            <w:tcW w:w="639" w:type="dxa"/>
            <w:gridSpan w:val="2"/>
            <w:vAlign w:val="top"/>
          </w:tcPr>
          <w:p w14:paraId="05E8720B">
            <w:pPr>
              <w:spacing w:before="102" w:line="200" w:lineRule="auto"/>
              <w:ind w:left="17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52.7</w:t>
            </w:r>
          </w:p>
        </w:tc>
        <w:tc>
          <w:tcPr>
            <w:tcW w:w="484" w:type="dxa"/>
            <w:vMerge w:val="continue"/>
            <w:tcBorders>
              <w:top w:val="nil"/>
              <w:bottom w:val="nil"/>
            </w:tcBorders>
            <w:vAlign w:val="top"/>
          </w:tcPr>
          <w:p w14:paraId="54F70659">
            <w:pPr>
              <w:rPr>
                <w:rFonts w:ascii="Arial"/>
                <w:sz w:val="21"/>
              </w:rPr>
            </w:pPr>
          </w:p>
        </w:tc>
        <w:tc>
          <w:tcPr>
            <w:tcW w:w="650" w:type="dxa"/>
            <w:vAlign w:val="top"/>
          </w:tcPr>
          <w:p w14:paraId="78380903">
            <w:pPr>
              <w:spacing w:before="102" w:line="200" w:lineRule="auto"/>
              <w:ind w:left="24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p>
        </w:tc>
        <w:tc>
          <w:tcPr>
            <w:tcW w:w="706" w:type="dxa"/>
            <w:gridSpan w:val="2"/>
            <w:vAlign w:val="top"/>
          </w:tcPr>
          <w:p w14:paraId="2426A8B7">
            <w:pPr>
              <w:spacing w:before="102" w:line="200" w:lineRule="auto"/>
              <w:ind w:left="27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w:t>
            </w:r>
          </w:p>
        </w:tc>
        <w:tc>
          <w:tcPr>
            <w:tcW w:w="678" w:type="dxa"/>
            <w:gridSpan w:val="2"/>
            <w:tcBorders>
              <w:right w:val="single" w:color="000000" w:sz="8" w:space="0"/>
            </w:tcBorders>
            <w:vAlign w:val="top"/>
          </w:tcPr>
          <w:p w14:paraId="575DD74D">
            <w:pPr>
              <w:spacing w:before="102" w:line="200" w:lineRule="auto"/>
              <w:ind w:left="319"/>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07" w:type="dxa"/>
            <w:tcBorders>
              <w:left w:val="single" w:color="000000" w:sz="8" w:space="0"/>
              <w:right w:val="single" w:color="000000" w:sz="6" w:space="0"/>
            </w:tcBorders>
            <w:vAlign w:val="top"/>
          </w:tcPr>
          <w:p w14:paraId="294FEC15">
            <w:pPr>
              <w:rPr>
                <w:rFonts w:ascii="Arial"/>
                <w:sz w:val="21"/>
              </w:rPr>
            </w:pPr>
          </w:p>
        </w:tc>
      </w:tr>
      <w:tr w14:paraId="533FE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750" w:type="dxa"/>
            <w:vMerge w:val="continue"/>
            <w:tcBorders>
              <w:top w:val="nil"/>
              <w:left w:val="single" w:color="000000" w:sz="6" w:space="0"/>
              <w:bottom w:val="nil"/>
            </w:tcBorders>
            <w:vAlign w:val="top"/>
          </w:tcPr>
          <w:p w14:paraId="62E991E9">
            <w:pPr>
              <w:rPr>
                <w:rFonts w:ascii="Arial"/>
                <w:sz w:val="21"/>
              </w:rPr>
            </w:pPr>
          </w:p>
        </w:tc>
        <w:tc>
          <w:tcPr>
            <w:tcW w:w="460" w:type="dxa"/>
            <w:gridSpan w:val="3"/>
            <w:vMerge w:val="continue"/>
            <w:tcBorders>
              <w:top w:val="nil"/>
              <w:bottom w:val="nil"/>
            </w:tcBorders>
            <w:textDirection w:val="tbRlV"/>
            <w:vAlign w:val="top"/>
          </w:tcPr>
          <w:p w14:paraId="5177CE57">
            <w:pPr>
              <w:rPr>
                <w:rFonts w:ascii="Arial"/>
                <w:sz w:val="21"/>
              </w:rPr>
            </w:pPr>
          </w:p>
        </w:tc>
        <w:tc>
          <w:tcPr>
            <w:tcW w:w="522" w:type="dxa"/>
            <w:gridSpan w:val="2"/>
            <w:vMerge w:val="continue"/>
            <w:tcBorders>
              <w:top w:val="nil"/>
              <w:bottom w:val="nil"/>
            </w:tcBorders>
            <w:vAlign w:val="top"/>
          </w:tcPr>
          <w:p w14:paraId="1B620E66">
            <w:pPr>
              <w:rPr>
                <w:rFonts w:ascii="Arial"/>
                <w:sz w:val="21"/>
              </w:rPr>
            </w:pPr>
          </w:p>
        </w:tc>
        <w:tc>
          <w:tcPr>
            <w:tcW w:w="789" w:type="dxa"/>
            <w:vAlign w:val="top"/>
          </w:tcPr>
          <w:p w14:paraId="29EE0684">
            <w:pPr>
              <w:pStyle w:val="6"/>
              <w:spacing w:before="55" w:line="219" w:lineRule="auto"/>
              <w:ind w:left="136"/>
              <w:rPr>
                <w:sz w:val="18"/>
                <w:szCs w:val="18"/>
              </w:rPr>
            </w:pPr>
            <w:r>
              <w:rPr>
                <w:spacing w:val="-7"/>
                <w:sz w:val="18"/>
                <w:szCs w:val="18"/>
              </w:rPr>
              <w:t>削片机</w:t>
            </w:r>
          </w:p>
        </w:tc>
        <w:tc>
          <w:tcPr>
            <w:tcW w:w="652" w:type="dxa"/>
            <w:gridSpan w:val="2"/>
            <w:vAlign w:val="top"/>
          </w:tcPr>
          <w:p w14:paraId="016100EF">
            <w:pPr>
              <w:spacing w:before="83" w:line="227" w:lineRule="auto"/>
              <w:ind w:left="24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85</w:t>
            </w:r>
          </w:p>
        </w:tc>
        <w:tc>
          <w:tcPr>
            <w:tcW w:w="683" w:type="dxa"/>
            <w:vMerge w:val="continue"/>
            <w:tcBorders>
              <w:top w:val="nil"/>
              <w:bottom w:val="nil"/>
            </w:tcBorders>
            <w:vAlign w:val="top"/>
          </w:tcPr>
          <w:p w14:paraId="7E6C33D6">
            <w:pPr>
              <w:rPr>
                <w:rFonts w:ascii="Arial"/>
                <w:sz w:val="21"/>
              </w:rPr>
            </w:pPr>
          </w:p>
        </w:tc>
        <w:tc>
          <w:tcPr>
            <w:tcW w:w="1308" w:type="dxa"/>
            <w:gridSpan w:val="2"/>
            <w:vAlign w:val="top"/>
          </w:tcPr>
          <w:p w14:paraId="5810B42F">
            <w:pPr>
              <w:spacing w:before="105" w:line="200" w:lineRule="auto"/>
              <w:ind w:left="18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3.77,</w:t>
            </w:r>
            <w:r>
              <w:rPr>
                <w:rFonts w:ascii="Times New Roman" w:hAnsi="Times New Roman" w:eastAsia="Times New Roman" w:cs="Times New Roman"/>
                <w:spacing w:val="12"/>
                <w:w w:val="101"/>
                <w:sz w:val="18"/>
                <w:szCs w:val="18"/>
              </w:rPr>
              <w:t xml:space="preserve"> </w:t>
            </w:r>
            <w:r>
              <w:rPr>
                <w:rFonts w:ascii="Times New Roman" w:hAnsi="Times New Roman" w:eastAsia="Times New Roman" w:cs="Times New Roman"/>
                <w:spacing w:val="-1"/>
                <w:sz w:val="18"/>
                <w:szCs w:val="18"/>
              </w:rPr>
              <w:t>20.09,1</w:t>
            </w:r>
          </w:p>
        </w:tc>
        <w:tc>
          <w:tcPr>
            <w:tcW w:w="485" w:type="dxa"/>
            <w:vAlign w:val="top"/>
          </w:tcPr>
          <w:p w14:paraId="61AE68AF">
            <w:pPr>
              <w:spacing w:before="104" w:line="202" w:lineRule="auto"/>
              <w:ind w:left="20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639" w:type="dxa"/>
            <w:gridSpan w:val="2"/>
            <w:vAlign w:val="top"/>
          </w:tcPr>
          <w:p w14:paraId="6D22D8A0">
            <w:pPr>
              <w:spacing w:before="104" w:line="202" w:lineRule="auto"/>
              <w:ind w:left="16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79.0</w:t>
            </w:r>
          </w:p>
        </w:tc>
        <w:tc>
          <w:tcPr>
            <w:tcW w:w="484" w:type="dxa"/>
            <w:vMerge w:val="continue"/>
            <w:tcBorders>
              <w:top w:val="nil"/>
              <w:bottom w:val="nil"/>
            </w:tcBorders>
            <w:vAlign w:val="top"/>
          </w:tcPr>
          <w:p w14:paraId="4E0413ED">
            <w:pPr>
              <w:rPr>
                <w:rFonts w:ascii="Arial"/>
                <w:sz w:val="21"/>
              </w:rPr>
            </w:pPr>
          </w:p>
        </w:tc>
        <w:tc>
          <w:tcPr>
            <w:tcW w:w="650" w:type="dxa"/>
            <w:vAlign w:val="top"/>
          </w:tcPr>
          <w:p w14:paraId="3EF8058C">
            <w:pPr>
              <w:spacing w:before="104" w:line="202" w:lineRule="auto"/>
              <w:ind w:left="24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p>
        </w:tc>
        <w:tc>
          <w:tcPr>
            <w:tcW w:w="706" w:type="dxa"/>
            <w:gridSpan w:val="2"/>
            <w:vAlign w:val="top"/>
          </w:tcPr>
          <w:p w14:paraId="566342AC">
            <w:pPr>
              <w:spacing w:before="107" w:line="199" w:lineRule="auto"/>
              <w:ind w:left="27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53</w:t>
            </w:r>
          </w:p>
        </w:tc>
        <w:tc>
          <w:tcPr>
            <w:tcW w:w="678" w:type="dxa"/>
            <w:gridSpan w:val="2"/>
            <w:tcBorders>
              <w:right w:val="single" w:color="000000" w:sz="8" w:space="0"/>
            </w:tcBorders>
            <w:vAlign w:val="top"/>
          </w:tcPr>
          <w:p w14:paraId="48E6946B">
            <w:pPr>
              <w:spacing w:before="104" w:line="202" w:lineRule="auto"/>
              <w:ind w:left="319"/>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07" w:type="dxa"/>
            <w:tcBorders>
              <w:left w:val="single" w:color="000000" w:sz="8" w:space="0"/>
              <w:right w:val="single" w:color="000000" w:sz="6" w:space="0"/>
            </w:tcBorders>
            <w:vAlign w:val="top"/>
          </w:tcPr>
          <w:p w14:paraId="0D6F161A">
            <w:pPr>
              <w:rPr>
                <w:rFonts w:ascii="Arial"/>
                <w:sz w:val="21"/>
              </w:rPr>
            </w:pPr>
          </w:p>
        </w:tc>
      </w:tr>
      <w:tr w14:paraId="69024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50" w:type="dxa"/>
            <w:vMerge w:val="continue"/>
            <w:tcBorders>
              <w:top w:val="nil"/>
              <w:left w:val="single" w:color="000000" w:sz="6" w:space="0"/>
              <w:bottom w:val="nil"/>
            </w:tcBorders>
            <w:vAlign w:val="top"/>
          </w:tcPr>
          <w:p w14:paraId="0F9DBBCD">
            <w:pPr>
              <w:rPr>
                <w:rFonts w:ascii="Arial"/>
                <w:sz w:val="21"/>
              </w:rPr>
            </w:pPr>
          </w:p>
        </w:tc>
        <w:tc>
          <w:tcPr>
            <w:tcW w:w="460" w:type="dxa"/>
            <w:gridSpan w:val="3"/>
            <w:vMerge w:val="continue"/>
            <w:tcBorders>
              <w:top w:val="nil"/>
              <w:bottom w:val="nil"/>
            </w:tcBorders>
            <w:textDirection w:val="tbRlV"/>
            <w:vAlign w:val="top"/>
          </w:tcPr>
          <w:p w14:paraId="12050C13">
            <w:pPr>
              <w:rPr>
                <w:rFonts w:ascii="Arial"/>
                <w:sz w:val="21"/>
              </w:rPr>
            </w:pPr>
          </w:p>
        </w:tc>
        <w:tc>
          <w:tcPr>
            <w:tcW w:w="522" w:type="dxa"/>
            <w:gridSpan w:val="2"/>
            <w:vMerge w:val="continue"/>
            <w:tcBorders>
              <w:top w:val="nil"/>
              <w:bottom w:val="nil"/>
            </w:tcBorders>
            <w:vAlign w:val="top"/>
          </w:tcPr>
          <w:p w14:paraId="6917B713">
            <w:pPr>
              <w:rPr>
                <w:rFonts w:ascii="Arial"/>
                <w:sz w:val="21"/>
              </w:rPr>
            </w:pPr>
          </w:p>
        </w:tc>
        <w:tc>
          <w:tcPr>
            <w:tcW w:w="789" w:type="dxa"/>
            <w:vAlign w:val="top"/>
          </w:tcPr>
          <w:p w14:paraId="5553D616">
            <w:pPr>
              <w:pStyle w:val="6"/>
              <w:spacing w:before="54" w:line="219" w:lineRule="auto"/>
              <w:ind w:left="126"/>
              <w:rPr>
                <w:sz w:val="18"/>
                <w:szCs w:val="18"/>
              </w:rPr>
            </w:pPr>
            <w:r>
              <w:rPr>
                <w:spacing w:val="-2"/>
                <w:sz w:val="18"/>
                <w:szCs w:val="18"/>
              </w:rPr>
              <w:t>给料机</w:t>
            </w:r>
          </w:p>
        </w:tc>
        <w:tc>
          <w:tcPr>
            <w:tcW w:w="652" w:type="dxa"/>
            <w:gridSpan w:val="2"/>
            <w:vAlign w:val="top"/>
          </w:tcPr>
          <w:p w14:paraId="6F1B2CD2">
            <w:pPr>
              <w:spacing w:before="82" w:line="223" w:lineRule="auto"/>
              <w:ind w:left="24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80</w:t>
            </w:r>
          </w:p>
        </w:tc>
        <w:tc>
          <w:tcPr>
            <w:tcW w:w="683" w:type="dxa"/>
            <w:vMerge w:val="continue"/>
            <w:tcBorders>
              <w:top w:val="nil"/>
              <w:bottom w:val="nil"/>
            </w:tcBorders>
            <w:vAlign w:val="top"/>
          </w:tcPr>
          <w:p w14:paraId="485FF175">
            <w:pPr>
              <w:rPr>
                <w:rFonts w:ascii="Arial"/>
                <w:sz w:val="21"/>
              </w:rPr>
            </w:pPr>
          </w:p>
        </w:tc>
        <w:tc>
          <w:tcPr>
            <w:tcW w:w="1308" w:type="dxa"/>
            <w:gridSpan w:val="2"/>
            <w:vAlign w:val="top"/>
          </w:tcPr>
          <w:p w14:paraId="5519EC2A">
            <w:pPr>
              <w:spacing w:before="104" w:line="198" w:lineRule="auto"/>
              <w:ind w:left="15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-5.82,</w:t>
            </w:r>
            <w:r>
              <w:rPr>
                <w:rFonts w:ascii="Times New Roman" w:hAnsi="Times New Roman" w:eastAsia="Times New Roman" w:cs="Times New Roman"/>
                <w:spacing w:val="26"/>
                <w:w w:val="101"/>
                <w:sz w:val="18"/>
                <w:szCs w:val="18"/>
              </w:rPr>
              <w:t xml:space="preserve"> </w:t>
            </w:r>
            <w:r>
              <w:rPr>
                <w:rFonts w:ascii="Times New Roman" w:hAnsi="Times New Roman" w:eastAsia="Times New Roman" w:cs="Times New Roman"/>
                <w:spacing w:val="-2"/>
                <w:sz w:val="18"/>
                <w:szCs w:val="18"/>
              </w:rPr>
              <w:t>56.99,3</w:t>
            </w:r>
          </w:p>
        </w:tc>
        <w:tc>
          <w:tcPr>
            <w:tcW w:w="485" w:type="dxa"/>
            <w:vAlign w:val="top"/>
          </w:tcPr>
          <w:p w14:paraId="01E63E1C">
            <w:pPr>
              <w:spacing w:before="104" w:line="198" w:lineRule="auto"/>
              <w:ind w:left="204"/>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639" w:type="dxa"/>
            <w:gridSpan w:val="2"/>
            <w:vAlign w:val="top"/>
          </w:tcPr>
          <w:p w14:paraId="43A1ABC2">
            <w:pPr>
              <w:spacing w:before="104" w:line="198" w:lineRule="auto"/>
              <w:ind w:left="16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70.5</w:t>
            </w:r>
          </w:p>
        </w:tc>
        <w:tc>
          <w:tcPr>
            <w:tcW w:w="484" w:type="dxa"/>
            <w:vMerge w:val="continue"/>
            <w:tcBorders>
              <w:top w:val="nil"/>
              <w:bottom w:val="nil"/>
            </w:tcBorders>
            <w:vAlign w:val="top"/>
          </w:tcPr>
          <w:p w14:paraId="189BC20E">
            <w:pPr>
              <w:rPr>
                <w:rFonts w:ascii="Arial"/>
                <w:sz w:val="21"/>
              </w:rPr>
            </w:pPr>
          </w:p>
        </w:tc>
        <w:tc>
          <w:tcPr>
            <w:tcW w:w="650" w:type="dxa"/>
            <w:vAlign w:val="top"/>
          </w:tcPr>
          <w:p w14:paraId="39DB91DF">
            <w:pPr>
              <w:spacing w:before="104" w:line="198" w:lineRule="auto"/>
              <w:ind w:left="24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p>
        </w:tc>
        <w:tc>
          <w:tcPr>
            <w:tcW w:w="706" w:type="dxa"/>
            <w:gridSpan w:val="2"/>
            <w:vAlign w:val="top"/>
          </w:tcPr>
          <w:p w14:paraId="06804C76">
            <w:pPr>
              <w:spacing w:before="104" w:line="198"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tc>
        <w:tc>
          <w:tcPr>
            <w:tcW w:w="678" w:type="dxa"/>
            <w:gridSpan w:val="2"/>
            <w:tcBorders>
              <w:right w:val="single" w:color="000000" w:sz="8" w:space="0"/>
            </w:tcBorders>
            <w:vAlign w:val="top"/>
          </w:tcPr>
          <w:p w14:paraId="5E86B06E">
            <w:pPr>
              <w:spacing w:before="104" w:line="198" w:lineRule="auto"/>
              <w:ind w:left="319"/>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07" w:type="dxa"/>
            <w:tcBorders>
              <w:left w:val="single" w:color="000000" w:sz="8" w:space="0"/>
              <w:right w:val="single" w:color="000000" w:sz="6" w:space="0"/>
            </w:tcBorders>
            <w:vAlign w:val="top"/>
          </w:tcPr>
          <w:p w14:paraId="05C2F47C">
            <w:pPr>
              <w:rPr>
                <w:rFonts w:ascii="Arial"/>
                <w:sz w:val="21"/>
              </w:rPr>
            </w:pPr>
          </w:p>
        </w:tc>
      </w:tr>
      <w:tr w14:paraId="49D14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50" w:type="dxa"/>
            <w:vMerge w:val="continue"/>
            <w:tcBorders>
              <w:top w:val="nil"/>
              <w:left w:val="single" w:color="000000" w:sz="6" w:space="0"/>
              <w:bottom w:val="nil"/>
            </w:tcBorders>
            <w:vAlign w:val="top"/>
          </w:tcPr>
          <w:p w14:paraId="74926E38">
            <w:pPr>
              <w:rPr>
                <w:rFonts w:ascii="Arial"/>
                <w:sz w:val="21"/>
              </w:rPr>
            </w:pPr>
          </w:p>
        </w:tc>
        <w:tc>
          <w:tcPr>
            <w:tcW w:w="460" w:type="dxa"/>
            <w:gridSpan w:val="3"/>
            <w:vMerge w:val="continue"/>
            <w:tcBorders>
              <w:top w:val="nil"/>
              <w:bottom w:val="nil"/>
            </w:tcBorders>
            <w:textDirection w:val="tbRlV"/>
            <w:vAlign w:val="top"/>
          </w:tcPr>
          <w:p w14:paraId="58AC53E8">
            <w:pPr>
              <w:rPr>
                <w:rFonts w:ascii="Arial"/>
                <w:sz w:val="21"/>
              </w:rPr>
            </w:pPr>
          </w:p>
        </w:tc>
        <w:tc>
          <w:tcPr>
            <w:tcW w:w="522" w:type="dxa"/>
            <w:gridSpan w:val="2"/>
            <w:vMerge w:val="continue"/>
            <w:tcBorders>
              <w:top w:val="nil"/>
              <w:bottom w:val="nil"/>
            </w:tcBorders>
            <w:vAlign w:val="top"/>
          </w:tcPr>
          <w:p w14:paraId="355654F1">
            <w:pPr>
              <w:rPr>
                <w:rFonts w:ascii="Arial"/>
                <w:sz w:val="21"/>
              </w:rPr>
            </w:pPr>
          </w:p>
        </w:tc>
        <w:tc>
          <w:tcPr>
            <w:tcW w:w="789" w:type="dxa"/>
            <w:vAlign w:val="top"/>
          </w:tcPr>
          <w:p w14:paraId="70F7AD7C">
            <w:pPr>
              <w:pStyle w:val="6"/>
              <w:spacing w:before="53" w:line="219" w:lineRule="auto"/>
              <w:ind w:left="124"/>
              <w:rPr>
                <w:sz w:val="18"/>
                <w:szCs w:val="18"/>
              </w:rPr>
            </w:pPr>
            <w:r>
              <w:rPr>
                <w:spacing w:val="-2"/>
                <w:sz w:val="18"/>
                <w:szCs w:val="18"/>
              </w:rPr>
              <w:t>粉碎机</w:t>
            </w:r>
          </w:p>
        </w:tc>
        <w:tc>
          <w:tcPr>
            <w:tcW w:w="652" w:type="dxa"/>
            <w:gridSpan w:val="2"/>
            <w:vAlign w:val="top"/>
          </w:tcPr>
          <w:p w14:paraId="5A0D569E">
            <w:pPr>
              <w:spacing w:before="81" w:line="224" w:lineRule="auto"/>
              <w:ind w:left="24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85</w:t>
            </w:r>
          </w:p>
        </w:tc>
        <w:tc>
          <w:tcPr>
            <w:tcW w:w="683" w:type="dxa"/>
            <w:vMerge w:val="continue"/>
            <w:tcBorders>
              <w:top w:val="nil"/>
              <w:bottom w:val="nil"/>
            </w:tcBorders>
            <w:vAlign w:val="top"/>
          </w:tcPr>
          <w:p w14:paraId="3C8C4B2A">
            <w:pPr>
              <w:rPr>
                <w:rFonts w:ascii="Arial"/>
                <w:sz w:val="21"/>
              </w:rPr>
            </w:pPr>
          </w:p>
        </w:tc>
        <w:tc>
          <w:tcPr>
            <w:tcW w:w="1308" w:type="dxa"/>
            <w:gridSpan w:val="2"/>
            <w:vAlign w:val="top"/>
          </w:tcPr>
          <w:p w14:paraId="1242364C">
            <w:pPr>
              <w:spacing w:before="103" w:line="199" w:lineRule="auto"/>
              <w:ind w:left="15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-3.72,</w:t>
            </w:r>
            <w:r>
              <w:rPr>
                <w:rFonts w:ascii="Times New Roman" w:hAnsi="Times New Roman" w:eastAsia="Times New Roman" w:cs="Times New Roman"/>
                <w:spacing w:val="26"/>
                <w:w w:val="101"/>
                <w:sz w:val="18"/>
                <w:szCs w:val="18"/>
              </w:rPr>
              <w:t xml:space="preserve"> </w:t>
            </w:r>
            <w:r>
              <w:rPr>
                <w:rFonts w:ascii="Times New Roman" w:hAnsi="Times New Roman" w:eastAsia="Times New Roman" w:cs="Times New Roman"/>
                <w:spacing w:val="-2"/>
                <w:sz w:val="18"/>
                <w:szCs w:val="18"/>
              </w:rPr>
              <w:t>63.29,1</w:t>
            </w:r>
          </w:p>
        </w:tc>
        <w:tc>
          <w:tcPr>
            <w:tcW w:w="485" w:type="dxa"/>
            <w:vAlign w:val="top"/>
          </w:tcPr>
          <w:p w14:paraId="360CD919">
            <w:pPr>
              <w:spacing w:before="103" w:line="199" w:lineRule="auto"/>
              <w:ind w:left="206"/>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639" w:type="dxa"/>
            <w:gridSpan w:val="2"/>
            <w:vAlign w:val="top"/>
          </w:tcPr>
          <w:p w14:paraId="7F170D43">
            <w:pPr>
              <w:spacing w:before="103" w:line="199" w:lineRule="auto"/>
              <w:ind w:left="16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71.0</w:t>
            </w:r>
          </w:p>
        </w:tc>
        <w:tc>
          <w:tcPr>
            <w:tcW w:w="484" w:type="dxa"/>
            <w:vMerge w:val="continue"/>
            <w:tcBorders>
              <w:top w:val="nil"/>
              <w:bottom w:val="nil"/>
            </w:tcBorders>
            <w:vAlign w:val="top"/>
          </w:tcPr>
          <w:p w14:paraId="36BE8C97">
            <w:pPr>
              <w:rPr>
                <w:rFonts w:ascii="Arial"/>
                <w:sz w:val="21"/>
              </w:rPr>
            </w:pPr>
          </w:p>
        </w:tc>
        <w:tc>
          <w:tcPr>
            <w:tcW w:w="650" w:type="dxa"/>
            <w:vAlign w:val="top"/>
          </w:tcPr>
          <w:p w14:paraId="0735F46F">
            <w:pPr>
              <w:spacing w:before="103" w:line="199" w:lineRule="auto"/>
              <w:ind w:left="24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p>
        </w:tc>
        <w:tc>
          <w:tcPr>
            <w:tcW w:w="706" w:type="dxa"/>
            <w:gridSpan w:val="2"/>
            <w:vAlign w:val="top"/>
          </w:tcPr>
          <w:p w14:paraId="51DC71EF">
            <w:pPr>
              <w:spacing w:before="103" w:line="199"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tc>
        <w:tc>
          <w:tcPr>
            <w:tcW w:w="678" w:type="dxa"/>
            <w:gridSpan w:val="2"/>
            <w:tcBorders>
              <w:right w:val="single" w:color="000000" w:sz="8" w:space="0"/>
            </w:tcBorders>
            <w:vAlign w:val="top"/>
          </w:tcPr>
          <w:p w14:paraId="27B51B45">
            <w:pPr>
              <w:spacing w:before="103" w:line="199" w:lineRule="auto"/>
              <w:ind w:left="319"/>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07" w:type="dxa"/>
            <w:tcBorders>
              <w:left w:val="single" w:color="000000" w:sz="8" w:space="0"/>
              <w:right w:val="single" w:color="000000" w:sz="6" w:space="0"/>
            </w:tcBorders>
            <w:vAlign w:val="top"/>
          </w:tcPr>
          <w:p w14:paraId="0A2BEA75">
            <w:pPr>
              <w:rPr>
                <w:rFonts w:ascii="Arial"/>
                <w:sz w:val="21"/>
              </w:rPr>
            </w:pPr>
          </w:p>
        </w:tc>
      </w:tr>
      <w:tr w14:paraId="6E176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50" w:type="dxa"/>
            <w:vMerge w:val="continue"/>
            <w:tcBorders>
              <w:top w:val="nil"/>
              <w:left w:val="single" w:color="000000" w:sz="6" w:space="0"/>
              <w:bottom w:val="nil"/>
            </w:tcBorders>
            <w:vAlign w:val="top"/>
          </w:tcPr>
          <w:p w14:paraId="0733AF3A">
            <w:pPr>
              <w:rPr>
                <w:rFonts w:ascii="Arial"/>
                <w:sz w:val="21"/>
              </w:rPr>
            </w:pPr>
          </w:p>
        </w:tc>
        <w:tc>
          <w:tcPr>
            <w:tcW w:w="460" w:type="dxa"/>
            <w:gridSpan w:val="3"/>
            <w:vMerge w:val="continue"/>
            <w:tcBorders>
              <w:top w:val="nil"/>
              <w:bottom w:val="nil"/>
            </w:tcBorders>
            <w:textDirection w:val="tbRlV"/>
            <w:vAlign w:val="top"/>
          </w:tcPr>
          <w:p w14:paraId="446B8908">
            <w:pPr>
              <w:rPr>
                <w:rFonts w:ascii="Arial"/>
                <w:sz w:val="21"/>
              </w:rPr>
            </w:pPr>
          </w:p>
        </w:tc>
        <w:tc>
          <w:tcPr>
            <w:tcW w:w="522" w:type="dxa"/>
            <w:gridSpan w:val="2"/>
            <w:vMerge w:val="continue"/>
            <w:tcBorders>
              <w:top w:val="nil"/>
              <w:bottom w:val="nil"/>
            </w:tcBorders>
            <w:vAlign w:val="top"/>
          </w:tcPr>
          <w:p w14:paraId="79328FBA">
            <w:pPr>
              <w:rPr>
                <w:rFonts w:ascii="Arial"/>
                <w:sz w:val="21"/>
              </w:rPr>
            </w:pPr>
          </w:p>
        </w:tc>
        <w:tc>
          <w:tcPr>
            <w:tcW w:w="789" w:type="dxa"/>
            <w:vAlign w:val="top"/>
          </w:tcPr>
          <w:p w14:paraId="5F69A952">
            <w:pPr>
              <w:pStyle w:val="6"/>
              <w:spacing w:before="54" w:line="219" w:lineRule="auto"/>
              <w:ind w:left="126"/>
              <w:rPr>
                <w:sz w:val="18"/>
                <w:szCs w:val="18"/>
              </w:rPr>
            </w:pPr>
            <w:r>
              <w:rPr>
                <w:spacing w:val="-2"/>
                <w:sz w:val="18"/>
                <w:szCs w:val="18"/>
              </w:rPr>
              <w:t>制粒机</w:t>
            </w:r>
          </w:p>
        </w:tc>
        <w:tc>
          <w:tcPr>
            <w:tcW w:w="652" w:type="dxa"/>
            <w:gridSpan w:val="2"/>
            <w:vAlign w:val="top"/>
          </w:tcPr>
          <w:p w14:paraId="0784A2D5">
            <w:pPr>
              <w:spacing w:before="81" w:line="223" w:lineRule="auto"/>
              <w:ind w:left="23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75</w:t>
            </w:r>
          </w:p>
        </w:tc>
        <w:tc>
          <w:tcPr>
            <w:tcW w:w="683" w:type="dxa"/>
            <w:vMerge w:val="continue"/>
            <w:tcBorders>
              <w:top w:val="nil"/>
              <w:bottom w:val="nil"/>
            </w:tcBorders>
            <w:vAlign w:val="top"/>
          </w:tcPr>
          <w:p w14:paraId="501D2C6E">
            <w:pPr>
              <w:rPr>
                <w:rFonts w:ascii="Arial"/>
                <w:sz w:val="21"/>
              </w:rPr>
            </w:pPr>
          </w:p>
        </w:tc>
        <w:tc>
          <w:tcPr>
            <w:tcW w:w="1308" w:type="dxa"/>
            <w:gridSpan w:val="2"/>
            <w:vAlign w:val="top"/>
          </w:tcPr>
          <w:p w14:paraId="780D1062">
            <w:pPr>
              <w:spacing w:before="103" w:line="198" w:lineRule="auto"/>
              <w:ind w:left="13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60.35,-19.36,1</w:t>
            </w:r>
          </w:p>
        </w:tc>
        <w:tc>
          <w:tcPr>
            <w:tcW w:w="485" w:type="dxa"/>
            <w:vAlign w:val="top"/>
          </w:tcPr>
          <w:p w14:paraId="376DD6FB">
            <w:pPr>
              <w:spacing w:before="103" w:line="198" w:lineRule="auto"/>
              <w:ind w:left="15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32</w:t>
            </w:r>
          </w:p>
        </w:tc>
        <w:tc>
          <w:tcPr>
            <w:tcW w:w="639" w:type="dxa"/>
            <w:gridSpan w:val="2"/>
            <w:vAlign w:val="top"/>
          </w:tcPr>
          <w:p w14:paraId="4A23C9C7">
            <w:pPr>
              <w:spacing w:before="103" w:line="198" w:lineRule="auto"/>
              <w:ind w:left="16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44.9</w:t>
            </w:r>
          </w:p>
        </w:tc>
        <w:tc>
          <w:tcPr>
            <w:tcW w:w="484" w:type="dxa"/>
            <w:vMerge w:val="continue"/>
            <w:tcBorders>
              <w:top w:val="nil"/>
              <w:bottom w:val="nil"/>
            </w:tcBorders>
            <w:vAlign w:val="top"/>
          </w:tcPr>
          <w:p w14:paraId="28D37D74">
            <w:pPr>
              <w:rPr>
                <w:rFonts w:ascii="Arial"/>
                <w:sz w:val="21"/>
              </w:rPr>
            </w:pPr>
          </w:p>
        </w:tc>
        <w:tc>
          <w:tcPr>
            <w:tcW w:w="650" w:type="dxa"/>
            <w:vAlign w:val="top"/>
          </w:tcPr>
          <w:p w14:paraId="1ABD7239">
            <w:pPr>
              <w:spacing w:before="103" w:line="198" w:lineRule="auto"/>
              <w:ind w:left="24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p>
        </w:tc>
        <w:tc>
          <w:tcPr>
            <w:tcW w:w="706" w:type="dxa"/>
            <w:gridSpan w:val="2"/>
            <w:vAlign w:val="top"/>
          </w:tcPr>
          <w:p w14:paraId="7376743B">
            <w:pPr>
              <w:spacing w:before="103" w:line="19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19</w:t>
            </w:r>
          </w:p>
        </w:tc>
        <w:tc>
          <w:tcPr>
            <w:tcW w:w="678" w:type="dxa"/>
            <w:gridSpan w:val="2"/>
            <w:tcBorders>
              <w:right w:val="single" w:color="000000" w:sz="8" w:space="0"/>
            </w:tcBorders>
            <w:vAlign w:val="top"/>
          </w:tcPr>
          <w:p w14:paraId="56DFE9B4">
            <w:pPr>
              <w:spacing w:before="103" w:line="198" w:lineRule="auto"/>
              <w:ind w:left="319"/>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07" w:type="dxa"/>
            <w:tcBorders>
              <w:left w:val="single" w:color="000000" w:sz="8" w:space="0"/>
              <w:right w:val="single" w:color="000000" w:sz="6" w:space="0"/>
            </w:tcBorders>
            <w:vAlign w:val="top"/>
          </w:tcPr>
          <w:p w14:paraId="5359A61C">
            <w:pPr>
              <w:rPr>
                <w:rFonts w:ascii="Arial"/>
                <w:sz w:val="21"/>
              </w:rPr>
            </w:pPr>
          </w:p>
        </w:tc>
      </w:tr>
      <w:tr w14:paraId="499B8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50" w:type="dxa"/>
            <w:vMerge w:val="continue"/>
            <w:tcBorders>
              <w:top w:val="nil"/>
              <w:left w:val="single" w:color="000000" w:sz="6" w:space="0"/>
              <w:bottom w:val="nil"/>
            </w:tcBorders>
            <w:vAlign w:val="top"/>
          </w:tcPr>
          <w:p w14:paraId="5428F3BA">
            <w:pPr>
              <w:rPr>
                <w:rFonts w:ascii="Arial"/>
                <w:sz w:val="21"/>
              </w:rPr>
            </w:pPr>
          </w:p>
        </w:tc>
        <w:tc>
          <w:tcPr>
            <w:tcW w:w="460" w:type="dxa"/>
            <w:gridSpan w:val="3"/>
            <w:vMerge w:val="continue"/>
            <w:tcBorders>
              <w:top w:val="nil"/>
              <w:bottom w:val="nil"/>
            </w:tcBorders>
            <w:textDirection w:val="tbRlV"/>
            <w:vAlign w:val="top"/>
          </w:tcPr>
          <w:p w14:paraId="5579C620">
            <w:pPr>
              <w:rPr>
                <w:rFonts w:ascii="Arial"/>
                <w:sz w:val="21"/>
              </w:rPr>
            </w:pPr>
          </w:p>
        </w:tc>
        <w:tc>
          <w:tcPr>
            <w:tcW w:w="522" w:type="dxa"/>
            <w:gridSpan w:val="2"/>
            <w:vMerge w:val="continue"/>
            <w:tcBorders>
              <w:top w:val="nil"/>
              <w:bottom w:val="nil"/>
            </w:tcBorders>
            <w:vAlign w:val="top"/>
          </w:tcPr>
          <w:p w14:paraId="09CA289D">
            <w:pPr>
              <w:rPr>
                <w:rFonts w:ascii="Arial"/>
                <w:sz w:val="21"/>
              </w:rPr>
            </w:pPr>
          </w:p>
        </w:tc>
        <w:tc>
          <w:tcPr>
            <w:tcW w:w="789" w:type="dxa"/>
            <w:vAlign w:val="top"/>
          </w:tcPr>
          <w:p w14:paraId="5D193238">
            <w:pPr>
              <w:pStyle w:val="6"/>
              <w:spacing w:before="55" w:line="219" w:lineRule="auto"/>
              <w:ind w:left="125"/>
              <w:rPr>
                <w:sz w:val="18"/>
                <w:szCs w:val="18"/>
              </w:rPr>
            </w:pPr>
            <w:r>
              <w:rPr>
                <w:spacing w:val="-2"/>
                <w:sz w:val="18"/>
                <w:szCs w:val="18"/>
              </w:rPr>
              <w:t>烘干机</w:t>
            </w:r>
          </w:p>
        </w:tc>
        <w:tc>
          <w:tcPr>
            <w:tcW w:w="652" w:type="dxa"/>
            <w:gridSpan w:val="2"/>
            <w:vAlign w:val="top"/>
          </w:tcPr>
          <w:p w14:paraId="71A1BBA4">
            <w:pPr>
              <w:spacing w:before="83" w:line="222" w:lineRule="auto"/>
              <w:ind w:left="23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75</w:t>
            </w:r>
          </w:p>
        </w:tc>
        <w:tc>
          <w:tcPr>
            <w:tcW w:w="683" w:type="dxa"/>
            <w:vMerge w:val="continue"/>
            <w:tcBorders>
              <w:top w:val="nil"/>
              <w:bottom w:val="nil"/>
            </w:tcBorders>
            <w:vAlign w:val="top"/>
          </w:tcPr>
          <w:p w14:paraId="360DF1C5">
            <w:pPr>
              <w:rPr>
                <w:rFonts w:ascii="Arial"/>
                <w:sz w:val="21"/>
              </w:rPr>
            </w:pPr>
          </w:p>
        </w:tc>
        <w:tc>
          <w:tcPr>
            <w:tcW w:w="1308" w:type="dxa"/>
            <w:gridSpan w:val="2"/>
            <w:vAlign w:val="top"/>
          </w:tcPr>
          <w:p w14:paraId="477A5BB0">
            <w:pPr>
              <w:spacing w:before="105" w:line="197" w:lineRule="auto"/>
              <w:ind w:left="8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25.97,</w:t>
            </w:r>
            <w:r>
              <w:rPr>
                <w:rFonts w:ascii="Times New Roman" w:hAnsi="Times New Roman" w:eastAsia="Times New Roman" w:cs="Times New Roman"/>
                <w:spacing w:val="32"/>
                <w:sz w:val="18"/>
                <w:szCs w:val="18"/>
              </w:rPr>
              <w:t xml:space="preserve"> </w:t>
            </w:r>
            <w:r>
              <w:rPr>
                <w:rFonts w:ascii="Times New Roman" w:hAnsi="Times New Roman" w:eastAsia="Times New Roman" w:cs="Times New Roman"/>
                <w:spacing w:val="-2"/>
                <w:sz w:val="18"/>
                <w:szCs w:val="18"/>
              </w:rPr>
              <w:t>162.28,2</w:t>
            </w:r>
          </w:p>
        </w:tc>
        <w:tc>
          <w:tcPr>
            <w:tcW w:w="485" w:type="dxa"/>
            <w:vAlign w:val="top"/>
          </w:tcPr>
          <w:p w14:paraId="5BCD9A46">
            <w:pPr>
              <w:spacing w:before="105" w:line="197" w:lineRule="auto"/>
              <w:ind w:left="17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18</w:t>
            </w:r>
          </w:p>
        </w:tc>
        <w:tc>
          <w:tcPr>
            <w:tcW w:w="639" w:type="dxa"/>
            <w:gridSpan w:val="2"/>
            <w:vAlign w:val="top"/>
          </w:tcPr>
          <w:p w14:paraId="5BA3991D">
            <w:pPr>
              <w:spacing w:before="105" w:line="197" w:lineRule="auto"/>
              <w:ind w:left="16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49.9</w:t>
            </w:r>
          </w:p>
        </w:tc>
        <w:tc>
          <w:tcPr>
            <w:tcW w:w="484" w:type="dxa"/>
            <w:vMerge w:val="continue"/>
            <w:tcBorders>
              <w:top w:val="nil"/>
              <w:bottom w:val="nil"/>
            </w:tcBorders>
            <w:vAlign w:val="top"/>
          </w:tcPr>
          <w:p w14:paraId="79CE35FC">
            <w:pPr>
              <w:rPr>
                <w:rFonts w:ascii="Arial"/>
                <w:sz w:val="21"/>
              </w:rPr>
            </w:pPr>
          </w:p>
        </w:tc>
        <w:tc>
          <w:tcPr>
            <w:tcW w:w="650" w:type="dxa"/>
            <w:vAlign w:val="top"/>
          </w:tcPr>
          <w:p w14:paraId="63CF587B">
            <w:pPr>
              <w:spacing w:before="105" w:line="197" w:lineRule="auto"/>
              <w:ind w:left="24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p>
        </w:tc>
        <w:tc>
          <w:tcPr>
            <w:tcW w:w="706" w:type="dxa"/>
            <w:gridSpan w:val="2"/>
            <w:vAlign w:val="top"/>
          </w:tcPr>
          <w:p w14:paraId="28C35308">
            <w:pPr>
              <w:spacing w:before="105" w:line="197" w:lineRule="auto"/>
              <w:ind w:left="27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w:t>
            </w:r>
          </w:p>
        </w:tc>
        <w:tc>
          <w:tcPr>
            <w:tcW w:w="678" w:type="dxa"/>
            <w:gridSpan w:val="2"/>
            <w:tcBorders>
              <w:right w:val="single" w:color="000000" w:sz="8" w:space="0"/>
            </w:tcBorders>
            <w:vAlign w:val="top"/>
          </w:tcPr>
          <w:p w14:paraId="50844BCB">
            <w:pPr>
              <w:spacing w:before="105" w:line="197" w:lineRule="auto"/>
              <w:ind w:left="319"/>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07" w:type="dxa"/>
            <w:tcBorders>
              <w:left w:val="single" w:color="000000" w:sz="8" w:space="0"/>
              <w:right w:val="single" w:color="000000" w:sz="6" w:space="0"/>
            </w:tcBorders>
            <w:vAlign w:val="top"/>
          </w:tcPr>
          <w:p w14:paraId="363907A6">
            <w:pPr>
              <w:rPr>
                <w:rFonts w:ascii="Arial"/>
                <w:sz w:val="21"/>
              </w:rPr>
            </w:pPr>
          </w:p>
        </w:tc>
      </w:tr>
      <w:tr w14:paraId="2004D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50" w:type="dxa"/>
            <w:vMerge w:val="continue"/>
            <w:tcBorders>
              <w:top w:val="nil"/>
              <w:left w:val="single" w:color="000000" w:sz="6" w:space="0"/>
              <w:bottom w:val="nil"/>
            </w:tcBorders>
            <w:vAlign w:val="top"/>
          </w:tcPr>
          <w:p w14:paraId="3B89419D">
            <w:pPr>
              <w:rPr>
                <w:rFonts w:ascii="Arial"/>
                <w:sz w:val="21"/>
              </w:rPr>
            </w:pPr>
          </w:p>
        </w:tc>
        <w:tc>
          <w:tcPr>
            <w:tcW w:w="460" w:type="dxa"/>
            <w:gridSpan w:val="3"/>
            <w:vMerge w:val="continue"/>
            <w:tcBorders>
              <w:top w:val="nil"/>
              <w:bottom w:val="nil"/>
            </w:tcBorders>
            <w:textDirection w:val="tbRlV"/>
            <w:vAlign w:val="top"/>
          </w:tcPr>
          <w:p w14:paraId="73C83515">
            <w:pPr>
              <w:rPr>
                <w:rFonts w:ascii="Arial"/>
                <w:sz w:val="21"/>
              </w:rPr>
            </w:pPr>
          </w:p>
        </w:tc>
        <w:tc>
          <w:tcPr>
            <w:tcW w:w="522" w:type="dxa"/>
            <w:gridSpan w:val="2"/>
            <w:vMerge w:val="continue"/>
            <w:tcBorders>
              <w:top w:val="nil"/>
              <w:bottom w:val="nil"/>
            </w:tcBorders>
            <w:vAlign w:val="top"/>
          </w:tcPr>
          <w:p w14:paraId="7A7EA040">
            <w:pPr>
              <w:rPr>
                <w:rFonts w:ascii="Arial"/>
                <w:sz w:val="21"/>
              </w:rPr>
            </w:pPr>
          </w:p>
        </w:tc>
        <w:tc>
          <w:tcPr>
            <w:tcW w:w="789" w:type="dxa"/>
            <w:vAlign w:val="top"/>
          </w:tcPr>
          <w:p w14:paraId="526BA99A">
            <w:pPr>
              <w:pStyle w:val="6"/>
              <w:spacing w:before="54" w:line="219" w:lineRule="auto"/>
              <w:ind w:left="125"/>
              <w:rPr>
                <w:sz w:val="18"/>
                <w:szCs w:val="18"/>
              </w:rPr>
            </w:pPr>
            <w:r>
              <w:rPr>
                <w:spacing w:val="-2"/>
                <w:sz w:val="18"/>
                <w:szCs w:val="18"/>
              </w:rPr>
              <w:t>包装机</w:t>
            </w:r>
          </w:p>
        </w:tc>
        <w:tc>
          <w:tcPr>
            <w:tcW w:w="652" w:type="dxa"/>
            <w:gridSpan w:val="2"/>
            <w:vAlign w:val="top"/>
          </w:tcPr>
          <w:p w14:paraId="5BBD3617">
            <w:pPr>
              <w:spacing w:before="82" w:line="223" w:lineRule="auto"/>
              <w:ind w:left="23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70</w:t>
            </w:r>
          </w:p>
        </w:tc>
        <w:tc>
          <w:tcPr>
            <w:tcW w:w="683" w:type="dxa"/>
            <w:vMerge w:val="continue"/>
            <w:tcBorders>
              <w:top w:val="nil"/>
              <w:bottom w:val="nil"/>
            </w:tcBorders>
            <w:vAlign w:val="top"/>
          </w:tcPr>
          <w:p w14:paraId="09B31687">
            <w:pPr>
              <w:rPr>
                <w:rFonts w:ascii="Arial"/>
                <w:sz w:val="21"/>
              </w:rPr>
            </w:pPr>
          </w:p>
        </w:tc>
        <w:tc>
          <w:tcPr>
            <w:tcW w:w="1308" w:type="dxa"/>
            <w:gridSpan w:val="2"/>
            <w:vAlign w:val="top"/>
          </w:tcPr>
          <w:p w14:paraId="34EB5289">
            <w:pPr>
              <w:spacing w:before="104" w:line="198" w:lineRule="auto"/>
              <w:ind w:left="10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-11.22,</w:t>
            </w:r>
            <w:r>
              <w:rPr>
                <w:rFonts w:ascii="Times New Roman" w:hAnsi="Times New Roman" w:eastAsia="Times New Roman" w:cs="Times New Roman"/>
                <w:spacing w:val="15"/>
                <w:sz w:val="18"/>
                <w:szCs w:val="18"/>
              </w:rPr>
              <w:t xml:space="preserve"> </w:t>
            </w:r>
            <w:r>
              <w:rPr>
                <w:rFonts w:ascii="Times New Roman" w:hAnsi="Times New Roman" w:eastAsia="Times New Roman" w:cs="Times New Roman"/>
                <w:spacing w:val="-1"/>
                <w:sz w:val="18"/>
                <w:szCs w:val="18"/>
              </w:rPr>
              <w:t>79.49,0</w:t>
            </w:r>
          </w:p>
        </w:tc>
        <w:tc>
          <w:tcPr>
            <w:tcW w:w="485" w:type="dxa"/>
            <w:vAlign w:val="top"/>
          </w:tcPr>
          <w:p w14:paraId="2D1ADBCE">
            <w:pPr>
              <w:spacing w:before="104" w:line="198" w:lineRule="auto"/>
              <w:ind w:left="17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tc>
        <w:tc>
          <w:tcPr>
            <w:tcW w:w="639" w:type="dxa"/>
            <w:gridSpan w:val="2"/>
            <w:vAlign w:val="top"/>
          </w:tcPr>
          <w:p w14:paraId="18B9928E">
            <w:pPr>
              <w:spacing w:before="104" w:line="198" w:lineRule="auto"/>
              <w:ind w:left="17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50.0</w:t>
            </w:r>
          </w:p>
        </w:tc>
        <w:tc>
          <w:tcPr>
            <w:tcW w:w="484" w:type="dxa"/>
            <w:vMerge w:val="continue"/>
            <w:tcBorders>
              <w:top w:val="nil"/>
              <w:bottom w:val="nil"/>
            </w:tcBorders>
            <w:vAlign w:val="top"/>
          </w:tcPr>
          <w:p w14:paraId="7CB73B84">
            <w:pPr>
              <w:rPr>
                <w:rFonts w:ascii="Arial"/>
                <w:sz w:val="21"/>
              </w:rPr>
            </w:pPr>
          </w:p>
        </w:tc>
        <w:tc>
          <w:tcPr>
            <w:tcW w:w="650" w:type="dxa"/>
            <w:vAlign w:val="top"/>
          </w:tcPr>
          <w:p w14:paraId="521A1769">
            <w:pPr>
              <w:spacing w:before="104" w:line="198" w:lineRule="auto"/>
              <w:ind w:left="24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p>
        </w:tc>
        <w:tc>
          <w:tcPr>
            <w:tcW w:w="706" w:type="dxa"/>
            <w:gridSpan w:val="2"/>
            <w:vAlign w:val="top"/>
          </w:tcPr>
          <w:p w14:paraId="3BBB984A">
            <w:pPr>
              <w:spacing w:before="104" w:line="198" w:lineRule="auto"/>
              <w:ind w:left="27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w:t>
            </w:r>
          </w:p>
        </w:tc>
        <w:tc>
          <w:tcPr>
            <w:tcW w:w="678" w:type="dxa"/>
            <w:gridSpan w:val="2"/>
            <w:tcBorders>
              <w:right w:val="single" w:color="000000" w:sz="8" w:space="0"/>
            </w:tcBorders>
            <w:vAlign w:val="top"/>
          </w:tcPr>
          <w:p w14:paraId="05F6AE75">
            <w:pPr>
              <w:spacing w:before="104" w:line="198" w:lineRule="auto"/>
              <w:ind w:left="319"/>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07" w:type="dxa"/>
            <w:tcBorders>
              <w:left w:val="single" w:color="000000" w:sz="8" w:space="0"/>
              <w:right w:val="single" w:color="000000" w:sz="6" w:space="0"/>
            </w:tcBorders>
            <w:vAlign w:val="top"/>
          </w:tcPr>
          <w:p w14:paraId="20440634">
            <w:pPr>
              <w:rPr>
                <w:rFonts w:ascii="Arial"/>
                <w:sz w:val="21"/>
              </w:rPr>
            </w:pPr>
          </w:p>
        </w:tc>
      </w:tr>
      <w:tr w14:paraId="49276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50" w:type="dxa"/>
            <w:vMerge w:val="continue"/>
            <w:tcBorders>
              <w:top w:val="nil"/>
              <w:left w:val="single" w:color="000000" w:sz="6" w:space="0"/>
              <w:bottom w:val="nil"/>
            </w:tcBorders>
            <w:vAlign w:val="top"/>
          </w:tcPr>
          <w:p w14:paraId="7EE20C1C">
            <w:pPr>
              <w:rPr>
                <w:rFonts w:ascii="Arial"/>
                <w:sz w:val="21"/>
              </w:rPr>
            </w:pPr>
          </w:p>
        </w:tc>
        <w:tc>
          <w:tcPr>
            <w:tcW w:w="460" w:type="dxa"/>
            <w:gridSpan w:val="3"/>
            <w:vMerge w:val="continue"/>
            <w:tcBorders>
              <w:top w:val="nil"/>
              <w:bottom w:val="nil"/>
            </w:tcBorders>
            <w:textDirection w:val="tbRlV"/>
            <w:vAlign w:val="top"/>
          </w:tcPr>
          <w:p w14:paraId="0BBA665E">
            <w:pPr>
              <w:rPr>
                <w:rFonts w:ascii="Arial"/>
                <w:sz w:val="21"/>
              </w:rPr>
            </w:pPr>
          </w:p>
        </w:tc>
        <w:tc>
          <w:tcPr>
            <w:tcW w:w="522" w:type="dxa"/>
            <w:gridSpan w:val="2"/>
            <w:vMerge w:val="continue"/>
            <w:tcBorders>
              <w:top w:val="nil"/>
              <w:bottom w:val="nil"/>
            </w:tcBorders>
            <w:vAlign w:val="top"/>
          </w:tcPr>
          <w:p w14:paraId="1C5E06FC">
            <w:pPr>
              <w:rPr>
                <w:rFonts w:ascii="Arial"/>
                <w:sz w:val="21"/>
              </w:rPr>
            </w:pPr>
          </w:p>
        </w:tc>
        <w:tc>
          <w:tcPr>
            <w:tcW w:w="789" w:type="dxa"/>
            <w:vAlign w:val="top"/>
          </w:tcPr>
          <w:p w14:paraId="37A70CD5">
            <w:pPr>
              <w:pStyle w:val="6"/>
              <w:spacing w:before="55" w:line="219" w:lineRule="auto"/>
              <w:ind w:left="131"/>
              <w:rPr>
                <w:sz w:val="18"/>
                <w:szCs w:val="18"/>
              </w:rPr>
            </w:pPr>
            <w:r>
              <w:rPr>
                <w:spacing w:val="-3"/>
                <w:sz w:val="18"/>
                <w:szCs w:val="18"/>
              </w:rPr>
              <w:t>空压机</w:t>
            </w:r>
          </w:p>
        </w:tc>
        <w:tc>
          <w:tcPr>
            <w:tcW w:w="652" w:type="dxa"/>
            <w:gridSpan w:val="2"/>
            <w:vAlign w:val="top"/>
          </w:tcPr>
          <w:p w14:paraId="659DF9FD">
            <w:pPr>
              <w:spacing w:before="82" w:line="222" w:lineRule="auto"/>
              <w:ind w:left="23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90</w:t>
            </w:r>
          </w:p>
        </w:tc>
        <w:tc>
          <w:tcPr>
            <w:tcW w:w="683" w:type="dxa"/>
            <w:vMerge w:val="continue"/>
            <w:tcBorders>
              <w:top w:val="nil"/>
              <w:bottom w:val="nil"/>
            </w:tcBorders>
            <w:vAlign w:val="top"/>
          </w:tcPr>
          <w:p w14:paraId="4F58C86B">
            <w:pPr>
              <w:rPr>
                <w:rFonts w:ascii="Arial"/>
                <w:sz w:val="21"/>
              </w:rPr>
            </w:pPr>
          </w:p>
        </w:tc>
        <w:tc>
          <w:tcPr>
            <w:tcW w:w="1308" w:type="dxa"/>
            <w:gridSpan w:val="2"/>
            <w:vAlign w:val="top"/>
          </w:tcPr>
          <w:p w14:paraId="6A98AD78">
            <w:pPr>
              <w:spacing w:before="104" w:line="197" w:lineRule="auto"/>
              <w:ind w:left="13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6.17,</w:t>
            </w:r>
            <w:r>
              <w:rPr>
                <w:rFonts w:ascii="Times New Roman" w:hAnsi="Times New Roman" w:eastAsia="Times New Roman" w:cs="Times New Roman"/>
                <w:spacing w:val="39"/>
                <w:sz w:val="18"/>
                <w:szCs w:val="18"/>
              </w:rPr>
              <w:t xml:space="preserve"> </w:t>
            </w:r>
            <w:r>
              <w:rPr>
                <w:rFonts w:ascii="Times New Roman" w:hAnsi="Times New Roman" w:eastAsia="Times New Roman" w:cs="Times New Roman"/>
                <w:spacing w:val="-3"/>
                <w:sz w:val="18"/>
                <w:szCs w:val="18"/>
              </w:rPr>
              <w:t>131.09,0</w:t>
            </w:r>
          </w:p>
        </w:tc>
        <w:tc>
          <w:tcPr>
            <w:tcW w:w="485" w:type="dxa"/>
            <w:vAlign w:val="top"/>
          </w:tcPr>
          <w:p w14:paraId="6CDCE1D5">
            <w:pPr>
              <w:spacing w:before="104" w:line="197" w:lineRule="auto"/>
              <w:ind w:left="15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w:t>
            </w:r>
          </w:p>
        </w:tc>
        <w:tc>
          <w:tcPr>
            <w:tcW w:w="639" w:type="dxa"/>
            <w:gridSpan w:val="2"/>
            <w:vAlign w:val="top"/>
          </w:tcPr>
          <w:p w14:paraId="44D9EBDC">
            <w:pPr>
              <w:spacing w:before="104" w:line="197" w:lineRule="auto"/>
              <w:ind w:left="17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62.0</w:t>
            </w:r>
          </w:p>
        </w:tc>
        <w:tc>
          <w:tcPr>
            <w:tcW w:w="484" w:type="dxa"/>
            <w:vMerge w:val="continue"/>
            <w:tcBorders>
              <w:top w:val="nil"/>
              <w:bottom w:val="nil"/>
            </w:tcBorders>
            <w:vAlign w:val="top"/>
          </w:tcPr>
          <w:p w14:paraId="4369B835">
            <w:pPr>
              <w:rPr>
                <w:rFonts w:ascii="Arial"/>
                <w:sz w:val="21"/>
              </w:rPr>
            </w:pPr>
          </w:p>
        </w:tc>
        <w:tc>
          <w:tcPr>
            <w:tcW w:w="650" w:type="dxa"/>
            <w:vAlign w:val="top"/>
          </w:tcPr>
          <w:p w14:paraId="4F14246A">
            <w:pPr>
              <w:spacing w:before="104" w:line="197" w:lineRule="auto"/>
              <w:ind w:left="24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p>
        </w:tc>
        <w:tc>
          <w:tcPr>
            <w:tcW w:w="706" w:type="dxa"/>
            <w:gridSpan w:val="2"/>
            <w:vAlign w:val="top"/>
          </w:tcPr>
          <w:p w14:paraId="332F5E1B">
            <w:pPr>
              <w:spacing w:before="104" w:line="197" w:lineRule="auto"/>
              <w:ind w:left="27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36</w:t>
            </w:r>
          </w:p>
        </w:tc>
        <w:tc>
          <w:tcPr>
            <w:tcW w:w="678" w:type="dxa"/>
            <w:gridSpan w:val="2"/>
            <w:tcBorders>
              <w:right w:val="single" w:color="000000" w:sz="8" w:space="0"/>
            </w:tcBorders>
            <w:vAlign w:val="top"/>
          </w:tcPr>
          <w:p w14:paraId="4DA0877C">
            <w:pPr>
              <w:spacing w:before="104" w:line="197" w:lineRule="auto"/>
              <w:ind w:left="319"/>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07" w:type="dxa"/>
            <w:tcBorders>
              <w:left w:val="single" w:color="000000" w:sz="8" w:space="0"/>
              <w:right w:val="single" w:color="000000" w:sz="6" w:space="0"/>
            </w:tcBorders>
            <w:vAlign w:val="top"/>
          </w:tcPr>
          <w:p w14:paraId="40C8FDD3">
            <w:pPr>
              <w:rPr>
                <w:rFonts w:ascii="Arial"/>
                <w:sz w:val="21"/>
              </w:rPr>
            </w:pPr>
          </w:p>
        </w:tc>
      </w:tr>
      <w:tr w14:paraId="62B58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50" w:type="dxa"/>
            <w:vMerge w:val="continue"/>
            <w:tcBorders>
              <w:top w:val="nil"/>
              <w:left w:val="single" w:color="000000" w:sz="6" w:space="0"/>
              <w:bottom w:val="nil"/>
            </w:tcBorders>
            <w:vAlign w:val="top"/>
          </w:tcPr>
          <w:p w14:paraId="19B6E2C7">
            <w:pPr>
              <w:rPr>
                <w:rFonts w:ascii="Arial"/>
                <w:sz w:val="21"/>
              </w:rPr>
            </w:pPr>
          </w:p>
        </w:tc>
        <w:tc>
          <w:tcPr>
            <w:tcW w:w="460" w:type="dxa"/>
            <w:gridSpan w:val="3"/>
            <w:vMerge w:val="continue"/>
            <w:tcBorders>
              <w:top w:val="nil"/>
              <w:bottom w:val="nil"/>
            </w:tcBorders>
            <w:textDirection w:val="tbRlV"/>
            <w:vAlign w:val="top"/>
          </w:tcPr>
          <w:p w14:paraId="5E4B8CEA">
            <w:pPr>
              <w:rPr>
                <w:rFonts w:ascii="Arial"/>
                <w:sz w:val="21"/>
              </w:rPr>
            </w:pPr>
          </w:p>
        </w:tc>
        <w:tc>
          <w:tcPr>
            <w:tcW w:w="522" w:type="dxa"/>
            <w:gridSpan w:val="2"/>
            <w:vMerge w:val="continue"/>
            <w:tcBorders>
              <w:top w:val="nil"/>
              <w:bottom w:val="nil"/>
            </w:tcBorders>
            <w:vAlign w:val="top"/>
          </w:tcPr>
          <w:p w14:paraId="5CF361A5">
            <w:pPr>
              <w:rPr>
                <w:rFonts w:ascii="Arial"/>
                <w:sz w:val="21"/>
              </w:rPr>
            </w:pPr>
          </w:p>
        </w:tc>
        <w:tc>
          <w:tcPr>
            <w:tcW w:w="789" w:type="dxa"/>
            <w:vAlign w:val="top"/>
          </w:tcPr>
          <w:p w14:paraId="79D459A1">
            <w:pPr>
              <w:pStyle w:val="6"/>
              <w:spacing w:before="56" w:line="219" w:lineRule="auto"/>
              <w:ind w:left="148"/>
              <w:rPr>
                <w:sz w:val="18"/>
                <w:szCs w:val="18"/>
              </w:rPr>
            </w:pPr>
            <w:r>
              <w:rPr>
                <w:spacing w:val="-3"/>
                <w:sz w:val="18"/>
                <w:szCs w:val="18"/>
              </w:rPr>
              <w:t>风机</w:t>
            </w:r>
            <w:r>
              <w:rPr>
                <w:spacing w:val="-26"/>
                <w:sz w:val="18"/>
                <w:szCs w:val="18"/>
              </w:rPr>
              <w:t xml:space="preserve"> </w:t>
            </w:r>
            <w:r>
              <w:rPr>
                <w:spacing w:val="-3"/>
                <w:sz w:val="18"/>
                <w:szCs w:val="18"/>
              </w:rPr>
              <w:t>1</w:t>
            </w:r>
          </w:p>
        </w:tc>
        <w:tc>
          <w:tcPr>
            <w:tcW w:w="652" w:type="dxa"/>
            <w:gridSpan w:val="2"/>
            <w:vAlign w:val="top"/>
          </w:tcPr>
          <w:p w14:paraId="7F567D84">
            <w:pPr>
              <w:spacing w:before="84" w:line="221" w:lineRule="auto"/>
              <w:ind w:left="23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90</w:t>
            </w:r>
          </w:p>
        </w:tc>
        <w:tc>
          <w:tcPr>
            <w:tcW w:w="683" w:type="dxa"/>
            <w:vMerge w:val="continue"/>
            <w:tcBorders>
              <w:top w:val="nil"/>
              <w:bottom w:val="nil"/>
            </w:tcBorders>
            <w:vAlign w:val="top"/>
          </w:tcPr>
          <w:p w14:paraId="58E01F40">
            <w:pPr>
              <w:rPr>
                <w:rFonts w:ascii="Arial"/>
                <w:sz w:val="21"/>
              </w:rPr>
            </w:pPr>
          </w:p>
        </w:tc>
        <w:tc>
          <w:tcPr>
            <w:tcW w:w="1308" w:type="dxa"/>
            <w:gridSpan w:val="2"/>
            <w:vAlign w:val="top"/>
          </w:tcPr>
          <w:p w14:paraId="52EDD10D">
            <w:pPr>
              <w:spacing w:before="105" w:line="196" w:lineRule="auto"/>
              <w:ind w:left="15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-5.82,</w:t>
            </w:r>
            <w:r>
              <w:rPr>
                <w:rFonts w:ascii="Times New Roman" w:hAnsi="Times New Roman" w:eastAsia="Times New Roman" w:cs="Times New Roman"/>
                <w:spacing w:val="26"/>
                <w:w w:val="101"/>
                <w:sz w:val="18"/>
                <w:szCs w:val="18"/>
              </w:rPr>
              <w:t xml:space="preserve"> </w:t>
            </w:r>
            <w:r>
              <w:rPr>
                <w:rFonts w:ascii="Times New Roman" w:hAnsi="Times New Roman" w:eastAsia="Times New Roman" w:cs="Times New Roman"/>
                <w:spacing w:val="-2"/>
                <w:sz w:val="18"/>
                <w:szCs w:val="18"/>
              </w:rPr>
              <w:t>64.79,2</w:t>
            </w:r>
          </w:p>
        </w:tc>
        <w:tc>
          <w:tcPr>
            <w:tcW w:w="485" w:type="dxa"/>
            <w:vAlign w:val="top"/>
          </w:tcPr>
          <w:p w14:paraId="4659EE68">
            <w:pPr>
              <w:spacing w:before="105" w:line="196" w:lineRule="auto"/>
              <w:ind w:left="206"/>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639" w:type="dxa"/>
            <w:gridSpan w:val="2"/>
            <w:vAlign w:val="top"/>
          </w:tcPr>
          <w:p w14:paraId="0B146C64">
            <w:pPr>
              <w:spacing w:before="105" w:line="196" w:lineRule="auto"/>
              <w:ind w:left="16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76.0</w:t>
            </w:r>
          </w:p>
        </w:tc>
        <w:tc>
          <w:tcPr>
            <w:tcW w:w="484" w:type="dxa"/>
            <w:vMerge w:val="continue"/>
            <w:tcBorders>
              <w:top w:val="nil"/>
              <w:bottom w:val="nil"/>
            </w:tcBorders>
            <w:vAlign w:val="top"/>
          </w:tcPr>
          <w:p w14:paraId="40E3FDFE">
            <w:pPr>
              <w:rPr>
                <w:rFonts w:ascii="Arial"/>
                <w:sz w:val="21"/>
              </w:rPr>
            </w:pPr>
          </w:p>
        </w:tc>
        <w:tc>
          <w:tcPr>
            <w:tcW w:w="650" w:type="dxa"/>
            <w:vAlign w:val="top"/>
          </w:tcPr>
          <w:p w14:paraId="5B21B07F">
            <w:pPr>
              <w:spacing w:before="105" w:line="196" w:lineRule="auto"/>
              <w:ind w:left="24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p>
        </w:tc>
        <w:tc>
          <w:tcPr>
            <w:tcW w:w="706" w:type="dxa"/>
            <w:gridSpan w:val="2"/>
            <w:vAlign w:val="top"/>
          </w:tcPr>
          <w:p w14:paraId="72AA5542">
            <w:pPr>
              <w:spacing w:before="105" w:line="196" w:lineRule="auto"/>
              <w:ind w:left="27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50</w:t>
            </w:r>
          </w:p>
        </w:tc>
        <w:tc>
          <w:tcPr>
            <w:tcW w:w="678" w:type="dxa"/>
            <w:gridSpan w:val="2"/>
            <w:tcBorders>
              <w:right w:val="single" w:color="000000" w:sz="8" w:space="0"/>
            </w:tcBorders>
            <w:vAlign w:val="top"/>
          </w:tcPr>
          <w:p w14:paraId="758D1EEC">
            <w:pPr>
              <w:spacing w:before="105" w:line="196" w:lineRule="auto"/>
              <w:ind w:left="319"/>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07" w:type="dxa"/>
            <w:tcBorders>
              <w:left w:val="single" w:color="000000" w:sz="8" w:space="0"/>
              <w:right w:val="single" w:color="000000" w:sz="6" w:space="0"/>
            </w:tcBorders>
            <w:vAlign w:val="top"/>
          </w:tcPr>
          <w:p w14:paraId="037F63FE">
            <w:pPr>
              <w:rPr>
                <w:rFonts w:ascii="Arial"/>
                <w:sz w:val="21"/>
              </w:rPr>
            </w:pPr>
          </w:p>
        </w:tc>
      </w:tr>
      <w:tr w14:paraId="2ADC1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50" w:type="dxa"/>
            <w:vMerge w:val="continue"/>
            <w:tcBorders>
              <w:top w:val="nil"/>
              <w:left w:val="single" w:color="000000" w:sz="6" w:space="0"/>
              <w:bottom w:val="nil"/>
            </w:tcBorders>
            <w:vAlign w:val="top"/>
          </w:tcPr>
          <w:p w14:paraId="3246C1D4">
            <w:pPr>
              <w:rPr>
                <w:rFonts w:ascii="Arial"/>
                <w:sz w:val="21"/>
              </w:rPr>
            </w:pPr>
          </w:p>
        </w:tc>
        <w:tc>
          <w:tcPr>
            <w:tcW w:w="460" w:type="dxa"/>
            <w:gridSpan w:val="3"/>
            <w:vMerge w:val="continue"/>
            <w:tcBorders>
              <w:top w:val="nil"/>
              <w:bottom w:val="nil"/>
            </w:tcBorders>
            <w:textDirection w:val="tbRlV"/>
            <w:vAlign w:val="top"/>
          </w:tcPr>
          <w:p w14:paraId="11F4DDB2">
            <w:pPr>
              <w:rPr>
                <w:rFonts w:ascii="Arial"/>
                <w:sz w:val="21"/>
              </w:rPr>
            </w:pPr>
          </w:p>
        </w:tc>
        <w:tc>
          <w:tcPr>
            <w:tcW w:w="522" w:type="dxa"/>
            <w:gridSpan w:val="2"/>
            <w:vMerge w:val="continue"/>
            <w:tcBorders>
              <w:top w:val="nil"/>
              <w:bottom w:val="nil"/>
            </w:tcBorders>
            <w:vAlign w:val="top"/>
          </w:tcPr>
          <w:p w14:paraId="7F637BD3">
            <w:pPr>
              <w:rPr>
                <w:rFonts w:ascii="Arial"/>
                <w:sz w:val="21"/>
              </w:rPr>
            </w:pPr>
          </w:p>
        </w:tc>
        <w:tc>
          <w:tcPr>
            <w:tcW w:w="789" w:type="dxa"/>
            <w:vAlign w:val="top"/>
          </w:tcPr>
          <w:p w14:paraId="35513A43">
            <w:pPr>
              <w:pStyle w:val="6"/>
              <w:spacing w:before="55" w:line="219" w:lineRule="auto"/>
              <w:ind w:left="148"/>
              <w:rPr>
                <w:sz w:val="18"/>
                <w:szCs w:val="18"/>
              </w:rPr>
            </w:pPr>
            <w:r>
              <w:rPr>
                <w:spacing w:val="-3"/>
                <w:sz w:val="18"/>
                <w:szCs w:val="18"/>
              </w:rPr>
              <w:t>风机</w:t>
            </w:r>
            <w:r>
              <w:rPr>
                <w:spacing w:val="-37"/>
                <w:sz w:val="18"/>
                <w:szCs w:val="18"/>
              </w:rPr>
              <w:t xml:space="preserve"> </w:t>
            </w:r>
            <w:r>
              <w:rPr>
                <w:spacing w:val="-3"/>
                <w:sz w:val="18"/>
                <w:szCs w:val="18"/>
              </w:rPr>
              <w:t>2</w:t>
            </w:r>
          </w:p>
        </w:tc>
        <w:tc>
          <w:tcPr>
            <w:tcW w:w="652" w:type="dxa"/>
            <w:gridSpan w:val="2"/>
            <w:vAlign w:val="top"/>
          </w:tcPr>
          <w:p w14:paraId="01B99898">
            <w:pPr>
              <w:spacing w:before="83" w:line="222" w:lineRule="auto"/>
              <w:ind w:left="23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90</w:t>
            </w:r>
          </w:p>
        </w:tc>
        <w:tc>
          <w:tcPr>
            <w:tcW w:w="683" w:type="dxa"/>
            <w:vMerge w:val="continue"/>
            <w:tcBorders>
              <w:top w:val="nil"/>
              <w:bottom w:val="nil"/>
            </w:tcBorders>
            <w:vAlign w:val="top"/>
          </w:tcPr>
          <w:p w14:paraId="76806711">
            <w:pPr>
              <w:rPr>
                <w:rFonts w:ascii="Arial"/>
                <w:sz w:val="21"/>
              </w:rPr>
            </w:pPr>
          </w:p>
        </w:tc>
        <w:tc>
          <w:tcPr>
            <w:tcW w:w="1308" w:type="dxa"/>
            <w:gridSpan w:val="2"/>
            <w:vAlign w:val="top"/>
          </w:tcPr>
          <w:p w14:paraId="17EED927">
            <w:pPr>
              <w:spacing w:before="105" w:line="197" w:lineRule="auto"/>
              <w:ind w:left="13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5.27,</w:t>
            </w:r>
            <w:r>
              <w:rPr>
                <w:rFonts w:ascii="Times New Roman" w:hAnsi="Times New Roman" w:eastAsia="Times New Roman" w:cs="Times New Roman"/>
                <w:spacing w:val="38"/>
                <w:sz w:val="18"/>
                <w:szCs w:val="18"/>
              </w:rPr>
              <w:t xml:space="preserve"> </w:t>
            </w:r>
            <w:r>
              <w:rPr>
                <w:rFonts w:ascii="Times New Roman" w:hAnsi="Times New Roman" w:eastAsia="Times New Roman" w:cs="Times New Roman"/>
                <w:spacing w:val="-3"/>
                <w:sz w:val="18"/>
                <w:szCs w:val="18"/>
              </w:rPr>
              <w:t>127.19,2</w:t>
            </w:r>
          </w:p>
        </w:tc>
        <w:tc>
          <w:tcPr>
            <w:tcW w:w="485" w:type="dxa"/>
            <w:vAlign w:val="top"/>
          </w:tcPr>
          <w:p w14:paraId="5FE9A7AE">
            <w:pPr>
              <w:spacing w:before="105" w:line="197" w:lineRule="auto"/>
              <w:ind w:left="15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w:t>
            </w:r>
          </w:p>
        </w:tc>
        <w:tc>
          <w:tcPr>
            <w:tcW w:w="639" w:type="dxa"/>
            <w:gridSpan w:val="2"/>
            <w:vAlign w:val="top"/>
          </w:tcPr>
          <w:p w14:paraId="768F3EAF">
            <w:pPr>
              <w:spacing w:before="105" w:line="197" w:lineRule="auto"/>
              <w:ind w:left="17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62.0</w:t>
            </w:r>
          </w:p>
        </w:tc>
        <w:tc>
          <w:tcPr>
            <w:tcW w:w="484" w:type="dxa"/>
            <w:vMerge w:val="continue"/>
            <w:tcBorders>
              <w:top w:val="nil"/>
              <w:bottom w:val="nil"/>
            </w:tcBorders>
            <w:vAlign w:val="top"/>
          </w:tcPr>
          <w:p w14:paraId="70723153">
            <w:pPr>
              <w:rPr>
                <w:rFonts w:ascii="Arial"/>
                <w:sz w:val="21"/>
              </w:rPr>
            </w:pPr>
          </w:p>
        </w:tc>
        <w:tc>
          <w:tcPr>
            <w:tcW w:w="650" w:type="dxa"/>
            <w:vAlign w:val="top"/>
          </w:tcPr>
          <w:p w14:paraId="6BDD9AF4">
            <w:pPr>
              <w:spacing w:before="105" w:line="197" w:lineRule="auto"/>
              <w:ind w:left="24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p>
        </w:tc>
        <w:tc>
          <w:tcPr>
            <w:tcW w:w="706" w:type="dxa"/>
            <w:gridSpan w:val="2"/>
            <w:vAlign w:val="top"/>
          </w:tcPr>
          <w:p w14:paraId="115248DD">
            <w:pPr>
              <w:spacing w:before="105" w:line="197" w:lineRule="auto"/>
              <w:ind w:left="27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36</w:t>
            </w:r>
          </w:p>
        </w:tc>
        <w:tc>
          <w:tcPr>
            <w:tcW w:w="678" w:type="dxa"/>
            <w:gridSpan w:val="2"/>
            <w:tcBorders>
              <w:right w:val="single" w:color="000000" w:sz="8" w:space="0"/>
            </w:tcBorders>
            <w:vAlign w:val="top"/>
          </w:tcPr>
          <w:p w14:paraId="534D2967">
            <w:pPr>
              <w:spacing w:before="105" w:line="197" w:lineRule="auto"/>
              <w:ind w:left="319"/>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07" w:type="dxa"/>
            <w:tcBorders>
              <w:left w:val="single" w:color="000000" w:sz="8" w:space="0"/>
              <w:right w:val="single" w:color="000000" w:sz="6" w:space="0"/>
            </w:tcBorders>
            <w:vAlign w:val="top"/>
          </w:tcPr>
          <w:p w14:paraId="2C499481">
            <w:pPr>
              <w:rPr>
                <w:rFonts w:ascii="Arial"/>
                <w:sz w:val="21"/>
              </w:rPr>
            </w:pPr>
          </w:p>
        </w:tc>
      </w:tr>
      <w:tr w14:paraId="314A9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50" w:type="dxa"/>
            <w:vMerge w:val="continue"/>
            <w:tcBorders>
              <w:top w:val="nil"/>
              <w:left w:val="single" w:color="000000" w:sz="6" w:space="0"/>
              <w:bottom w:val="nil"/>
            </w:tcBorders>
            <w:vAlign w:val="top"/>
          </w:tcPr>
          <w:p w14:paraId="0DB5DB21">
            <w:pPr>
              <w:rPr>
                <w:rFonts w:ascii="Arial"/>
                <w:sz w:val="21"/>
              </w:rPr>
            </w:pPr>
          </w:p>
        </w:tc>
        <w:tc>
          <w:tcPr>
            <w:tcW w:w="460" w:type="dxa"/>
            <w:gridSpan w:val="3"/>
            <w:vMerge w:val="continue"/>
            <w:tcBorders>
              <w:top w:val="nil"/>
              <w:bottom w:val="nil"/>
            </w:tcBorders>
            <w:textDirection w:val="tbRlV"/>
            <w:vAlign w:val="top"/>
          </w:tcPr>
          <w:p w14:paraId="0145A4A8">
            <w:pPr>
              <w:rPr>
                <w:rFonts w:ascii="Arial"/>
                <w:sz w:val="21"/>
              </w:rPr>
            </w:pPr>
          </w:p>
        </w:tc>
        <w:tc>
          <w:tcPr>
            <w:tcW w:w="522" w:type="dxa"/>
            <w:gridSpan w:val="2"/>
            <w:vMerge w:val="continue"/>
            <w:tcBorders>
              <w:top w:val="nil"/>
              <w:bottom w:val="nil"/>
            </w:tcBorders>
            <w:vAlign w:val="top"/>
          </w:tcPr>
          <w:p w14:paraId="71AFFE82">
            <w:pPr>
              <w:rPr>
                <w:rFonts w:ascii="Arial"/>
                <w:sz w:val="21"/>
              </w:rPr>
            </w:pPr>
          </w:p>
        </w:tc>
        <w:tc>
          <w:tcPr>
            <w:tcW w:w="789" w:type="dxa"/>
            <w:vAlign w:val="top"/>
          </w:tcPr>
          <w:p w14:paraId="1419BE20">
            <w:pPr>
              <w:pStyle w:val="6"/>
              <w:spacing w:before="56" w:line="219" w:lineRule="auto"/>
              <w:ind w:left="148"/>
              <w:rPr>
                <w:sz w:val="18"/>
                <w:szCs w:val="18"/>
              </w:rPr>
            </w:pPr>
            <w:r>
              <w:rPr>
                <w:spacing w:val="-3"/>
                <w:sz w:val="18"/>
                <w:szCs w:val="18"/>
              </w:rPr>
              <w:t>风机</w:t>
            </w:r>
            <w:r>
              <w:rPr>
                <w:spacing w:val="-35"/>
                <w:sz w:val="18"/>
                <w:szCs w:val="18"/>
              </w:rPr>
              <w:t xml:space="preserve"> </w:t>
            </w:r>
            <w:r>
              <w:rPr>
                <w:spacing w:val="-3"/>
                <w:sz w:val="18"/>
                <w:szCs w:val="18"/>
              </w:rPr>
              <w:t>3</w:t>
            </w:r>
          </w:p>
        </w:tc>
        <w:tc>
          <w:tcPr>
            <w:tcW w:w="652" w:type="dxa"/>
            <w:gridSpan w:val="2"/>
            <w:vAlign w:val="top"/>
          </w:tcPr>
          <w:p w14:paraId="705F3541">
            <w:pPr>
              <w:spacing w:before="84" w:line="220" w:lineRule="auto"/>
              <w:ind w:left="23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90</w:t>
            </w:r>
          </w:p>
        </w:tc>
        <w:tc>
          <w:tcPr>
            <w:tcW w:w="683" w:type="dxa"/>
            <w:vMerge w:val="continue"/>
            <w:tcBorders>
              <w:top w:val="nil"/>
              <w:bottom w:val="nil"/>
            </w:tcBorders>
            <w:vAlign w:val="top"/>
          </w:tcPr>
          <w:p w14:paraId="202A6700">
            <w:pPr>
              <w:rPr>
                <w:rFonts w:ascii="Arial"/>
                <w:sz w:val="21"/>
              </w:rPr>
            </w:pPr>
          </w:p>
        </w:tc>
        <w:tc>
          <w:tcPr>
            <w:tcW w:w="1308" w:type="dxa"/>
            <w:gridSpan w:val="2"/>
            <w:vAlign w:val="top"/>
          </w:tcPr>
          <w:p w14:paraId="5BF92DD1">
            <w:pPr>
              <w:spacing w:before="105" w:line="195" w:lineRule="auto"/>
              <w:ind w:left="10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12.47,</w:t>
            </w:r>
            <w:r>
              <w:rPr>
                <w:rFonts w:ascii="Times New Roman" w:hAnsi="Times New Roman" w:eastAsia="Times New Roman" w:cs="Times New Roman"/>
                <w:spacing w:val="29"/>
                <w:w w:val="101"/>
                <w:sz w:val="18"/>
                <w:szCs w:val="18"/>
              </w:rPr>
              <w:t xml:space="preserve"> </w:t>
            </w:r>
            <w:r>
              <w:rPr>
                <w:rFonts w:ascii="Times New Roman" w:hAnsi="Times New Roman" w:eastAsia="Times New Roman" w:cs="Times New Roman"/>
                <w:spacing w:val="-3"/>
                <w:sz w:val="18"/>
                <w:szCs w:val="18"/>
              </w:rPr>
              <w:t>169.78.1</w:t>
            </w:r>
          </w:p>
        </w:tc>
        <w:tc>
          <w:tcPr>
            <w:tcW w:w="485" w:type="dxa"/>
            <w:vAlign w:val="top"/>
          </w:tcPr>
          <w:p w14:paraId="208622E5">
            <w:pPr>
              <w:spacing w:before="105" w:line="195" w:lineRule="auto"/>
              <w:ind w:left="208"/>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639" w:type="dxa"/>
            <w:gridSpan w:val="2"/>
            <w:vAlign w:val="top"/>
          </w:tcPr>
          <w:p w14:paraId="18F2746B">
            <w:pPr>
              <w:spacing w:before="105" w:line="195" w:lineRule="auto"/>
              <w:ind w:left="16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71.9</w:t>
            </w:r>
          </w:p>
        </w:tc>
        <w:tc>
          <w:tcPr>
            <w:tcW w:w="484" w:type="dxa"/>
            <w:vMerge w:val="continue"/>
            <w:tcBorders>
              <w:top w:val="nil"/>
              <w:bottom w:val="nil"/>
            </w:tcBorders>
            <w:vAlign w:val="top"/>
          </w:tcPr>
          <w:p w14:paraId="09530797">
            <w:pPr>
              <w:rPr>
                <w:rFonts w:ascii="Arial"/>
                <w:sz w:val="21"/>
              </w:rPr>
            </w:pPr>
          </w:p>
        </w:tc>
        <w:tc>
          <w:tcPr>
            <w:tcW w:w="650" w:type="dxa"/>
            <w:vAlign w:val="top"/>
          </w:tcPr>
          <w:p w14:paraId="1A0177B1">
            <w:pPr>
              <w:spacing w:before="105" w:line="195" w:lineRule="auto"/>
              <w:ind w:left="24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p>
        </w:tc>
        <w:tc>
          <w:tcPr>
            <w:tcW w:w="706" w:type="dxa"/>
            <w:gridSpan w:val="2"/>
            <w:vAlign w:val="top"/>
          </w:tcPr>
          <w:p w14:paraId="1CD647DA">
            <w:pPr>
              <w:spacing w:before="105" w:line="195"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tc>
        <w:tc>
          <w:tcPr>
            <w:tcW w:w="678" w:type="dxa"/>
            <w:gridSpan w:val="2"/>
            <w:tcBorders>
              <w:right w:val="single" w:color="000000" w:sz="8" w:space="0"/>
            </w:tcBorders>
            <w:vAlign w:val="top"/>
          </w:tcPr>
          <w:p w14:paraId="643417DB">
            <w:pPr>
              <w:spacing w:before="105" w:line="195" w:lineRule="auto"/>
              <w:ind w:left="319"/>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07" w:type="dxa"/>
            <w:tcBorders>
              <w:left w:val="single" w:color="000000" w:sz="8" w:space="0"/>
              <w:right w:val="single" w:color="000000" w:sz="6" w:space="0"/>
            </w:tcBorders>
            <w:vAlign w:val="top"/>
          </w:tcPr>
          <w:p w14:paraId="031B722B">
            <w:pPr>
              <w:rPr>
                <w:rFonts w:ascii="Arial"/>
                <w:sz w:val="21"/>
              </w:rPr>
            </w:pPr>
          </w:p>
        </w:tc>
      </w:tr>
      <w:tr w14:paraId="2F7F8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50" w:type="dxa"/>
            <w:vMerge w:val="continue"/>
            <w:tcBorders>
              <w:top w:val="nil"/>
              <w:left w:val="single" w:color="000000" w:sz="6" w:space="0"/>
              <w:bottom w:val="nil"/>
            </w:tcBorders>
            <w:vAlign w:val="top"/>
          </w:tcPr>
          <w:p w14:paraId="7D8EEFCC">
            <w:pPr>
              <w:rPr>
                <w:rFonts w:ascii="Arial"/>
                <w:sz w:val="21"/>
              </w:rPr>
            </w:pPr>
          </w:p>
        </w:tc>
        <w:tc>
          <w:tcPr>
            <w:tcW w:w="460" w:type="dxa"/>
            <w:gridSpan w:val="3"/>
            <w:vMerge w:val="continue"/>
            <w:tcBorders>
              <w:top w:val="nil"/>
            </w:tcBorders>
            <w:textDirection w:val="tbRlV"/>
            <w:vAlign w:val="top"/>
          </w:tcPr>
          <w:p w14:paraId="570CCE4F">
            <w:pPr>
              <w:rPr>
                <w:rFonts w:ascii="Arial"/>
                <w:sz w:val="21"/>
              </w:rPr>
            </w:pPr>
          </w:p>
        </w:tc>
        <w:tc>
          <w:tcPr>
            <w:tcW w:w="522" w:type="dxa"/>
            <w:gridSpan w:val="2"/>
            <w:vMerge w:val="continue"/>
            <w:tcBorders>
              <w:top w:val="nil"/>
            </w:tcBorders>
            <w:vAlign w:val="top"/>
          </w:tcPr>
          <w:p w14:paraId="41776B1A">
            <w:pPr>
              <w:rPr>
                <w:rFonts w:ascii="Arial"/>
                <w:sz w:val="21"/>
              </w:rPr>
            </w:pPr>
          </w:p>
        </w:tc>
        <w:tc>
          <w:tcPr>
            <w:tcW w:w="789" w:type="dxa"/>
            <w:vAlign w:val="top"/>
          </w:tcPr>
          <w:p w14:paraId="029DEF32">
            <w:pPr>
              <w:pStyle w:val="6"/>
              <w:spacing w:before="57" w:line="220" w:lineRule="auto"/>
              <w:ind w:left="34"/>
              <w:rPr>
                <w:sz w:val="18"/>
                <w:szCs w:val="18"/>
              </w:rPr>
            </w:pPr>
            <w:r>
              <w:rPr>
                <w:spacing w:val="-2"/>
                <w:sz w:val="18"/>
                <w:szCs w:val="18"/>
              </w:rPr>
              <w:t>输送设备</w:t>
            </w:r>
          </w:p>
        </w:tc>
        <w:tc>
          <w:tcPr>
            <w:tcW w:w="652" w:type="dxa"/>
            <w:gridSpan w:val="2"/>
            <w:vAlign w:val="top"/>
          </w:tcPr>
          <w:p w14:paraId="7951BBBF">
            <w:pPr>
              <w:spacing w:before="85" w:line="220" w:lineRule="auto"/>
              <w:ind w:left="23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75</w:t>
            </w:r>
          </w:p>
        </w:tc>
        <w:tc>
          <w:tcPr>
            <w:tcW w:w="683" w:type="dxa"/>
            <w:vMerge w:val="continue"/>
            <w:tcBorders>
              <w:top w:val="nil"/>
            </w:tcBorders>
            <w:vAlign w:val="top"/>
          </w:tcPr>
          <w:p w14:paraId="202B0DE8">
            <w:pPr>
              <w:rPr>
                <w:rFonts w:ascii="Arial"/>
                <w:sz w:val="21"/>
              </w:rPr>
            </w:pPr>
          </w:p>
        </w:tc>
        <w:tc>
          <w:tcPr>
            <w:tcW w:w="1308" w:type="dxa"/>
            <w:gridSpan w:val="2"/>
            <w:vAlign w:val="top"/>
          </w:tcPr>
          <w:p w14:paraId="4036F48F">
            <w:pPr>
              <w:spacing w:before="106" w:line="195" w:lineRule="auto"/>
              <w:ind w:left="8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27.47,</w:t>
            </w:r>
            <w:r>
              <w:rPr>
                <w:rFonts w:ascii="Times New Roman" w:hAnsi="Times New Roman" w:eastAsia="Times New Roman" w:cs="Times New Roman"/>
                <w:spacing w:val="32"/>
                <w:sz w:val="18"/>
                <w:szCs w:val="18"/>
              </w:rPr>
              <w:t xml:space="preserve"> </w:t>
            </w:r>
            <w:r>
              <w:rPr>
                <w:rFonts w:ascii="Times New Roman" w:hAnsi="Times New Roman" w:eastAsia="Times New Roman" w:cs="Times New Roman"/>
                <w:spacing w:val="-2"/>
                <w:sz w:val="18"/>
                <w:szCs w:val="18"/>
              </w:rPr>
              <w:t>146.08,1</w:t>
            </w:r>
          </w:p>
        </w:tc>
        <w:tc>
          <w:tcPr>
            <w:tcW w:w="485" w:type="dxa"/>
            <w:vAlign w:val="top"/>
          </w:tcPr>
          <w:p w14:paraId="0E2404C5">
            <w:pPr>
              <w:spacing w:before="106" w:line="195" w:lineRule="auto"/>
              <w:ind w:left="206"/>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639" w:type="dxa"/>
            <w:gridSpan w:val="2"/>
            <w:vAlign w:val="top"/>
          </w:tcPr>
          <w:p w14:paraId="0D36DD30">
            <w:pPr>
              <w:spacing w:before="106" w:line="195" w:lineRule="auto"/>
              <w:ind w:left="17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61.0</w:t>
            </w:r>
          </w:p>
        </w:tc>
        <w:tc>
          <w:tcPr>
            <w:tcW w:w="484" w:type="dxa"/>
            <w:vMerge w:val="continue"/>
            <w:tcBorders>
              <w:top w:val="nil"/>
            </w:tcBorders>
            <w:vAlign w:val="top"/>
          </w:tcPr>
          <w:p w14:paraId="2688D8FC">
            <w:pPr>
              <w:rPr>
                <w:rFonts w:ascii="Arial"/>
                <w:sz w:val="21"/>
              </w:rPr>
            </w:pPr>
          </w:p>
        </w:tc>
        <w:tc>
          <w:tcPr>
            <w:tcW w:w="650" w:type="dxa"/>
            <w:vAlign w:val="top"/>
          </w:tcPr>
          <w:p w14:paraId="2BC12185">
            <w:pPr>
              <w:spacing w:before="106" w:line="195" w:lineRule="auto"/>
              <w:ind w:left="24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p>
        </w:tc>
        <w:tc>
          <w:tcPr>
            <w:tcW w:w="706" w:type="dxa"/>
            <w:gridSpan w:val="2"/>
            <w:vAlign w:val="top"/>
          </w:tcPr>
          <w:p w14:paraId="2C3E8BC5">
            <w:pPr>
              <w:spacing w:before="106" w:line="195" w:lineRule="auto"/>
              <w:ind w:left="27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35</w:t>
            </w:r>
          </w:p>
        </w:tc>
        <w:tc>
          <w:tcPr>
            <w:tcW w:w="678" w:type="dxa"/>
            <w:gridSpan w:val="2"/>
            <w:tcBorders>
              <w:right w:val="single" w:color="000000" w:sz="8" w:space="0"/>
            </w:tcBorders>
            <w:vAlign w:val="top"/>
          </w:tcPr>
          <w:p w14:paraId="575504B7">
            <w:pPr>
              <w:spacing w:before="106" w:line="195" w:lineRule="auto"/>
              <w:ind w:left="319"/>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07" w:type="dxa"/>
            <w:tcBorders>
              <w:left w:val="single" w:color="000000" w:sz="8" w:space="0"/>
              <w:right w:val="single" w:color="000000" w:sz="6" w:space="0"/>
            </w:tcBorders>
            <w:vAlign w:val="top"/>
          </w:tcPr>
          <w:p w14:paraId="0C372042">
            <w:pPr>
              <w:rPr>
                <w:rFonts w:ascii="Arial"/>
                <w:sz w:val="21"/>
              </w:rPr>
            </w:pPr>
          </w:p>
        </w:tc>
      </w:tr>
      <w:tr w14:paraId="308BC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750" w:type="dxa"/>
            <w:vMerge w:val="continue"/>
            <w:tcBorders>
              <w:top w:val="nil"/>
              <w:left w:val="single" w:color="000000" w:sz="6" w:space="0"/>
              <w:bottom w:val="nil"/>
            </w:tcBorders>
            <w:vAlign w:val="top"/>
          </w:tcPr>
          <w:p w14:paraId="769C40B9">
            <w:pPr>
              <w:rPr>
                <w:rFonts w:ascii="Arial"/>
                <w:sz w:val="21"/>
              </w:rPr>
            </w:pPr>
          </w:p>
        </w:tc>
        <w:tc>
          <w:tcPr>
            <w:tcW w:w="97" w:type="dxa"/>
            <w:tcBorders>
              <w:right w:val="single" w:color="000000" w:sz="8" w:space="0"/>
            </w:tcBorders>
            <w:vAlign w:val="top"/>
          </w:tcPr>
          <w:p w14:paraId="1EE53257">
            <w:pPr>
              <w:rPr>
                <w:rFonts w:ascii="Arial"/>
                <w:sz w:val="21"/>
              </w:rPr>
            </w:pPr>
          </w:p>
        </w:tc>
        <w:tc>
          <w:tcPr>
            <w:tcW w:w="7959" w:type="dxa"/>
            <w:gridSpan w:val="19"/>
            <w:tcBorders>
              <w:left w:val="single" w:color="000000" w:sz="8" w:space="0"/>
              <w:right w:val="single" w:color="000000" w:sz="8" w:space="0"/>
            </w:tcBorders>
            <w:vAlign w:val="top"/>
          </w:tcPr>
          <w:p w14:paraId="759C74BE">
            <w:pPr>
              <w:pStyle w:val="6"/>
              <w:spacing w:before="83" w:line="249" w:lineRule="auto"/>
              <w:ind w:left="26" w:right="18" w:firstLine="2"/>
              <w:rPr>
                <w:sz w:val="18"/>
                <w:szCs w:val="18"/>
              </w:rPr>
            </w:pPr>
            <w:r>
              <w:rPr>
                <w:sz w:val="18"/>
                <w:szCs w:val="18"/>
              </w:rPr>
              <w:t>说明：表中坐标以租用厂房东南角处（</w:t>
            </w:r>
            <w:r>
              <w:rPr>
                <w:rFonts w:ascii="Times New Roman" w:hAnsi="Times New Roman" w:eastAsia="Times New Roman" w:cs="Times New Roman"/>
                <w:sz w:val="18"/>
                <w:szCs w:val="18"/>
              </w:rPr>
              <w:t>E107°29'35.7840",N31°19'06.346</w:t>
            </w:r>
            <w:r>
              <w:rPr>
                <w:rFonts w:ascii="Times New Roman" w:hAnsi="Times New Roman" w:eastAsia="Times New Roman" w:cs="Times New Roman"/>
                <w:spacing w:val="-1"/>
                <w:sz w:val="18"/>
                <w:szCs w:val="18"/>
              </w:rPr>
              <w:t>1",</w:t>
            </w:r>
            <w:r>
              <w:rPr>
                <w:spacing w:val="-1"/>
                <w:sz w:val="18"/>
                <w:szCs w:val="18"/>
              </w:rPr>
              <w:t>高程</w:t>
            </w:r>
            <w:r>
              <w:rPr>
                <w:spacing w:val="-23"/>
                <w:sz w:val="18"/>
                <w:szCs w:val="18"/>
              </w:rPr>
              <w:t xml:space="preserve"> </w:t>
            </w:r>
            <w:r>
              <w:rPr>
                <w:rFonts w:ascii="Times New Roman" w:hAnsi="Times New Roman" w:eastAsia="Times New Roman" w:cs="Times New Roman"/>
                <w:spacing w:val="-1"/>
                <w:sz w:val="18"/>
                <w:szCs w:val="18"/>
              </w:rPr>
              <w:t>364.2</w:t>
            </w:r>
            <w:r>
              <w:rPr>
                <w:spacing w:val="-1"/>
                <w:sz w:val="18"/>
                <w:szCs w:val="18"/>
              </w:rPr>
              <w:t>）为坐标原点，</w:t>
            </w:r>
            <w:r>
              <w:rPr>
                <w:rFonts w:ascii="Times New Roman" w:hAnsi="Times New Roman" w:eastAsia="Times New Roman" w:cs="Times New Roman"/>
                <w:spacing w:val="-1"/>
                <w:sz w:val="18"/>
                <w:szCs w:val="18"/>
              </w:rPr>
              <w:t>x</w:t>
            </w:r>
            <w:r>
              <w:rPr>
                <w:rFonts w:ascii="Times New Roman" w:hAnsi="Times New Roman" w:eastAsia="Times New Roman" w:cs="Times New Roman"/>
                <w:sz w:val="18"/>
                <w:szCs w:val="18"/>
              </w:rPr>
              <w:t xml:space="preserve"> </w:t>
            </w:r>
            <w:r>
              <w:rPr>
                <w:spacing w:val="-1"/>
                <w:sz w:val="18"/>
                <w:szCs w:val="18"/>
              </w:rPr>
              <w:t>代表横轴，</w:t>
            </w:r>
            <w:r>
              <w:rPr>
                <w:rFonts w:ascii="Times New Roman" w:hAnsi="Times New Roman" w:eastAsia="Times New Roman" w:cs="Times New Roman"/>
                <w:spacing w:val="-1"/>
                <w:sz w:val="18"/>
                <w:szCs w:val="18"/>
              </w:rPr>
              <w:t xml:space="preserve">y </w:t>
            </w:r>
            <w:r>
              <w:rPr>
                <w:spacing w:val="-1"/>
                <w:sz w:val="18"/>
                <w:szCs w:val="18"/>
              </w:rPr>
              <w:t>代表纵轴，</w:t>
            </w:r>
            <w:r>
              <w:rPr>
                <w:rFonts w:ascii="Times New Roman" w:hAnsi="Times New Roman" w:eastAsia="Times New Roman" w:cs="Times New Roman"/>
                <w:spacing w:val="-1"/>
                <w:sz w:val="18"/>
                <w:szCs w:val="18"/>
              </w:rPr>
              <w:t xml:space="preserve">z </w:t>
            </w:r>
            <w:r>
              <w:rPr>
                <w:spacing w:val="-1"/>
                <w:sz w:val="18"/>
                <w:szCs w:val="18"/>
              </w:rPr>
              <w:t>代表竖轴</w:t>
            </w:r>
          </w:p>
        </w:tc>
        <w:tc>
          <w:tcPr>
            <w:tcW w:w="107" w:type="dxa"/>
            <w:tcBorders>
              <w:left w:val="single" w:color="000000" w:sz="8" w:space="0"/>
              <w:right w:val="single" w:color="000000" w:sz="6" w:space="0"/>
            </w:tcBorders>
            <w:vAlign w:val="top"/>
          </w:tcPr>
          <w:p w14:paraId="4344978B">
            <w:pPr>
              <w:rPr>
                <w:rFonts w:ascii="Arial"/>
                <w:sz w:val="21"/>
              </w:rPr>
            </w:pPr>
          </w:p>
        </w:tc>
      </w:tr>
      <w:tr w14:paraId="0F212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50" w:type="dxa"/>
            <w:vMerge w:val="continue"/>
            <w:tcBorders>
              <w:top w:val="nil"/>
              <w:left w:val="single" w:color="000000" w:sz="6" w:space="0"/>
              <w:bottom w:val="nil"/>
            </w:tcBorders>
            <w:vAlign w:val="top"/>
          </w:tcPr>
          <w:p w14:paraId="45934DF6">
            <w:pPr>
              <w:rPr>
                <w:rFonts w:ascii="Arial"/>
                <w:sz w:val="21"/>
              </w:rPr>
            </w:pPr>
          </w:p>
        </w:tc>
        <w:tc>
          <w:tcPr>
            <w:tcW w:w="8163" w:type="dxa"/>
            <w:gridSpan w:val="21"/>
            <w:tcBorders>
              <w:right w:val="single" w:color="000000" w:sz="6" w:space="0"/>
            </w:tcBorders>
            <w:vAlign w:val="top"/>
          </w:tcPr>
          <w:p w14:paraId="05FB6DD6">
            <w:pPr>
              <w:spacing w:before="91" w:line="206" w:lineRule="auto"/>
              <w:ind w:left="2552"/>
              <w:rPr>
                <w:rFonts w:ascii="黑体" w:hAnsi="黑体" w:eastAsia="黑体" w:cs="黑体"/>
                <w:sz w:val="20"/>
                <w:szCs w:val="20"/>
              </w:rPr>
            </w:pPr>
            <w:r>
              <w:rPr>
                <w:rFonts w:ascii="黑体" w:hAnsi="黑体" w:eastAsia="黑体" w:cs="黑体"/>
                <w:spacing w:val="-1"/>
                <w:sz w:val="20"/>
                <w:szCs w:val="20"/>
              </w:rPr>
              <w:t>表</w:t>
            </w:r>
            <w:r>
              <w:rPr>
                <w:rFonts w:ascii="Times New Roman" w:hAnsi="Times New Roman" w:eastAsia="Times New Roman" w:cs="Times New Roman"/>
                <w:spacing w:val="-1"/>
                <w:sz w:val="20"/>
                <w:szCs w:val="20"/>
              </w:rPr>
              <w:t xml:space="preserve">4-11      </w:t>
            </w:r>
            <w:r>
              <w:rPr>
                <w:rFonts w:ascii="黑体" w:hAnsi="黑体" w:eastAsia="黑体" w:cs="黑体"/>
                <w:spacing w:val="-1"/>
                <w:sz w:val="20"/>
                <w:szCs w:val="20"/>
              </w:rPr>
              <w:t>项目室外声源调查一览表</w:t>
            </w:r>
          </w:p>
        </w:tc>
      </w:tr>
      <w:tr w14:paraId="2B1B2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50" w:type="dxa"/>
            <w:vMerge w:val="continue"/>
            <w:tcBorders>
              <w:top w:val="nil"/>
              <w:left w:val="single" w:color="000000" w:sz="6" w:space="0"/>
              <w:bottom w:val="nil"/>
            </w:tcBorders>
            <w:vAlign w:val="top"/>
          </w:tcPr>
          <w:p w14:paraId="121608E5">
            <w:pPr>
              <w:rPr>
                <w:rFonts w:ascii="Arial"/>
                <w:sz w:val="21"/>
              </w:rPr>
            </w:pPr>
          </w:p>
        </w:tc>
        <w:tc>
          <w:tcPr>
            <w:tcW w:w="135" w:type="dxa"/>
            <w:gridSpan w:val="2"/>
            <w:vMerge w:val="restart"/>
            <w:tcBorders>
              <w:bottom w:val="nil"/>
              <w:right w:val="nil"/>
            </w:tcBorders>
            <w:vAlign w:val="top"/>
          </w:tcPr>
          <w:p w14:paraId="7309AEAF">
            <w:pPr>
              <w:rPr>
                <w:rFonts w:ascii="Arial"/>
                <w:sz w:val="21"/>
              </w:rPr>
            </w:pPr>
          </w:p>
        </w:tc>
        <w:tc>
          <w:tcPr>
            <w:tcW w:w="672" w:type="dxa"/>
            <w:gridSpan w:val="2"/>
            <w:vMerge w:val="restart"/>
            <w:tcBorders>
              <w:left w:val="nil"/>
              <w:bottom w:val="nil"/>
            </w:tcBorders>
            <w:vAlign w:val="top"/>
          </w:tcPr>
          <w:p w14:paraId="07310B25">
            <w:pPr>
              <w:pStyle w:val="6"/>
              <w:spacing w:before="202" w:line="221" w:lineRule="auto"/>
              <w:ind w:left="156"/>
              <w:rPr>
                <w:sz w:val="18"/>
                <w:szCs w:val="18"/>
              </w:rPr>
            </w:pPr>
            <w:r>
              <w:rPr>
                <w:spacing w:val="-2"/>
                <w:sz w:val="18"/>
                <w:szCs w:val="18"/>
              </w:rPr>
              <w:t>序号</w:t>
            </w:r>
          </w:p>
        </w:tc>
        <w:tc>
          <w:tcPr>
            <w:tcW w:w="1083" w:type="dxa"/>
            <w:gridSpan w:val="3"/>
            <w:vMerge w:val="restart"/>
            <w:tcBorders>
              <w:bottom w:val="nil"/>
            </w:tcBorders>
            <w:vAlign w:val="top"/>
          </w:tcPr>
          <w:p w14:paraId="423F5FB7">
            <w:pPr>
              <w:pStyle w:val="6"/>
              <w:spacing w:before="203" w:line="220" w:lineRule="auto"/>
              <w:ind w:left="185"/>
              <w:rPr>
                <w:sz w:val="18"/>
                <w:szCs w:val="18"/>
              </w:rPr>
            </w:pPr>
            <w:r>
              <w:rPr>
                <w:spacing w:val="-2"/>
                <w:sz w:val="18"/>
                <w:szCs w:val="18"/>
              </w:rPr>
              <w:t>声源名称</w:t>
            </w:r>
          </w:p>
        </w:tc>
        <w:tc>
          <w:tcPr>
            <w:tcW w:w="1708" w:type="dxa"/>
            <w:gridSpan w:val="3"/>
            <w:vAlign w:val="top"/>
          </w:tcPr>
          <w:p w14:paraId="31B97060">
            <w:pPr>
              <w:pStyle w:val="6"/>
              <w:spacing w:before="57" w:line="222" w:lineRule="auto"/>
              <w:ind w:left="227"/>
              <w:rPr>
                <w:rFonts w:ascii="Times New Roman" w:hAnsi="Times New Roman" w:eastAsia="Times New Roman" w:cs="Times New Roman"/>
                <w:sz w:val="18"/>
                <w:szCs w:val="18"/>
              </w:rPr>
            </w:pPr>
            <w:r>
              <w:rPr>
                <w:spacing w:val="-2"/>
                <w:sz w:val="18"/>
                <w:szCs w:val="18"/>
              </w:rPr>
              <w:t>空间相对位置</w:t>
            </w:r>
            <w:r>
              <w:rPr>
                <w:rFonts w:ascii="Times New Roman" w:hAnsi="Times New Roman" w:eastAsia="Times New Roman" w:cs="Times New Roman"/>
                <w:spacing w:val="-2"/>
                <w:sz w:val="18"/>
                <w:szCs w:val="18"/>
              </w:rPr>
              <w:t>/m</w:t>
            </w:r>
          </w:p>
        </w:tc>
        <w:tc>
          <w:tcPr>
            <w:tcW w:w="1445" w:type="dxa"/>
            <w:gridSpan w:val="3"/>
            <w:vMerge w:val="restart"/>
            <w:tcBorders>
              <w:bottom w:val="nil"/>
            </w:tcBorders>
            <w:vAlign w:val="top"/>
          </w:tcPr>
          <w:p w14:paraId="57C35640">
            <w:pPr>
              <w:pStyle w:val="6"/>
              <w:spacing w:before="203" w:line="210" w:lineRule="auto"/>
              <w:ind w:left="117"/>
              <w:rPr>
                <w:rFonts w:ascii="Times New Roman" w:hAnsi="Times New Roman" w:eastAsia="Times New Roman" w:cs="Times New Roman"/>
                <w:sz w:val="18"/>
                <w:szCs w:val="18"/>
              </w:rPr>
            </w:pPr>
            <w:r>
              <w:rPr>
                <w:spacing w:val="-2"/>
                <w:sz w:val="18"/>
                <w:szCs w:val="18"/>
              </w:rPr>
              <w:t>声功率级</w:t>
            </w:r>
            <w:r>
              <w:rPr>
                <w:rFonts w:ascii="Times New Roman" w:hAnsi="Times New Roman" w:eastAsia="Times New Roman" w:cs="Times New Roman"/>
                <w:spacing w:val="-2"/>
                <w:sz w:val="18"/>
                <w:szCs w:val="18"/>
              </w:rPr>
              <w:t>/dB(A)</w:t>
            </w:r>
          </w:p>
        </w:tc>
        <w:tc>
          <w:tcPr>
            <w:tcW w:w="2089" w:type="dxa"/>
            <w:gridSpan w:val="4"/>
            <w:vMerge w:val="restart"/>
            <w:tcBorders>
              <w:bottom w:val="nil"/>
            </w:tcBorders>
            <w:vAlign w:val="top"/>
          </w:tcPr>
          <w:p w14:paraId="1ADDE8A9">
            <w:pPr>
              <w:pStyle w:val="6"/>
              <w:spacing w:before="203" w:line="220" w:lineRule="auto"/>
              <w:ind w:left="518"/>
              <w:rPr>
                <w:sz w:val="18"/>
                <w:szCs w:val="18"/>
              </w:rPr>
            </w:pPr>
            <w:r>
              <w:rPr>
                <w:spacing w:val="-2"/>
                <w:sz w:val="18"/>
                <w:szCs w:val="18"/>
              </w:rPr>
              <w:t>声源控制措施</w:t>
            </w:r>
          </w:p>
        </w:tc>
        <w:tc>
          <w:tcPr>
            <w:tcW w:w="886" w:type="dxa"/>
            <w:gridSpan w:val="2"/>
            <w:vMerge w:val="restart"/>
            <w:tcBorders>
              <w:bottom w:val="nil"/>
              <w:right w:val="nil"/>
            </w:tcBorders>
            <w:vAlign w:val="top"/>
          </w:tcPr>
          <w:p w14:paraId="5DE0B698">
            <w:pPr>
              <w:pStyle w:val="6"/>
              <w:spacing w:before="203" w:line="220" w:lineRule="auto"/>
              <w:ind w:left="94"/>
              <w:rPr>
                <w:sz w:val="18"/>
                <w:szCs w:val="18"/>
              </w:rPr>
            </w:pPr>
            <w:r>
              <w:rPr>
                <w:spacing w:val="-2"/>
                <w:sz w:val="18"/>
                <w:szCs w:val="18"/>
              </w:rPr>
              <w:t>运行时段</w:t>
            </w:r>
          </w:p>
        </w:tc>
        <w:tc>
          <w:tcPr>
            <w:tcW w:w="145" w:type="dxa"/>
            <w:gridSpan w:val="2"/>
            <w:vMerge w:val="restart"/>
            <w:tcBorders>
              <w:left w:val="nil"/>
              <w:bottom w:val="nil"/>
              <w:right w:val="single" w:color="000000" w:sz="6" w:space="0"/>
            </w:tcBorders>
            <w:vAlign w:val="top"/>
          </w:tcPr>
          <w:p w14:paraId="07D46F46">
            <w:pPr>
              <w:rPr>
                <w:rFonts w:ascii="Arial"/>
                <w:sz w:val="21"/>
              </w:rPr>
            </w:pPr>
          </w:p>
        </w:tc>
      </w:tr>
      <w:tr w14:paraId="21FE9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50" w:type="dxa"/>
            <w:vMerge w:val="continue"/>
            <w:tcBorders>
              <w:top w:val="nil"/>
              <w:left w:val="single" w:color="000000" w:sz="6" w:space="0"/>
              <w:bottom w:val="nil"/>
            </w:tcBorders>
            <w:vAlign w:val="top"/>
          </w:tcPr>
          <w:p w14:paraId="282412F6">
            <w:pPr>
              <w:rPr>
                <w:rFonts w:ascii="Arial"/>
                <w:sz w:val="21"/>
              </w:rPr>
            </w:pPr>
          </w:p>
        </w:tc>
        <w:tc>
          <w:tcPr>
            <w:tcW w:w="135" w:type="dxa"/>
            <w:gridSpan w:val="2"/>
            <w:vMerge w:val="continue"/>
            <w:tcBorders>
              <w:top w:val="nil"/>
              <w:right w:val="nil"/>
            </w:tcBorders>
            <w:vAlign w:val="top"/>
          </w:tcPr>
          <w:p w14:paraId="4F56F978">
            <w:pPr>
              <w:rPr>
                <w:rFonts w:ascii="Arial"/>
                <w:sz w:val="21"/>
              </w:rPr>
            </w:pPr>
          </w:p>
        </w:tc>
        <w:tc>
          <w:tcPr>
            <w:tcW w:w="672" w:type="dxa"/>
            <w:gridSpan w:val="2"/>
            <w:vMerge w:val="continue"/>
            <w:tcBorders>
              <w:top w:val="nil"/>
              <w:left w:val="nil"/>
            </w:tcBorders>
            <w:vAlign w:val="top"/>
          </w:tcPr>
          <w:p w14:paraId="11BE3D21">
            <w:pPr>
              <w:rPr>
                <w:rFonts w:ascii="Arial"/>
                <w:sz w:val="21"/>
              </w:rPr>
            </w:pPr>
          </w:p>
        </w:tc>
        <w:tc>
          <w:tcPr>
            <w:tcW w:w="1083" w:type="dxa"/>
            <w:gridSpan w:val="3"/>
            <w:vMerge w:val="continue"/>
            <w:tcBorders>
              <w:top w:val="nil"/>
            </w:tcBorders>
            <w:vAlign w:val="top"/>
          </w:tcPr>
          <w:p w14:paraId="5A0133AA">
            <w:pPr>
              <w:rPr>
                <w:rFonts w:ascii="Arial"/>
                <w:sz w:val="21"/>
              </w:rPr>
            </w:pPr>
          </w:p>
        </w:tc>
        <w:tc>
          <w:tcPr>
            <w:tcW w:w="1708" w:type="dxa"/>
            <w:gridSpan w:val="3"/>
            <w:vAlign w:val="top"/>
          </w:tcPr>
          <w:p w14:paraId="3F3207D5">
            <w:pPr>
              <w:pStyle w:val="6"/>
              <w:spacing w:before="92" w:line="178" w:lineRule="auto"/>
              <w:ind w:left="486"/>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X</w:t>
            </w:r>
            <w:r>
              <w:rPr>
                <w:rFonts w:ascii="Times New Roman" w:hAnsi="Times New Roman" w:eastAsia="Times New Roman" w:cs="Times New Roman"/>
                <w:spacing w:val="-23"/>
                <w:sz w:val="18"/>
                <w:szCs w:val="18"/>
              </w:rPr>
              <w:t xml:space="preserve"> </w:t>
            </w:r>
            <w:r>
              <w:rPr>
                <w:rFonts w:hint="eastAsia" w:ascii="Times New Roman" w:hAnsi="Times New Roman" w:eastAsia="宋体" w:cs="Times New Roman"/>
                <w:spacing w:val="-23"/>
                <w:sz w:val="18"/>
                <w:szCs w:val="18"/>
                <w:lang w:eastAsia="zh-CN"/>
              </w:rPr>
              <w:t xml:space="preserve">, </w:t>
            </w:r>
            <w:r>
              <w:rPr>
                <w:rFonts w:ascii="Times New Roman" w:hAnsi="Times New Roman" w:eastAsia="Times New Roman" w:cs="Times New Roman"/>
                <w:spacing w:val="-9"/>
                <w:sz w:val="18"/>
                <w:szCs w:val="18"/>
              </w:rPr>
              <w:t>Y</w:t>
            </w:r>
            <w:r>
              <w:rPr>
                <w:rFonts w:ascii="Times New Roman" w:hAnsi="Times New Roman" w:eastAsia="Times New Roman" w:cs="Times New Roman"/>
                <w:spacing w:val="-23"/>
                <w:sz w:val="18"/>
                <w:szCs w:val="18"/>
              </w:rPr>
              <w:t xml:space="preserve"> </w:t>
            </w:r>
            <w:r>
              <w:rPr>
                <w:rFonts w:hint="eastAsia" w:ascii="Times New Roman" w:hAnsi="Times New Roman" w:eastAsia="宋体" w:cs="Times New Roman"/>
                <w:spacing w:val="-23"/>
                <w:sz w:val="18"/>
                <w:szCs w:val="18"/>
                <w:lang w:eastAsia="zh-CN"/>
              </w:rPr>
              <w:t xml:space="preserve">, </w:t>
            </w:r>
            <w:r>
              <w:rPr>
                <w:rFonts w:ascii="Times New Roman" w:hAnsi="Times New Roman" w:eastAsia="Times New Roman" w:cs="Times New Roman"/>
                <w:spacing w:val="-9"/>
                <w:sz w:val="18"/>
                <w:szCs w:val="18"/>
              </w:rPr>
              <w:t>Z</w:t>
            </w:r>
          </w:p>
        </w:tc>
        <w:tc>
          <w:tcPr>
            <w:tcW w:w="1445" w:type="dxa"/>
            <w:gridSpan w:val="3"/>
            <w:vMerge w:val="continue"/>
            <w:tcBorders>
              <w:top w:val="nil"/>
            </w:tcBorders>
            <w:vAlign w:val="top"/>
          </w:tcPr>
          <w:p w14:paraId="4B645577">
            <w:pPr>
              <w:rPr>
                <w:rFonts w:ascii="Arial"/>
                <w:sz w:val="21"/>
              </w:rPr>
            </w:pPr>
          </w:p>
        </w:tc>
        <w:tc>
          <w:tcPr>
            <w:tcW w:w="2089" w:type="dxa"/>
            <w:gridSpan w:val="4"/>
            <w:vMerge w:val="continue"/>
            <w:tcBorders>
              <w:top w:val="nil"/>
            </w:tcBorders>
            <w:vAlign w:val="top"/>
          </w:tcPr>
          <w:p w14:paraId="1BD3A5DE">
            <w:pPr>
              <w:rPr>
                <w:rFonts w:ascii="Arial"/>
                <w:sz w:val="21"/>
              </w:rPr>
            </w:pPr>
          </w:p>
        </w:tc>
        <w:tc>
          <w:tcPr>
            <w:tcW w:w="886" w:type="dxa"/>
            <w:gridSpan w:val="2"/>
            <w:vMerge w:val="continue"/>
            <w:tcBorders>
              <w:top w:val="nil"/>
              <w:right w:val="nil"/>
            </w:tcBorders>
            <w:vAlign w:val="top"/>
          </w:tcPr>
          <w:p w14:paraId="73D553D7">
            <w:pPr>
              <w:rPr>
                <w:rFonts w:ascii="Arial"/>
                <w:sz w:val="21"/>
              </w:rPr>
            </w:pPr>
          </w:p>
        </w:tc>
        <w:tc>
          <w:tcPr>
            <w:tcW w:w="145" w:type="dxa"/>
            <w:gridSpan w:val="2"/>
            <w:vMerge w:val="continue"/>
            <w:tcBorders>
              <w:top w:val="nil"/>
              <w:left w:val="nil"/>
              <w:right w:val="single" w:color="000000" w:sz="6" w:space="0"/>
            </w:tcBorders>
            <w:vAlign w:val="top"/>
          </w:tcPr>
          <w:p w14:paraId="71071C2D">
            <w:pPr>
              <w:rPr>
                <w:rFonts w:ascii="Arial"/>
                <w:sz w:val="21"/>
              </w:rPr>
            </w:pPr>
          </w:p>
        </w:tc>
      </w:tr>
      <w:tr w14:paraId="2331A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50" w:type="dxa"/>
            <w:vMerge w:val="continue"/>
            <w:tcBorders>
              <w:top w:val="nil"/>
              <w:left w:val="single" w:color="000000" w:sz="6" w:space="0"/>
              <w:bottom w:val="nil"/>
            </w:tcBorders>
            <w:vAlign w:val="top"/>
          </w:tcPr>
          <w:p w14:paraId="3DF2C009">
            <w:pPr>
              <w:rPr>
                <w:rFonts w:ascii="Arial"/>
                <w:sz w:val="21"/>
              </w:rPr>
            </w:pPr>
          </w:p>
        </w:tc>
        <w:tc>
          <w:tcPr>
            <w:tcW w:w="135" w:type="dxa"/>
            <w:gridSpan w:val="2"/>
            <w:tcBorders>
              <w:right w:val="single" w:color="000000" w:sz="8" w:space="0"/>
            </w:tcBorders>
            <w:vAlign w:val="top"/>
          </w:tcPr>
          <w:p w14:paraId="288B71FF">
            <w:pPr>
              <w:rPr>
                <w:rFonts w:ascii="Arial"/>
                <w:sz w:val="21"/>
              </w:rPr>
            </w:pPr>
          </w:p>
        </w:tc>
        <w:tc>
          <w:tcPr>
            <w:tcW w:w="672" w:type="dxa"/>
            <w:gridSpan w:val="2"/>
            <w:tcBorders>
              <w:left w:val="single" w:color="000000" w:sz="8" w:space="0"/>
            </w:tcBorders>
            <w:vAlign w:val="top"/>
          </w:tcPr>
          <w:p w14:paraId="2BE98184">
            <w:pPr>
              <w:spacing w:before="226" w:line="235" w:lineRule="auto"/>
              <w:ind w:left="296"/>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083" w:type="dxa"/>
            <w:gridSpan w:val="3"/>
            <w:vAlign w:val="top"/>
          </w:tcPr>
          <w:p w14:paraId="4085BDA6">
            <w:pPr>
              <w:pStyle w:val="6"/>
              <w:spacing w:before="198" w:line="220" w:lineRule="auto"/>
              <w:ind w:left="181"/>
              <w:rPr>
                <w:sz w:val="18"/>
                <w:szCs w:val="18"/>
              </w:rPr>
            </w:pPr>
            <w:r>
              <w:rPr>
                <w:spacing w:val="-2"/>
                <w:sz w:val="18"/>
                <w:szCs w:val="18"/>
              </w:rPr>
              <w:t>运输车辆</w:t>
            </w:r>
          </w:p>
        </w:tc>
        <w:tc>
          <w:tcPr>
            <w:tcW w:w="1708" w:type="dxa"/>
            <w:gridSpan w:val="3"/>
            <w:vAlign w:val="top"/>
          </w:tcPr>
          <w:p w14:paraId="706653FA">
            <w:pPr>
              <w:spacing w:before="226" w:line="200" w:lineRule="auto"/>
              <w:ind w:left="3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21.07,</w:t>
            </w:r>
            <w:r>
              <w:rPr>
                <w:rFonts w:ascii="Times New Roman" w:hAnsi="Times New Roman" w:eastAsia="Times New Roman" w:cs="Times New Roman"/>
                <w:spacing w:val="30"/>
                <w:sz w:val="18"/>
                <w:szCs w:val="18"/>
              </w:rPr>
              <w:t xml:space="preserve"> </w:t>
            </w:r>
            <w:r>
              <w:rPr>
                <w:rFonts w:ascii="Times New Roman" w:hAnsi="Times New Roman" w:eastAsia="Times New Roman" w:cs="Times New Roman"/>
                <w:spacing w:val="-2"/>
                <w:sz w:val="18"/>
                <w:szCs w:val="18"/>
              </w:rPr>
              <w:t>14.64,0</w:t>
            </w:r>
          </w:p>
        </w:tc>
        <w:tc>
          <w:tcPr>
            <w:tcW w:w="1445" w:type="dxa"/>
            <w:gridSpan w:val="3"/>
            <w:vAlign w:val="top"/>
          </w:tcPr>
          <w:p w14:paraId="7CEA33F2">
            <w:pPr>
              <w:spacing w:before="226" w:line="232" w:lineRule="auto"/>
              <w:ind w:left="64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85</w:t>
            </w:r>
          </w:p>
        </w:tc>
        <w:tc>
          <w:tcPr>
            <w:tcW w:w="2089" w:type="dxa"/>
            <w:gridSpan w:val="4"/>
            <w:vAlign w:val="top"/>
          </w:tcPr>
          <w:p w14:paraId="333DD637">
            <w:pPr>
              <w:pStyle w:val="6"/>
              <w:spacing w:before="58" w:line="254" w:lineRule="auto"/>
              <w:ind w:left="517" w:right="46" w:hanging="453"/>
              <w:rPr>
                <w:sz w:val="18"/>
                <w:szCs w:val="18"/>
              </w:rPr>
            </w:pPr>
            <w:r>
              <w:rPr>
                <w:spacing w:val="-1"/>
                <w:sz w:val="18"/>
                <w:szCs w:val="18"/>
              </w:rPr>
              <w:t>加强装卸作业管理、合理</w:t>
            </w:r>
            <w:r>
              <w:rPr>
                <w:spacing w:val="2"/>
                <w:sz w:val="18"/>
                <w:szCs w:val="18"/>
              </w:rPr>
              <w:t xml:space="preserve"> </w:t>
            </w:r>
            <w:r>
              <w:rPr>
                <w:spacing w:val="-2"/>
                <w:sz w:val="18"/>
                <w:szCs w:val="18"/>
              </w:rPr>
              <w:t>安排运输时间</w:t>
            </w:r>
          </w:p>
        </w:tc>
        <w:tc>
          <w:tcPr>
            <w:tcW w:w="886" w:type="dxa"/>
            <w:gridSpan w:val="2"/>
            <w:tcBorders>
              <w:right w:val="single" w:color="000000" w:sz="8" w:space="0"/>
            </w:tcBorders>
            <w:vAlign w:val="top"/>
          </w:tcPr>
          <w:p w14:paraId="22A5512B">
            <w:pPr>
              <w:pStyle w:val="6"/>
              <w:spacing w:before="199" w:line="222" w:lineRule="auto"/>
              <w:ind w:left="273"/>
              <w:rPr>
                <w:sz w:val="18"/>
                <w:szCs w:val="18"/>
              </w:rPr>
            </w:pPr>
            <w:r>
              <w:rPr>
                <w:spacing w:val="-2"/>
                <w:sz w:val="18"/>
                <w:szCs w:val="18"/>
              </w:rPr>
              <w:t>昼间</w:t>
            </w:r>
          </w:p>
        </w:tc>
        <w:tc>
          <w:tcPr>
            <w:tcW w:w="145" w:type="dxa"/>
            <w:gridSpan w:val="2"/>
            <w:tcBorders>
              <w:left w:val="single" w:color="000000" w:sz="8" w:space="0"/>
              <w:right w:val="single" w:color="000000" w:sz="6" w:space="0"/>
            </w:tcBorders>
            <w:vAlign w:val="top"/>
          </w:tcPr>
          <w:p w14:paraId="31E4A79F">
            <w:pPr>
              <w:rPr>
                <w:rFonts w:ascii="Arial"/>
                <w:sz w:val="21"/>
              </w:rPr>
            </w:pPr>
          </w:p>
        </w:tc>
      </w:tr>
      <w:tr w14:paraId="35611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3" w:hRule="atLeast"/>
        </w:trPr>
        <w:tc>
          <w:tcPr>
            <w:tcW w:w="750" w:type="dxa"/>
            <w:vMerge w:val="continue"/>
            <w:tcBorders>
              <w:top w:val="nil"/>
              <w:left w:val="single" w:color="000000" w:sz="6" w:space="0"/>
              <w:bottom w:val="single" w:color="000000" w:sz="6" w:space="0"/>
            </w:tcBorders>
            <w:vAlign w:val="top"/>
          </w:tcPr>
          <w:p w14:paraId="756F8101">
            <w:pPr>
              <w:rPr>
                <w:rFonts w:ascii="Arial"/>
                <w:sz w:val="21"/>
              </w:rPr>
            </w:pPr>
          </w:p>
        </w:tc>
        <w:tc>
          <w:tcPr>
            <w:tcW w:w="8163" w:type="dxa"/>
            <w:gridSpan w:val="21"/>
            <w:tcBorders>
              <w:bottom w:val="single" w:color="000000" w:sz="6" w:space="0"/>
              <w:right w:val="single" w:color="000000" w:sz="6" w:space="0"/>
            </w:tcBorders>
            <w:vAlign w:val="top"/>
          </w:tcPr>
          <w:p w14:paraId="2FA27FAA">
            <w:pPr>
              <w:pStyle w:val="6"/>
              <w:spacing w:before="148" w:line="234" w:lineRule="auto"/>
              <w:ind w:left="104"/>
            </w:pPr>
            <w:r>
              <w:rPr>
                <w:rFonts w:ascii="Times New Roman" w:hAnsi="Times New Roman" w:eastAsia="Times New Roman" w:cs="Times New Roman"/>
                <w:b/>
                <w:bCs/>
                <w:spacing w:val="-2"/>
              </w:rPr>
              <w:t>2.2</w:t>
            </w:r>
            <w:r>
              <w:rPr>
                <w:b/>
                <w:bCs/>
                <w:spacing w:val="-2"/>
              </w:rPr>
              <w:t>噪声治理措施</w:t>
            </w:r>
          </w:p>
          <w:p w14:paraId="55727C4F">
            <w:pPr>
              <w:pStyle w:val="6"/>
              <w:spacing w:before="126" w:line="219" w:lineRule="auto"/>
              <w:ind w:left="529"/>
            </w:pPr>
            <w:r>
              <w:rPr>
                <w:rFonts w:ascii="Cambria Math" w:hAnsi="Cambria Math" w:eastAsia="Cambria Math" w:cs="Cambria Math"/>
                <w:spacing w:val="-2"/>
              </w:rPr>
              <w:t>①</w:t>
            </w:r>
            <w:r>
              <w:rPr>
                <w:spacing w:val="-2"/>
              </w:rPr>
              <w:t>优选设备。尽量选择低噪声且符合国家噪声标准的设备。</w:t>
            </w:r>
          </w:p>
          <w:p w14:paraId="64590AFA">
            <w:pPr>
              <w:pStyle w:val="6"/>
              <w:spacing w:before="150" w:line="289" w:lineRule="auto"/>
              <w:ind w:left="112" w:right="103" w:firstLine="417"/>
            </w:pPr>
            <w:r>
              <w:rPr>
                <w:rFonts w:ascii="Cambria Math" w:hAnsi="Cambria Math" w:eastAsia="Cambria Math" w:cs="Cambria Math"/>
                <w:spacing w:val="-8"/>
              </w:rPr>
              <w:t>②</w:t>
            </w:r>
            <w:r>
              <w:rPr>
                <w:spacing w:val="-8"/>
              </w:rPr>
              <w:t>减振消声。产噪设备安装减振垫； 风机安装消声器、柔性接口等； 机械设备加</w:t>
            </w:r>
            <w:r>
              <w:rPr>
                <w:spacing w:val="10"/>
              </w:rPr>
              <w:t xml:space="preserve"> </w:t>
            </w:r>
            <w:r>
              <w:rPr>
                <w:spacing w:val="-2"/>
              </w:rPr>
              <w:t>强维护保养，定期检查、维修，及时更换老化和性能降低的旧设备。</w:t>
            </w:r>
          </w:p>
          <w:p w14:paraId="4577420C">
            <w:pPr>
              <w:pStyle w:val="6"/>
              <w:spacing w:before="142" w:line="289" w:lineRule="auto"/>
              <w:ind w:left="124" w:right="103" w:firstLine="405"/>
            </w:pPr>
            <w:r>
              <w:rPr>
                <w:rFonts w:ascii="Cambria Math" w:hAnsi="Cambria Math" w:eastAsia="Cambria Math" w:cs="Cambria Math"/>
                <w:spacing w:val="-5"/>
              </w:rPr>
              <w:t>③</w:t>
            </w:r>
            <w:r>
              <w:rPr>
                <w:spacing w:val="-5"/>
              </w:rPr>
              <w:t>优化布局。生产车间封闭利用建筑隔声； 空压机、收尘器等设备设置在</w:t>
            </w:r>
            <w:r>
              <w:rPr>
                <w:spacing w:val="-6"/>
              </w:rPr>
              <w:t>专用的房</w:t>
            </w:r>
            <w:r>
              <w:t xml:space="preserve"> </w:t>
            </w:r>
            <w:r>
              <w:rPr>
                <w:spacing w:val="-2"/>
              </w:rPr>
              <w:t>间内；设备尽量远离厂界且布置</w:t>
            </w:r>
            <w:r>
              <w:rPr>
                <w:rFonts w:hint="eastAsia"/>
                <w:spacing w:val="-2"/>
                <w:lang w:val="en-US" w:eastAsia="zh-CN"/>
              </w:rPr>
              <w:t>在</w:t>
            </w:r>
            <w:r>
              <w:rPr>
                <w:spacing w:val="-2"/>
              </w:rPr>
              <w:t>车间内，利用建筑隔</w:t>
            </w:r>
            <w:r>
              <w:rPr>
                <w:spacing w:val="-3"/>
              </w:rPr>
              <w:t>声。</w:t>
            </w:r>
          </w:p>
          <w:p w14:paraId="4B4738C1">
            <w:pPr>
              <w:pStyle w:val="6"/>
              <w:spacing w:before="142" w:line="289" w:lineRule="auto"/>
              <w:ind w:left="107" w:right="103" w:firstLine="422"/>
            </w:pPr>
            <w:r>
              <w:rPr>
                <w:rFonts w:ascii="Cambria Math" w:hAnsi="Cambria Math" w:eastAsia="Cambria Math" w:cs="Cambria Math"/>
                <w:spacing w:val="-4"/>
              </w:rPr>
              <w:t>④</w:t>
            </w:r>
            <w:r>
              <w:rPr>
                <w:spacing w:val="-4"/>
              </w:rPr>
              <w:t>建筑隔声措施。所有生产设备均安装在密闭的生产车</w:t>
            </w:r>
            <w:r>
              <w:rPr>
                <w:spacing w:val="-5"/>
              </w:rPr>
              <w:t>间内，</w:t>
            </w:r>
            <w:r>
              <w:rPr>
                <w:spacing w:val="-33"/>
              </w:rPr>
              <w:t xml:space="preserve"> </w:t>
            </w:r>
            <w:r>
              <w:rPr>
                <w:spacing w:val="-5"/>
              </w:rPr>
              <w:t>通过适当增加车间墙</w:t>
            </w:r>
            <w:r>
              <w:t xml:space="preserve"> </w:t>
            </w:r>
            <w:r>
              <w:rPr>
                <w:spacing w:val="-2"/>
              </w:rPr>
              <w:t>壁厚度来增加噪声阻隔量，使传到房外的噪声降到最低。</w:t>
            </w:r>
          </w:p>
          <w:p w14:paraId="27971995">
            <w:pPr>
              <w:pStyle w:val="6"/>
              <w:spacing w:before="143" w:line="219" w:lineRule="auto"/>
              <w:ind w:left="529"/>
            </w:pPr>
            <w:r>
              <w:rPr>
                <w:rFonts w:ascii="Cambria Math" w:hAnsi="Cambria Math" w:eastAsia="Cambria Math" w:cs="Cambria Math"/>
                <w:spacing w:val="-2"/>
              </w:rPr>
              <w:t>⑤</w:t>
            </w:r>
            <w:r>
              <w:rPr>
                <w:spacing w:val="-2"/>
              </w:rPr>
              <w:t>合理安排企业生产时间，运输安排在昼间进行。</w:t>
            </w:r>
          </w:p>
          <w:p w14:paraId="6A8A6FA0">
            <w:pPr>
              <w:pStyle w:val="6"/>
              <w:spacing w:before="151" w:line="219" w:lineRule="auto"/>
              <w:ind w:left="529"/>
            </w:pPr>
            <w:r>
              <w:rPr>
                <w:rFonts w:ascii="Cambria Math" w:hAnsi="Cambria Math" w:eastAsia="Cambria Math" w:cs="Cambria Math"/>
              </w:rPr>
              <w:t>⑥</w:t>
            </w:r>
            <w:r>
              <w:t>加强管理，主要设备及时维护保养，及时更换</w:t>
            </w:r>
            <w:r>
              <w:rPr>
                <w:spacing w:val="-1"/>
              </w:rPr>
              <w:t>性能较低的零配件及设备。</w:t>
            </w:r>
          </w:p>
          <w:p w14:paraId="6C66CD20">
            <w:pPr>
              <w:pStyle w:val="6"/>
              <w:spacing w:before="160" w:line="234" w:lineRule="auto"/>
              <w:ind w:left="102"/>
            </w:pPr>
            <w:r>
              <w:rPr>
                <w:rFonts w:ascii="Times New Roman" w:hAnsi="Times New Roman" w:eastAsia="Times New Roman" w:cs="Times New Roman"/>
                <w:b/>
                <w:bCs/>
                <w:spacing w:val="-2"/>
              </w:rPr>
              <w:t>3.3</w:t>
            </w:r>
            <w:r>
              <w:rPr>
                <w:b/>
                <w:bCs/>
                <w:spacing w:val="-2"/>
              </w:rPr>
              <w:t>环境影响及达标分析</w:t>
            </w:r>
          </w:p>
          <w:p w14:paraId="2E26F419">
            <w:pPr>
              <w:pStyle w:val="6"/>
              <w:spacing w:before="132" w:line="309" w:lineRule="auto"/>
              <w:ind w:left="108" w:right="101" w:firstLine="419"/>
              <w:jc w:val="both"/>
            </w:pPr>
            <w:r>
              <w:rPr>
                <w:spacing w:val="-1"/>
              </w:rPr>
              <w:t>本项目厂界噪声预测，以频发设备噪声为噪声源强（频发噪声源</w:t>
            </w:r>
            <w:r>
              <w:rPr>
                <w:spacing w:val="-3"/>
              </w:rPr>
              <w:t>），</w:t>
            </w:r>
            <w:r>
              <w:rPr>
                <w:spacing w:val="-1"/>
              </w:rPr>
              <w:t>预测到各厂界</w:t>
            </w:r>
            <w:r>
              <w:rPr>
                <w:spacing w:val="1"/>
              </w:rPr>
              <w:t xml:space="preserve"> </w:t>
            </w:r>
            <w:r>
              <w:rPr>
                <w:spacing w:val="-1"/>
              </w:rPr>
              <w:t>的贡献值的叠加值作为评价量，分析厂界噪声达标情况。本项目仅在昼间安排生产，因</w:t>
            </w:r>
            <w:r>
              <w:t xml:space="preserve"> 此对昼间的噪声影响情况进行预测。项目厂界</w:t>
            </w:r>
            <w:r>
              <w:rPr>
                <w:rFonts w:ascii="Times New Roman" w:hAnsi="Times New Roman" w:eastAsia="Times New Roman" w:cs="Times New Roman"/>
              </w:rPr>
              <w:t>50m</w:t>
            </w:r>
            <w:r>
              <w:t>范围内无声环</w:t>
            </w:r>
            <w:r>
              <w:rPr>
                <w:spacing w:val="-1"/>
              </w:rPr>
              <w:t>境保护目标，因此不预</w:t>
            </w:r>
          </w:p>
        </w:tc>
      </w:tr>
    </w:tbl>
    <w:p w14:paraId="1D801053">
      <w:pPr>
        <w:rPr>
          <w:rFonts w:ascii="Arial"/>
          <w:sz w:val="21"/>
        </w:rPr>
      </w:pPr>
    </w:p>
    <w:p w14:paraId="02995347">
      <w:pPr>
        <w:rPr>
          <w:rFonts w:ascii="Arial" w:hAnsi="Arial" w:eastAsia="Arial" w:cs="Arial"/>
          <w:sz w:val="21"/>
          <w:szCs w:val="21"/>
        </w:rPr>
        <w:sectPr>
          <w:footerReference r:id="rId65" w:type="default"/>
          <w:pgSz w:w="11908" w:h="16840"/>
          <w:pgMar w:top="1431" w:right="1489" w:bottom="1053" w:left="1489" w:header="0" w:footer="801" w:gutter="0"/>
          <w:cols w:space="720" w:num="1"/>
        </w:sectPr>
      </w:pPr>
    </w:p>
    <w:p w14:paraId="5D253649">
      <w:pPr>
        <w:spacing w:before="28"/>
      </w:pPr>
    </w:p>
    <w:tbl>
      <w:tblPr>
        <w:tblStyle w:val="5"/>
        <w:tblW w:w="891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0"/>
        <w:gridCol w:w="8163"/>
      </w:tblGrid>
      <w:tr w14:paraId="3E994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4" w:hRule="atLeast"/>
        </w:trPr>
        <w:tc>
          <w:tcPr>
            <w:tcW w:w="750" w:type="dxa"/>
            <w:tcBorders>
              <w:top w:val="single" w:color="000000" w:sz="2" w:space="0"/>
              <w:bottom w:val="nil"/>
              <w:right w:val="single" w:color="000000" w:sz="2" w:space="0"/>
            </w:tcBorders>
            <w:vAlign w:val="top"/>
          </w:tcPr>
          <w:p w14:paraId="3F3BF933">
            <w:pPr>
              <w:rPr>
                <w:rFonts w:ascii="Arial"/>
                <w:sz w:val="21"/>
              </w:rPr>
            </w:pPr>
          </w:p>
        </w:tc>
        <w:tc>
          <w:tcPr>
            <w:tcW w:w="8163" w:type="dxa"/>
            <w:tcBorders>
              <w:top w:val="single" w:color="000000" w:sz="2" w:space="0"/>
              <w:left w:val="single" w:color="000000" w:sz="2" w:space="0"/>
              <w:bottom w:val="nil"/>
            </w:tcBorders>
            <w:vAlign w:val="top"/>
          </w:tcPr>
          <w:p w14:paraId="6B84B404">
            <w:pPr>
              <w:pStyle w:val="6"/>
              <w:spacing w:before="144" w:line="220" w:lineRule="auto"/>
              <w:ind w:left="108"/>
            </w:pPr>
            <w:r>
              <w:rPr>
                <w:spacing w:val="-3"/>
              </w:rPr>
              <w:t>测声环境保护目标的噪声达标情况。</w:t>
            </w:r>
          </w:p>
          <w:p w14:paraId="281F13DC">
            <w:pPr>
              <w:pStyle w:val="6"/>
              <w:spacing w:before="149" w:line="354" w:lineRule="auto"/>
              <w:ind w:left="107" w:right="101" w:firstLine="423"/>
            </w:pPr>
            <w:r>
              <w:rPr>
                <w:spacing w:val="-1"/>
              </w:rPr>
              <w:t>项目噪声预测结果如下（项目西侧厂界与中天石材毗邻，属同一栋厂房</w:t>
            </w:r>
            <w:r>
              <w:rPr>
                <w:spacing w:val="-2"/>
              </w:rPr>
              <w:t>仅有一个挡</w:t>
            </w:r>
            <w:r>
              <w:t xml:space="preserve"> </w:t>
            </w:r>
            <w:r>
              <w:rPr>
                <w:spacing w:val="-1"/>
              </w:rPr>
              <w:t>墙为界，本次评价不对西侧厂界噪声进行预测）。</w:t>
            </w:r>
          </w:p>
          <w:p w14:paraId="519ACBEE">
            <w:pPr>
              <w:pStyle w:val="6"/>
              <w:spacing w:before="3" w:line="216" w:lineRule="auto"/>
              <w:ind w:left="2081"/>
              <w:rPr>
                <w:rFonts w:ascii="Times New Roman" w:hAnsi="Times New Roman" w:eastAsia="Times New Roman" w:cs="Times New Roman"/>
                <w:sz w:val="20"/>
                <w:szCs w:val="20"/>
              </w:rPr>
            </w:pPr>
            <w:r>
              <w:rPr>
                <w:b/>
                <w:bCs/>
                <w:spacing w:val="-1"/>
                <w:sz w:val="20"/>
                <w:szCs w:val="20"/>
              </w:rPr>
              <w:t>表</w:t>
            </w:r>
            <w:r>
              <w:rPr>
                <w:rFonts w:ascii="Times New Roman" w:hAnsi="Times New Roman" w:eastAsia="Times New Roman" w:cs="Times New Roman"/>
                <w:b/>
                <w:bCs/>
                <w:spacing w:val="-1"/>
                <w:sz w:val="20"/>
                <w:szCs w:val="20"/>
              </w:rPr>
              <w:t xml:space="preserve">4-12          </w:t>
            </w:r>
            <w:r>
              <w:rPr>
                <w:b/>
                <w:bCs/>
                <w:spacing w:val="-1"/>
                <w:sz w:val="20"/>
                <w:szCs w:val="20"/>
              </w:rPr>
              <w:t>项目厂界噪声预测结果</w:t>
            </w:r>
            <w:r>
              <w:rPr>
                <w:spacing w:val="-1"/>
                <w:sz w:val="20"/>
                <w:szCs w:val="20"/>
              </w:rPr>
              <w:t xml:space="preserve">  </w:t>
            </w:r>
            <w:r>
              <w:rPr>
                <w:b/>
                <w:bCs/>
                <w:spacing w:val="-1"/>
                <w:sz w:val="20"/>
                <w:szCs w:val="20"/>
              </w:rPr>
              <w:t>单位：</w:t>
            </w:r>
            <w:r>
              <w:rPr>
                <w:rFonts w:ascii="Times New Roman" w:hAnsi="Times New Roman" w:eastAsia="Times New Roman" w:cs="Times New Roman"/>
                <w:b/>
                <w:bCs/>
                <w:spacing w:val="-1"/>
                <w:sz w:val="20"/>
                <w:szCs w:val="20"/>
              </w:rPr>
              <w:t>dB(A)</w:t>
            </w:r>
          </w:p>
          <w:p w14:paraId="7C0FC3E9">
            <w:pPr>
              <w:spacing w:line="17" w:lineRule="exact"/>
            </w:pPr>
          </w:p>
          <w:tbl>
            <w:tblPr>
              <w:tblStyle w:val="5"/>
              <w:tblW w:w="7981" w:type="dxa"/>
              <w:tblInd w:w="8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9"/>
              <w:gridCol w:w="632"/>
              <w:gridCol w:w="417"/>
              <w:gridCol w:w="415"/>
              <w:gridCol w:w="400"/>
              <w:gridCol w:w="414"/>
              <w:gridCol w:w="392"/>
              <w:gridCol w:w="435"/>
              <w:gridCol w:w="520"/>
              <w:gridCol w:w="380"/>
              <w:gridCol w:w="408"/>
              <w:gridCol w:w="456"/>
              <w:gridCol w:w="444"/>
              <w:gridCol w:w="459"/>
              <w:gridCol w:w="406"/>
              <w:gridCol w:w="414"/>
            </w:tblGrid>
            <w:tr w14:paraId="4D62A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389" w:type="dxa"/>
                  <w:vMerge w:val="restart"/>
                  <w:tcBorders>
                    <w:bottom w:val="nil"/>
                  </w:tcBorders>
                  <w:vAlign w:val="top"/>
                </w:tcPr>
                <w:p w14:paraId="31663AFF">
                  <w:pPr>
                    <w:pStyle w:val="6"/>
                    <w:spacing w:before="241" w:line="232" w:lineRule="auto"/>
                    <w:ind w:left="138"/>
                    <w:rPr>
                      <w:sz w:val="15"/>
                      <w:szCs w:val="15"/>
                    </w:rPr>
                  </w:pPr>
                  <w:r>
                    <w:rPr>
                      <w:b/>
                      <w:bCs/>
                      <w:spacing w:val="7"/>
                      <w:sz w:val="15"/>
                      <w:szCs w:val="15"/>
                    </w:rPr>
                    <w:t>声环境保护目标</w:t>
                  </w:r>
                </w:p>
                <w:p w14:paraId="09446B09">
                  <w:pPr>
                    <w:pStyle w:val="6"/>
                    <w:spacing w:before="18" w:line="233" w:lineRule="auto"/>
                    <w:ind w:left="539"/>
                    <w:rPr>
                      <w:sz w:val="15"/>
                      <w:szCs w:val="15"/>
                    </w:rPr>
                  </w:pPr>
                  <w:r>
                    <w:rPr>
                      <w:b/>
                      <w:bCs/>
                      <w:spacing w:val="4"/>
                      <w:sz w:val="15"/>
                      <w:szCs w:val="15"/>
                    </w:rPr>
                    <w:t>名称</w:t>
                  </w:r>
                </w:p>
              </w:tc>
              <w:tc>
                <w:tcPr>
                  <w:tcW w:w="632" w:type="dxa"/>
                  <w:vMerge w:val="restart"/>
                  <w:tcBorders>
                    <w:bottom w:val="nil"/>
                  </w:tcBorders>
                  <w:vAlign w:val="top"/>
                </w:tcPr>
                <w:p w14:paraId="067F6A74">
                  <w:pPr>
                    <w:pStyle w:val="6"/>
                    <w:spacing w:before="34" w:line="232" w:lineRule="auto"/>
                    <w:ind w:left="83"/>
                    <w:rPr>
                      <w:sz w:val="15"/>
                      <w:szCs w:val="15"/>
                    </w:rPr>
                  </w:pPr>
                  <w:r>
                    <w:rPr>
                      <w:b/>
                      <w:bCs/>
                      <w:spacing w:val="4"/>
                      <w:sz w:val="15"/>
                      <w:szCs w:val="15"/>
                    </w:rPr>
                    <w:t>噪声源</w:t>
                  </w:r>
                </w:p>
                <w:p w14:paraId="0D3BBB26">
                  <w:pPr>
                    <w:pStyle w:val="6"/>
                    <w:spacing w:before="19" w:line="231" w:lineRule="auto"/>
                    <w:ind w:left="79"/>
                    <w:rPr>
                      <w:sz w:val="15"/>
                      <w:szCs w:val="15"/>
                    </w:rPr>
                  </w:pPr>
                  <w:r>
                    <w:rPr>
                      <w:b/>
                      <w:bCs/>
                      <w:spacing w:val="5"/>
                      <w:sz w:val="15"/>
                      <w:szCs w:val="15"/>
                    </w:rPr>
                    <w:t>与敏感</w:t>
                  </w:r>
                </w:p>
                <w:p w14:paraId="1181B234">
                  <w:pPr>
                    <w:pStyle w:val="6"/>
                    <w:spacing w:before="18"/>
                    <w:ind w:left="155" w:right="75" w:hanging="49"/>
                    <w:rPr>
                      <w:sz w:val="15"/>
                      <w:szCs w:val="15"/>
                    </w:rPr>
                  </w:pPr>
                  <w:r>
                    <w:rPr>
                      <w:b/>
                      <w:bCs/>
                      <w:spacing w:val="-4"/>
                      <w:sz w:val="15"/>
                      <w:szCs w:val="15"/>
                    </w:rPr>
                    <w:t>目标的</w:t>
                  </w:r>
                  <w:r>
                    <w:rPr>
                      <w:sz w:val="15"/>
                      <w:szCs w:val="15"/>
                    </w:rPr>
                    <w:t xml:space="preserve"> </w:t>
                  </w:r>
                  <w:r>
                    <w:rPr>
                      <w:b/>
                      <w:bCs/>
                      <w:spacing w:val="5"/>
                      <w:sz w:val="15"/>
                      <w:szCs w:val="15"/>
                    </w:rPr>
                    <w:t>距离</w:t>
                  </w:r>
                </w:p>
              </w:tc>
              <w:tc>
                <w:tcPr>
                  <w:tcW w:w="832" w:type="dxa"/>
                  <w:gridSpan w:val="2"/>
                  <w:vAlign w:val="top"/>
                </w:tcPr>
                <w:p w14:paraId="594B3F55">
                  <w:pPr>
                    <w:pStyle w:val="6"/>
                    <w:spacing w:before="27" w:line="237" w:lineRule="auto"/>
                    <w:ind w:left="259" w:right="174" w:hanging="75"/>
                    <w:rPr>
                      <w:sz w:val="15"/>
                      <w:szCs w:val="15"/>
                    </w:rPr>
                  </w:pPr>
                  <w:r>
                    <w:rPr>
                      <w:b/>
                      <w:bCs/>
                      <w:spacing w:val="4"/>
                      <w:sz w:val="15"/>
                      <w:szCs w:val="15"/>
                    </w:rPr>
                    <w:t>噪声背</w:t>
                  </w:r>
                  <w:r>
                    <w:rPr>
                      <w:sz w:val="15"/>
                      <w:szCs w:val="15"/>
                    </w:rPr>
                    <w:t xml:space="preserve"> </w:t>
                  </w:r>
                  <w:r>
                    <w:rPr>
                      <w:b/>
                      <w:bCs/>
                      <w:spacing w:val="4"/>
                      <w:sz w:val="15"/>
                      <w:szCs w:val="15"/>
                    </w:rPr>
                    <w:t>景值</w:t>
                  </w:r>
                </w:p>
              </w:tc>
              <w:tc>
                <w:tcPr>
                  <w:tcW w:w="814" w:type="dxa"/>
                  <w:gridSpan w:val="2"/>
                  <w:vAlign w:val="top"/>
                </w:tcPr>
                <w:p w14:paraId="728B646F">
                  <w:pPr>
                    <w:pStyle w:val="6"/>
                    <w:spacing w:before="28" w:line="231" w:lineRule="auto"/>
                    <w:ind w:left="95"/>
                    <w:rPr>
                      <w:sz w:val="15"/>
                      <w:szCs w:val="15"/>
                    </w:rPr>
                  </w:pPr>
                  <w:r>
                    <w:rPr>
                      <w:b/>
                      <w:bCs/>
                      <w:spacing w:val="5"/>
                      <w:sz w:val="15"/>
                      <w:szCs w:val="15"/>
                    </w:rPr>
                    <w:t>噪声现状</w:t>
                  </w:r>
                </w:p>
                <w:p w14:paraId="47549C0B">
                  <w:pPr>
                    <w:pStyle w:val="6"/>
                    <w:spacing w:before="19" w:line="218" w:lineRule="auto"/>
                    <w:ind w:left="329"/>
                    <w:rPr>
                      <w:sz w:val="15"/>
                      <w:szCs w:val="15"/>
                    </w:rPr>
                  </w:pPr>
                  <w:r>
                    <w:rPr>
                      <w:b/>
                      <w:bCs/>
                      <w:spacing w:val="1"/>
                      <w:sz w:val="15"/>
                      <w:szCs w:val="15"/>
                    </w:rPr>
                    <w:t>值</w:t>
                  </w:r>
                </w:p>
              </w:tc>
              <w:tc>
                <w:tcPr>
                  <w:tcW w:w="827" w:type="dxa"/>
                  <w:gridSpan w:val="2"/>
                  <w:vAlign w:val="top"/>
                </w:tcPr>
                <w:p w14:paraId="0046B3D7">
                  <w:pPr>
                    <w:pStyle w:val="6"/>
                    <w:spacing w:before="132" w:line="232" w:lineRule="auto"/>
                    <w:ind w:left="103"/>
                    <w:rPr>
                      <w:sz w:val="15"/>
                      <w:szCs w:val="15"/>
                    </w:rPr>
                  </w:pPr>
                  <w:r>
                    <w:rPr>
                      <w:b/>
                      <w:bCs/>
                      <w:spacing w:val="5"/>
                      <w:sz w:val="15"/>
                      <w:szCs w:val="15"/>
                    </w:rPr>
                    <w:t>噪声标准</w:t>
                  </w:r>
                </w:p>
              </w:tc>
              <w:tc>
                <w:tcPr>
                  <w:tcW w:w="900" w:type="dxa"/>
                  <w:gridSpan w:val="2"/>
                  <w:vAlign w:val="top"/>
                </w:tcPr>
                <w:p w14:paraId="5D526B54">
                  <w:pPr>
                    <w:pStyle w:val="6"/>
                    <w:spacing w:before="28" w:line="232" w:lineRule="auto"/>
                    <w:ind w:left="140"/>
                    <w:rPr>
                      <w:sz w:val="15"/>
                      <w:szCs w:val="15"/>
                    </w:rPr>
                  </w:pPr>
                  <w:r>
                    <w:rPr>
                      <w:b/>
                      <w:bCs/>
                      <w:spacing w:val="5"/>
                      <w:sz w:val="15"/>
                      <w:szCs w:val="15"/>
                    </w:rPr>
                    <w:t>噪声贡献</w:t>
                  </w:r>
                </w:p>
                <w:p w14:paraId="272B52FF">
                  <w:pPr>
                    <w:pStyle w:val="6"/>
                    <w:spacing w:before="19" w:line="218" w:lineRule="auto"/>
                    <w:ind w:left="374"/>
                    <w:rPr>
                      <w:sz w:val="15"/>
                      <w:szCs w:val="15"/>
                    </w:rPr>
                  </w:pPr>
                  <w:r>
                    <w:rPr>
                      <w:b/>
                      <w:bCs/>
                      <w:spacing w:val="1"/>
                      <w:sz w:val="15"/>
                      <w:szCs w:val="15"/>
                    </w:rPr>
                    <w:t>值</w:t>
                  </w:r>
                </w:p>
              </w:tc>
              <w:tc>
                <w:tcPr>
                  <w:tcW w:w="864" w:type="dxa"/>
                  <w:gridSpan w:val="2"/>
                  <w:vAlign w:val="top"/>
                </w:tcPr>
                <w:p w14:paraId="7B84E032">
                  <w:pPr>
                    <w:pStyle w:val="6"/>
                    <w:spacing w:before="28" w:line="232" w:lineRule="auto"/>
                    <w:ind w:left="123"/>
                    <w:rPr>
                      <w:sz w:val="15"/>
                      <w:szCs w:val="15"/>
                    </w:rPr>
                  </w:pPr>
                  <w:r>
                    <w:rPr>
                      <w:b/>
                      <w:bCs/>
                      <w:spacing w:val="5"/>
                      <w:sz w:val="15"/>
                      <w:szCs w:val="15"/>
                    </w:rPr>
                    <w:t>噪声预测</w:t>
                  </w:r>
                </w:p>
                <w:p w14:paraId="11B8250B">
                  <w:pPr>
                    <w:pStyle w:val="6"/>
                    <w:spacing w:before="19" w:line="218" w:lineRule="auto"/>
                    <w:ind w:left="356"/>
                    <w:rPr>
                      <w:sz w:val="15"/>
                      <w:szCs w:val="15"/>
                    </w:rPr>
                  </w:pPr>
                  <w:r>
                    <w:rPr>
                      <w:b/>
                      <w:bCs/>
                      <w:spacing w:val="1"/>
                      <w:sz w:val="15"/>
                      <w:szCs w:val="15"/>
                    </w:rPr>
                    <w:t>值</w:t>
                  </w:r>
                </w:p>
              </w:tc>
              <w:tc>
                <w:tcPr>
                  <w:tcW w:w="903" w:type="dxa"/>
                  <w:gridSpan w:val="2"/>
                  <w:vAlign w:val="top"/>
                </w:tcPr>
                <w:p w14:paraId="5183D155">
                  <w:pPr>
                    <w:pStyle w:val="6"/>
                    <w:spacing w:before="28" w:line="231" w:lineRule="auto"/>
                    <w:ind w:left="136"/>
                    <w:rPr>
                      <w:sz w:val="15"/>
                      <w:szCs w:val="15"/>
                    </w:rPr>
                  </w:pPr>
                  <w:r>
                    <w:rPr>
                      <w:b/>
                      <w:bCs/>
                      <w:spacing w:val="7"/>
                      <w:sz w:val="15"/>
                      <w:szCs w:val="15"/>
                    </w:rPr>
                    <w:t>较现状增</w:t>
                  </w:r>
                </w:p>
                <w:p w14:paraId="6A1F1F0C">
                  <w:pPr>
                    <w:pStyle w:val="6"/>
                    <w:spacing w:before="19" w:line="218" w:lineRule="auto"/>
                    <w:ind w:left="376"/>
                    <w:rPr>
                      <w:sz w:val="15"/>
                      <w:szCs w:val="15"/>
                    </w:rPr>
                  </w:pPr>
                  <w:r>
                    <w:rPr>
                      <w:b/>
                      <w:bCs/>
                      <w:spacing w:val="1"/>
                      <w:sz w:val="15"/>
                      <w:szCs w:val="15"/>
                    </w:rPr>
                    <w:t>量</w:t>
                  </w:r>
                </w:p>
              </w:tc>
              <w:tc>
                <w:tcPr>
                  <w:tcW w:w="820" w:type="dxa"/>
                  <w:gridSpan w:val="2"/>
                  <w:vAlign w:val="top"/>
                </w:tcPr>
                <w:p w14:paraId="52A0C17F">
                  <w:pPr>
                    <w:pStyle w:val="6"/>
                    <w:spacing w:before="27" w:line="237" w:lineRule="auto"/>
                    <w:ind w:left="171" w:right="88" w:hanging="81"/>
                    <w:rPr>
                      <w:sz w:val="15"/>
                      <w:szCs w:val="15"/>
                    </w:rPr>
                  </w:pPr>
                  <w:r>
                    <w:rPr>
                      <w:b/>
                      <w:bCs/>
                      <w:spacing w:val="7"/>
                      <w:sz w:val="15"/>
                      <w:szCs w:val="15"/>
                    </w:rPr>
                    <w:t>超标和达</w:t>
                  </w:r>
                  <w:r>
                    <w:rPr>
                      <w:spacing w:val="1"/>
                      <w:sz w:val="15"/>
                      <w:szCs w:val="15"/>
                    </w:rPr>
                    <w:t xml:space="preserve"> </w:t>
                  </w:r>
                  <w:r>
                    <w:rPr>
                      <w:b/>
                      <w:bCs/>
                      <w:spacing w:val="6"/>
                      <w:sz w:val="15"/>
                      <w:szCs w:val="15"/>
                    </w:rPr>
                    <w:t>标情况</w:t>
                  </w:r>
                </w:p>
              </w:tc>
            </w:tr>
            <w:tr w14:paraId="57D08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389" w:type="dxa"/>
                  <w:vMerge w:val="continue"/>
                  <w:tcBorders>
                    <w:top w:val="nil"/>
                  </w:tcBorders>
                  <w:vAlign w:val="top"/>
                </w:tcPr>
                <w:p w14:paraId="47E03550">
                  <w:pPr>
                    <w:rPr>
                      <w:rFonts w:ascii="Arial"/>
                      <w:sz w:val="21"/>
                    </w:rPr>
                  </w:pPr>
                </w:p>
              </w:tc>
              <w:tc>
                <w:tcPr>
                  <w:tcW w:w="632" w:type="dxa"/>
                  <w:vMerge w:val="continue"/>
                  <w:tcBorders>
                    <w:top w:val="nil"/>
                  </w:tcBorders>
                  <w:vAlign w:val="top"/>
                </w:tcPr>
                <w:p w14:paraId="4744E5F5">
                  <w:pPr>
                    <w:rPr>
                      <w:rFonts w:ascii="Arial"/>
                      <w:sz w:val="21"/>
                    </w:rPr>
                  </w:pPr>
                </w:p>
              </w:tc>
              <w:tc>
                <w:tcPr>
                  <w:tcW w:w="417" w:type="dxa"/>
                  <w:textDirection w:val="tbRlV"/>
                  <w:vAlign w:val="top"/>
                </w:tcPr>
                <w:p w14:paraId="301D23CC">
                  <w:pPr>
                    <w:pStyle w:val="6"/>
                    <w:spacing w:before="128" w:line="222" w:lineRule="auto"/>
                    <w:ind w:left="26"/>
                    <w:rPr>
                      <w:sz w:val="15"/>
                      <w:szCs w:val="15"/>
                    </w:rPr>
                  </w:pPr>
                  <w:r>
                    <w:rPr>
                      <w:b/>
                      <w:bCs/>
                      <w:spacing w:val="8"/>
                      <w:sz w:val="15"/>
                      <w:szCs w:val="15"/>
                    </w:rPr>
                    <w:t>昼</w:t>
                  </w:r>
                  <w:r>
                    <w:rPr>
                      <w:spacing w:val="-28"/>
                      <w:sz w:val="15"/>
                      <w:szCs w:val="15"/>
                    </w:rPr>
                    <w:t xml:space="preserve"> </w:t>
                  </w:r>
                  <w:r>
                    <w:rPr>
                      <w:b/>
                      <w:bCs/>
                      <w:spacing w:val="8"/>
                      <w:sz w:val="15"/>
                      <w:szCs w:val="15"/>
                    </w:rPr>
                    <w:t>间</w:t>
                  </w:r>
                </w:p>
              </w:tc>
              <w:tc>
                <w:tcPr>
                  <w:tcW w:w="415" w:type="dxa"/>
                  <w:textDirection w:val="tbRlV"/>
                  <w:vAlign w:val="top"/>
                </w:tcPr>
                <w:p w14:paraId="22AD205E">
                  <w:pPr>
                    <w:pStyle w:val="6"/>
                    <w:spacing w:before="126" w:line="216" w:lineRule="auto"/>
                    <w:ind w:left="26"/>
                    <w:rPr>
                      <w:sz w:val="15"/>
                      <w:szCs w:val="15"/>
                    </w:rPr>
                  </w:pPr>
                  <w:r>
                    <w:rPr>
                      <w:b/>
                      <w:bCs/>
                      <w:spacing w:val="8"/>
                      <w:sz w:val="15"/>
                      <w:szCs w:val="15"/>
                    </w:rPr>
                    <w:t>夜</w:t>
                  </w:r>
                  <w:r>
                    <w:rPr>
                      <w:spacing w:val="-28"/>
                      <w:sz w:val="15"/>
                      <w:szCs w:val="15"/>
                    </w:rPr>
                    <w:t xml:space="preserve"> </w:t>
                  </w:r>
                  <w:r>
                    <w:rPr>
                      <w:b/>
                      <w:bCs/>
                      <w:spacing w:val="8"/>
                      <w:sz w:val="15"/>
                      <w:szCs w:val="15"/>
                    </w:rPr>
                    <w:t>间</w:t>
                  </w:r>
                </w:p>
              </w:tc>
              <w:tc>
                <w:tcPr>
                  <w:tcW w:w="400" w:type="dxa"/>
                  <w:textDirection w:val="tbRlV"/>
                  <w:vAlign w:val="top"/>
                </w:tcPr>
                <w:p w14:paraId="201739D4">
                  <w:pPr>
                    <w:pStyle w:val="6"/>
                    <w:spacing w:before="120" w:line="222" w:lineRule="auto"/>
                    <w:ind w:left="26"/>
                    <w:rPr>
                      <w:sz w:val="15"/>
                      <w:szCs w:val="15"/>
                    </w:rPr>
                  </w:pPr>
                  <w:r>
                    <w:rPr>
                      <w:b/>
                      <w:bCs/>
                      <w:spacing w:val="8"/>
                      <w:sz w:val="15"/>
                      <w:szCs w:val="15"/>
                    </w:rPr>
                    <w:t>昼</w:t>
                  </w:r>
                  <w:r>
                    <w:rPr>
                      <w:spacing w:val="-28"/>
                      <w:sz w:val="15"/>
                      <w:szCs w:val="15"/>
                    </w:rPr>
                    <w:t xml:space="preserve"> </w:t>
                  </w:r>
                  <w:r>
                    <w:rPr>
                      <w:b/>
                      <w:bCs/>
                      <w:spacing w:val="8"/>
                      <w:sz w:val="15"/>
                      <w:szCs w:val="15"/>
                    </w:rPr>
                    <w:t>间</w:t>
                  </w:r>
                </w:p>
              </w:tc>
              <w:tc>
                <w:tcPr>
                  <w:tcW w:w="414" w:type="dxa"/>
                  <w:textDirection w:val="tbRlV"/>
                  <w:vAlign w:val="top"/>
                </w:tcPr>
                <w:p w14:paraId="45C13E4C">
                  <w:pPr>
                    <w:pStyle w:val="6"/>
                    <w:spacing w:before="126" w:line="216" w:lineRule="auto"/>
                    <w:ind w:left="26"/>
                    <w:rPr>
                      <w:sz w:val="15"/>
                      <w:szCs w:val="15"/>
                    </w:rPr>
                  </w:pPr>
                  <w:r>
                    <w:rPr>
                      <w:b/>
                      <w:bCs/>
                      <w:spacing w:val="8"/>
                      <w:sz w:val="15"/>
                      <w:szCs w:val="15"/>
                    </w:rPr>
                    <w:t>夜</w:t>
                  </w:r>
                  <w:r>
                    <w:rPr>
                      <w:spacing w:val="-28"/>
                      <w:sz w:val="15"/>
                      <w:szCs w:val="15"/>
                    </w:rPr>
                    <w:t xml:space="preserve"> </w:t>
                  </w:r>
                  <w:r>
                    <w:rPr>
                      <w:b/>
                      <w:bCs/>
                      <w:spacing w:val="8"/>
                      <w:sz w:val="15"/>
                      <w:szCs w:val="15"/>
                    </w:rPr>
                    <w:t>间</w:t>
                  </w:r>
                </w:p>
              </w:tc>
              <w:tc>
                <w:tcPr>
                  <w:tcW w:w="392" w:type="dxa"/>
                  <w:textDirection w:val="tbRlV"/>
                  <w:vAlign w:val="top"/>
                </w:tcPr>
                <w:p w14:paraId="5AB30692">
                  <w:pPr>
                    <w:pStyle w:val="6"/>
                    <w:spacing w:before="114" w:line="222" w:lineRule="auto"/>
                    <w:ind w:left="26"/>
                    <w:rPr>
                      <w:sz w:val="15"/>
                      <w:szCs w:val="15"/>
                    </w:rPr>
                  </w:pPr>
                  <w:r>
                    <w:rPr>
                      <w:b/>
                      <w:bCs/>
                      <w:spacing w:val="8"/>
                      <w:sz w:val="15"/>
                      <w:szCs w:val="15"/>
                    </w:rPr>
                    <w:t>昼</w:t>
                  </w:r>
                  <w:r>
                    <w:rPr>
                      <w:spacing w:val="-28"/>
                      <w:sz w:val="15"/>
                      <w:szCs w:val="15"/>
                    </w:rPr>
                    <w:t xml:space="preserve"> </w:t>
                  </w:r>
                  <w:r>
                    <w:rPr>
                      <w:b/>
                      <w:bCs/>
                      <w:spacing w:val="8"/>
                      <w:sz w:val="15"/>
                      <w:szCs w:val="15"/>
                    </w:rPr>
                    <w:t>间</w:t>
                  </w:r>
                </w:p>
              </w:tc>
              <w:tc>
                <w:tcPr>
                  <w:tcW w:w="435" w:type="dxa"/>
                  <w:vAlign w:val="top"/>
                </w:tcPr>
                <w:p w14:paraId="29869E2E">
                  <w:pPr>
                    <w:pStyle w:val="6"/>
                    <w:spacing w:before="129" w:line="231" w:lineRule="auto"/>
                    <w:ind w:left="63"/>
                    <w:rPr>
                      <w:sz w:val="15"/>
                      <w:szCs w:val="15"/>
                    </w:rPr>
                  </w:pPr>
                  <w:r>
                    <w:rPr>
                      <w:b/>
                      <w:bCs/>
                      <w:spacing w:val="4"/>
                      <w:sz w:val="15"/>
                      <w:szCs w:val="15"/>
                    </w:rPr>
                    <w:t>夜间</w:t>
                  </w:r>
                </w:p>
              </w:tc>
              <w:tc>
                <w:tcPr>
                  <w:tcW w:w="520" w:type="dxa"/>
                  <w:vAlign w:val="top"/>
                </w:tcPr>
                <w:p w14:paraId="59E183FE">
                  <w:pPr>
                    <w:pStyle w:val="6"/>
                    <w:spacing w:before="129" w:line="234" w:lineRule="auto"/>
                    <w:ind w:left="102"/>
                    <w:rPr>
                      <w:sz w:val="15"/>
                      <w:szCs w:val="15"/>
                    </w:rPr>
                  </w:pPr>
                  <w:r>
                    <w:rPr>
                      <w:b/>
                      <w:bCs/>
                      <w:spacing w:val="5"/>
                      <w:sz w:val="15"/>
                      <w:szCs w:val="15"/>
                    </w:rPr>
                    <w:t>昼间</w:t>
                  </w:r>
                </w:p>
              </w:tc>
              <w:tc>
                <w:tcPr>
                  <w:tcW w:w="380" w:type="dxa"/>
                  <w:textDirection w:val="tbRlV"/>
                  <w:vAlign w:val="top"/>
                </w:tcPr>
                <w:p w14:paraId="0A6E86C1">
                  <w:pPr>
                    <w:pStyle w:val="6"/>
                    <w:spacing w:before="107" w:line="216" w:lineRule="auto"/>
                    <w:ind w:left="26"/>
                    <w:rPr>
                      <w:sz w:val="15"/>
                      <w:szCs w:val="15"/>
                    </w:rPr>
                  </w:pPr>
                  <w:r>
                    <w:rPr>
                      <w:b/>
                      <w:bCs/>
                      <w:spacing w:val="8"/>
                      <w:sz w:val="15"/>
                      <w:szCs w:val="15"/>
                    </w:rPr>
                    <w:t>夜</w:t>
                  </w:r>
                  <w:r>
                    <w:rPr>
                      <w:spacing w:val="-28"/>
                      <w:sz w:val="15"/>
                      <w:szCs w:val="15"/>
                    </w:rPr>
                    <w:t xml:space="preserve"> </w:t>
                  </w:r>
                  <w:r>
                    <w:rPr>
                      <w:b/>
                      <w:bCs/>
                      <w:spacing w:val="8"/>
                      <w:sz w:val="15"/>
                      <w:szCs w:val="15"/>
                    </w:rPr>
                    <w:t>间</w:t>
                  </w:r>
                </w:p>
              </w:tc>
              <w:tc>
                <w:tcPr>
                  <w:tcW w:w="408" w:type="dxa"/>
                  <w:textDirection w:val="tbRlV"/>
                  <w:vAlign w:val="top"/>
                </w:tcPr>
                <w:p w14:paraId="4BBF646C">
                  <w:pPr>
                    <w:pStyle w:val="6"/>
                    <w:spacing w:before="122" w:line="222" w:lineRule="auto"/>
                    <w:ind w:left="26"/>
                    <w:rPr>
                      <w:sz w:val="15"/>
                      <w:szCs w:val="15"/>
                    </w:rPr>
                  </w:pPr>
                  <w:r>
                    <w:rPr>
                      <w:b/>
                      <w:bCs/>
                      <w:spacing w:val="8"/>
                      <w:sz w:val="15"/>
                      <w:szCs w:val="15"/>
                    </w:rPr>
                    <w:t>昼</w:t>
                  </w:r>
                  <w:r>
                    <w:rPr>
                      <w:spacing w:val="-28"/>
                      <w:sz w:val="15"/>
                      <w:szCs w:val="15"/>
                    </w:rPr>
                    <w:t xml:space="preserve"> </w:t>
                  </w:r>
                  <w:r>
                    <w:rPr>
                      <w:b/>
                      <w:bCs/>
                      <w:spacing w:val="8"/>
                      <w:sz w:val="15"/>
                      <w:szCs w:val="15"/>
                    </w:rPr>
                    <w:t>间</w:t>
                  </w:r>
                </w:p>
              </w:tc>
              <w:tc>
                <w:tcPr>
                  <w:tcW w:w="456" w:type="dxa"/>
                  <w:vAlign w:val="top"/>
                </w:tcPr>
                <w:p w14:paraId="6F3C27AE">
                  <w:pPr>
                    <w:pStyle w:val="6"/>
                    <w:spacing w:before="129" w:line="231" w:lineRule="auto"/>
                    <w:ind w:left="73"/>
                    <w:rPr>
                      <w:sz w:val="15"/>
                      <w:szCs w:val="15"/>
                    </w:rPr>
                  </w:pPr>
                  <w:r>
                    <w:rPr>
                      <w:b/>
                      <w:bCs/>
                      <w:spacing w:val="4"/>
                      <w:sz w:val="15"/>
                      <w:szCs w:val="15"/>
                    </w:rPr>
                    <w:t>夜间</w:t>
                  </w:r>
                </w:p>
              </w:tc>
              <w:tc>
                <w:tcPr>
                  <w:tcW w:w="444" w:type="dxa"/>
                  <w:vAlign w:val="top"/>
                </w:tcPr>
                <w:p w14:paraId="0470966C">
                  <w:pPr>
                    <w:pStyle w:val="6"/>
                    <w:spacing w:before="129" w:line="234" w:lineRule="auto"/>
                    <w:ind w:left="64"/>
                    <w:rPr>
                      <w:sz w:val="15"/>
                      <w:szCs w:val="15"/>
                    </w:rPr>
                  </w:pPr>
                  <w:r>
                    <w:rPr>
                      <w:b/>
                      <w:bCs/>
                      <w:spacing w:val="5"/>
                      <w:sz w:val="15"/>
                      <w:szCs w:val="15"/>
                    </w:rPr>
                    <w:t>昼间</w:t>
                  </w:r>
                </w:p>
              </w:tc>
              <w:tc>
                <w:tcPr>
                  <w:tcW w:w="459" w:type="dxa"/>
                  <w:vAlign w:val="top"/>
                </w:tcPr>
                <w:p w14:paraId="740703AD">
                  <w:pPr>
                    <w:pStyle w:val="6"/>
                    <w:spacing w:before="129" w:line="231" w:lineRule="auto"/>
                    <w:ind w:left="74"/>
                    <w:rPr>
                      <w:sz w:val="15"/>
                      <w:szCs w:val="15"/>
                    </w:rPr>
                  </w:pPr>
                  <w:r>
                    <w:rPr>
                      <w:b/>
                      <w:bCs/>
                      <w:spacing w:val="4"/>
                      <w:sz w:val="15"/>
                      <w:szCs w:val="15"/>
                    </w:rPr>
                    <w:t>夜间</w:t>
                  </w:r>
                </w:p>
              </w:tc>
              <w:tc>
                <w:tcPr>
                  <w:tcW w:w="406" w:type="dxa"/>
                  <w:textDirection w:val="tbRlV"/>
                  <w:vAlign w:val="top"/>
                </w:tcPr>
                <w:p w14:paraId="79883B6F">
                  <w:pPr>
                    <w:pStyle w:val="6"/>
                    <w:spacing w:before="120" w:line="222" w:lineRule="auto"/>
                    <w:ind w:left="26"/>
                    <w:rPr>
                      <w:sz w:val="15"/>
                      <w:szCs w:val="15"/>
                    </w:rPr>
                  </w:pPr>
                  <w:r>
                    <w:rPr>
                      <w:b/>
                      <w:bCs/>
                      <w:spacing w:val="8"/>
                      <w:sz w:val="15"/>
                      <w:szCs w:val="15"/>
                    </w:rPr>
                    <w:t>昼</w:t>
                  </w:r>
                  <w:r>
                    <w:rPr>
                      <w:spacing w:val="-28"/>
                      <w:sz w:val="15"/>
                      <w:szCs w:val="15"/>
                    </w:rPr>
                    <w:t xml:space="preserve"> </w:t>
                  </w:r>
                  <w:r>
                    <w:rPr>
                      <w:b/>
                      <w:bCs/>
                      <w:spacing w:val="8"/>
                      <w:sz w:val="15"/>
                      <w:szCs w:val="15"/>
                    </w:rPr>
                    <w:t>间</w:t>
                  </w:r>
                </w:p>
              </w:tc>
              <w:tc>
                <w:tcPr>
                  <w:tcW w:w="414" w:type="dxa"/>
                  <w:textDirection w:val="tbRlV"/>
                  <w:vAlign w:val="top"/>
                </w:tcPr>
                <w:p w14:paraId="4F151969">
                  <w:pPr>
                    <w:pStyle w:val="6"/>
                    <w:spacing w:before="125" w:line="216" w:lineRule="auto"/>
                    <w:ind w:left="26"/>
                    <w:rPr>
                      <w:sz w:val="15"/>
                      <w:szCs w:val="15"/>
                    </w:rPr>
                  </w:pPr>
                  <w:r>
                    <w:rPr>
                      <w:b/>
                      <w:bCs/>
                      <w:spacing w:val="8"/>
                      <w:sz w:val="15"/>
                      <w:szCs w:val="15"/>
                    </w:rPr>
                    <w:t>夜</w:t>
                  </w:r>
                  <w:r>
                    <w:rPr>
                      <w:spacing w:val="-28"/>
                      <w:sz w:val="15"/>
                      <w:szCs w:val="15"/>
                    </w:rPr>
                    <w:t xml:space="preserve"> </w:t>
                  </w:r>
                  <w:r>
                    <w:rPr>
                      <w:b/>
                      <w:bCs/>
                      <w:spacing w:val="8"/>
                      <w:sz w:val="15"/>
                      <w:szCs w:val="15"/>
                    </w:rPr>
                    <w:t>间</w:t>
                  </w:r>
                </w:p>
              </w:tc>
            </w:tr>
            <w:tr w14:paraId="1F847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389" w:type="dxa"/>
                  <w:vAlign w:val="top"/>
                </w:tcPr>
                <w:p w14:paraId="59D3E6E8">
                  <w:pPr>
                    <w:pStyle w:val="6"/>
                    <w:spacing w:before="26" w:line="231" w:lineRule="auto"/>
                    <w:ind w:left="543"/>
                    <w:rPr>
                      <w:sz w:val="15"/>
                      <w:szCs w:val="15"/>
                    </w:rPr>
                  </w:pPr>
                  <w:r>
                    <w:rPr>
                      <w:spacing w:val="3"/>
                      <w:sz w:val="15"/>
                      <w:szCs w:val="15"/>
                    </w:rPr>
                    <w:t>东界</w:t>
                  </w:r>
                </w:p>
                <w:p w14:paraId="0003EE64">
                  <w:pPr>
                    <w:pStyle w:val="6"/>
                    <w:spacing w:before="19" w:line="216" w:lineRule="auto"/>
                    <w:ind w:left="107"/>
                    <w:rPr>
                      <w:sz w:val="15"/>
                      <w:szCs w:val="15"/>
                    </w:rPr>
                  </w:pPr>
                  <w:r>
                    <w:rPr>
                      <w:rFonts w:hint="eastAsia"/>
                      <w:spacing w:val="3"/>
                      <w:sz w:val="15"/>
                      <w:szCs w:val="15"/>
                      <w:lang w:eastAsia="zh-CN"/>
                    </w:rPr>
                    <w:t>(</w:t>
                  </w:r>
                  <w:r>
                    <w:rPr>
                      <w:rFonts w:ascii="Times New Roman" w:hAnsi="Times New Roman" w:eastAsia="Times New Roman" w:cs="Times New Roman"/>
                      <w:spacing w:val="3"/>
                      <w:sz w:val="15"/>
                      <w:szCs w:val="15"/>
                    </w:rPr>
                    <w:t>28.37,97.19,0</w:t>
                  </w:r>
                  <w:r>
                    <w:rPr>
                      <w:rFonts w:hint="eastAsia" w:ascii="Times New Roman" w:hAnsi="Times New Roman" w:eastAsia="宋体" w:cs="Times New Roman"/>
                      <w:spacing w:val="3"/>
                      <w:sz w:val="15"/>
                      <w:szCs w:val="15"/>
                      <w:lang w:eastAsia="zh-CN"/>
                    </w:rPr>
                    <w:t>)</w:t>
                  </w:r>
                </w:p>
              </w:tc>
              <w:tc>
                <w:tcPr>
                  <w:tcW w:w="632" w:type="dxa"/>
                  <w:vAlign w:val="top"/>
                </w:tcPr>
                <w:p w14:paraId="22362156">
                  <w:pPr>
                    <w:spacing w:before="155" w:line="176" w:lineRule="exact"/>
                    <w:ind w:left="216"/>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5m</w:t>
                  </w:r>
                </w:p>
              </w:tc>
              <w:tc>
                <w:tcPr>
                  <w:tcW w:w="417" w:type="dxa"/>
                  <w:vAlign w:val="top"/>
                </w:tcPr>
                <w:p w14:paraId="69D936D0">
                  <w:pPr>
                    <w:spacing w:before="155" w:line="176" w:lineRule="exact"/>
                    <w:ind w:left="183"/>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w:t>
                  </w:r>
                </w:p>
              </w:tc>
              <w:tc>
                <w:tcPr>
                  <w:tcW w:w="415" w:type="dxa"/>
                  <w:vAlign w:val="top"/>
                </w:tcPr>
                <w:p w14:paraId="7781B9A8">
                  <w:pPr>
                    <w:spacing w:before="155" w:line="176" w:lineRule="exact"/>
                    <w:ind w:left="181"/>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w:t>
                  </w:r>
                </w:p>
              </w:tc>
              <w:tc>
                <w:tcPr>
                  <w:tcW w:w="400" w:type="dxa"/>
                  <w:vAlign w:val="top"/>
                </w:tcPr>
                <w:p w14:paraId="263D347E">
                  <w:pPr>
                    <w:spacing w:before="155" w:line="176" w:lineRule="exact"/>
                    <w:ind w:left="174"/>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w:t>
                  </w:r>
                </w:p>
              </w:tc>
              <w:tc>
                <w:tcPr>
                  <w:tcW w:w="414" w:type="dxa"/>
                  <w:vAlign w:val="top"/>
                </w:tcPr>
                <w:p w14:paraId="60863159">
                  <w:pPr>
                    <w:spacing w:before="155" w:line="176" w:lineRule="exact"/>
                    <w:ind w:left="181"/>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w:t>
                  </w:r>
                </w:p>
              </w:tc>
              <w:tc>
                <w:tcPr>
                  <w:tcW w:w="392" w:type="dxa"/>
                  <w:vAlign w:val="top"/>
                </w:tcPr>
                <w:p w14:paraId="3CF78B6C">
                  <w:pPr>
                    <w:spacing w:before="155" w:line="176" w:lineRule="exact"/>
                    <w:ind w:left="119"/>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65</w:t>
                  </w:r>
                </w:p>
              </w:tc>
              <w:tc>
                <w:tcPr>
                  <w:tcW w:w="435" w:type="dxa"/>
                  <w:vAlign w:val="top"/>
                </w:tcPr>
                <w:p w14:paraId="74315212">
                  <w:pPr>
                    <w:spacing w:before="155" w:line="176" w:lineRule="exact"/>
                    <w:ind w:left="143"/>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55</w:t>
                  </w:r>
                </w:p>
              </w:tc>
              <w:tc>
                <w:tcPr>
                  <w:tcW w:w="520" w:type="dxa"/>
                  <w:vAlign w:val="top"/>
                </w:tcPr>
                <w:p w14:paraId="2C8EDD8E">
                  <w:pPr>
                    <w:spacing w:before="155" w:line="176" w:lineRule="exact"/>
                    <w:ind w:left="84"/>
                    <w:rPr>
                      <w:rFonts w:ascii="Times New Roman" w:hAnsi="Times New Roman" w:eastAsia="Times New Roman" w:cs="Times New Roman"/>
                      <w:sz w:val="15"/>
                      <w:szCs w:val="15"/>
                    </w:rPr>
                  </w:pPr>
                  <w:r>
                    <w:rPr>
                      <w:rFonts w:ascii="Times New Roman" w:hAnsi="Times New Roman" w:eastAsia="Times New Roman" w:cs="Times New Roman"/>
                      <w:spacing w:val="3"/>
                      <w:sz w:val="15"/>
                      <w:szCs w:val="15"/>
                    </w:rPr>
                    <w:t>63.42</w:t>
                  </w:r>
                </w:p>
              </w:tc>
              <w:tc>
                <w:tcPr>
                  <w:tcW w:w="380" w:type="dxa"/>
                  <w:vAlign w:val="top"/>
                </w:tcPr>
                <w:p w14:paraId="57661C6F">
                  <w:pPr>
                    <w:spacing w:before="155" w:line="176" w:lineRule="exact"/>
                    <w:ind w:left="153"/>
                    <w:rPr>
                      <w:rFonts w:ascii="Times New Roman" w:hAnsi="Times New Roman" w:eastAsia="Times New Roman" w:cs="Times New Roman"/>
                      <w:sz w:val="15"/>
                      <w:szCs w:val="15"/>
                    </w:rPr>
                  </w:pPr>
                  <w:r>
                    <w:rPr>
                      <w:rFonts w:ascii="Times New Roman" w:hAnsi="Times New Roman" w:eastAsia="Times New Roman" w:cs="Times New Roman"/>
                      <w:sz w:val="15"/>
                      <w:szCs w:val="15"/>
                    </w:rPr>
                    <w:t>0</w:t>
                  </w:r>
                </w:p>
              </w:tc>
              <w:tc>
                <w:tcPr>
                  <w:tcW w:w="408" w:type="dxa"/>
                  <w:vAlign w:val="top"/>
                </w:tcPr>
                <w:p w14:paraId="6D96814C">
                  <w:pPr>
                    <w:spacing w:before="155" w:line="176" w:lineRule="exact"/>
                    <w:ind w:left="180"/>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w:t>
                  </w:r>
                </w:p>
              </w:tc>
              <w:tc>
                <w:tcPr>
                  <w:tcW w:w="456" w:type="dxa"/>
                  <w:vAlign w:val="top"/>
                </w:tcPr>
                <w:p w14:paraId="57976DE4">
                  <w:pPr>
                    <w:spacing w:before="155" w:line="176" w:lineRule="exact"/>
                    <w:ind w:left="204"/>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w:t>
                  </w:r>
                </w:p>
              </w:tc>
              <w:tc>
                <w:tcPr>
                  <w:tcW w:w="444" w:type="dxa"/>
                  <w:vAlign w:val="top"/>
                </w:tcPr>
                <w:p w14:paraId="1D64DBCD">
                  <w:pPr>
                    <w:spacing w:before="155" w:line="176" w:lineRule="exact"/>
                    <w:ind w:left="198"/>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w:t>
                  </w:r>
                </w:p>
              </w:tc>
              <w:tc>
                <w:tcPr>
                  <w:tcW w:w="459" w:type="dxa"/>
                  <w:vAlign w:val="top"/>
                </w:tcPr>
                <w:p w14:paraId="1ED045DF">
                  <w:pPr>
                    <w:spacing w:before="155" w:line="176" w:lineRule="exact"/>
                    <w:ind w:left="205"/>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w:t>
                  </w:r>
                </w:p>
              </w:tc>
              <w:tc>
                <w:tcPr>
                  <w:tcW w:w="406" w:type="dxa"/>
                  <w:textDirection w:val="tbRlV"/>
                  <w:vAlign w:val="top"/>
                </w:tcPr>
                <w:p w14:paraId="0D2A55AD">
                  <w:pPr>
                    <w:pStyle w:val="6"/>
                    <w:spacing w:before="119" w:line="220" w:lineRule="auto"/>
                    <w:ind w:left="26"/>
                    <w:rPr>
                      <w:sz w:val="15"/>
                      <w:szCs w:val="15"/>
                    </w:rPr>
                  </w:pPr>
                  <w:r>
                    <w:rPr>
                      <w:spacing w:val="9"/>
                      <w:sz w:val="15"/>
                      <w:szCs w:val="15"/>
                    </w:rPr>
                    <w:t>达</w:t>
                  </w:r>
                  <w:r>
                    <w:rPr>
                      <w:spacing w:val="-27"/>
                      <w:sz w:val="15"/>
                      <w:szCs w:val="15"/>
                    </w:rPr>
                    <w:t xml:space="preserve"> </w:t>
                  </w:r>
                  <w:r>
                    <w:rPr>
                      <w:spacing w:val="9"/>
                      <w:sz w:val="15"/>
                      <w:szCs w:val="15"/>
                    </w:rPr>
                    <w:t>标</w:t>
                  </w:r>
                </w:p>
              </w:tc>
              <w:tc>
                <w:tcPr>
                  <w:tcW w:w="414" w:type="dxa"/>
                  <w:vAlign w:val="top"/>
                </w:tcPr>
                <w:p w14:paraId="1C93B3EE">
                  <w:pPr>
                    <w:spacing w:before="155" w:line="176" w:lineRule="exact"/>
                    <w:ind w:left="182"/>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w:t>
                  </w:r>
                </w:p>
              </w:tc>
            </w:tr>
            <w:tr w14:paraId="14A56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389" w:type="dxa"/>
                  <w:vAlign w:val="top"/>
                </w:tcPr>
                <w:p w14:paraId="474E813F">
                  <w:pPr>
                    <w:pStyle w:val="6"/>
                    <w:spacing w:before="26" w:line="233" w:lineRule="auto"/>
                    <w:ind w:left="539"/>
                    <w:rPr>
                      <w:sz w:val="15"/>
                      <w:szCs w:val="15"/>
                    </w:rPr>
                  </w:pPr>
                  <w:r>
                    <w:rPr>
                      <w:spacing w:val="5"/>
                      <w:sz w:val="15"/>
                      <w:szCs w:val="15"/>
                    </w:rPr>
                    <w:t>南界</w:t>
                  </w:r>
                </w:p>
                <w:p w14:paraId="327D7CA8">
                  <w:pPr>
                    <w:pStyle w:val="6"/>
                    <w:spacing w:before="18" w:line="215" w:lineRule="auto"/>
                    <w:ind w:left="81"/>
                    <w:rPr>
                      <w:sz w:val="15"/>
                      <w:szCs w:val="15"/>
                    </w:rPr>
                  </w:pPr>
                  <w:r>
                    <w:rPr>
                      <w:rFonts w:hint="eastAsia"/>
                      <w:spacing w:val="2"/>
                      <w:sz w:val="15"/>
                      <w:szCs w:val="15"/>
                      <w:lang w:eastAsia="zh-CN"/>
                    </w:rPr>
                    <w:t>(</w:t>
                  </w:r>
                  <w:r>
                    <w:rPr>
                      <w:rFonts w:ascii="Times New Roman" w:hAnsi="Times New Roman" w:eastAsia="Times New Roman" w:cs="Times New Roman"/>
                      <w:spacing w:val="2"/>
                      <w:sz w:val="15"/>
                      <w:szCs w:val="15"/>
                    </w:rPr>
                    <w:t>-23.52,</w:t>
                  </w:r>
                  <w:r>
                    <w:rPr>
                      <w:rFonts w:ascii="Times New Roman" w:hAnsi="Times New Roman" w:eastAsia="Times New Roman" w:cs="Times New Roman"/>
                      <w:spacing w:val="-17"/>
                      <w:sz w:val="15"/>
                      <w:szCs w:val="15"/>
                    </w:rPr>
                    <w:t xml:space="preserve"> </w:t>
                  </w:r>
                  <w:r>
                    <w:rPr>
                      <w:rFonts w:ascii="Times New Roman" w:hAnsi="Times New Roman" w:eastAsia="Times New Roman" w:cs="Times New Roman"/>
                      <w:spacing w:val="2"/>
                      <w:sz w:val="15"/>
                      <w:szCs w:val="15"/>
                    </w:rPr>
                    <w:t>11.09,0</w:t>
                  </w:r>
                  <w:r>
                    <w:rPr>
                      <w:rFonts w:hint="eastAsia" w:ascii="Times New Roman" w:hAnsi="Times New Roman" w:eastAsia="宋体" w:cs="Times New Roman"/>
                      <w:spacing w:val="2"/>
                      <w:sz w:val="15"/>
                      <w:szCs w:val="15"/>
                      <w:lang w:eastAsia="zh-CN"/>
                    </w:rPr>
                    <w:t>)</w:t>
                  </w:r>
                </w:p>
              </w:tc>
              <w:tc>
                <w:tcPr>
                  <w:tcW w:w="632" w:type="dxa"/>
                  <w:vAlign w:val="top"/>
                </w:tcPr>
                <w:p w14:paraId="046814E5">
                  <w:pPr>
                    <w:spacing w:before="156" w:line="178" w:lineRule="exact"/>
                    <w:ind w:left="188"/>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14m</w:t>
                  </w:r>
                </w:p>
              </w:tc>
              <w:tc>
                <w:tcPr>
                  <w:tcW w:w="417" w:type="dxa"/>
                  <w:vAlign w:val="top"/>
                </w:tcPr>
                <w:p w14:paraId="76567271">
                  <w:pPr>
                    <w:spacing w:before="156" w:line="176" w:lineRule="exact"/>
                    <w:ind w:left="183"/>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w:t>
                  </w:r>
                </w:p>
              </w:tc>
              <w:tc>
                <w:tcPr>
                  <w:tcW w:w="415" w:type="dxa"/>
                  <w:vAlign w:val="top"/>
                </w:tcPr>
                <w:p w14:paraId="317BBCC0">
                  <w:pPr>
                    <w:spacing w:before="156" w:line="176" w:lineRule="exact"/>
                    <w:ind w:left="181"/>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w:t>
                  </w:r>
                </w:p>
              </w:tc>
              <w:tc>
                <w:tcPr>
                  <w:tcW w:w="400" w:type="dxa"/>
                  <w:vAlign w:val="top"/>
                </w:tcPr>
                <w:p w14:paraId="42695795">
                  <w:pPr>
                    <w:spacing w:before="156" w:line="176" w:lineRule="exact"/>
                    <w:ind w:left="174"/>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w:t>
                  </w:r>
                </w:p>
              </w:tc>
              <w:tc>
                <w:tcPr>
                  <w:tcW w:w="414" w:type="dxa"/>
                  <w:vAlign w:val="top"/>
                </w:tcPr>
                <w:p w14:paraId="2C362351">
                  <w:pPr>
                    <w:spacing w:before="156" w:line="176" w:lineRule="exact"/>
                    <w:ind w:left="181"/>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w:t>
                  </w:r>
                </w:p>
              </w:tc>
              <w:tc>
                <w:tcPr>
                  <w:tcW w:w="392" w:type="dxa"/>
                  <w:vAlign w:val="top"/>
                </w:tcPr>
                <w:p w14:paraId="4FD5FD8E">
                  <w:pPr>
                    <w:spacing w:before="156" w:line="176" w:lineRule="exact"/>
                    <w:ind w:left="119"/>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65</w:t>
                  </w:r>
                </w:p>
              </w:tc>
              <w:tc>
                <w:tcPr>
                  <w:tcW w:w="435" w:type="dxa"/>
                  <w:vAlign w:val="top"/>
                </w:tcPr>
                <w:p w14:paraId="5415CC0E">
                  <w:pPr>
                    <w:spacing w:before="156" w:line="176" w:lineRule="exact"/>
                    <w:ind w:left="143"/>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55</w:t>
                  </w:r>
                </w:p>
              </w:tc>
              <w:tc>
                <w:tcPr>
                  <w:tcW w:w="520" w:type="dxa"/>
                  <w:vAlign w:val="top"/>
                </w:tcPr>
                <w:p w14:paraId="013B0B6F">
                  <w:pPr>
                    <w:spacing w:before="156" w:line="176" w:lineRule="exact"/>
                    <w:ind w:left="84"/>
                    <w:rPr>
                      <w:rFonts w:ascii="Times New Roman" w:hAnsi="Times New Roman" w:eastAsia="Times New Roman" w:cs="Times New Roman"/>
                      <w:sz w:val="15"/>
                      <w:szCs w:val="15"/>
                    </w:rPr>
                  </w:pPr>
                  <w:r>
                    <w:rPr>
                      <w:rFonts w:ascii="Times New Roman" w:hAnsi="Times New Roman" w:eastAsia="Times New Roman" w:cs="Times New Roman"/>
                      <w:spacing w:val="3"/>
                      <w:sz w:val="15"/>
                      <w:szCs w:val="15"/>
                    </w:rPr>
                    <w:t>61.29</w:t>
                  </w:r>
                </w:p>
              </w:tc>
              <w:tc>
                <w:tcPr>
                  <w:tcW w:w="380" w:type="dxa"/>
                  <w:vAlign w:val="top"/>
                </w:tcPr>
                <w:p w14:paraId="256B99ED">
                  <w:pPr>
                    <w:spacing w:before="156" w:line="176" w:lineRule="exact"/>
                    <w:ind w:left="153"/>
                    <w:rPr>
                      <w:rFonts w:ascii="Times New Roman" w:hAnsi="Times New Roman" w:eastAsia="Times New Roman" w:cs="Times New Roman"/>
                      <w:sz w:val="15"/>
                      <w:szCs w:val="15"/>
                    </w:rPr>
                  </w:pPr>
                  <w:r>
                    <w:rPr>
                      <w:rFonts w:ascii="Times New Roman" w:hAnsi="Times New Roman" w:eastAsia="Times New Roman" w:cs="Times New Roman"/>
                      <w:sz w:val="15"/>
                      <w:szCs w:val="15"/>
                    </w:rPr>
                    <w:t>0</w:t>
                  </w:r>
                </w:p>
              </w:tc>
              <w:tc>
                <w:tcPr>
                  <w:tcW w:w="408" w:type="dxa"/>
                  <w:vAlign w:val="top"/>
                </w:tcPr>
                <w:p w14:paraId="23B87661">
                  <w:pPr>
                    <w:spacing w:before="156" w:line="176" w:lineRule="exact"/>
                    <w:ind w:left="180"/>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w:t>
                  </w:r>
                </w:p>
              </w:tc>
              <w:tc>
                <w:tcPr>
                  <w:tcW w:w="456" w:type="dxa"/>
                  <w:vAlign w:val="top"/>
                </w:tcPr>
                <w:p w14:paraId="2E143696">
                  <w:pPr>
                    <w:spacing w:before="156" w:line="176" w:lineRule="exact"/>
                    <w:ind w:left="204"/>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w:t>
                  </w:r>
                </w:p>
              </w:tc>
              <w:tc>
                <w:tcPr>
                  <w:tcW w:w="444" w:type="dxa"/>
                  <w:vAlign w:val="top"/>
                </w:tcPr>
                <w:p w14:paraId="08B0E973">
                  <w:pPr>
                    <w:spacing w:before="156" w:line="176" w:lineRule="exact"/>
                    <w:ind w:left="198"/>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w:t>
                  </w:r>
                </w:p>
              </w:tc>
              <w:tc>
                <w:tcPr>
                  <w:tcW w:w="459" w:type="dxa"/>
                  <w:vAlign w:val="top"/>
                </w:tcPr>
                <w:p w14:paraId="4072E79A">
                  <w:pPr>
                    <w:spacing w:before="156" w:line="176" w:lineRule="exact"/>
                    <w:ind w:left="205"/>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w:t>
                  </w:r>
                </w:p>
              </w:tc>
              <w:tc>
                <w:tcPr>
                  <w:tcW w:w="406" w:type="dxa"/>
                  <w:textDirection w:val="tbRlV"/>
                  <w:vAlign w:val="top"/>
                </w:tcPr>
                <w:p w14:paraId="41642FD9">
                  <w:pPr>
                    <w:pStyle w:val="6"/>
                    <w:spacing w:before="119" w:line="220" w:lineRule="auto"/>
                    <w:ind w:left="26"/>
                    <w:rPr>
                      <w:sz w:val="15"/>
                      <w:szCs w:val="15"/>
                    </w:rPr>
                  </w:pPr>
                  <w:r>
                    <w:rPr>
                      <w:spacing w:val="9"/>
                      <w:sz w:val="15"/>
                      <w:szCs w:val="15"/>
                    </w:rPr>
                    <w:t>达</w:t>
                  </w:r>
                  <w:r>
                    <w:rPr>
                      <w:spacing w:val="-27"/>
                      <w:sz w:val="15"/>
                      <w:szCs w:val="15"/>
                    </w:rPr>
                    <w:t xml:space="preserve"> </w:t>
                  </w:r>
                  <w:r>
                    <w:rPr>
                      <w:spacing w:val="9"/>
                      <w:sz w:val="15"/>
                      <w:szCs w:val="15"/>
                    </w:rPr>
                    <w:t>标</w:t>
                  </w:r>
                </w:p>
              </w:tc>
              <w:tc>
                <w:tcPr>
                  <w:tcW w:w="414" w:type="dxa"/>
                  <w:vAlign w:val="top"/>
                </w:tcPr>
                <w:p w14:paraId="411778AC">
                  <w:pPr>
                    <w:spacing w:before="156" w:line="176" w:lineRule="exact"/>
                    <w:ind w:left="182"/>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w:t>
                  </w:r>
                </w:p>
              </w:tc>
            </w:tr>
            <w:tr w14:paraId="49DBA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389" w:type="dxa"/>
                  <w:vAlign w:val="top"/>
                </w:tcPr>
                <w:p w14:paraId="50600A08">
                  <w:pPr>
                    <w:pStyle w:val="6"/>
                    <w:spacing w:before="27" w:line="233" w:lineRule="auto"/>
                    <w:ind w:left="540"/>
                    <w:rPr>
                      <w:sz w:val="15"/>
                      <w:szCs w:val="15"/>
                    </w:rPr>
                  </w:pPr>
                  <w:r>
                    <w:rPr>
                      <w:spacing w:val="5"/>
                      <w:sz w:val="15"/>
                      <w:szCs w:val="15"/>
                    </w:rPr>
                    <w:t>北界</w:t>
                  </w:r>
                </w:p>
                <w:p w14:paraId="4FBD0103">
                  <w:pPr>
                    <w:pStyle w:val="6"/>
                    <w:spacing w:before="18" w:line="219" w:lineRule="auto"/>
                    <w:ind w:left="70"/>
                    <w:rPr>
                      <w:sz w:val="15"/>
                      <w:szCs w:val="15"/>
                    </w:rPr>
                  </w:pPr>
                  <w:r>
                    <w:rPr>
                      <w:rFonts w:hint="eastAsia"/>
                      <w:spacing w:val="3"/>
                      <w:sz w:val="15"/>
                      <w:szCs w:val="15"/>
                      <w:lang w:eastAsia="zh-CN"/>
                    </w:rPr>
                    <w:t>(</w:t>
                  </w:r>
                  <w:r>
                    <w:rPr>
                      <w:rFonts w:ascii="Times New Roman" w:hAnsi="Times New Roman" w:eastAsia="Times New Roman" w:cs="Times New Roman"/>
                      <w:spacing w:val="3"/>
                      <w:sz w:val="15"/>
                      <w:szCs w:val="15"/>
                    </w:rPr>
                    <w:t>30.77,176.98,0</w:t>
                  </w:r>
                  <w:r>
                    <w:rPr>
                      <w:rFonts w:hint="eastAsia" w:ascii="Times New Roman" w:hAnsi="Times New Roman" w:eastAsia="宋体" w:cs="Times New Roman"/>
                      <w:spacing w:val="3"/>
                      <w:sz w:val="15"/>
                      <w:szCs w:val="15"/>
                      <w:lang w:eastAsia="zh-CN"/>
                    </w:rPr>
                    <w:t>)</w:t>
                  </w:r>
                </w:p>
              </w:tc>
              <w:tc>
                <w:tcPr>
                  <w:tcW w:w="632" w:type="dxa"/>
                  <w:vAlign w:val="top"/>
                </w:tcPr>
                <w:p w14:paraId="1F23E80C">
                  <w:pPr>
                    <w:spacing w:before="157" w:line="176" w:lineRule="exact"/>
                    <w:ind w:left="188"/>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10m</w:t>
                  </w:r>
                </w:p>
              </w:tc>
              <w:tc>
                <w:tcPr>
                  <w:tcW w:w="417" w:type="dxa"/>
                  <w:vAlign w:val="top"/>
                </w:tcPr>
                <w:p w14:paraId="4E798716">
                  <w:pPr>
                    <w:spacing w:before="157" w:line="175" w:lineRule="exact"/>
                    <w:ind w:left="183"/>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w:t>
                  </w:r>
                </w:p>
              </w:tc>
              <w:tc>
                <w:tcPr>
                  <w:tcW w:w="415" w:type="dxa"/>
                  <w:vAlign w:val="top"/>
                </w:tcPr>
                <w:p w14:paraId="4682D08B">
                  <w:pPr>
                    <w:spacing w:before="157" w:line="175" w:lineRule="exact"/>
                    <w:ind w:left="181"/>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w:t>
                  </w:r>
                </w:p>
              </w:tc>
              <w:tc>
                <w:tcPr>
                  <w:tcW w:w="400" w:type="dxa"/>
                  <w:vAlign w:val="top"/>
                </w:tcPr>
                <w:p w14:paraId="0F09F574">
                  <w:pPr>
                    <w:spacing w:before="157" w:line="175" w:lineRule="exact"/>
                    <w:ind w:left="174"/>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w:t>
                  </w:r>
                </w:p>
              </w:tc>
              <w:tc>
                <w:tcPr>
                  <w:tcW w:w="414" w:type="dxa"/>
                  <w:vAlign w:val="top"/>
                </w:tcPr>
                <w:p w14:paraId="466F4F19">
                  <w:pPr>
                    <w:spacing w:before="157" w:line="175" w:lineRule="exact"/>
                    <w:ind w:left="181"/>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w:t>
                  </w:r>
                </w:p>
              </w:tc>
              <w:tc>
                <w:tcPr>
                  <w:tcW w:w="392" w:type="dxa"/>
                  <w:vAlign w:val="top"/>
                </w:tcPr>
                <w:p w14:paraId="11DA83EF">
                  <w:pPr>
                    <w:spacing w:before="157" w:line="176" w:lineRule="exact"/>
                    <w:ind w:left="119"/>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65</w:t>
                  </w:r>
                </w:p>
              </w:tc>
              <w:tc>
                <w:tcPr>
                  <w:tcW w:w="435" w:type="dxa"/>
                  <w:vAlign w:val="top"/>
                </w:tcPr>
                <w:p w14:paraId="13E636F5">
                  <w:pPr>
                    <w:spacing w:before="157" w:line="176" w:lineRule="exact"/>
                    <w:ind w:left="143"/>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55</w:t>
                  </w:r>
                </w:p>
              </w:tc>
              <w:tc>
                <w:tcPr>
                  <w:tcW w:w="520" w:type="dxa"/>
                  <w:vAlign w:val="top"/>
                </w:tcPr>
                <w:p w14:paraId="6A2D651D">
                  <w:pPr>
                    <w:spacing w:before="157" w:line="175" w:lineRule="exact"/>
                    <w:ind w:left="85"/>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59.45</w:t>
                  </w:r>
                </w:p>
              </w:tc>
              <w:tc>
                <w:tcPr>
                  <w:tcW w:w="380" w:type="dxa"/>
                  <w:vAlign w:val="top"/>
                </w:tcPr>
                <w:p w14:paraId="3033169C">
                  <w:pPr>
                    <w:spacing w:before="157" w:line="176" w:lineRule="exact"/>
                    <w:ind w:left="153"/>
                    <w:rPr>
                      <w:rFonts w:ascii="Times New Roman" w:hAnsi="Times New Roman" w:eastAsia="Times New Roman" w:cs="Times New Roman"/>
                      <w:sz w:val="15"/>
                      <w:szCs w:val="15"/>
                    </w:rPr>
                  </w:pPr>
                  <w:r>
                    <w:rPr>
                      <w:rFonts w:ascii="Times New Roman" w:hAnsi="Times New Roman" w:eastAsia="Times New Roman" w:cs="Times New Roman"/>
                      <w:sz w:val="15"/>
                      <w:szCs w:val="15"/>
                    </w:rPr>
                    <w:t>0</w:t>
                  </w:r>
                </w:p>
              </w:tc>
              <w:tc>
                <w:tcPr>
                  <w:tcW w:w="408" w:type="dxa"/>
                  <w:vAlign w:val="top"/>
                </w:tcPr>
                <w:p w14:paraId="4593A8F1">
                  <w:pPr>
                    <w:spacing w:before="157" w:line="175" w:lineRule="exact"/>
                    <w:ind w:left="180"/>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w:t>
                  </w:r>
                </w:p>
              </w:tc>
              <w:tc>
                <w:tcPr>
                  <w:tcW w:w="456" w:type="dxa"/>
                  <w:vAlign w:val="top"/>
                </w:tcPr>
                <w:p w14:paraId="0DAA8602">
                  <w:pPr>
                    <w:spacing w:before="157" w:line="175" w:lineRule="exact"/>
                    <w:ind w:left="204"/>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w:t>
                  </w:r>
                </w:p>
              </w:tc>
              <w:tc>
                <w:tcPr>
                  <w:tcW w:w="444" w:type="dxa"/>
                  <w:vAlign w:val="top"/>
                </w:tcPr>
                <w:p w14:paraId="5C614C26">
                  <w:pPr>
                    <w:spacing w:before="157" w:line="175" w:lineRule="exact"/>
                    <w:ind w:left="198"/>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w:t>
                  </w:r>
                </w:p>
              </w:tc>
              <w:tc>
                <w:tcPr>
                  <w:tcW w:w="459" w:type="dxa"/>
                  <w:vAlign w:val="top"/>
                </w:tcPr>
                <w:p w14:paraId="437AEFCB">
                  <w:pPr>
                    <w:spacing w:before="157" w:line="175" w:lineRule="exact"/>
                    <w:ind w:left="205"/>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w:t>
                  </w:r>
                </w:p>
              </w:tc>
              <w:tc>
                <w:tcPr>
                  <w:tcW w:w="406" w:type="dxa"/>
                  <w:textDirection w:val="tbRlV"/>
                  <w:vAlign w:val="top"/>
                </w:tcPr>
                <w:p w14:paraId="3980DB37">
                  <w:pPr>
                    <w:pStyle w:val="6"/>
                    <w:spacing w:before="119" w:line="220" w:lineRule="auto"/>
                    <w:ind w:left="27"/>
                    <w:rPr>
                      <w:sz w:val="15"/>
                      <w:szCs w:val="15"/>
                    </w:rPr>
                  </w:pPr>
                  <w:r>
                    <w:rPr>
                      <w:spacing w:val="9"/>
                      <w:sz w:val="15"/>
                      <w:szCs w:val="15"/>
                    </w:rPr>
                    <w:t>达</w:t>
                  </w:r>
                  <w:r>
                    <w:rPr>
                      <w:spacing w:val="-27"/>
                      <w:sz w:val="15"/>
                      <w:szCs w:val="15"/>
                    </w:rPr>
                    <w:t xml:space="preserve"> </w:t>
                  </w:r>
                  <w:r>
                    <w:rPr>
                      <w:spacing w:val="9"/>
                      <w:sz w:val="15"/>
                      <w:szCs w:val="15"/>
                    </w:rPr>
                    <w:t>标</w:t>
                  </w:r>
                </w:p>
              </w:tc>
              <w:tc>
                <w:tcPr>
                  <w:tcW w:w="414" w:type="dxa"/>
                  <w:vAlign w:val="top"/>
                </w:tcPr>
                <w:p w14:paraId="37A1D0DB">
                  <w:pPr>
                    <w:spacing w:before="157" w:line="175" w:lineRule="exact"/>
                    <w:ind w:left="182"/>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w:t>
                  </w:r>
                </w:p>
              </w:tc>
            </w:tr>
          </w:tbl>
          <w:p w14:paraId="0EAB1E90">
            <w:pPr>
              <w:pStyle w:val="6"/>
              <w:spacing w:before="140" w:line="215" w:lineRule="auto"/>
              <w:ind w:left="531"/>
            </w:pPr>
            <w:r>
              <w:rPr>
                <w:spacing w:val="-1"/>
              </w:rPr>
              <w:t>项目噪声预测等声级线图如下：</w:t>
            </w:r>
          </w:p>
        </w:tc>
      </w:tr>
      <w:tr w14:paraId="4B772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8" w:hRule="atLeast"/>
        </w:trPr>
        <w:tc>
          <w:tcPr>
            <w:tcW w:w="750" w:type="dxa"/>
            <w:tcBorders>
              <w:top w:val="nil"/>
              <w:bottom w:val="nil"/>
              <w:right w:val="single" w:color="000000" w:sz="2" w:space="0"/>
            </w:tcBorders>
            <w:vAlign w:val="top"/>
          </w:tcPr>
          <w:p w14:paraId="78F94112">
            <w:pPr>
              <w:rPr>
                <w:rFonts w:ascii="Arial"/>
                <w:sz w:val="21"/>
              </w:rPr>
            </w:pPr>
          </w:p>
        </w:tc>
        <w:tc>
          <w:tcPr>
            <w:tcW w:w="8163" w:type="dxa"/>
            <w:tcBorders>
              <w:top w:val="nil"/>
              <w:left w:val="single" w:color="000000" w:sz="2" w:space="0"/>
              <w:bottom w:val="nil"/>
            </w:tcBorders>
            <w:vAlign w:val="top"/>
          </w:tcPr>
          <w:p w14:paraId="6BEF9337">
            <w:pPr>
              <w:spacing w:before="5" w:line="6042" w:lineRule="exact"/>
              <w:ind w:firstLine="98"/>
            </w:pPr>
            <w:r>
              <w:rPr>
                <w:position w:val="-120"/>
              </w:rPr>
              <w:drawing>
                <wp:inline distT="0" distB="0" distL="0" distR="0">
                  <wp:extent cx="5049520" cy="383667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90"/>
                          <a:stretch>
                            <a:fillRect/>
                          </a:stretch>
                        </pic:blipFill>
                        <pic:spPr>
                          <a:xfrm>
                            <a:off x="0" y="0"/>
                            <a:ext cx="5049520" cy="3837050"/>
                          </a:xfrm>
                          <a:prstGeom prst="rect">
                            <a:avLst/>
                          </a:prstGeom>
                        </pic:spPr>
                      </pic:pic>
                    </a:graphicData>
                  </a:graphic>
                </wp:inline>
              </w:drawing>
            </w:r>
          </w:p>
        </w:tc>
      </w:tr>
      <w:tr w14:paraId="36F67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18" w:hRule="atLeast"/>
        </w:trPr>
        <w:tc>
          <w:tcPr>
            <w:tcW w:w="750" w:type="dxa"/>
            <w:tcBorders>
              <w:top w:val="nil"/>
              <w:right w:val="single" w:color="000000" w:sz="2" w:space="0"/>
            </w:tcBorders>
            <w:vAlign w:val="top"/>
          </w:tcPr>
          <w:p w14:paraId="66AABF5B">
            <w:pPr>
              <w:rPr>
                <w:rFonts w:ascii="Arial"/>
                <w:sz w:val="21"/>
              </w:rPr>
            </w:pPr>
          </w:p>
        </w:tc>
        <w:tc>
          <w:tcPr>
            <w:tcW w:w="8163" w:type="dxa"/>
            <w:tcBorders>
              <w:top w:val="nil"/>
              <w:left w:val="single" w:color="000000" w:sz="2" w:space="0"/>
            </w:tcBorders>
            <w:vAlign w:val="top"/>
          </w:tcPr>
          <w:p w14:paraId="3084FA02">
            <w:pPr>
              <w:spacing w:before="151" w:line="231" w:lineRule="auto"/>
              <w:ind w:left="2660"/>
              <w:rPr>
                <w:rFonts w:ascii="黑体" w:hAnsi="黑体" w:eastAsia="黑体" w:cs="黑体"/>
                <w:sz w:val="20"/>
                <w:szCs w:val="20"/>
              </w:rPr>
            </w:pPr>
            <w:r>
              <w:rPr>
                <w:rFonts w:ascii="黑体" w:hAnsi="黑体" w:eastAsia="黑体" w:cs="黑体"/>
                <w:spacing w:val="-2"/>
                <w:sz w:val="20"/>
                <w:szCs w:val="20"/>
              </w:rPr>
              <w:t>图</w:t>
            </w:r>
            <w:r>
              <w:rPr>
                <w:rFonts w:ascii="Times New Roman" w:hAnsi="Times New Roman" w:eastAsia="Times New Roman" w:cs="Times New Roman"/>
                <w:spacing w:val="-2"/>
                <w:sz w:val="20"/>
                <w:szCs w:val="20"/>
              </w:rPr>
              <w:t>4-1</w:t>
            </w:r>
            <w:r>
              <w:rPr>
                <w:rFonts w:ascii="黑体" w:hAnsi="黑体" w:eastAsia="黑体" w:cs="黑体"/>
                <w:spacing w:val="-2"/>
                <w:sz w:val="20"/>
                <w:szCs w:val="20"/>
              </w:rPr>
              <w:t>：项目营运期噪声等声级线图</w:t>
            </w:r>
          </w:p>
          <w:p w14:paraId="68995B2F">
            <w:pPr>
              <w:pStyle w:val="6"/>
              <w:spacing w:before="150" w:line="352" w:lineRule="auto"/>
              <w:ind w:left="108" w:right="11" w:firstLine="444"/>
              <w:jc w:val="both"/>
            </w:pPr>
            <w:r>
              <w:rPr>
                <w:spacing w:val="-2"/>
              </w:rPr>
              <w:t>由上表预测结果可知，本项目设备噪声通过建筑隔声、基础减振、距离衰减等措施</w:t>
            </w:r>
            <w:r>
              <w:rPr>
                <w:spacing w:val="4"/>
              </w:rPr>
              <w:t xml:space="preserve">  </w:t>
            </w:r>
            <w:r>
              <w:rPr>
                <w:spacing w:val="-4"/>
              </w:rPr>
              <w:t>的情况下，各厂界噪声值能够满足《工业企业</w:t>
            </w:r>
            <w:r>
              <w:rPr>
                <w:spacing w:val="-5"/>
              </w:rPr>
              <w:t>厂界环境噪声排放标准》（</w:t>
            </w:r>
            <w:r>
              <w:rPr>
                <w:rFonts w:ascii="Times New Roman" w:hAnsi="Times New Roman" w:eastAsia="Times New Roman" w:cs="Times New Roman"/>
                <w:spacing w:val="-5"/>
              </w:rPr>
              <w:t>GB12348-2008</w:t>
            </w:r>
            <w:r>
              <w:rPr>
                <w:spacing w:val="-5"/>
              </w:rPr>
              <w:t>）</w:t>
            </w:r>
            <w:r>
              <w:t xml:space="preserve"> </w:t>
            </w:r>
            <w:r>
              <w:rPr>
                <w:rFonts w:ascii="Times New Roman" w:hAnsi="Times New Roman" w:eastAsia="Times New Roman" w:cs="Times New Roman"/>
                <w:spacing w:val="-3"/>
              </w:rPr>
              <w:t>3</w:t>
            </w:r>
            <w:r>
              <w:rPr>
                <w:spacing w:val="-3"/>
              </w:rPr>
              <w:t>类声环境功能区的排放限值要求。</w:t>
            </w:r>
          </w:p>
          <w:p w14:paraId="03EA494A">
            <w:pPr>
              <w:pStyle w:val="6"/>
              <w:spacing w:line="234" w:lineRule="auto"/>
              <w:ind w:left="102"/>
            </w:pPr>
            <w:r>
              <w:rPr>
                <w:rFonts w:ascii="Times New Roman" w:hAnsi="Times New Roman" w:eastAsia="Times New Roman" w:cs="Times New Roman"/>
                <w:b/>
                <w:bCs/>
                <w:spacing w:val="-2"/>
              </w:rPr>
              <w:t>3.4</w:t>
            </w:r>
            <w:r>
              <w:rPr>
                <w:b/>
                <w:bCs/>
                <w:spacing w:val="-2"/>
              </w:rPr>
              <w:t>监测计划</w:t>
            </w:r>
          </w:p>
          <w:p w14:paraId="2B53D979">
            <w:pPr>
              <w:pStyle w:val="6"/>
              <w:spacing w:before="133" w:line="213" w:lineRule="auto"/>
              <w:ind w:left="529"/>
            </w:pPr>
            <w:r>
              <w:rPr>
                <w:spacing w:val="-1"/>
              </w:rPr>
              <w:t>参考《排污单位自行监测技术指南 总则》</w:t>
            </w:r>
            <w:r>
              <w:rPr>
                <w:rFonts w:hint="eastAsia"/>
                <w:spacing w:val="-1"/>
                <w:lang w:eastAsia="zh-CN"/>
              </w:rPr>
              <w:t>（</w:t>
            </w:r>
            <w:r>
              <w:rPr>
                <w:rFonts w:ascii="Times New Roman" w:hAnsi="Times New Roman" w:eastAsia="Times New Roman" w:cs="Times New Roman"/>
                <w:spacing w:val="-1"/>
              </w:rPr>
              <w:t>HJ</w:t>
            </w:r>
            <w:r>
              <w:rPr>
                <w:rFonts w:ascii="Times New Roman" w:hAnsi="Times New Roman" w:eastAsia="Times New Roman" w:cs="Times New Roman"/>
                <w:spacing w:val="-2"/>
              </w:rPr>
              <w:t>819-2017</w:t>
            </w:r>
            <w:r>
              <w:rPr>
                <w:rFonts w:hint="eastAsia" w:ascii="Times New Roman" w:hAnsi="Times New Roman" w:eastAsia="宋体" w:cs="Times New Roman"/>
                <w:spacing w:val="-2"/>
                <w:lang w:eastAsia="zh-CN"/>
              </w:rPr>
              <w:t>）</w:t>
            </w:r>
            <w:r>
              <w:rPr>
                <w:spacing w:val="-2"/>
              </w:rPr>
              <w:t>与《排污许可证申请与核发</w:t>
            </w:r>
          </w:p>
        </w:tc>
      </w:tr>
    </w:tbl>
    <w:p w14:paraId="6FB2D1AF">
      <w:pPr>
        <w:rPr>
          <w:rFonts w:ascii="Arial"/>
          <w:sz w:val="21"/>
        </w:rPr>
      </w:pPr>
    </w:p>
    <w:p w14:paraId="7A9017CF">
      <w:pPr>
        <w:rPr>
          <w:rFonts w:ascii="Arial" w:hAnsi="Arial" w:eastAsia="Arial" w:cs="Arial"/>
          <w:sz w:val="21"/>
          <w:szCs w:val="21"/>
        </w:rPr>
        <w:sectPr>
          <w:footerReference r:id="rId66" w:type="default"/>
          <w:pgSz w:w="11908" w:h="16840"/>
          <w:pgMar w:top="1431" w:right="1489" w:bottom="1053" w:left="1489" w:header="0" w:footer="801" w:gutter="0"/>
          <w:cols w:space="720" w:num="1"/>
        </w:sectPr>
      </w:pPr>
    </w:p>
    <w:p w14:paraId="7291A070">
      <w:pPr>
        <w:spacing w:before="28"/>
      </w:pPr>
    </w:p>
    <w:tbl>
      <w:tblPr>
        <w:tblStyle w:val="5"/>
        <w:tblW w:w="891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166"/>
        <w:gridCol w:w="1139"/>
        <w:gridCol w:w="1174"/>
        <w:gridCol w:w="1273"/>
        <w:gridCol w:w="3021"/>
        <w:gridCol w:w="1215"/>
        <w:gridCol w:w="175"/>
      </w:tblGrid>
      <w:tr w14:paraId="2CDAF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750" w:type="dxa"/>
            <w:vMerge w:val="restart"/>
            <w:tcBorders>
              <w:left w:val="single" w:color="000000" w:sz="6" w:space="0"/>
              <w:bottom w:val="nil"/>
            </w:tcBorders>
            <w:vAlign w:val="top"/>
          </w:tcPr>
          <w:p w14:paraId="7C850679">
            <w:pPr>
              <w:rPr>
                <w:rFonts w:ascii="Arial"/>
                <w:sz w:val="21"/>
              </w:rPr>
            </w:pPr>
          </w:p>
        </w:tc>
        <w:tc>
          <w:tcPr>
            <w:tcW w:w="8163" w:type="dxa"/>
            <w:gridSpan w:val="7"/>
            <w:tcBorders>
              <w:right w:val="single" w:color="000000" w:sz="6" w:space="0"/>
            </w:tcBorders>
            <w:vAlign w:val="top"/>
          </w:tcPr>
          <w:p w14:paraId="7F1AF9DC">
            <w:pPr>
              <w:pStyle w:val="6"/>
              <w:spacing w:before="144" w:line="213" w:lineRule="auto"/>
              <w:ind w:left="108"/>
            </w:pPr>
            <w:r>
              <w:rPr>
                <w:spacing w:val="-1"/>
              </w:rPr>
              <w:t>技术规范 工业噪声》</w:t>
            </w:r>
            <w:r>
              <w:rPr>
                <w:rFonts w:hint="eastAsia"/>
                <w:spacing w:val="-1"/>
                <w:lang w:eastAsia="zh-CN"/>
              </w:rPr>
              <w:t>（</w:t>
            </w:r>
            <w:r>
              <w:rPr>
                <w:rFonts w:ascii="Times New Roman" w:hAnsi="Times New Roman" w:eastAsia="Times New Roman" w:cs="Times New Roman"/>
                <w:spacing w:val="-1"/>
              </w:rPr>
              <w:t>HJ1301-2023</w:t>
            </w:r>
            <w:r>
              <w:rPr>
                <w:rFonts w:hint="eastAsia" w:ascii="Times New Roman" w:hAnsi="Times New Roman" w:eastAsia="宋体" w:cs="Times New Roman"/>
                <w:spacing w:val="-1"/>
                <w:lang w:eastAsia="zh-CN"/>
              </w:rPr>
              <w:t>）</w:t>
            </w:r>
            <w:r>
              <w:rPr>
                <w:spacing w:val="-1"/>
              </w:rPr>
              <w:t>，项目监测要求如下表所</w:t>
            </w:r>
            <w:r>
              <w:rPr>
                <w:spacing w:val="-2"/>
              </w:rPr>
              <w:t>示。</w:t>
            </w:r>
          </w:p>
          <w:p w14:paraId="43D8EE60">
            <w:pPr>
              <w:spacing w:before="101" w:line="212" w:lineRule="auto"/>
              <w:ind w:left="2802"/>
              <w:rPr>
                <w:rFonts w:ascii="黑体" w:hAnsi="黑体" w:eastAsia="黑体" w:cs="黑体"/>
                <w:sz w:val="20"/>
                <w:szCs w:val="20"/>
              </w:rPr>
            </w:pPr>
            <w:r>
              <w:rPr>
                <w:rFonts w:ascii="黑体" w:hAnsi="黑体" w:eastAsia="黑体" w:cs="黑体"/>
                <w:spacing w:val="-1"/>
                <w:sz w:val="20"/>
                <w:szCs w:val="20"/>
              </w:rPr>
              <w:t>表</w:t>
            </w:r>
            <w:r>
              <w:rPr>
                <w:rFonts w:ascii="Times New Roman" w:hAnsi="Times New Roman" w:eastAsia="Times New Roman" w:cs="Times New Roman"/>
                <w:spacing w:val="-1"/>
                <w:sz w:val="20"/>
                <w:szCs w:val="20"/>
              </w:rPr>
              <w:t xml:space="preserve">4-13    </w:t>
            </w:r>
            <w:r>
              <w:rPr>
                <w:rFonts w:ascii="黑体" w:hAnsi="黑体" w:eastAsia="黑体" w:cs="黑体"/>
                <w:spacing w:val="-1"/>
                <w:sz w:val="20"/>
                <w:szCs w:val="20"/>
              </w:rPr>
              <w:t>营运期噪声监测计划</w:t>
            </w:r>
          </w:p>
        </w:tc>
      </w:tr>
      <w:tr w14:paraId="58E15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750" w:type="dxa"/>
            <w:vMerge w:val="continue"/>
            <w:tcBorders>
              <w:top w:val="nil"/>
              <w:left w:val="single" w:color="000000" w:sz="6" w:space="0"/>
              <w:bottom w:val="nil"/>
            </w:tcBorders>
            <w:vAlign w:val="top"/>
          </w:tcPr>
          <w:p w14:paraId="305B9E85">
            <w:pPr>
              <w:rPr>
                <w:rFonts w:ascii="Arial"/>
                <w:sz w:val="21"/>
              </w:rPr>
            </w:pPr>
          </w:p>
        </w:tc>
        <w:tc>
          <w:tcPr>
            <w:tcW w:w="166" w:type="dxa"/>
            <w:tcBorders>
              <w:right w:val="single" w:color="000000" w:sz="8" w:space="0"/>
            </w:tcBorders>
            <w:vAlign w:val="top"/>
          </w:tcPr>
          <w:p w14:paraId="21A2FE76">
            <w:pPr>
              <w:rPr>
                <w:rFonts w:ascii="Arial"/>
                <w:sz w:val="21"/>
              </w:rPr>
            </w:pPr>
          </w:p>
        </w:tc>
        <w:tc>
          <w:tcPr>
            <w:tcW w:w="1139" w:type="dxa"/>
            <w:tcBorders>
              <w:left w:val="single" w:color="000000" w:sz="8" w:space="0"/>
            </w:tcBorders>
            <w:vAlign w:val="top"/>
          </w:tcPr>
          <w:p w14:paraId="70A2B37D">
            <w:pPr>
              <w:pStyle w:val="6"/>
              <w:spacing w:before="102" w:line="220" w:lineRule="auto"/>
              <w:ind w:left="200"/>
              <w:rPr>
                <w:sz w:val="18"/>
                <w:szCs w:val="18"/>
              </w:rPr>
            </w:pPr>
            <w:r>
              <w:rPr>
                <w:b/>
                <w:bCs/>
                <w:spacing w:val="-4"/>
                <w:sz w:val="18"/>
                <w:szCs w:val="18"/>
              </w:rPr>
              <w:t>监测项目</w:t>
            </w:r>
          </w:p>
        </w:tc>
        <w:tc>
          <w:tcPr>
            <w:tcW w:w="1174" w:type="dxa"/>
            <w:vAlign w:val="top"/>
          </w:tcPr>
          <w:p w14:paraId="00316BEF">
            <w:pPr>
              <w:pStyle w:val="6"/>
              <w:spacing w:before="102" w:line="221" w:lineRule="auto"/>
              <w:ind w:left="227"/>
              <w:rPr>
                <w:sz w:val="18"/>
                <w:szCs w:val="18"/>
              </w:rPr>
            </w:pPr>
            <w:r>
              <w:rPr>
                <w:b/>
                <w:bCs/>
                <w:spacing w:val="-4"/>
                <w:sz w:val="18"/>
                <w:szCs w:val="18"/>
              </w:rPr>
              <w:t>监测点位</w:t>
            </w:r>
          </w:p>
        </w:tc>
        <w:tc>
          <w:tcPr>
            <w:tcW w:w="1273" w:type="dxa"/>
            <w:vAlign w:val="top"/>
          </w:tcPr>
          <w:p w14:paraId="482B8F7C">
            <w:pPr>
              <w:pStyle w:val="6"/>
              <w:spacing w:before="102" w:line="220" w:lineRule="auto"/>
              <w:ind w:left="279"/>
              <w:rPr>
                <w:sz w:val="18"/>
                <w:szCs w:val="18"/>
              </w:rPr>
            </w:pPr>
            <w:r>
              <w:rPr>
                <w:b/>
                <w:bCs/>
                <w:spacing w:val="-4"/>
                <w:sz w:val="18"/>
                <w:szCs w:val="18"/>
              </w:rPr>
              <w:t>监测因子</w:t>
            </w:r>
          </w:p>
        </w:tc>
        <w:tc>
          <w:tcPr>
            <w:tcW w:w="3021" w:type="dxa"/>
            <w:vAlign w:val="top"/>
          </w:tcPr>
          <w:p w14:paraId="61AADE4F">
            <w:pPr>
              <w:pStyle w:val="6"/>
              <w:spacing w:before="102" w:line="220" w:lineRule="auto"/>
              <w:ind w:left="1156"/>
              <w:rPr>
                <w:sz w:val="18"/>
                <w:szCs w:val="18"/>
              </w:rPr>
            </w:pPr>
            <w:r>
              <w:rPr>
                <w:b/>
                <w:bCs/>
                <w:spacing w:val="-4"/>
                <w:sz w:val="18"/>
                <w:szCs w:val="18"/>
              </w:rPr>
              <w:t>监测频次</w:t>
            </w:r>
          </w:p>
        </w:tc>
        <w:tc>
          <w:tcPr>
            <w:tcW w:w="1215" w:type="dxa"/>
            <w:vAlign w:val="top"/>
          </w:tcPr>
          <w:p w14:paraId="3C0BF98B">
            <w:pPr>
              <w:pStyle w:val="6"/>
              <w:spacing w:before="102" w:line="220" w:lineRule="auto"/>
              <w:ind w:left="258"/>
              <w:rPr>
                <w:sz w:val="18"/>
                <w:szCs w:val="18"/>
              </w:rPr>
            </w:pPr>
            <w:r>
              <w:rPr>
                <w:b/>
                <w:bCs/>
                <w:spacing w:val="-4"/>
                <w:sz w:val="18"/>
                <w:szCs w:val="18"/>
              </w:rPr>
              <w:t>监测周期</w:t>
            </w:r>
          </w:p>
        </w:tc>
        <w:tc>
          <w:tcPr>
            <w:tcW w:w="175" w:type="dxa"/>
            <w:vMerge w:val="restart"/>
            <w:tcBorders>
              <w:top w:val="nil"/>
              <w:bottom w:val="nil"/>
              <w:right w:val="single" w:color="000000" w:sz="6" w:space="0"/>
            </w:tcBorders>
            <w:vAlign w:val="top"/>
          </w:tcPr>
          <w:p w14:paraId="30DEDD2F">
            <w:pPr>
              <w:rPr>
                <w:rFonts w:ascii="Arial"/>
                <w:sz w:val="21"/>
              </w:rPr>
            </w:pPr>
          </w:p>
        </w:tc>
      </w:tr>
      <w:tr w14:paraId="4D14E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750" w:type="dxa"/>
            <w:vMerge w:val="continue"/>
            <w:tcBorders>
              <w:top w:val="nil"/>
              <w:left w:val="single" w:color="000000" w:sz="6" w:space="0"/>
              <w:bottom w:val="nil"/>
            </w:tcBorders>
            <w:vAlign w:val="top"/>
          </w:tcPr>
          <w:p w14:paraId="0C49AAEF">
            <w:pPr>
              <w:rPr>
                <w:rFonts w:ascii="Arial"/>
                <w:sz w:val="21"/>
              </w:rPr>
            </w:pPr>
          </w:p>
        </w:tc>
        <w:tc>
          <w:tcPr>
            <w:tcW w:w="166" w:type="dxa"/>
            <w:tcBorders>
              <w:right w:val="single" w:color="000000" w:sz="8" w:space="0"/>
            </w:tcBorders>
            <w:vAlign w:val="top"/>
          </w:tcPr>
          <w:p w14:paraId="3BBB5801">
            <w:pPr>
              <w:rPr>
                <w:rFonts w:ascii="Arial"/>
                <w:sz w:val="21"/>
              </w:rPr>
            </w:pPr>
          </w:p>
        </w:tc>
        <w:tc>
          <w:tcPr>
            <w:tcW w:w="1139" w:type="dxa"/>
            <w:tcBorders>
              <w:left w:val="single" w:color="000000" w:sz="8" w:space="0"/>
            </w:tcBorders>
            <w:vAlign w:val="top"/>
          </w:tcPr>
          <w:p w14:paraId="12F98420">
            <w:pPr>
              <w:pStyle w:val="6"/>
              <w:spacing w:before="109" w:line="220" w:lineRule="auto"/>
              <w:ind w:left="389"/>
              <w:rPr>
                <w:sz w:val="18"/>
                <w:szCs w:val="18"/>
              </w:rPr>
            </w:pPr>
            <w:r>
              <w:rPr>
                <w:spacing w:val="-4"/>
                <w:sz w:val="18"/>
                <w:szCs w:val="18"/>
              </w:rPr>
              <w:t>噪声</w:t>
            </w:r>
          </w:p>
        </w:tc>
        <w:tc>
          <w:tcPr>
            <w:tcW w:w="1174" w:type="dxa"/>
            <w:vAlign w:val="top"/>
          </w:tcPr>
          <w:p w14:paraId="5800F160">
            <w:pPr>
              <w:pStyle w:val="6"/>
              <w:spacing w:before="109" w:line="220" w:lineRule="auto"/>
              <w:ind w:left="230"/>
              <w:rPr>
                <w:sz w:val="18"/>
                <w:szCs w:val="18"/>
              </w:rPr>
            </w:pPr>
            <w:r>
              <w:rPr>
                <w:spacing w:val="-2"/>
                <w:sz w:val="18"/>
                <w:szCs w:val="18"/>
              </w:rPr>
              <w:t>厂界四周</w:t>
            </w:r>
          </w:p>
        </w:tc>
        <w:tc>
          <w:tcPr>
            <w:tcW w:w="1273" w:type="dxa"/>
            <w:vAlign w:val="top"/>
          </w:tcPr>
          <w:p w14:paraId="64D443B1">
            <w:pPr>
              <w:pStyle w:val="6"/>
              <w:spacing w:before="109" w:line="220" w:lineRule="auto"/>
              <w:ind w:left="468"/>
              <w:rPr>
                <w:sz w:val="18"/>
                <w:szCs w:val="18"/>
              </w:rPr>
            </w:pPr>
            <w:r>
              <w:rPr>
                <w:spacing w:val="-4"/>
                <w:sz w:val="18"/>
                <w:szCs w:val="18"/>
              </w:rPr>
              <w:t>噪声</w:t>
            </w:r>
          </w:p>
        </w:tc>
        <w:tc>
          <w:tcPr>
            <w:tcW w:w="3021" w:type="dxa"/>
            <w:vAlign w:val="top"/>
          </w:tcPr>
          <w:p w14:paraId="278AFFCA">
            <w:pPr>
              <w:pStyle w:val="6"/>
              <w:spacing w:before="109" w:line="233" w:lineRule="auto"/>
              <w:ind w:left="181"/>
              <w:rPr>
                <w:sz w:val="18"/>
                <w:szCs w:val="18"/>
              </w:rPr>
            </w:pPr>
            <w:r>
              <w:rPr>
                <w:rFonts w:ascii="Times New Roman" w:hAnsi="Times New Roman" w:eastAsia="Times New Roman" w:cs="Times New Roman"/>
                <w:spacing w:val="-2"/>
                <w:sz w:val="18"/>
                <w:szCs w:val="18"/>
              </w:rPr>
              <w:t>1</w:t>
            </w:r>
            <w:r>
              <w:rPr>
                <w:spacing w:val="-2"/>
                <w:sz w:val="18"/>
                <w:szCs w:val="18"/>
              </w:rPr>
              <w:t>天（每天昼间</w:t>
            </w:r>
            <w:r>
              <w:rPr>
                <w:rFonts w:ascii="Times New Roman" w:hAnsi="Times New Roman" w:eastAsia="Times New Roman" w:cs="Times New Roman"/>
                <w:spacing w:val="-2"/>
                <w:sz w:val="18"/>
                <w:szCs w:val="18"/>
              </w:rPr>
              <w:t>1</w:t>
            </w:r>
            <w:r>
              <w:rPr>
                <w:spacing w:val="-2"/>
                <w:sz w:val="18"/>
                <w:szCs w:val="18"/>
              </w:rPr>
              <w:t>次，夜间不生产）</w:t>
            </w:r>
          </w:p>
        </w:tc>
        <w:tc>
          <w:tcPr>
            <w:tcW w:w="1215" w:type="dxa"/>
            <w:vAlign w:val="top"/>
          </w:tcPr>
          <w:p w14:paraId="2D1566C1">
            <w:pPr>
              <w:pStyle w:val="6"/>
              <w:spacing w:before="109" w:line="233" w:lineRule="auto"/>
              <w:ind w:left="213"/>
              <w:rPr>
                <w:sz w:val="18"/>
                <w:szCs w:val="18"/>
              </w:rPr>
            </w:pPr>
            <w:r>
              <w:rPr>
                <w:spacing w:val="-2"/>
                <w:sz w:val="18"/>
                <w:szCs w:val="18"/>
              </w:rPr>
              <w:t>每季度</w:t>
            </w:r>
            <w:r>
              <w:rPr>
                <w:rFonts w:ascii="Times New Roman" w:hAnsi="Times New Roman" w:eastAsia="Times New Roman" w:cs="Times New Roman"/>
                <w:spacing w:val="-2"/>
                <w:sz w:val="18"/>
                <w:szCs w:val="18"/>
              </w:rPr>
              <w:t>1</w:t>
            </w:r>
            <w:r>
              <w:rPr>
                <w:spacing w:val="-2"/>
                <w:sz w:val="18"/>
                <w:szCs w:val="18"/>
              </w:rPr>
              <w:t>次</w:t>
            </w:r>
          </w:p>
        </w:tc>
        <w:tc>
          <w:tcPr>
            <w:tcW w:w="175" w:type="dxa"/>
            <w:vMerge w:val="continue"/>
            <w:tcBorders>
              <w:top w:val="nil"/>
              <w:bottom w:val="nil"/>
              <w:right w:val="single" w:color="000000" w:sz="6" w:space="0"/>
            </w:tcBorders>
            <w:vAlign w:val="top"/>
          </w:tcPr>
          <w:p w14:paraId="23AC5811">
            <w:pPr>
              <w:rPr>
                <w:rFonts w:ascii="Arial"/>
                <w:sz w:val="21"/>
              </w:rPr>
            </w:pPr>
          </w:p>
        </w:tc>
      </w:tr>
      <w:tr w14:paraId="6FBD3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76" w:hRule="atLeast"/>
        </w:trPr>
        <w:tc>
          <w:tcPr>
            <w:tcW w:w="750" w:type="dxa"/>
            <w:vMerge w:val="continue"/>
            <w:tcBorders>
              <w:top w:val="nil"/>
              <w:left w:val="single" w:color="000000" w:sz="6" w:space="0"/>
              <w:bottom w:val="single" w:color="000000" w:sz="6" w:space="0"/>
            </w:tcBorders>
            <w:vAlign w:val="top"/>
          </w:tcPr>
          <w:p w14:paraId="5A4675A6">
            <w:pPr>
              <w:rPr>
                <w:rFonts w:ascii="Arial"/>
                <w:sz w:val="21"/>
              </w:rPr>
            </w:pPr>
          </w:p>
        </w:tc>
        <w:tc>
          <w:tcPr>
            <w:tcW w:w="8163" w:type="dxa"/>
            <w:gridSpan w:val="7"/>
            <w:tcBorders>
              <w:bottom w:val="single" w:color="000000" w:sz="6" w:space="0"/>
              <w:right w:val="single" w:color="000000" w:sz="6" w:space="0"/>
            </w:tcBorders>
            <w:vAlign w:val="top"/>
          </w:tcPr>
          <w:p w14:paraId="26164E34">
            <w:pPr>
              <w:spacing w:before="133" w:line="242" w:lineRule="auto"/>
              <w:ind w:left="49"/>
              <w:rPr>
                <w:rFonts w:ascii="黑体" w:hAnsi="黑体" w:eastAsia="黑体" w:cs="黑体"/>
                <w:sz w:val="21"/>
                <w:szCs w:val="21"/>
              </w:rPr>
            </w:pPr>
            <w:r>
              <w:rPr>
                <w:rFonts w:ascii="Times New Roman" w:hAnsi="Times New Roman" w:eastAsia="Times New Roman" w:cs="Times New Roman"/>
                <w:spacing w:val="6"/>
                <w:sz w:val="21"/>
                <w:szCs w:val="21"/>
              </w:rPr>
              <w:t>4</w:t>
            </w:r>
            <w:r>
              <w:rPr>
                <w:rFonts w:ascii="黑体" w:hAnsi="黑体" w:eastAsia="黑体" w:cs="黑体"/>
                <w:spacing w:val="6"/>
                <w:sz w:val="21"/>
                <w:szCs w:val="21"/>
              </w:rPr>
              <w:t>、固体废物</w:t>
            </w:r>
          </w:p>
          <w:p w14:paraId="055FAC7B">
            <w:pPr>
              <w:pStyle w:val="6"/>
              <w:spacing w:before="126" w:line="344" w:lineRule="auto"/>
              <w:ind w:left="106" w:right="101" w:firstLine="427"/>
            </w:pPr>
            <w:r>
              <w:t>营运期固废主要包括人工分拣和磁选环节的</w:t>
            </w:r>
            <w:r>
              <w:rPr>
                <w:spacing w:val="-1"/>
              </w:rPr>
              <w:t>废纸板废塑料和废铁质杂物等一般固</w:t>
            </w:r>
            <w:r>
              <w:t xml:space="preserve">  </w:t>
            </w:r>
            <w:r>
              <w:rPr>
                <w:spacing w:val="-1"/>
              </w:rPr>
              <w:t>废、除尘器收集的粉尘、喷淋塔水槽定期清理的沉渣、热风炉的炉灰、废矿物油和废矿</w:t>
            </w:r>
            <w:r>
              <w:rPr>
                <w:spacing w:val="1"/>
              </w:rPr>
              <w:t xml:space="preserve"> </w:t>
            </w:r>
            <w:r>
              <w:rPr>
                <w:spacing w:val="-1"/>
              </w:rPr>
              <w:t>物油桶以及员工的生活垃圾等。</w:t>
            </w:r>
          </w:p>
          <w:p w14:paraId="4A5DE925">
            <w:pPr>
              <w:pStyle w:val="6"/>
              <w:spacing w:before="3" w:line="234" w:lineRule="auto"/>
              <w:ind w:left="104"/>
            </w:pPr>
            <w:r>
              <w:rPr>
                <w:rFonts w:ascii="Times New Roman" w:hAnsi="Times New Roman" w:eastAsia="Times New Roman" w:cs="Times New Roman"/>
                <w:b/>
                <w:bCs/>
                <w:spacing w:val="-4"/>
              </w:rPr>
              <w:t>4.1</w:t>
            </w:r>
            <w:r>
              <w:rPr>
                <w:rFonts w:ascii="Times New Roman" w:hAnsi="Times New Roman" w:eastAsia="Times New Roman" w:cs="Times New Roman"/>
                <w:b/>
                <w:bCs/>
                <w:spacing w:val="15"/>
                <w:w w:val="101"/>
              </w:rPr>
              <w:t xml:space="preserve"> </w:t>
            </w:r>
            <w:r>
              <w:rPr>
                <w:b/>
                <w:bCs/>
                <w:spacing w:val="-4"/>
              </w:rPr>
              <w:t>一般固废</w:t>
            </w:r>
          </w:p>
          <w:p w14:paraId="42DBF79A">
            <w:pPr>
              <w:pStyle w:val="6"/>
              <w:spacing w:before="132" w:line="233" w:lineRule="auto"/>
              <w:ind w:left="533"/>
            </w:pPr>
            <w:r>
              <w:rPr>
                <w:spacing w:val="-1"/>
              </w:rPr>
              <w:t>（</w:t>
            </w:r>
            <w:r>
              <w:rPr>
                <w:rFonts w:ascii="Times New Roman" w:hAnsi="Times New Roman" w:eastAsia="Times New Roman" w:cs="Times New Roman"/>
                <w:spacing w:val="-1"/>
              </w:rPr>
              <w:t>1</w:t>
            </w:r>
            <w:r>
              <w:rPr>
                <w:spacing w:val="-1"/>
              </w:rPr>
              <w:t>）废纸板废塑料和废铁质杂物等</w:t>
            </w:r>
          </w:p>
          <w:p w14:paraId="7EA3D371">
            <w:pPr>
              <w:pStyle w:val="6"/>
              <w:spacing w:before="135" w:line="349" w:lineRule="auto"/>
              <w:ind w:left="107" w:right="101" w:firstLine="421"/>
            </w:pPr>
            <w:r>
              <w:rPr>
                <w:spacing w:val="-1"/>
              </w:rPr>
              <w:t>生产过程中人工分拣和磁选环节会产生少量的废纸板废塑料和废铁质杂物</w:t>
            </w:r>
            <w:r>
              <w:rPr>
                <w:spacing w:val="-2"/>
              </w:rPr>
              <w:t>等，均属</w:t>
            </w:r>
            <w:r>
              <w:t xml:space="preserve"> </w:t>
            </w:r>
            <w:r>
              <w:rPr>
                <w:spacing w:val="-5"/>
              </w:rPr>
              <w:t>于一般固废。结合建设单位的生产运营经验， 此类固废的产生量约有</w:t>
            </w:r>
            <w:r>
              <w:rPr>
                <w:rFonts w:ascii="Times New Roman" w:hAnsi="Times New Roman" w:eastAsia="Times New Roman" w:cs="Times New Roman"/>
                <w:spacing w:val="-5"/>
              </w:rPr>
              <w:t>0.5t/a</w:t>
            </w:r>
            <w:r>
              <w:rPr>
                <w:spacing w:val="-5"/>
              </w:rPr>
              <w:t>。此类固废经</w:t>
            </w:r>
            <w:r>
              <w:rPr>
                <w:spacing w:val="18"/>
              </w:rPr>
              <w:t xml:space="preserve"> </w:t>
            </w:r>
            <w:r>
              <w:rPr>
                <w:spacing w:val="-1"/>
              </w:rPr>
              <w:t>集中收集后，可统一外售给废品回收站或者附近的一般固废</w:t>
            </w:r>
            <w:r>
              <w:rPr>
                <w:spacing w:val="-2"/>
              </w:rPr>
              <w:t>处置企业。</w:t>
            </w:r>
          </w:p>
          <w:p w14:paraId="2B351AA5">
            <w:pPr>
              <w:pStyle w:val="6"/>
              <w:spacing w:before="10" w:line="233" w:lineRule="auto"/>
              <w:ind w:left="533"/>
            </w:pPr>
            <w:r>
              <w:rPr>
                <w:spacing w:val="-3"/>
              </w:rPr>
              <w:t>（</w:t>
            </w:r>
            <w:r>
              <w:rPr>
                <w:rFonts w:ascii="Times New Roman" w:hAnsi="Times New Roman" w:eastAsia="Times New Roman" w:cs="Times New Roman"/>
                <w:spacing w:val="-3"/>
              </w:rPr>
              <w:t>2</w:t>
            </w:r>
            <w:r>
              <w:rPr>
                <w:spacing w:val="-3"/>
              </w:rPr>
              <w:t>）除尘器收集的粉尘</w:t>
            </w:r>
          </w:p>
          <w:p w14:paraId="38BC77B4">
            <w:pPr>
              <w:pStyle w:val="6"/>
              <w:spacing w:before="135" w:line="344" w:lineRule="auto"/>
              <w:ind w:left="112" w:right="164" w:firstLine="415"/>
            </w:pPr>
            <w:r>
              <w:t>本项目在粉碎机处设置有“旋风</w:t>
            </w:r>
            <w:r>
              <w:rPr>
                <w:rFonts w:ascii="Times New Roman" w:hAnsi="Times New Roman" w:eastAsia="Times New Roman" w:cs="Times New Roman"/>
              </w:rPr>
              <w:t>+</w:t>
            </w:r>
            <w:r>
              <w:t>布袋”除尘系统，收集的</w:t>
            </w:r>
            <w:r>
              <w:rPr>
                <w:spacing w:val="-1"/>
              </w:rPr>
              <w:t>收尘灰可定期清理作为</w:t>
            </w:r>
            <w:r>
              <w:t xml:space="preserve"> </w:t>
            </w:r>
            <w:r>
              <w:rPr>
                <w:spacing w:val="-7"/>
              </w:rPr>
              <w:t>原料再利用。</w:t>
            </w:r>
          </w:p>
          <w:p w14:paraId="689FBB71">
            <w:pPr>
              <w:pStyle w:val="6"/>
              <w:spacing w:before="17" w:line="352" w:lineRule="auto"/>
              <w:ind w:left="106" w:right="102" w:firstLine="420"/>
            </w:pPr>
            <w:r>
              <w:rPr>
                <w:spacing w:val="-1"/>
              </w:rPr>
              <w:t>烘干机环节也设置有旋风收尘装置，收集的收尘灰可直接经密闭螺旋绞龙输送</w:t>
            </w:r>
            <w:r>
              <w:rPr>
                <w:spacing w:val="-2"/>
              </w:rPr>
              <w:t>至干</w:t>
            </w:r>
            <w:r>
              <w:t xml:space="preserve"> 粉料堆场做原料；此环节属于生产线的一个工艺环节，其收尘灰</w:t>
            </w:r>
            <w:r>
              <w:rPr>
                <w:spacing w:val="-1"/>
              </w:rPr>
              <w:t>不计入固废产生量。</w:t>
            </w:r>
          </w:p>
          <w:p w14:paraId="43F00515">
            <w:pPr>
              <w:pStyle w:val="6"/>
              <w:spacing w:line="344" w:lineRule="auto"/>
              <w:ind w:left="108" w:right="134" w:firstLine="419"/>
            </w:pPr>
            <w:r>
              <w:t>根据工程分析，粉碎机除尘设施收集的粉尘量约</w:t>
            </w:r>
            <w:r>
              <w:rPr>
                <w:rFonts w:ascii="Times New Roman" w:hAnsi="Times New Roman" w:eastAsia="Times New Roman" w:cs="Times New Roman"/>
              </w:rPr>
              <w:t>6</w:t>
            </w:r>
            <w:r>
              <w:rPr>
                <w:rFonts w:ascii="Times New Roman" w:hAnsi="Times New Roman" w:eastAsia="Times New Roman" w:cs="Times New Roman"/>
                <w:spacing w:val="-1"/>
              </w:rPr>
              <w:t>8.986t/a</w:t>
            </w:r>
            <w:r>
              <w:rPr>
                <w:spacing w:val="-1"/>
              </w:rPr>
              <w:t>。定期清理后作为原料再</w:t>
            </w:r>
            <w:r>
              <w:t xml:space="preserve"> </w:t>
            </w:r>
            <w:r>
              <w:rPr>
                <w:spacing w:val="-9"/>
              </w:rPr>
              <w:t>利用。</w:t>
            </w:r>
          </w:p>
          <w:p w14:paraId="6C4B9C40">
            <w:pPr>
              <w:pStyle w:val="6"/>
              <w:spacing w:before="17" w:line="232" w:lineRule="auto"/>
              <w:ind w:left="533"/>
            </w:pPr>
            <w:r>
              <w:rPr>
                <w:spacing w:val="-2"/>
              </w:rPr>
              <w:t>（</w:t>
            </w:r>
            <w:r>
              <w:rPr>
                <w:rFonts w:ascii="Times New Roman" w:hAnsi="Times New Roman" w:eastAsia="Times New Roman" w:cs="Times New Roman"/>
                <w:spacing w:val="-2"/>
              </w:rPr>
              <w:t>3</w:t>
            </w:r>
            <w:r>
              <w:rPr>
                <w:spacing w:val="-2"/>
              </w:rPr>
              <w:t>）喷淋塔水槽清理的沉渣</w:t>
            </w:r>
          </w:p>
          <w:p w14:paraId="3FB4A479">
            <w:pPr>
              <w:pStyle w:val="6"/>
              <w:spacing w:before="136" w:line="346" w:lineRule="auto"/>
              <w:ind w:left="112" w:right="136" w:firstLine="414"/>
            </w:pPr>
            <w:r>
              <w:t>根据工程分析，项目造粒机处的喷淋塔清理的</w:t>
            </w:r>
            <w:r>
              <w:rPr>
                <w:spacing w:val="-1"/>
              </w:rPr>
              <w:t>沉渣产生量约</w:t>
            </w:r>
            <w:r>
              <w:rPr>
                <w:rFonts w:ascii="Times New Roman" w:hAnsi="Times New Roman" w:eastAsia="Times New Roman" w:cs="Times New Roman"/>
                <w:spacing w:val="-1"/>
              </w:rPr>
              <w:t>25.333t/a</w:t>
            </w:r>
            <w:r>
              <w:rPr>
                <w:spacing w:val="-1"/>
              </w:rPr>
              <w:t>。烘干机处的</w:t>
            </w:r>
            <w:r>
              <w:t xml:space="preserve"> </w:t>
            </w:r>
            <w:r>
              <w:rPr>
                <w:spacing w:val="-1"/>
              </w:rPr>
              <w:t>喷淋塔清理的沉渣产生量约</w:t>
            </w:r>
            <w:r>
              <w:rPr>
                <w:rFonts w:ascii="Times New Roman" w:hAnsi="Times New Roman" w:eastAsia="Times New Roman" w:cs="Times New Roman"/>
                <w:spacing w:val="-1"/>
              </w:rPr>
              <w:t>55.028t/a</w:t>
            </w:r>
            <w:r>
              <w:rPr>
                <w:spacing w:val="-1"/>
              </w:rPr>
              <w:t>。沉渣及时清理后直接堆放在湿粉料堆放间，作为</w:t>
            </w:r>
            <w:r>
              <w:rPr>
                <w:spacing w:val="17"/>
              </w:rPr>
              <w:t xml:space="preserve"> </w:t>
            </w:r>
            <w:r>
              <w:rPr>
                <w:spacing w:val="-4"/>
              </w:rPr>
              <w:t>原料进入烘干机再利用。</w:t>
            </w:r>
          </w:p>
          <w:p w14:paraId="7E3CF54A">
            <w:pPr>
              <w:pStyle w:val="6"/>
              <w:spacing w:before="19" w:line="352" w:lineRule="auto"/>
              <w:ind w:left="112" w:right="112" w:firstLine="415"/>
            </w:pPr>
            <w:r>
              <w:rPr>
                <w:spacing w:val="-2"/>
              </w:rPr>
              <w:t>计算过程：造粒机粉尘产生量</w:t>
            </w:r>
            <w:r>
              <w:rPr>
                <w:rFonts w:ascii="Times New Roman" w:hAnsi="Times New Roman" w:eastAsia="Times New Roman" w:cs="Times New Roman"/>
                <w:spacing w:val="-2"/>
              </w:rPr>
              <w:t>30.105t/a</w:t>
            </w:r>
            <w:r>
              <w:rPr>
                <w:spacing w:val="-2"/>
              </w:rPr>
              <w:t>，收集</w:t>
            </w:r>
            <w:r>
              <w:rPr>
                <w:spacing w:val="-3"/>
              </w:rPr>
              <w:t>效率</w:t>
            </w:r>
            <w:r>
              <w:rPr>
                <w:rFonts w:ascii="Times New Roman" w:hAnsi="Times New Roman" w:eastAsia="Times New Roman" w:cs="Times New Roman"/>
                <w:spacing w:val="-3"/>
              </w:rPr>
              <w:t>99%</w:t>
            </w:r>
            <w:r>
              <w:rPr>
                <w:spacing w:val="-3"/>
              </w:rPr>
              <w:t>，收集量</w:t>
            </w:r>
            <w:r>
              <w:rPr>
                <w:rFonts w:ascii="Times New Roman" w:hAnsi="Times New Roman" w:eastAsia="Times New Roman" w:cs="Times New Roman"/>
                <w:spacing w:val="-3"/>
              </w:rPr>
              <w:t>29.804t/a</w:t>
            </w:r>
            <w:r>
              <w:rPr>
                <w:spacing w:val="-3"/>
              </w:rPr>
              <w:t>。除尘效率</w:t>
            </w:r>
            <w:r>
              <w:t xml:space="preserve"> </w:t>
            </w:r>
            <w:r>
              <w:rPr>
                <w:rFonts w:ascii="Times New Roman" w:hAnsi="Times New Roman" w:eastAsia="Times New Roman" w:cs="Times New Roman"/>
                <w:spacing w:val="-1"/>
              </w:rPr>
              <w:t>85%</w:t>
            </w:r>
            <w:r>
              <w:rPr>
                <w:spacing w:val="-1"/>
              </w:rPr>
              <w:t>，则沉渣产生量约</w:t>
            </w:r>
            <w:r>
              <w:rPr>
                <w:rFonts w:ascii="Times New Roman" w:hAnsi="Times New Roman" w:eastAsia="Times New Roman" w:cs="Times New Roman"/>
                <w:spacing w:val="-1"/>
              </w:rPr>
              <w:t>25.333t/a</w:t>
            </w:r>
            <w:r>
              <w:rPr>
                <w:spacing w:val="-1"/>
              </w:rPr>
              <w:t>。</w:t>
            </w:r>
          </w:p>
          <w:p w14:paraId="0DA429D6">
            <w:pPr>
              <w:pStyle w:val="6"/>
              <w:spacing w:before="1" w:line="351" w:lineRule="auto"/>
              <w:ind w:left="109" w:right="134" w:firstLine="418"/>
            </w:pPr>
            <w:r>
              <w:t>烘干机粉尘产生量</w:t>
            </w:r>
            <w:r>
              <w:rPr>
                <w:rFonts w:ascii="Times New Roman" w:hAnsi="Times New Roman" w:eastAsia="Times New Roman" w:cs="Times New Roman"/>
              </w:rPr>
              <w:t>601.5t/a</w:t>
            </w:r>
            <w:r>
              <w:t>、热风炉烟尘</w:t>
            </w:r>
            <w:r>
              <w:rPr>
                <w:rFonts w:ascii="Times New Roman" w:hAnsi="Times New Roman" w:eastAsia="Times New Roman" w:cs="Times New Roman"/>
              </w:rPr>
              <w:t>1.183t/a</w:t>
            </w:r>
            <w:r>
              <w:t>，总粉</w:t>
            </w:r>
            <w:r>
              <w:rPr>
                <w:spacing w:val="-1"/>
              </w:rPr>
              <w:t>尘量</w:t>
            </w:r>
            <w:r>
              <w:rPr>
                <w:rFonts w:ascii="Times New Roman" w:hAnsi="Times New Roman" w:eastAsia="Times New Roman" w:cs="Times New Roman"/>
                <w:spacing w:val="-1"/>
              </w:rPr>
              <w:t>602.683t/a</w:t>
            </w:r>
            <w:r>
              <w:rPr>
                <w:spacing w:val="-1"/>
              </w:rPr>
              <w:t>。旋风除尘效</w:t>
            </w:r>
            <w:r>
              <w:t xml:space="preserve"> </w:t>
            </w:r>
            <w:r>
              <w:rPr>
                <w:spacing w:val="-1"/>
              </w:rPr>
              <w:t>率</w:t>
            </w:r>
            <w:r>
              <w:rPr>
                <w:rFonts w:ascii="Times New Roman" w:hAnsi="Times New Roman" w:eastAsia="Times New Roman" w:cs="Times New Roman"/>
                <w:spacing w:val="-1"/>
              </w:rPr>
              <w:t>90%</w:t>
            </w:r>
            <w:r>
              <w:rPr>
                <w:spacing w:val="-1"/>
              </w:rPr>
              <w:t>，则排入喷淋塔的粉尘量</w:t>
            </w:r>
            <w:r>
              <w:rPr>
                <w:rFonts w:ascii="Times New Roman" w:hAnsi="Times New Roman" w:eastAsia="Times New Roman" w:cs="Times New Roman"/>
                <w:spacing w:val="-1"/>
              </w:rPr>
              <w:t>64.739t/a</w:t>
            </w:r>
            <w:r>
              <w:rPr>
                <w:spacing w:val="-1"/>
              </w:rPr>
              <w:t>。喷淋塔除尘效率</w:t>
            </w:r>
            <w:r>
              <w:rPr>
                <w:rFonts w:ascii="Times New Roman" w:hAnsi="Times New Roman" w:eastAsia="Times New Roman" w:cs="Times New Roman"/>
                <w:spacing w:val="-1"/>
              </w:rPr>
              <w:t>85%</w:t>
            </w:r>
            <w:r>
              <w:rPr>
                <w:spacing w:val="-1"/>
              </w:rPr>
              <w:t>，则沉渣产生量约</w:t>
            </w:r>
          </w:p>
          <w:p w14:paraId="3B2E78FD">
            <w:pPr>
              <w:pStyle w:val="6"/>
              <w:spacing w:before="35" w:line="219" w:lineRule="auto"/>
              <w:ind w:left="109"/>
            </w:pPr>
            <w:r>
              <w:rPr>
                <w:rFonts w:ascii="Times New Roman" w:hAnsi="Times New Roman" w:eastAsia="Times New Roman" w:cs="Times New Roman"/>
                <w:spacing w:val="-1"/>
              </w:rPr>
              <w:t>55.028t/a</w:t>
            </w:r>
            <w:r>
              <w:rPr>
                <w:rFonts w:hint="eastAsia" w:ascii="Times New Roman" w:hAnsi="Times New Roman" w:eastAsia="宋体" w:cs="Times New Roman"/>
                <w:spacing w:val="-1"/>
                <w:lang w:eastAsia="zh-CN"/>
              </w:rPr>
              <w:t>.</w:t>
            </w:r>
          </w:p>
          <w:p w14:paraId="6E6D8047">
            <w:pPr>
              <w:pStyle w:val="6"/>
              <w:spacing w:before="117" w:line="233" w:lineRule="auto"/>
              <w:ind w:left="533"/>
            </w:pPr>
            <w:r>
              <w:rPr>
                <w:spacing w:val="-3"/>
              </w:rPr>
              <w:t>（</w:t>
            </w:r>
            <w:r>
              <w:rPr>
                <w:rFonts w:ascii="Times New Roman" w:hAnsi="Times New Roman" w:eastAsia="Times New Roman" w:cs="Times New Roman"/>
                <w:spacing w:val="-3"/>
              </w:rPr>
              <w:t>4</w:t>
            </w:r>
            <w:r>
              <w:rPr>
                <w:spacing w:val="-3"/>
              </w:rPr>
              <w:t>）热风炉的炉灰</w:t>
            </w:r>
          </w:p>
          <w:p w14:paraId="12E5DE6B">
            <w:pPr>
              <w:pStyle w:val="6"/>
              <w:spacing w:before="134" w:line="287" w:lineRule="auto"/>
              <w:ind w:left="109" w:right="101" w:firstLine="419"/>
            </w:pPr>
            <w:r>
              <w:rPr>
                <w:spacing w:val="-1"/>
              </w:rPr>
              <w:t>生物质燃料燃烧过后，炉膛里面会留下一些炉灰，这些残留下来的就是生</w:t>
            </w:r>
            <w:r>
              <w:rPr>
                <w:spacing w:val="-2"/>
              </w:rPr>
              <w:t>物质燃料</w:t>
            </w:r>
            <w:r>
              <w:t xml:space="preserve"> </w:t>
            </w:r>
            <w:r>
              <w:rPr>
                <w:spacing w:val="-3"/>
              </w:rPr>
              <w:t>灰分</w:t>
            </w:r>
            <w:r>
              <w:rPr>
                <w:rFonts w:hint="eastAsia"/>
                <w:spacing w:val="-3"/>
                <w:lang w:eastAsia="zh-CN"/>
              </w:rPr>
              <w:t>（</w:t>
            </w:r>
            <w:r>
              <w:rPr>
                <w:rFonts w:ascii="Times New Roman" w:hAnsi="Times New Roman" w:eastAsia="Times New Roman" w:cs="Times New Roman"/>
                <w:spacing w:val="-3"/>
              </w:rPr>
              <w:t>Aad</w:t>
            </w:r>
            <w:r>
              <w:rPr>
                <w:rFonts w:hint="eastAsia" w:ascii="Times New Roman" w:hAnsi="Times New Roman" w:eastAsia="宋体" w:cs="Times New Roman"/>
                <w:spacing w:val="-3"/>
                <w:lang w:eastAsia="zh-CN"/>
              </w:rPr>
              <w:t>）</w:t>
            </w:r>
            <w:r>
              <w:rPr>
                <w:spacing w:val="-3"/>
              </w:rPr>
              <w:t>。质量越好的生物质颗粒燃料，充分燃烧后留下的灰分越少。根据建设单位提</w:t>
            </w:r>
          </w:p>
        </w:tc>
      </w:tr>
    </w:tbl>
    <w:p w14:paraId="105AA016">
      <w:pPr>
        <w:rPr>
          <w:rFonts w:ascii="Arial"/>
          <w:sz w:val="21"/>
        </w:rPr>
      </w:pPr>
    </w:p>
    <w:p w14:paraId="7D1955C8">
      <w:pPr>
        <w:rPr>
          <w:rFonts w:ascii="Arial" w:hAnsi="Arial" w:eastAsia="Arial" w:cs="Arial"/>
          <w:sz w:val="21"/>
          <w:szCs w:val="21"/>
        </w:rPr>
        <w:sectPr>
          <w:footerReference r:id="rId67" w:type="default"/>
          <w:pgSz w:w="11908" w:h="16840"/>
          <w:pgMar w:top="1431" w:right="1489" w:bottom="1053" w:left="1489" w:header="0" w:footer="801" w:gutter="0"/>
          <w:cols w:space="720" w:num="1"/>
        </w:sectPr>
      </w:pPr>
    </w:p>
    <w:p w14:paraId="74E1C41F">
      <w:pPr>
        <w:spacing w:before="28"/>
      </w:pPr>
    </w:p>
    <w:tbl>
      <w:tblPr>
        <w:tblStyle w:val="5"/>
        <w:tblW w:w="891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0"/>
        <w:gridCol w:w="8163"/>
      </w:tblGrid>
      <w:tr w14:paraId="5A5BF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99" w:hRule="atLeast"/>
        </w:trPr>
        <w:tc>
          <w:tcPr>
            <w:tcW w:w="750" w:type="dxa"/>
            <w:tcBorders>
              <w:top w:val="single" w:color="000000" w:sz="2" w:space="0"/>
              <w:right w:val="single" w:color="000000" w:sz="2" w:space="0"/>
            </w:tcBorders>
            <w:vAlign w:val="top"/>
          </w:tcPr>
          <w:p w14:paraId="2E1267E5">
            <w:pPr>
              <w:rPr>
                <w:rFonts w:ascii="Arial"/>
                <w:sz w:val="21"/>
              </w:rPr>
            </w:pPr>
          </w:p>
        </w:tc>
        <w:tc>
          <w:tcPr>
            <w:tcW w:w="8163" w:type="dxa"/>
            <w:tcBorders>
              <w:top w:val="single" w:color="000000" w:sz="2" w:space="0"/>
              <w:left w:val="single" w:color="000000" w:sz="2" w:space="0"/>
            </w:tcBorders>
            <w:vAlign w:val="top"/>
          </w:tcPr>
          <w:p w14:paraId="4ADEA63B">
            <w:pPr>
              <w:pStyle w:val="6"/>
              <w:spacing w:before="144" w:line="352" w:lineRule="auto"/>
              <w:ind w:left="108" w:right="103" w:hanging="1"/>
            </w:pPr>
            <w:r>
              <w:rPr>
                <w:spacing w:val="-1"/>
              </w:rPr>
              <w:t>供的资料，生物质成型燃料的灰分占比约</w:t>
            </w:r>
            <w:r>
              <w:rPr>
                <w:rFonts w:ascii="Times New Roman" w:hAnsi="Times New Roman" w:eastAsia="Times New Roman" w:cs="Times New Roman"/>
                <w:spacing w:val="-1"/>
              </w:rPr>
              <w:t>2.9%</w:t>
            </w:r>
            <w:r>
              <w:rPr>
                <w:spacing w:val="-1"/>
              </w:rPr>
              <w:t>。项目年使</w:t>
            </w:r>
            <w:r>
              <w:rPr>
                <w:spacing w:val="-2"/>
              </w:rPr>
              <w:t>用生物质成型燃料约</w:t>
            </w:r>
            <w:r>
              <w:rPr>
                <w:rFonts w:ascii="Times New Roman" w:hAnsi="Times New Roman" w:eastAsia="Times New Roman" w:cs="Times New Roman"/>
                <w:spacing w:val="-2"/>
              </w:rPr>
              <w:t>2366</w:t>
            </w:r>
            <w:r>
              <w:rPr>
                <w:spacing w:val="-2"/>
              </w:rPr>
              <w:t>吨，</w:t>
            </w:r>
            <w:r>
              <w:t xml:space="preserve"> </w:t>
            </w:r>
            <w:r>
              <w:rPr>
                <w:spacing w:val="-1"/>
              </w:rPr>
              <w:t>经计算炉灰产生量约</w:t>
            </w:r>
            <w:r>
              <w:rPr>
                <w:rFonts w:ascii="Times New Roman" w:hAnsi="Times New Roman" w:eastAsia="Times New Roman" w:cs="Times New Roman"/>
                <w:spacing w:val="-1"/>
              </w:rPr>
              <w:t>68.614t/a</w:t>
            </w:r>
            <w:r>
              <w:rPr>
                <w:spacing w:val="-1"/>
              </w:rPr>
              <w:t>。</w:t>
            </w:r>
          </w:p>
          <w:p w14:paraId="27C075EF">
            <w:pPr>
              <w:pStyle w:val="6"/>
              <w:spacing w:before="2" w:line="351" w:lineRule="auto"/>
              <w:ind w:left="108" w:right="101" w:firstLine="421"/>
              <w:jc w:val="both"/>
            </w:pPr>
            <w:r>
              <w:rPr>
                <w:spacing w:val="-1"/>
              </w:rPr>
              <w:t>查阅资料，生物质燃料的灰渣中富含钾、磷、钙、镁等多种植物生长所</w:t>
            </w:r>
            <w:r>
              <w:rPr>
                <w:spacing w:val="-2"/>
              </w:rPr>
              <w:t>需的营养元</w:t>
            </w:r>
            <w:r>
              <w:t xml:space="preserve"> </w:t>
            </w:r>
            <w:r>
              <w:rPr>
                <w:spacing w:val="-5"/>
              </w:rPr>
              <w:t>素，这使得它们成为生产复合肥料的优质材料。将灰渣作为肥料施用于农田，</w:t>
            </w:r>
            <w:r>
              <w:rPr>
                <w:spacing w:val="48"/>
              </w:rPr>
              <w:t xml:space="preserve"> </w:t>
            </w:r>
            <w:r>
              <w:rPr>
                <w:spacing w:val="-5"/>
              </w:rPr>
              <w:t>不</w:t>
            </w:r>
            <w:r>
              <w:rPr>
                <w:spacing w:val="-6"/>
              </w:rPr>
              <w:t>仅可以</w:t>
            </w:r>
            <w:r>
              <w:t xml:space="preserve"> </w:t>
            </w:r>
            <w:r>
              <w:rPr>
                <w:spacing w:val="-1"/>
              </w:rPr>
              <w:t>增加土壤的营养成分，维持土壤的营养平衡，还能促进作物的生长和增产。生物质</w:t>
            </w:r>
            <w:r>
              <w:rPr>
                <w:spacing w:val="-2"/>
              </w:rPr>
              <w:t>燃料</w:t>
            </w:r>
            <w:r>
              <w:t xml:space="preserve"> </w:t>
            </w:r>
            <w:r>
              <w:rPr>
                <w:spacing w:val="-1"/>
              </w:rPr>
              <w:t>的灰渣还可以作为建筑材料的添加剂，用于提高建筑材料的强度和耐久性。因此，本项</w:t>
            </w:r>
            <w:r>
              <w:t xml:space="preserve"> </w:t>
            </w:r>
            <w:r>
              <w:rPr>
                <w:spacing w:val="-1"/>
              </w:rPr>
              <w:t>目的生物质成型燃料燃烧后产生的炉灰可以及时收</w:t>
            </w:r>
            <w:r>
              <w:rPr>
                <w:spacing w:val="-2"/>
              </w:rPr>
              <w:t>集后外售综合利用。</w:t>
            </w:r>
          </w:p>
          <w:p w14:paraId="444A612B">
            <w:pPr>
              <w:pStyle w:val="6"/>
              <w:spacing w:line="234" w:lineRule="auto"/>
              <w:ind w:left="533"/>
            </w:pPr>
            <w:r>
              <w:rPr>
                <w:spacing w:val="-4"/>
              </w:rPr>
              <w:t>（</w:t>
            </w:r>
            <w:r>
              <w:rPr>
                <w:rFonts w:ascii="Times New Roman" w:hAnsi="Times New Roman" w:eastAsia="Times New Roman" w:cs="Times New Roman"/>
                <w:spacing w:val="-4"/>
              </w:rPr>
              <w:t>5</w:t>
            </w:r>
            <w:r>
              <w:rPr>
                <w:spacing w:val="-4"/>
              </w:rPr>
              <w:t>）生活垃圾</w:t>
            </w:r>
          </w:p>
          <w:p w14:paraId="652A0DD5">
            <w:pPr>
              <w:pStyle w:val="6"/>
              <w:spacing w:before="133" w:line="346" w:lineRule="auto"/>
              <w:ind w:left="107" w:right="101" w:firstLine="423"/>
            </w:pPr>
            <w:r>
              <w:rPr>
                <w:spacing w:val="-3"/>
              </w:rPr>
              <w:t>项目建成投产后员工人数约</w:t>
            </w:r>
            <w:r>
              <w:rPr>
                <w:rFonts w:ascii="Times New Roman" w:hAnsi="Times New Roman" w:eastAsia="Times New Roman" w:cs="Times New Roman"/>
                <w:spacing w:val="-3"/>
              </w:rPr>
              <w:t>12</w:t>
            </w:r>
            <w:r>
              <w:rPr>
                <w:spacing w:val="-3"/>
              </w:rPr>
              <w:t>人，生活垃圾产生量为</w:t>
            </w:r>
            <w:r>
              <w:rPr>
                <w:rFonts w:ascii="Times New Roman" w:hAnsi="Times New Roman" w:eastAsia="Times New Roman" w:cs="Times New Roman"/>
                <w:spacing w:val="-3"/>
              </w:rPr>
              <w:t>0.5kg/d</w:t>
            </w:r>
            <w:r>
              <w:rPr>
                <w:rFonts w:ascii="Times New Roman" w:hAnsi="Times New Roman" w:eastAsia="Times New Roman" w:cs="Times New Roman"/>
                <w:spacing w:val="28"/>
                <w:w w:val="101"/>
              </w:rPr>
              <w:t xml:space="preserve"> </w:t>
            </w:r>
            <w:r>
              <w:rPr>
                <w:spacing w:val="-3"/>
              </w:rPr>
              <w:t>·人。经计</w:t>
            </w:r>
            <w:r>
              <w:rPr>
                <w:spacing w:val="-4"/>
              </w:rPr>
              <w:t>算，项目生</w:t>
            </w:r>
            <w:r>
              <w:t xml:space="preserve"> 活垃圾产生量为</w:t>
            </w:r>
            <w:r>
              <w:rPr>
                <w:rFonts w:ascii="Times New Roman" w:hAnsi="Times New Roman" w:eastAsia="Times New Roman" w:cs="Times New Roman"/>
              </w:rPr>
              <w:t>1.98t/a</w:t>
            </w:r>
            <w:r>
              <w:t>。厂区设垃圾桶收集后，及时外运附近生</w:t>
            </w:r>
            <w:r>
              <w:rPr>
                <w:spacing w:val="-1"/>
              </w:rPr>
              <w:t>活垃圾集中收集点，由</w:t>
            </w:r>
            <w:r>
              <w:t xml:space="preserve"> </w:t>
            </w:r>
            <w:r>
              <w:rPr>
                <w:spacing w:val="-4"/>
              </w:rPr>
              <w:t>环卫负责清运处置。</w:t>
            </w:r>
          </w:p>
          <w:p w14:paraId="378BAB01">
            <w:pPr>
              <w:pStyle w:val="6"/>
              <w:spacing w:before="20" w:line="327" w:lineRule="auto"/>
              <w:ind w:left="106" w:right="102" w:firstLine="420"/>
            </w:pPr>
            <w:r>
              <w:rPr>
                <w:spacing w:val="-1"/>
              </w:rPr>
              <w:t>在采取上述固废处置措施后，本项目固体废物能够做到去向明确，能够得到妥</w:t>
            </w:r>
            <w:r>
              <w:rPr>
                <w:spacing w:val="-2"/>
              </w:rPr>
              <w:t>善处</w:t>
            </w:r>
            <w:r>
              <w:t xml:space="preserve"> </w:t>
            </w:r>
            <w:r>
              <w:rPr>
                <w:spacing w:val="-4"/>
              </w:rPr>
              <w:t>置，不会产生二次污染。</w:t>
            </w:r>
          </w:p>
          <w:p w14:paraId="43EBEF6A">
            <w:pPr>
              <w:spacing w:line="217" w:lineRule="auto"/>
              <w:ind w:left="2502"/>
              <w:rPr>
                <w:rFonts w:ascii="黑体" w:hAnsi="黑体" w:eastAsia="黑体" w:cs="黑体"/>
                <w:sz w:val="20"/>
                <w:szCs w:val="20"/>
              </w:rPr>
            </w:pPr>
            <w:r>
              <w:rPr>
                <w:rFonts w:ascii="黑体" w:hAnsi="黑体" w:eastAsia="黑体" w:cs="黑体"/>
                <w:spacing w:val="-1"/>
                <w:sz w:val="20"/>
                <w:szCs w:val="20"/>
              </w:rPr>
              <w:t>表</w:t>
            </w:r>
            <w:r>
              <w:rPr>
                <w:rFonts w:ascii="Times New Roman" w:hAnsi="Times New Roman" w:eastAsia="Times New Roman" w:cs="Times New Roman"/>
                <w:spacing w:val="-1"/>
                <w:sz w:val="20"/>
                <w:szCs w:val="20"/>
              </w:rPr>
              <w:t xml:space="preserve">4-14        </w:t>
            </w:r>
            <w:r>
              <w:rPr>
                <w:rFonts w:ascii="黑体" w:hAnsi="黑体" w:eastAsia="黑体" w:cs="黑体"/>
                <w:spacing w:val="-1"/>
                <w:sz w:val="20"/>
                <w:szCs w:val="20"/>
              </w:rPr>
              <w:t>一般固体废物产生情况表</w:t>
            </w:r>
          </w:p>
          <w:tbl>
            <w:tblPr>
              <w:tblStyle w:val="5"/>
              <w:tblW w:w="8063" w:type="dxa"/>
              <w:tblInd w:w="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2"/>
              <w:gridCol w:w="1213"/>
              <w:gridCol w:w="733"/>
              <w:gridCol w:w="1251"/>
              <w:gridCol w:w="693"/>
              <w:gridCol w:w="581"/>
              <w:gridCol w:w="708"/>
              <w:gridCol w:w="992"/>
              <w:gridCol w:w="1450"/>
            </w:tblGrid>
            <w:tr w14:paraId="3AD45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42" w:type="dxa"/>
                  <w:vAlign w:val="top"/>
                </w:tcPr>
                <w:p w14:paraId="25D32EF6">
                  <w:pPr>
                    <w:pStyle w:val="6"/>
                    <w:spacing w:before="214" w:line="221" w:lineRule="auto"/>
                    <w:ind w:left="43"/>
                    <w:rPr>
                      <w:sz w:val="18"/>
                      <w:szCs w:val="18"/>
                    </w:rPr>
                  </w:pPr>
                  <w:r>
                    <w:rPr>
                      <w:b/>
                      <w:bCs/>
                      <w:spacing w:val="-4"/>
                      <w:sz w:val="18"/>
                      <w:szCs w:val="18"/>
                    </w:rPr>
                    <w:t>序号</w:t>
                  </w:r>
                </w:p>
              </w:tc>
              <w:tc>
                <w:tcPr>
                  <w:tcW w:w="1213" w:type="dxa"/>
                  <w:vAlign w:val="top"/>
                </w:tcPr>
                <w:p w14:paraId="1C5C787F">
                  <w:pPr>
                    <w:pStyle w:val="6"/>
                    <w:spacing w:before="214" w:line="222" w:lineRule="auto"/>
                    <w:ind w:left="430"/>
                    <w:rPr>
                      <w:sz w:val="18"/>
                      <w:szCs w:val="18"/>
                    </w:rPr>
                  </w:pPr>
                  <w:r>
                    <w:rPr>
                      <w:b/>
                      <w:bCs/>
                      <w:spacing w:val="-4"/>
                      <w:sz w:val="18"/>
                      <w:szCs w:val="18"/>
                    </w:rPr>
                    <w:t>名称</w:t>
                  </w:r>
                </w:p>
              </w:tc>
              <w:tc>
                <w:tcPr>
                  <w:tcW w:w="733" w:type="dxa"/>
                  <w:vAlign w:val="top"/>
                </w:tcPr>
                <w:p w14:paraId="278087EC">
                  <w:pPr>
                    <w:pStyle w:val="6"/>
                    <w:spacing w:before="73" w:line="220" w:lineRule="auto"/>
                    <w:ind w:left="97"/>
                    <w:rPr>
                      <w:sz w:val="18"/>
                      <w:szCs w:val="18"/>
                    </w:rPr>
                  </w:pPr>
                  <w:r>
                    <w:rPr>
                      <w:b/>
                      <w:bCs/>
                      <w:spacing w:val="-3"/>
                      <w:sz w:val="18"/>
                      <w:szCs w:val="18"/>
                    </w:rPr>
                    <w:t>产生环</w:t>
                  </w:r>
                </w:p>
                <w:p w14:paraId="250F6FF8">
                  <w:pPr>
                    <w:pStyle w:val="6"/>
                    <w:spacing w:before="66" w:line="209" w:lineRule="auto"/>
                    <w:ind w:left="278"/>
                    <w:rPr>
                      <w:sz w:val="18"/>
                      <w:szCs w:val="18"/>
                    </w:rPr>
                  </w:pPr>
                  <w:r>
                    <w:rPr>
                      <w:b/>
                      <w:bCs/>
                      <w:spacing w:val="-2"/>
                      <w:sz w:val="18"/>
                      <w:szCs w:val="18"/>
                    </w:rPr>
                    <w:t>节</w:t>
                  </w:r>
                </w:p>
              </w:tc>
              <w:tc>
                <w:tcPr>
                  <w:tcW w:w="1251" w:type="dxa"/>
                  <w:vAlign w:val="top"/>
                </w:tcPr>
                <w:p w14:paraId="0F9C9143">
                  <w:pPr>
                    <w:pStyle w:val="6"/>
                    <w:spacing w:before="214" w:line="220" w:lineRule="auto"/>
                    <w:ind w:left="449"/>
                    <w:rPr>
                      <w:sz w:val="18"/>
                      <w:szCs w:val="18"/>
                    </w:rPr>
                  </w:pPr>
                  <w:r>
                    <w:rPr>
                      <w:b/>
                      <w:bCs/>
                      <w:spacing w:val="-4"/>
                      <w:sz w:val="18"/>
                      <w:szCs w:val="18"/>
                    </w:rPr>
                    <w:t>编号</w:t>
                  </w:r>
                </w:p>
              </w:tc>
              <w:tc>
                <w:tcPr>
                  <w:tcW w:w="693" w:type="dxa"/>
                  <w:vAlign w:val="top"/>
                </w:tcPr>
                <w:p w14:paraId="445CC6EA">
                  <w:pPr>
                    <w:pStyle w:val="6"/>
                    <w:spacing w:before="214" w:line="220" w:lineRule="auto"/>
                    <w:ind w:left="79"/>
                    <w:rPr>
                      <w:sz w:val="18"/>
                      <w:szCs w:val="18"/>
                    </w:rPr>
                  </w:pPr>
                  <w:r>
                    <w:rPr>
                      <w:b/>
                      <w:bCs/>
                      <w:spacing w:val="-3"/>
                      <w:sz w:val="18"/>
                      <w:szCs w:val="18"/>
                    </w:rPr>
                    <w:t>产生量</w:t>
                  </w:r>
                </w:p>
              </w:tc>
              <w:tc>
                <w:tcPr>
                  <w:tcW w:w="581" w:type="dxa"/>
                  <w:vAlign w:val="top"/>
                </w:tcPr>
                <w:p w14:paraId="265F7356">
                  <w:pPr>
                    <w:pStyle w:val="6"/>
                    <w:spacing w:before="214" w:line="220" w:lineRule="auto"/>
                    <w:ind w:left="116"/>
                    <w:rPr>
                      <w:sz w:val="18"/>
                      <w:szCs w:val="18"/>
                    </w:rPr>
                  </w:pPr>
                  <w:r>
                    <w:rPr>
                      <w:b/>
                      <w:bCs/>
                      <w:spacing w:val="-4"/>
                      <w:sz w:val="18"/>
                      <w:szCs w:val="18"/>
                    </w:rPr>
                    <w:t>性状</w:t>
                  </w:r>
                </w:p>
              </w:tc>
              <w:tc>
                <w:tcPr>
                  <w:tcW w:w="708" w:type="dxa"/>
                  <w:vAlign w:val="top"/>
                </w:tcPr>
                <w:p w14:paraId="70DA4217">
                  <w:pPr>
                    <w:pStyle w:val="6"/>
                    <w:spacing w:before="74" w:line="221" w:lineRule="auto"/>
                    <w:ind w:left="89"/>
                    <w:rPr>
                      <w:sz w:val="18"/>
                      <w:szCs w:val="18"/>
                    </w:rPr>
                  </w:pPr>
                  <w:r>
                    <w:rPr>
                      <w:b/>
                      <w:bCs/>
                      <w:spacing w:val="-4"/>
                      <w:sz w:val="18"/>
                      <w:szCs w:val="18"/>
                    </w:rPr>
                    <w:t>主要成</w:t>
                  </w:r>
                </w:p>
                <w:p w14:paraId="55EA44C3">
                  <w:pPr>
                    <w:pStyle w:val="6"/>
                    <w:spacing w:before="65" w:line="209" w:lineRule="auto"/>
                    <w:ind w:left="271"/>
                    <w:rPr>
                      <w:sz w:val="18"/>
                      <w:szCs w:val="18"/>
                    </w:rPr>
                  </w:pPr>
                  <w:r>
                    <w:rPr>
                      <w:b/>
                      <w:bCs/>
                      <w:spacing w:val="-2"/>
                      <w:sz w:val="18"/>
                      <w:szCs w:val="18"/>
                    </w:rPr>
                    <w:t>分</w:t>
                  </w:r>
                </w:p>
              </w:tc>
              <w:tc>
                <w:tcPr>
                  <w:tcW w:w="992" w:type="dxa"/>
                  <w:vAlign w:val="top"/>
                </w:tcPr>
                <w:p w14:paraId="2A9EB2DB">
                  <w:pPr>
                    <w:pStyle w:val="6"/>
                    <w:spacing w:before="214" w:line="220" w:lineRule="auto"/>
                    <w:ind w:left="141"/>
                    <w:rPr>
                      <w:sz w:val="18"/>
                      <w:szCs w:val="18"/>
                    </w:rPr>
                  </w:pPr>
                  <w:r>
                    <w:rPr>
                      <w:b/>
                      <w:bCs/>
                      <w:spacing w:val="-4"/>
                      <w:sz w:val="18"/>
                      <w:szCs w:val="18"/>
                    </w:rPr>
                    <w:t>贮存方式</w:t>
                  </w:r>
                </w:p>
              </w:tc>
              <w:tc>
                <w:tcPr>
                  <w:tcW w:w="1450" w:type="dxa"/>
                  <w:vAlign w:val="top"/>
                </w:tcPr>
                <w:p w14:paraId="355FB9F5">
                  <w:pPr>
                    <w:pStyle w:val="6"/>
                    <w:spacing w:before="214" w:line="221" w:lineRule="auto"/>
                    <w:ind w:left="371"/>
                    <w:rPr>
                      <w:sz w:val="18"/>
                      <w:szCs w:val="18"/>
                    </w:rPr>
                  </w:pPr>
                  <w:r>
                    <w:rPr>
                      <w:b/>
                      <w:bCs/>
                      <w:spacing w:val="-5"/>
                      <w:sz w:val="18"/>
                      <w:szCs w:val="18"/>
                    </w:rPr>
                    <w:t>处置去向</w:t>
                  </w:r>
                </w:p>
              </w:tc>
            </w:tr>
            <w:tr w14:paraId="05A37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442" w:type="dxa"/>
                  <w:vAlign w:val="top"/>
                </w:tcPr>
                <w:p w14:paraId="2D9F3E8E">
                  <w:pPr>
                    <w:spacing w:line="327" w:lineRule="auto"/>
                    <w:rPr>
                      <w:rFonts w:ascii="Arial"/>
                      <w:sz w:val="21"/>
                    </w:rPr>
                  </w:pPr>
                </w:p>
                <w:p w14:paraId="3435C3E7">
                  <w:pPr>
                    <w:spacing w:before="52" w:line="235" w:lineRule="auto"/>
                    <w:ind w:left="194"/>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213" w:type="dxa"/>
                  <w:vAlign w:val="top"/>
                </w:tcPr>
                <w:p w14:paraId="2991AC73">
                  <w:pPr>
                    <w:pStyle w:val="6"/>
                    <w:spacing w:before="70" w:line="220" w:lineRule="auto"/>
                    <w:ind w:left="71"/>
                    <w:rPr>
                      <w:sz w:val="18"/>
                      <w:szCs w:val="18"/>
                    </w:rPr>
                  </w:pPr>
                  <w:r>
                    <w:rPr>
                      <w:spacing w:val="-2"/>
                      <w:sz w:val="18"/>
                      <w:szCs w:val="18"/>
                    </w:rPr>
                    <w:t>分拣杂物（废</w:t>
                  </w:r>
                </w:p>
                <w:p w14:paraId="65FE9875">
                  <w:pPr>
                    <w:pStyle w:val="6"/>
                    <w:spacing w:before="66" w:line="219" w:lineRule="auto"/>
                    <w:jc w:val="right"/>
                    <w:rPr>
                      <w:sz w:val="18"/>
                      <w:szCs w:val="18"/>
                    </w:rPr>
                  </w:pPr>
                  <w:r>
                    <w:rPr>
                      <w:spacing w:val="-14"/>
                      <w:sz w:val="18"/>
                      <w:szCs w:val="18"/>
                    </w:rPr>
                    <w:t>塑料、废纸板、</w:t>
                  </w:r>
                </w:p>
                <w:p w14:paraId="23D6352E">
                  <w:pPr>
                    <w:pStyle w:val="6"/>
                    <w:spacing w:before="66" w:line="208" w:lineRule="auto"/>
                    <w:ind w:left="158"/>
                    <w:rPr>
                      <w:sz w:val="18"/>
                      <w:szCs w:val="18"/>
                    </w:rPr>
                  </w:pPr>
                  <w:r>
                    <w:rPr>
                      <w:spacing w:val="-3"/>
                      <w:sz w:val="18"/>
                      <w:szCs w:val="18"/>
                    </w:rPr>
                    <w:t>铁质杂物）</w:t>
                  </w:r>
                </w:p>
              </w:tc>
              <w:tc>
                <w:tcPr>
                  <w:tcW w:w="733" w:type="dxa"/>
                  <w:vAlign w:val="top"/>
                </w:tcPr>
                <w:p w14:paraId="54000402">
                  <w:pPr>
                    <w:pStyle w:val="6"/>
                    <w:spacing w:before="210" w:line="289" w:lineRule="auto"/>
                    <w:ind w:left="39" w:right="36" w:firstLine="60"/>
                    <w:rPr>
                      <w:sz w:val="18"/>
                      <w:szCs w:val="18"/>
                    </w:rPr>
                  </w:pPr>
                  <w:r>
                    <w:rPr>
                      <w:spacing w:val="-3"/>
                      <w:sz w:val="18"/>
                      <w:szCs w:val="18"/>
                    </w:rPr>
                    <w:t>人工分</w:t>
                  </w:r>
                  <w:r>
                    <w:rPr>
                      <w:sz w:val="18"/>
                      <w:szCs w:val="18"/>
                    </w:rPr>
                    <w:t xml:space="preserve"> </w:t>
                  </w:r>
                  <w:r>
                    <w:rPr>
                      <w:spacing w:val="-18"/>
                      <w:sz w:val="18"/>
                      <w:szCs w:val="18"/>
                    </w:rPr>
                    <w:t>拣、磁选</w:t>
                  </w:r>
                </w:p>
              </w:tc>
              <w:tc>
                <w:tcPr>
                  <w:tcW w:w="1251" w:type="dxa"/>
                  <w:vAlign w:val="top"/>
                </w:tcPr>
                <w:p w14:paraId="07B4321D">
                  <w:pPr>
                    <w:pStyle w:val="6"/>
                    <w:spacing w:before="100" w:line="219" w:lineRule="auto"/>
                    <w:ind w:left="68"/>
                    <w:rPr>
                      <w:sz w:val="18"/>
                      <w:szCs w:val="18"/>
                    </w:rPr>
                  </w:pPr>
                  <w:r>
                    <w:rPr>
                      <w:rFonts w:ascii="Times New Roman" w:hAnsi="Times New Roman" w:eastAsia="Times New Roman" w:cs="Times New Roman"/>
                      <w:spacing w:val="-1"/>
                      <w:sz w:val="18"/>
                      <w:szCs w:val="18"/>
                    </w:rPr>
                    <w:t>900-003-S17</w:t>
                  </w:r>
                  <w:r>
                    <w:rPr>
                      <w:spacing w:val="-1"/>
                      <w:sz w:val="18"/>
                      <w:szCs w:val="18"/>
                    </w:rPr>
                    <w:t>、</w:t>
                  </w:r>
                </w:p>
                <w:p w14:paraId="4BE68F43">
                  <w:pPr>
                    <w:pStyle w:val="6"/>
                    <w:spacing w:before="67" w:line="219" w:lineRule="auto"/>
                    <w:ind w:left="68"/>
                    <w:rPr>
                      <w:sz w:val="18"/>
                      <w:szCs w:val="18"/>
                    </w:rPr>
                  </w:pPr>
                  <w:r>
                    <w:rPr>
                      <w:rFonts w:ascii="Times New Roman" w:hAnsi="Times New Roman" w:eastAsia="Times New Roman" w:cs="Times New Roman"/>
                      <w:spacing w:val="-1"/>
                      <w:sz w:val="18"/>
                      <w:szCs w:val="18"/>
                    </w:rPr>
                    <w:t>900-005-S17</w:t>
                  </w:r>
                  <w:r>
                    <w:rPr>
                      <w:spacing w:val="-1"/>
                      <w:sz w:val="18"/>
                      <w:szCs w:val="18"/>
                    </w:rPr>
                    <w:t>、</w:t>
                  </w:r>
                </w:p>
                <w:p w14:paraId="4F543C5A">
                  <w:pPr>
                    <w:spacing w:before="66" w:line="201" w:lineRule="auto"/>
                    <w:ind w:left="15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900-003-S62</w:t>
                  </w:r>
                </w:p>
              </w:tc>
              <w:tc>
                <w:tcPr>
                  <w:tcW w:w="693" w:type="dxa"/>
                  <w:vAlign w:val="top"/>
                </w:tcPr>
                <w:p w14:paraId="5F86BA62">
                  <w:pPr>
                    <w:spacing w:line="327" w:lineRule="auto"/>
                    <w:rPr>
                      <w:rFonts w:ascii="Arial"/>
                      <w:sz w:val="21"/>
                    </w:rPr>
                  </w:pPr>
                </w:p>
                <w:p w14:paraId="6CDC67D8">
                  <w:pPr>
                    <w:spacing w:before="52" w:line="232" w:lineRule="auto"/>
                    <w:ind w:left="23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0.5</w:t>
                  </w:r>
                </w:p>
              </w:tc>
              <w:tc>
                <w:tcPr>
                  <w:tcW w:w="581" w:type="dxa"/>
                  <w:vAlign w:val="top"/>
                </w:tcPr>
                <w:p w14:paraId="2FB9FC4F">
                  <w:pPr>
                    <w:spacing w:line="291" w:lineRule="auto"/>
                    <w:rPr>
                      <w:rFonts w:ascii="Arial"/>
                      <w:sz w:val="21"/>
                    </w:rPr>
                  </w:pPr>
                </w:p>
                <w:p w14:paraId="56F291AE">
                  <w:pPr>
                    <w:pStyle w:val="6"/>
                    <w:spacing w:before="59" w:line="220" w:lineRule="auto"/>
                    <w:ind w:left="129"/>
                    <w:rPr>
                      <w:sz w:val="18"/>
                      <w:szCs w:val="18"/>
                    </w:rPr>
                  </w:pPr>
                  <w:r>
                    <w:rPr>
                      <w:spacing w:val="-6"/>
                      <w:sz w:val="18"/>
                      <w:szCs w:val="18"/>
                    </w:rPr>
                    <w:t>固态</w:t>
                  </w:r>
                </w:p>
              </w:tc>
              <w:tc>
                <w:tcPr>
                  <w:tcW w:w="708" w:type="dxa"/>
                  <w:vAlign w:val="top"/>
                </w:tcPr>
                <w:p w14:paraId="618B0C91">
                  <w:pPr>
                    <w:pStyle w:val="6"/>
                    <w:spacing w:before="211" w:line="220" w:lineRule="auto"/>
                    <w:ind w:left="92"/>
                    <w:rPr>
                      <w:sz w:val="18"/>
                      <w:szCs w:val="18"/>
                    </w:rPr>
                  </w:pPr>
                  <w:r>
                    <w:rPr>
                      <w:spacing w:val="-9"/>
                      <w:sz w:val="18"/>
                      <w:szCs w:val="18"/>
                    </w:rPr>
                    <w:t>塑料、</w:t>
                  </w:r>
                </w:p>
                <w:p w14:paraId="460815C2">
                  <w:pPr>
                    <w:pStyle w:val="6"/>
                    <w:spacing w:before="64" w:line="221" w:lineRule="auto"/>
                    <w:ind w:left="43"/>
                    <w:rPr>
                      <w:sz w:val="18"/>
                      <w:szCs w:val="18"/>
                    </w:rPr>
                  </w:pPr>
                  <w:r>
                    <w:rPr>
                      <w:spacing w:val="-21"/>
                      <w:w w:val="98"/>
                      <w:sz w:val="18"/>
                      <w:szCs w:val="18"/>
                    </w:rPr>
                    <w:t>纸、金属</w:t>
                  </w:r>
                </w:p>
              </w:tc>
              <w:tc>
                <w:tcPr>
                  <w:tcW w:w="992" w:type="dxa"/>
                  <w:vAlign w:val="top"/>
                </w:tcPr>
                <w:p w14:paraId="4F3DFF7F">
                  <w:pPr>
                    <w:pStyle w:val="6"/>
                    <w:spacing w:before="210" w:line="220" w:lineRule="auto"/>
                    <w:ind w:left="53"/>
                    <w:rPr>
                      <w:sz w:val="18"/>
                      <w:szCs w:val="18"/>
                    </w:rPr>
                  </w:pPr>
                  <w:r>
                    <w:rPr>
                      <w:spacing w:val="-2"/>
                      <w:sz w:val="18"/>
                      <w:szCs w:val="18"/>
                    </w:rPr>
                    <w:t>车间内固定</w:t>
                  </w:r>
                </w:p>
                <w:p w14:paraId="2873AF47">
                  <w:pPr>
                    <w:pStyle w:val="6"/>
                    <w:spacing w:before="65" w:line="220" w:lineRule="auto"/>
                    <w:ind w:left="241"/>
                    <w:rPr>
                      <w:sz w:val="18"/>
                      <w:szCs w:val="18"/>
                    </w:rPr>
                  </w:pPr>
                  <w:r>
                    <w:rPr>
                      <w:spacing w:val="-4"/>
                      <w:sz w:val="18"/>
                      <w:szCs w:val="18"/>
                    </w:rPr>
                    <w:t>点暂存</w:t>
                  </w:r>
                </w:p>
              </w:tc>
              <w:tc>
                <w:tcPr>
                  <w:tcW w:w="1450" w:type="dxa"/>
                  <w:vAlign w:val="top"/>
                </w:tcPr>
                <w:p w14:paraId="3979A8F7">
                  <w:pPr>
                    <w:pStyle w:val="6"/>
                    <w:spacing w:before="70" w:line="220" w:lineRule="auto"/>
                    <w:ind w:left="102"/>
                    <w:rPr>
                      <w:sz w:val="18"/>
                      <w:szCs w:val="18"/>
                    </w:rPr>
                  </w:pPr>
                  <w:r>
                    <w:rPr>
                      <w:spacing w:val="-2"/>
                      <w:sz w:val="18"/>
                      <w:szCs w:val="18"/>
                    </w:rPr>
                    <w:t>外售给废品回收</w:t>
                  </w:r>
                </w:p>
                <w:p w14:paraId="318017CF">
                  <w:pPr>
                    <w:pStyle w:val="6"/>
                    <w:spacing w:before="66" w:line="219" w:lineRule="auto"/>
                    <w:ind w:left="99"/>
                    <w:rPr>
                      <w:sz w:val="18"/>
                      <w:szCs w:val="18"/>
                    </w:rPr>
                  </w:pPr>
                  <w:r>
                    <w:rPr>
                      <w:sz w:val="18"/>
                      <w:szCs w:val="18"/>
                    </w:rPr>
                    <w:t>站或者附近的一</w:t>
                  </w:r>
                </w:p>
                <w:p w14:paraId="6687C0D0">
                  <w:pPr>
                    <w:pStyle w:val="6"/>
                    <w:spacing w:before="66" w:line="208" w:lineRule="auto"/>
                    <w:ind w:left="98"/>
                    <w:rPr>
                      <w:sz w:val="18"/>
                      <w:szCs w:val="18"/>
                    </w:rPr>
                  </w:pPr>
                  <w:r>
                    <w:rPr>
                      <w:spacing w:val="-1"/>
                      <w:sz w:val="18"/>
                      <w:szCs w:val="18"/>
                    </w:rPr>
                    <w:t>般固废处置企业</w:t>
                  </w:r>
                </w:p>
              </w:tc>
            </w:tr>
            <w:tr w14:paraId="17D4F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442" w:type="dxa"/>
                  <w:vAlign w:val="top"/>
                </w:tcPr>
                <w:p w14:paraId="23992F74">
                  <w:pPr>
                    <w:spacing w:line="328" w:lineRule="auto"/>
                    <w:rPr>
                      <w:rFonts w:ascii="Arial"/>
                      <w:sz w:val="21"/>
                    </w:rPr>
                  </w:pPr>
                </w:p>
                <w:p w14:paraId="359856D8">
                  <w:pPr>
                    <w:spacing w:before="51" w:line="235" w:lineRule="auto"/>
                    <w:ind w:left="176"/>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213" w:type="dxa"/>
                  <w:vAlign w:val="top"/>
                </w:tcPr>
                <w:p w14:paraId="0D5F5330">
                  <w:pPr>
                    <w:spacing w:line="291" w:lineRule="auto"/>
                    <w:rPr>
                      <w:rFonts w:ascii="Arial"/>
                      <w:sz w:val="21"/>
                    </w:rPr>
                  </w:pPr>
                </w:p>
                <w:p w14:paraId="06B17E6D">
                  <w:pPr>
                    <w:pStyle w:val="6"/>
                    <w:spacing w:before="58" w:line="220" w:lineRule="auto"/>
                    <w:ind w:left="345"/>
                    <w:rPr>
                      <w:sz w:val="18"/>
                      <w:szCs w:val="18"/>
                    </w:rPr>
                  </w:pPr>
                  <w:r>
                    <w:rPr>
                      <w:spacing w:val="-3"/>
                      <w:sz w:val="18"/>
                      <w:szCs w:val="18"/>
                    </w:rPr>
                    <w:t>收尘灰</w:t>
                  </w:r>
                </w:p>
              </w:tc>
              <w:tc>
                <w:tcPr>
                  <w:tcW w:w="733" w:type="dxa"/>
                  <w:vAlign w:val="top"/>
                </w:tcPr>
                <w:p w14:paraId="6584709B">
                  <w:pPr>
                    <w:pStyle w:val="6"/>
                    <w:spacing w:before="212" w:line="220" w:lineRule="auto"/>
                    <w:ind w:left="97"/>
                    <w:rPr>
                      <w:sz w:val="18"/>
                      <w:szCs w:val="18"/>
                    </w:rPr>
                  </w:pPr>
                  <w:r>
                    <w:rPr>
                      <w:spacing w:val="-2"/>
                      <w:sz w:val="18"/>
                      <w:szCs w:val="18"/>
                    </w:rPr>
                    <w:t>废气处</w:t>
                  </w:r>
                </w:p>
                <w:p w14:paraId="01FF227A">
                  <w:pPr>
                    <w:pStyle w:val="6"/>
                    <w:spacing w:before="65" w:line="230" w:lineRule="auto"/>
                    <w:ind w:left="280"/>
                    <w:rPr>
                      <w:sz w:val="18"/>
                      <w:szCs w:val="18"/>
                    </w:rPr>
                  </w:pPr>
                  <w:r>
                    <w:rPr>
                      <w:sz w:val="18"/>
                      <w:szCs w:val="18"/>
                    </w:rPr>
                    <w:t>理</w:t>
                  </w:r>
                </w:p>
              </w:tc>
              <w:tc>
                <w:tcPr>
                  <w:tcW w:w="1251" w:type="dxa"/>
                  <w:vAlign w:val="top"/>
                </w:tcPr>
                <w:p w14:paraId="1F16A5AD">
                  <w:pPr>
                    <w:spacing w:line="328" w:lineRule="auto"/>
                    <w:rPr>
                      <w:rFonts w:ascii="Arial"/>
                      <w:sz w:val="21"/>
                    </w:rPr>
                  </w:pPr>
                </w:p>
                <w:p w14:paraId="43E0C031">
                  <w:pPr>
                    <w:spacing w:before="51" w:line="232" w:lineRule="auto"/>
                    <w:ind w:left="15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900-099-S59</w:t>
                  </w:r>
                </w:p>
              </w:tc>
              <w:tc>
                <w:tcPr>
                  <w:tcW w:w="693" w:type="dxa"/>
                  <w:vAlign w:val="top"/>
                </w:tcPr>
                <w:p w14:paraId="6E948156">
                  <w:pPr>
                    <w:spacing w:line="328" w:lineRule="auto"/>
                    <w:rPr>
                      <w:rFonts w:ascii="Arial"/>
                      <w:sz w:val="21"/>
                    </w:rPr>
                  </w:pPr>
                </w:p>
                <w:p w14:paraId="07A382DD">
                  <w:pPr>
                    <w:spacing w:before="52" w:line="232" w:lineRule="auto"/>
                    <w:ind w:left="10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68.986</w:t>
                  </w:r>
                </w:p>
              </w:tc>
              <w:tc>
                <w:tcPr>
                  <w:tcW w:w="581" w:type="dxa"/>
                  <w:vAlign w:val="top"/>
                </w:tcPr>
                <w:p w14:paraId="1EAD0DCE">
                  <w:pPr>
                    <w:spacing w:line="292" w:lineRule="auto"/>
                    <w:rPr>
                      <w:rFonts w:ascii="Arial"/>
                      <w:sz w:val="21"/>
                    </w:rPr>
                  </w:pPr>
                </w:p>
                <w:p w14:paraId="7BF8D1B0">
                  <w:pPr>
                    <w:pStyle w:val="6"/>
                    <w:spacing w:before="58" w:line="220" w:lineRule="auto"/>
                    <w:ind w:left="129"/>
                    <w:rPr>
                      <w:sz w:val="18"/>
                      <w:szCs w:val="18"/>
                    </w:rPr>
                  </w:pPr>
                  <w:r>
                    <w:rPr>
                      <w:spacing w:val="-6"/>
                      <w:sz w:val="18"/>
                      <w:szCs w:val="18"/>
                    </w:rPr>
                    <w:t>固态</w:t>
                  </w:r>
                </w:p>
              </w:tc>
              <w:tc>
                <w:tcPr>
                  <w:tcW w:w="708" w:type="dxa"/>
                  <w:vAlign w:val="top"/>
                </w:tcPr>
                <w:p w14:paraId="3B1F1D77">
                  <w:pPr>
                    <w:spacing w:line="292" w:lineRule="auto"/>
                    <w:rPr>
                      <w:rFonts w:ascii="Arial"/>
                      <w:sz w:val="21"/>
                    </w:rPr>
                  </w:pPr>
                </w:p>
                <w:p w14:paraId="5479008E">
                  <w:pPr>
                    <w:pStyle w:val="6"/>
                    <w:spacing w:before="58" w:line="220" w:lineRule="auto"/>
                    <w:ind w:left="179"/>
                    <w:rPr>
                      <w:sz w:val="18"/>
                      <w:szCs w:val="18"/>
                    </w:rPr>
                  </w:pPr>
                  <w:r>
                    <w:rPr>
                      <w:spacing w:val="-2"/>
                      <w:sz w:val="18"/>
                      <w:szCs w:val="18"/>
                    </w:rPr>
                    <w:t>木质</w:t>
                  </w:r>
                </w:p>
              </w:tc>
              <w:tc>
                <w:tcPr>
                  <w:tcW w:w="992" w:type="dxa"/>
                  <w:vAlign w:val="top"/>
                </w:tcPr>
                <w:p w14:paraId="1B54D28B">
                  <w:pPr>
                    <w:pStyle w:val="6"/>
                    <w:spacing w:before="72" w:line="220" w:lineRule="auto"/>
                    <w:ind w:left="53"/>
                    <w:rPr>
                      <w:sz w:val="18"/>
                      <w:szCs w:val="18"/>
                    </w:rPr>
                  </w:pPr>
                  <w:r>
                    <w:rPr>
                      <w:spacing w:val="-2"/>
                      <w:sz w:val="18"/>
                      <w:szCs w:val="18"/>
                    </w:rPr>
                    <w:t>直接输送至</w:t>
                  </w:r>
                </w:p>
                <w:p w14:paraId="0CA6E980">
                  <w:pPr>
                    <w:pStyle w:val="6"/>
                    <w:spacing w:before="65" w:line="220" w:lineRule="auto"/>
                    <w:ind w:left="51"/>
                    <w:rPr>
                      <w:sz w:val="18"/>
                      <w:szCs w:val="18"/>
                    </w:rPr>
                  </w:pPr>
                  <w:r>
                    <w:rPr>
                      <w:spacing w:val="-2"/>
                      <w:sz w:val="18"/>
                      <w:szCs w:val="18"/>
                    </w:rPr>
                    <w:t>湿粉料堆存</w:t>
                  </w:r>
                </w:p>
                <w:p w14:paraId="4714F11A">
                  <w:pPr>
                    <w:pStyle w:val="6"/>
                    <w:spacing w:before="65" w:line="208" w:lineRule="auto"/>
                    <w:ind w:left="425"/>
                    <w:rPr>
                      <w:sz w:val="18"/>
                      <w:szCs w:val="18"/>
                    </w:rPr>
                  </w:pPr>
                  <w:r>
                    <w:rPr>
                      <w:sz w:val="18"/>
                      <w:szCs w:val="18"/>
                    </w:rPr>
                    <w:t>间</w:t>
                  </w:r>
                </w:p>
              </w:tc>
              <w:tc>
                <w:tcPr>
                  <w:tcW w:w="1450" w:type="dxa"/>
                  <w:vAlign w:val="top"/>
                </w:tcPr>
                <w:p w14:paraId="512F7610">
                  <w:pPr>
                    <w:pStyle w:val="6"/>
                    <w:spacing w:before="211" w:line="219" w:lineRule="auto"/>
                    <w:ind w:left="99"/>
                    <w:rPr>
                      <w:sz w:val="18"/>
                      <w:szCs w:val="18"/>
                    </w:rPr>
                  </w:pPr>
                  <w:r>
                    <w:rPr>
                      <w:spacing w:val="-1"/>
                      <w:sz w:val="18"/>
                      <w:szCs w:val="18"/>
                    </w:rPr>
                    <w:t>本项目生产线回</w:t>
                  </w:r>
                </w:p>
                <w:p w14:paraId="3D0A136D">
                  <w:pPr>
                    <w:pStyle w:val="6"/>
                    <w:spacing w:before="67" w:line="220" w:lineRule="auto"/>
                    <w:ind w:left="370"/>
                    <w:rPr>
                      <w:sz w:val="18"/>
                      <w:szCs w:val="18"/>
                    </w:rPr>
                  </w:pPr>
                  <w:r>
                    <w:rPr>
                      <w:spacing w:val="-2"/>
                      <w:sz w:val="18"/>
                      <w:szCs w:val="18"/>
                    </w:rPr>
                    <w:t>用做原料</w:t>
                  </w:r>
                </w:p>
              </w:tc>
            </w:tr>
            <w:tr w14:paraId="26390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442" w:type="dxa"/>
                  <w:vAlign w:val="top"/>
                </w:tcPr>
                <w:p w14:paraId="600970F2">
                  <w:pPr>
                    <w:spacing w:line="328" w:lineRule="auto"/>
                    <w:rPr>
                      <w:rFonts w:ascii="Arial"/>
                      <w:sz w:val="21"/>
                    </w:rPr>
                  </w:pPr>
                </w:p>
                <w:p w14:paraId="3BCA658E">
                  <w:pPr>
                    <w:spacing w:before="52" w:line="232" w:lineRule="auto"/>
                    <w:ind w:left="180"/>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213" w:type="dxa"/>
                  <w:vAlign w:val="top"/>
                </w:tcPr>
                <w:p w14:paraId="2BEB1BB6">
                  <w:pPr>
                    <w:spacing w:line="291" w:lineRule="auto"/>
                    <w:rPr>
                      <w:rFonts w:ascii="Arial"/>
                      <w:sz w:val="21"/>
                    </w:rPr>
                  </w:pPr>
                </w:p>
                <w:p w14:paraId="05984210">
                  <w:pPr>
                    <w:pStyle w:val="6"/>
                    <w:spacing w:before="59" w:line="220" w:lineRule="auto"/>
                    <w:ind w:left="429"/>
                    <w:rPr>
                      <w:sz w:val="18"/>
                      <w:szCs w:val="18"/>
                    </w:rPr>
                  </w:pPr>
                  <w:r>
                    <w:rPr>
                      <w:spacing w:val="-2"/>
                      <w:sz w:val="18"/>
                      <w:szCs w:val="18"/>
                    </w:rPr>
                    <w:t>沉渣</w:t>
                  </w:r>
                </w:p>
              </w:tc>
              <w:tc>
                <w:tcPr>
                  <w:tcW w:w="733" w:type="dxa"/>
                  <w:vAlign w:val="top"/>
                </w:tcPr>
                <w:p w14:paraId="18C360C8">
                  <w:pPr>
                    <w:pStyle w:val="6"/>
                    <w:spacing w:before="212" w:line="220" w:lineRule="auto"/>
                    <w:ind w:left="97"/>
                    <w:rPr>
                      <w:sz w:val="18"/>
                      <w:szCs w:val="18"/>
                    </w:rPr>
                  </w:pPr>
                  <w:r>
                    <w:rPr>
                      <w:spacing w:val="-2"/>
                      <w:sz w:val="18"/>
                      <w:szCs w:val="18"/>
                    </w:rPr>
                    <w:t>废气处</w:t>
                  </w:r>
                </w:p>
                <w:p w14:paraId="7B013B49">
                  <w:pPr>
                    <w:pStyle w:val="6"/>
                    <w:spacing w:before="64" w:line="230" w:lineRule="auto"/>
                    <w:ind w:left="280"/>
                    <w:rPr>
                      <w:sz w:val="18"/>
                      <w:szCs w:val="18"/>
                    </w:rPr>
                  </w:pPr>
                  <w:r>
                    <w:rPr>
                      <w:sz w:val="18"/>
                      <w:szCs w:val="18"/>
                    </w:rPr>
                    <w:t>理</w:t>
                  </w:r>
                </w:p>
              </w:tc>
              <w:tc>
                <w:tcPr>
                  <w:tcW w:w="1251" w:type="dxa"/>
                  <w:vAlign w:val="top"/>
                </w:tcPr>
                <w:p w14:paraId="165AF97B">
                  <w:pPr>
                    <w:spacing w:line="327" w:lineRule="auto"/>
                    <w:rPr>
                      <w:rFonts w:ascii="Arial"/>
                      <w:sz w:val="21"/>
                    </w:rPr>
                  </w:pPr>
                </w:p>
                <w:p w14:paraId="60061BA6">
                  <w:pPr>
                    <w:spacing w:before="52" w:line="232" w:lineRule="auto"/>
                    <w:ind w:left="15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900-099-S59</w:t>
                  </w:r>
                </w:p>
              </w:tc>
              <w:tc>
                <w:tcPr>
                  <w:tcW w:w="693" w:type="dxa"/>
                  <w:vAlign w:val="top"/>
                </w:tcPr>
                <w:p w14:paraId="24834574">
                  <w:pPr>
                    <w:spacing w:line="327" w:lineRule="auto"/>
                    <w:rPr>
                      <w:rFonts w:ascii="Arial"/>
                      <w:sz w:val="21"/>
                    </w:rPr>
                  </w:pPr>
                </w:p>
                <w:p w14:paraId="072046A7">
                  <w:pPr>
                    <w:spacing w:before="52" w:line="232" w:lineRule="auto"/>
                    <w:ind w:left="10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90.072</w:t>
                  </w:r>
                </w:p>
              </w:tc>
              <w:tc>
                <w:tcPr>
                  <w:tcW w:w="581" w:type="dxa"/>
                  <w:vAlign w:val="top"/>
                </w:tcPr>
                <w:p w14:paraId="50589BBD">
                  <w:pPr>
                    <w:spacing w:line="291" w:lineRule="auto"/>
                    <w:rPr>
                      <w:rFonts w:ascii="Arial"/>
                      <w:sz w:val="21"/>
                    </w:rPr>
                  </w:pPr>
                </w:p>
                <w:p w14:paraId="1B4BE6B8">
                  <w:pPr>
                    <w:pStyle w:val="6"/>
                    <w:spacing w:before="59" w:line="220" w:lineRule="auto"/>
                    <w:ind w:left="129"/>
                    <w:rPr>
                      <w:sz w:val="18"/>
                      <w:szCs w:val="18"/>
                    </w:rPr>
                  </w:pPr>
                  <w:r>
                    <w:rPr>
                      <w:spacing w:val="-6"/>
                      <w:sz w:val="18"/>
                      <w:szCs w:val="18"/>
                    </w:rPr>
                    <w:t>固态</w:t>
                  </w:r>
                </w:p>
              </w:tc>
              <w:tc>
                <w:tcPr>
                  <w:tcW w:w="708" w:type="dxa"/>
                  <w:vAlign w:val="top"/>
                </w:tcPr>
                <w:p w14:paraId="55633CBB">
                  <w:pPr>
                    <w:spacing w:line="291" w:lineRule="auto"/>
                    <w:rPr>
                      <w:rFonts w:ascii="Arial"/>
                      <w:sz w:val="21"/>
                    </w:rPr>
                  </w:pPr>
                </w:p>
                <w:p w14:paraId="658CF83D">
                  <w:pPr>
                    <w:pStyle w:val="6"/>
                    <w:spacing w:before="59" w:line="220" w:lineRule="auto"/>
                    <w:ind w:left="179"/>
                    <w:rPr>
                      <w:sz w:val="18"/>
                      <w:szCs w:val="18"/>
                    </w:rPr>
                  </w:pPr>
                  <w:r>
                    <w:rPr>
                      <w:spacing w:val="-2"/>
                      <w:sz w:val="18"/>
                      <w:szCs w:val="18"/>
                    </w:rPr>
                    <w:t>木质</w:t>
                  </w:r>
                </w:p>
              </w:tc>
              <w:tc>
                <w:tcPr>
                  <w:tcW w:w="992" w:type="dxa"/>
                  <w:vAlign w:val="top"/>
                </w:tcPr>
                <w:p w14:paraId="39C5AD91">
                  <w:pPr>
                    <w:pStyle w:val="6"/>
                    <w:spacing w:before="72" w:line="220" w:lineRule="auto"/>
                    <w:ind w:left="56"/>
                    <w:rPr>
                      <w:sz w:val="18"/>
                      <w:szCs w:val="18"/>
                    </w:rPr>
                  </w:pPr>
                  <w:r>
                    <w:rPr>
                      <w:spacing w:val="-2"/>
                      <w:sz w:val="18"/>
                      <w:szCs w:val="18"/>
                    </w:rPr>
                    <w:t>定期清理送</w:t>
                  </w:r>
                </w:p>
                <w:p w14:paraId="08DD9E4F">
                  <w:pPr>
                    <w:pStyle w:val="6"/>
                    <w:spacing w:before="64" w:line="220" w:lineRule="auto"/>
                    <w:ind w:left="53"/>
                    <w:rPr>
                      <w:sz w:val="18"/>
                      <w:szCs w:val="18"/>
                    </w:rPr>
                  </w:pPr>
                  <w:r>
                    <w:rPr>
                      <w:spacing w:val="-2"/>
                      <w:sz w:val="18"/>
                      <w:szCs w:val="18"/>
                    </w:rPr>
                    <w:t>至湿粉料堆</w:t>
                  </w:r>
                </w:p>
                <w:p w14:paraId="5C3DB9CA">
                  <w:pPr>
                    <w:pStyle w:val="6"/>
                    <w:spacing w:before="66" w:line="207" w:lineRule="auto"/>
                    <w:ind w:left="321"/>
                    <w:rPr>
                      <w:sz w:val="18"/>
                      <w:szCs w:val="18"/>
                    </w:rPr>
                  </w:pPr>
                  <w:r>
                    <w:rPr>
                      <w:spacing w:val="-2"/>
                      <w:sz w:val="18"/>
                      <w:szCs w:val="18"/>
                    </w:rPr>
                    <w:t>存间</w:t>
                  </w:r>
                </w:p>
              </w:tc>
              <w:tc>
                <w:tcPr>
                  <w:tcW w:w="1450" w:type="dxa"/>
                  <w:vAlign w:val="top"/>
                </w:tcPr>
                <w:p w14:paraId="160A750C">
                  <w:pPr>
                    <w:pStyle w:val="6"/>
                    <w:spacing w:before="212" w:line="219" w:lineRule="auto"/>
                    <w:ind w:left="99"/>
                    <w:rPr>
                      <w:sz w:val="18"/>
                      <w:szCs w:val="18"/>
                    </w:rPr>
                  </w:pPr>
                  <w:r>
                    <w:rPr>
                      <w:spacing w:val="-1"/>
                      <w:sz w:val="18"/>
                      <w:szCs w:val="18"/>
                    </w:rPr>
                    <w:t>本项目生产线回</w:t>
                  </w:r>
                </w:p>
                <w:p w14:paraId="086FAFF9">
                  <w:pPr>
                    <w:pStyle w:val="6"/>
                    <w:spacing w:before="65" w:line="220" w:lineRule="auto"/>
                    <w:ind w:left="370"/>
                    <w:rPr>
                      <w:sz w:val="18"/>
                      <w:szCs w:val="18"/>
                    </w:rPr>
                  </w:pPr>
                  <w:r>
                    <w:rPr>
                      <w:spacing w:val="-2"/>
                      <w:sz w:val="18"/>
                      <w:szCs w:val="18"/>
                    </w:rPr>
                    <w:t>用做原料</w:t>
                  </w:r>
                </w:p>
              </w:tc>
            </w:tr>
            <w:tr w14:paraId="53B9A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42" w:type="dxa"/>
                  <w:vAlign w:val="top"/>
                </w:tcPr>
                <w:p w14:paraId="44440C14">
                  <w:pPr>
                    <w:spacing w:before="242" w:line="235" w:lineRule="auto"/>
                    <w:ind w:left="175"/>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213" w:type="dxa"/>
                  <w:vAlign w:val="top"/>
                </w:tcPr>
                <w:p w14:paraId="73378598">
                  <w:pPr>
                    <w:pStyle w:val="6"/>
                    <w:spacing w:before="212" w:line="220" w:lineRule="auto"/>
                    <w:ind w:left="431"/>
                    <w:rPr>
                      <w:sz w:val="18"/>
                      <w:szCs w:val="18"/>
                    </w:rPr>
                  </w:pPr>
                  <w:r>
                    <w:rPr>
                      <w:spacing w:val="-3"/>
                      <w:sz w:val="18"/>
                      <w:szCs w:val="18"/>
                    </w:rPr>
                    <w:t>炉灰</w:t>
                  </w:r>
                </w:p>
              </w:tc>
              <w:tc>
                <w:tcPr>
                  <w:tcW w:w="733" w:type="dxa"/>
                  <w:vAlign w:val="top"/>
                </w:tcPr>
                <w:p w14:paraId="1AE639C6">
                  <w:pPr>
                    <w:pStyle w:val="6"/>
                    <w:spacing w:before="72" w:line="247" w:lineRule="auto"/>
                    <w:ind w:left="188" w:right="96" w:hanging="89"/>
                    <w:rPr>
                      <w:sz w:val="18"/>
                      <w:szCs w:val="18"/>
                    </w:rPr>
                  </w:pPr>
                  <w:r>
                    <w:rPr>
                      <w:spacing w:val="-3"/>
                      <w:sz w:val="18"/>
                      <w:szCs w:val="18"/>
                    </w:rPr>
                    <w:t>生物质</w:t>
                  </w:r>
                  <w:r>
                    <w:rPr>
                      <w:sz w:val="18"/>
                      <w:szCs w:val="18"/>
                    </w:rPr>
                    <w:t xml:space="preserve"> </w:t>
                  </w:r>
                  <w:r>
                    <w:rPr>
                      <w:spacing w:val="-2"/>
                      <w:sz w:val="18"/>
                      <w:szCs w:val="18"/>
                    </w:rPr>
                    <w:t>燃料</w:t>
                  </w:r>
                </w:p>
              </w:tc>
              <w:tc>
                <w:tcPr>
                  <w:tcW w:w="1251" w:type="dxa"/>
                  <w:vAlign w:val="top"/>
                </w:tcPr>
                <w:p w14:paraId="29BDA6B5">
                  <w:pPr>
                    <w:spacing w:before="242" w:line="232" w:lineRule="auto"/>
                    <w:ind w:left="15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900-099-S03</w:t>
                  </w:r>
                </w:p>
              </w:tc>
              <w:tc>
                <w:tcPr>
                  <w:tcW w:w="693" w:type="dxa"/>
                  <w:vAlign w:val="top"/>
                </w:tcPr>
                <w:p w14:paraId="4710CC5A">
                  <w:pPr>
                    <w:spacing w:before="243" w:line="232" w:lineRule="auto"/>
                    <w:ind w:left="10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68.614</w:t>
                  </w:r>
                </w:p>
              </w:tc>
              <w:tc>
                <w:tcPr>
                  <w:tcW w:w="581" w:type="dxa"/>
                  <w:vAlign w:val="top"/>
                </w:tcPr>
                <w:p w14:paraId="578DDB1C">
                  <w:pPr>
                    <w:pStyle w:val="6"/>
                    <w:spacing w:before="213" w:line="220" w:lineRule="auto"/>
                    <w:ind w:left="129"/>
                    <w:rPr>
                      <w:sz w:val="18"/>
                      <w:szCs w:val="18"/>
                    </w:rPr>
                  </w:pPr>
                  <w:r>
                    <w:rPr>
                      <w:spacing w:val="-6"/>
                      <w:sz w:val="18"/>
                      <w:szCs w:val="18"/>
                    </w:rPr>
                    <w:t>固态</w:t>
                  </w:r>
                </w:p>
              </w:tc>
              <w:tc>
                <w:tcPr>
                  <w:tcW w:w="708" w:type="dxa"/>
                  <w:vAlign w:val="top"/>
                </w:tcPr>
                <w:p w14:paraId="53D0DE23">
                  <w:pPr>
                    <w:pStyle w:val="6"/>
                    <w:spacing w:before="212" w:line="220" w:lineRule="auto"/>
                    <w:ind w:left="180"/>
                    <w:rPr>
                      <w:sz w:val="18"/>
                      <w:szCs w:val="18"/>
                    </w:rPr>
                  </w:pPr>
                  <w:r>
                    <w:rPr>
                      <w:spacing w:val="-3"/>
                      <w:sz w:val="18"/>
                      <w:szCs w:val="18"/>
                    </w:rPr>
                    <w:t>灰烬</w:t>
                  </w:r>
                </w:p>
              </w:tc>
              <w:tc>
                <w:tcPr>
                  <w:tcW w:w="992" w:type="dxa"/>
                  <w:vAlign w:val="top"/>
                </w:tcPr>
                <w:p w14:paraId="547E0732">
                  <w:pPr>
                    <w:pStyle w:val="6"/>
                    <w:spacing w:before="213" w:line="220" w:lineRule="auto"/>
                    <w:ind w:left="321"/>
                    <w:rPr>
                      <w:sz w:val="18"/>
                      <w:szCs w:val="18"/>
                    </w:rPr>
                  </w:pPr>
                  <w:r>
                    <w:rPr>
                      <w:spacing w:val="-2"/>
                      <w:sz w:val="18"/>
                      <w:szCs w:val="18"/>
                    </w:rPr>
                    <w:t>袋装</w:t>
                  </w:r>
                </w:p>
              </w:tc>
              <w:tc>
                <w:tcPr>
                  <w:tcW w:w="1450" w:type="dxa"/>
                  <w:vAlign w:val="top"/>
                </w:tcPr>
                <w:p w14:paraId="25D7669C">
                  <w:pPr>
                    <w:pStyle w:val="6"/>
                    <w:spacing w:before="73" w:line="220" w:lineRule="auto"/>
                    <w:ind w:left="102"/>
                    <w:rPr>
                      <w:sz w:val="18"/>
                      <w:szCs w:val="18"/>
                    </w:rPr>
                  </w:pPr>
                  <w:r>
                    <w:rPr>
                      <w:spacing w:val="-2"/>
                      <w:sz w:val="18"/>
                      <w:szCs w:val="18"/>
                    </w:rPr>
                    <w:t>外售可利用企业</w:t>
                  </w:r>
                </w:p>
                <w:p w14:paraId="6D403D26">
                  <w:pPr>
                    <w:pStyle w:val="6"/>
                    <w:spacing w:before="65" w:line="206" w:lineRule="auto"/>
                    <w:ind w:left="371"/>
                    <w:rPr>
                      <w:sz w:val="18"/>
                      <w:szCs w:val="18"/>
                    </w:rPr>
                  </w:pPr>
                  <w:r>
                    <w:rPr>
                      <w:spacing w:val="-2"/>
                      <w:sz w:val="18"/>
                      <w:szCs w:val="18"/>
                    </w:rPr>
                    <w:t>综合利用</w:t>
                  </w:r>
                </w:p>
              </w:tc>
            </w:tr>
            <w:tr w14:paraId="5CC08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42" w:type="dxa"/>
                  <w:vAlign w:val="top"/>
                </w:tcPr>
                <w:p w14:paraId="13AD1FC7">
                  <w:pPr>
                    <w:spacing w:before="244" w:line="232" w:lineRule="auto"/>
                    <w:ind w:left="181"/>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1213" w:type="dxa"/>
                  <w:vAlign w:val="top"/>
                </w:tcPr>
                <w:p w14:paraId="318CDCE3">
                  <w:pPr>
                    <w:pStyle w:val="6"/>
                    <w:spacing w:before="214" w:line="220" w:lineRule="auto"/>
                    <w:ind w:left="250"/>
                    <w:rPr>
                      <w:sz w:val="18"/>
                      <w:szCs w:val="18"/>
                    </w:rPr>
                  </w:pPr>
                  <w:r>
                    <w:rPr>
                      <w:spacing w:val="-2"/>
                      <w:sz w:val="18"/>
                      <w:szCs w:val="18"/>
                    </w:rPr>
                    <w:t>生活垃圾</w:t>
                  </w:r>
                </w:p>
              </w:tc>
              <w:tc>
                <w:tcPr>
                  <w:tcW w:w="733" w:type="dxa"/>
                  <w:vAlign w:val="top"/>
                </w:tcPr>
                <w:p w14:paraId="4524829A">
                  <w:pPr>
                    <w:pStyle w:val="6"/>
                    <w:spacing w:before="73" w:line="220" w:lineRule="auto"/>
                    <w:ind w:left="191"/>
                    <w:rPr>
                      <w:sz w:val="18"/>
                      <w:szCs w:val="18"/>
                    </w:rPr>
                  </w:pPr>
                  <w:r>
                    <w:rPr>
                      <w:spacing w:val="-3"/>
                      <w:sz w:val="18"/>
                      <w:szCs w:val="18"/>
                    </w:rPr>
                    <w:t>办公</w:t>
                  </w:r>
                </w:p>
                <w:p w14:paraId="64DB2F48">
                  <w:pPr>
                    <w:pStyle w:val="6"/>
                    <w:spacing w:before="66" w:line="210" w:lineRule="auto"/>
                    <w:ind w:left="189"/>
                    <w:rPr>
                      <w:sz w:val="18"/>
                      <w:szCs w:val="18"/>
                    </w:rPr>
                  </w:pPr>
                  <w:r>
                    <w:rPr>
                      <w:spacing w:val="-3"/>
                      <w:sz w:val="18"/>
                      <w:szCs w:val="18"/>
                    </w:rPr>
                    <w:t>生活</w:t>
                  </w:r>
                </w:p>
              </w:tc>
              <w:tc>
                <w:tcPr>
                  <w:tcW w:w="1251" w:type="dxa"/>
                  <w:vAlign w:val="top"/>
                </w:tcPr>
                <w:p w14:paraId="13542116">
                  <w:pPr>
                    <w:spacing w:before="244" w:line="23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93" w:type="dxa"/>
                  <w:vAlign w:val="top"/>
                </w:tcPr>
                <w:p w14:paraId="4E87EC8C">
                  <w:pPr>
                    <w:spacing w:before="244" w:line="232" w:lineRule="auto"/>
                    <w:ind w:left="1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1.98t/a</w:t>
                  </w:r>
                </w:p>
              </w:tc>
              <w:tc>
                <w:tcPr>
                  <w:tcW w:w="581" w:type="dxa"/>
                  <w:vAlign w:val="top"/>
                </w:tcPr>
                <w:p w14:paraId="66533C0F">
                  <w:pPr>
                    <w:pStyle w:val="6"/>
                    <w:spacing w:before="214" w:line="220" w:lineRule="auto"/>
                    <w:ind w:left="129"/>
                    <w:rPr>
                      <w:sz w:val="18"/>
                      <w:szCs w:val="18"/>
                    </w:rPr>
                  </w:pPr>
                  <w:r>
                    <w:rPr>
                      <w:spacing w:val="-6"/>
                      <w:sz w:val="18"/>
                      <w:szCs w:val="18"/>
                    </w:rPr>
                    <w:t>固态</w:t>
                  </w:r>
                </w:p>
              </w:tc>
              <w:tc>
                <w:tcPr>
                  <w:tcW w:w="708" w:type="dxa"/>
                  <w:vAlign w:val="top"/>
                </w:tcPr>
                <w:p w14:paraId="6080B8E1">
                  <w:pPr>
                    <w:pStyle w:val="6"/>
                    <w:spacing w:before="73" w:line="249" w:lineRule="auto"/>
                    <w:ind w:left="269" w:right="80" w:hanging="179"/>
                    <w:rPr>
                      <w:sz w:val="18"/>
                      <w:szCs w:val="18"/>
                    </w:rPr>
                  </w:pPr>
                  <w:r>
                    <w:rPr>
                      <w:spacing w:val="-3"/>
                      <w:sz w:val="18"/>
                      <w:szCs w:val="18"/>
                    </w:rPr>
                    <w:t>生活垃</w:t>
                  </w:r>
                  <w:r>
                    <w:rPr>
                      <w:sz w:val="18"/>
                      <w:szCs w:val="18"/>
                    </w:rPr>
                    <w:t xml:space="preserve"> 圾</w:t>
                  </w:r>
                </w:p>
              </w:tc>
              <w:tc>
                <w:tcPr>
                  <w:tcW w:w="992" w:type="dxa"/>
                  <w:vAlign w:val="top"/>
                </w:tcPr>
                <w:p w14:paraId="33636455">
                  <w:pPr>
                    <w:pStyle w:val="6"/>
                    <w:spacing w:before="213" w:line="220" w:lineRule="auto"/>
                    <w:ind w:left="141"/>
                    <w:rPr>
                      <w:sz w:val="18"/>
                      <w:szCs w:val="18"/>
                    </w:rPr>
                  </w:pPr>
                  <w:r>
                    <w:rPr>
                      <w:spacing w:val="-2"/>
                      <w:sz w:val="18"/>
                      <w:szCs w:val="18"/>
                    </w:rPr>
                    <w:t>袋装收集</w:t>
                  </w:r>
                </w:p>
              </w:tc>
              <w:tc>
                <w:tcPr>
                  <w:tcW w:w="1450" w:type="dxa"/>
                  <w:vAlign w:val="top"/>
                </w:tcPr>
                <w:p w14:paraId="2A980FEF">
                  <w:pPr>
                    <w:pStyle w:val="6"/>
                    <w:spacing w:before="73" w:line="249" w:lineRule="auto"/>
                    <w:ind w:left="191" w:right="93" w:hanging="92"/>
                    <w:rPr>
                      <w:sz w:val="18"/>
                      <w:szCs w:val="18"/>
                    </w:rPr>
                  </w:pPr>
                  <w:r>
                    <w:rPr>
                      <w:spacing w:val="-2"/>
                      <w:sz w:val="18"/>
                      <w:szCs w:val="18"/>
                    </w:rPr>
                    <w:t>运至附近场镇生</w:t>
                  </w:r>
                  <w:r>
                    <w:rPr>
                      <w:spacing w:val="5"/>
                      <w:sz w:val="18"/>
                      <w:szCs w:val="18"/>
                    </w:rPr>
                    <w:t xml:space="preserve"> </w:t>
                  </w:r>
                  <w:r>
                    <w:rPr>
                      <w:spacing w:val="-2"/>
                      <w:sz w:val="18"/>
                      <w:szCs w:val="18"/>
                    </w:rPr>
                    <w:t>活垃圾收集点</w:t>
                  </w:r>
                </w:p>
              </w:tc>
            </w:tr>
          </w:tbl>
          <w:p w14:paraId="4170CFDE">
            <w:pPr>
              <w:pStyle w:val="6"/>
              <w:spacing w:before="141" w:line="234" w:lineRule="auto"/>
              <w:ind w:left="104"/>
            </w:pPr>
            <w:r>
              <w:rPr>
                <w:rFonts w:ascii="Times New Roman" w:hAnsi="Times New Roman" w:eastAsia="Times New Roman" w:cs="Times New Roman"/>
                <w:b/>
                <w:bCs/>
                <w:spacing w:val="-4"/>
              </w:rPr>
              <w:t>4.2</w:t>
            </w:r>
            <w:r>
              <w:rPr>
                <w:rFonts w:ascii="Times New Roman" w:hAnsi="Times New Roman" w:eastAsia="Times New Roman" w:cs="Times New Roman"/>
                <w:b/>
                <w:bCs/>
                <w:spacing w:val="15"/>
                <w:w w:val="101"/>
              </w:rPr>
              <w:t xml:space="preserve"> </w:t>
            </w:r>
            <w:r>
              <w:rPr>
                <w:b/>
                <w:bCs/>
                <w:spacing w:val="-4"/>
              </w:rPr>
              <w:t>危险废物</w:t>
            </w:r>
          </w:p>
          <w:p w14:paraId="497844D1">
            <w:pPr>
              <w:pStyle w:val="6"/>
              <w:spacing w:before="126" w:line="219" w:lineRule="auto"/>
              <w:ind w:left="529"/>
            </w:pPr>
            <w:r>
              <w:rPr>
                <w:rFonts w:ascii="Cambria Math" w:hAnsi="Cambria Math" w:eastAsia="Cambria Math" w:cs="Cambria Math"/>
                <w:spacing w:val="-3"/>
              </w:rPr>
              <w:t>①</w:t>
            </w:r>
            <w:r>
              <w:rPr>
                <w:spacing w:val="-3"/>
              </w:rPr>
              <w:t>废矿物油</w:t>
            </w:r>
          </w:p>
          <w:p w14:paraId="1C0D5669">
            <w:pPr>
              <w:pStyle w:val="6"/>
              <w:spacing w:before="157" w:line="352" w:lineRule="auto"/>
              <w:ind w:left="106" w:right="102" w:firstLine="421"/>
              <w:jc w:val="both"/>
            </w:pPr>
            <w:r>
              <w:rPr>
                <w:spacing w:val="-1"/>
              </w:rPr>
              <w:t>本项目使用铲车、叉车、空压机等设备具有液压系统，设备运行一定时间后</w:t>
            </w:r>
            <w:r>
              <w:rPr>
                <w:spacing w:val="-2"/>
              </w:rPr>
              <w:t>，由于</w:t>
            </w:r>
            <w:r>
              <w:t xml:space="preserve"> </w:t>
            </w:r>
            <w:r>
              <w:rPr>
                <w:spacing w:val="-5"/>
              </w:rPr>
              <w:t>液压油受到氧化、热分解和杂质污染等因素，</w:t>
            </w:r>
            <w:r>
              <w:rPr>
                <w:spacing w:val="47"/>
              </w:rPr>
              <w:t xml:space="preserve"> </w:t>
            </w:r>
            <w:r>
              <w:rPr>
                <w:spacing w:val="-5"/>
              </w:rPr>
              <w:t>其理化性能不能达到使用条件，需定期更</w:t>
            </w:r>
            <w:r>
              <w:t xml:space="preserve"> </w:t>
            </w:r>
            <w:r>
              <w:rPr>
                <w:spacing w:val="-1"/>
              </w:rPr>
              <w:t>换液压油，产生的废液压油属于废矿物油的一种。根据建设单位介绍并参考行业经验数</w:t>
            </w:r>
            <w:r>
              <w:t xml:space="preserve"> </w:t>
            </w:r>
            <w:r>
              <w:rPr>
                <w:spacing w:val="-1"/>
              </w:rPr>
              <w:t>据，项目废矿物油产生量约</w:t>
            </w:r>
            <w:r>
              <w:rPr>
                <w:rFonts w:ascii="Times New Roman" w:hAnsi="Times New Roman" w:eastAsia="Times New Roman" w:cs="Times New Roman"/>
                <w:spacing w:val="-1"/>
              </w:rPr>
              <w:t>0.05t/a</w:t>
            </w:r>
            <w:r>
              <w:rPr>
                <w:spacing w:val="-1"/>
              </w:rPr>
              <w:t>。</w:t>
            </w:r>
          </w:p>
          <w:p w14:paraId="20217226">
            <w:pPr>
              <w:pStyle w:val="6"/>
              <w:spacing w:before="1" w:line="222" w:lineRule="auto"/>
              <w:ind w:right="33"/>
              <w:jc w:val="right"/>
            </w:pPr>
            <w:r>
              <w:rPr>
                <w:spacing w:val="-5"/>
              </w:rPr>
              <w:t>根据《国家危险废物名录（</w:t>
            </w:r>
            <w:r>
              <w:rPr>
                <w:rFonts w:ascii="Times New Roman" w:hAnsi="Times New Roman" w:eastAsia="Times New Roman" w:cs="Times New Roman"/>
                <w:spacing w:val="-5"/>
              </w:rPr>
              <w:t>2021</w:t>
            </w:r>
            <w:r>
              <w:rPr>
                <w:spacing w:val="-5"/>
              </w:rPr>
              <w:t>年版）》， 废矿物油属于其中</w:t>
            </w:r>
            <w:r>
              <w:rPr>
                <w:rFonts w:ascii="Times New Roman" w:hAnsi="Times New Roman" w:eastAsia="Times New Roman" w:cs="Times New Roman"/>
                <w:spacing w:val="-5"/>
              </w:rPr>
              <w:t>H</w:t>
            </w:r>
            <w:r>
              <w:rPr>
                <w:rFonts w:ascii="Times New Roman" w:hAnsi="Times New Roman" w:eastAsia="Times New Roman" w:cs="Times New Roman"/>
                <w:spacing w:val="-6"/>
              </w:rPr>
              <w:t>W08</w:t>
            </w:r>
            <w:r>
              <w:rPr>
                <w:spacing w:val="-6"/>
              </w:rPr>
              <w:t>类，危废代码：</w:t>
            </w:r>
          </w:p>
        </w:tc>
      </w:tr>
    </w:tbl>
    <w:p w14:paraId="1AB6EE56">
      <w:pPr>
        <w:rPr>
          <w:rFonts w:ascii="Arial"/>
          <w:sz w:val="21"/>
        </w:rPr>
      </w:pPr>
    </w:p>
    <w:p w14:paraId="5FE9F69C">
      <w:pPr>
        <w:rPr>
          <w:rFonts w:ascii="Arial" w:hAnsi="Arial" w:eastAsia="Arial" w:cs="Arial"/>
          <w:sz w:val="21"/>
          <w:szCs w:val="21"/>
        </w:rPr>
        <w:sectPr>
          <w:footerReference r:id="rId68" w:type="default"/>
          <w:pgSz w:w="11908" w:h="16840"/>
          <w:pgMar w:top="1431" w:right="1489" w:bottom="1053" w:left="1489" w:header="0" w:footer="801" w:gutter="0"/>
          <w:cols w:space="720" w:num="1"/>
        </w:sectPr>
      </w:pPr>
    </w:p>
    <w:p w14:paraId="72F2545D">
      <w:pPr>
        <w:spacing w:before="28"/>
      </w:pPr>
    </w:p>
    <w:tbl>
      <w:tblPr>
        <w:tblStyle w:val="5"/>
        <w:tblW w:w="891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0"/>
        <w:gridCol w:w="8163"/>
      </w:tblGrid>
      <w:tr w14:paraId="12095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53" w:hRule="atLeast"/>
        </w:trPr>
        <w:tc>
          <w:tcPr>
            <w:tcW w:w="750" w:type="dxa"/>
            <w:tcBorders>
              <w:top w:val="single" w:color="000000" w:sz="2" w:space="0"/>
              <w:right w:val="single" w:color="000000" w:sz="2" w:space="0"/>
            </w:tcBorders>
            <w:vAlign w:val="top"/>
          </w:tcPr>
          <w:p w14:paraId="08168ABF">
            <w:pPr>
              <w:rPr>
                <w:rFonts w:ascii="Arial"/>
                <w:sz w:val="21"/>
              </w:rPr>
            </w:pPr>
          </w:p>
        </w:tc>
        <w:tc>
          <w:tcPr>
            <w:tcW w:w="8163" w:type="dxa"/>
            <w:tcBorders>
              <w:top w:val="single" w:color="000000" w:sz="2" w:space="0"/>
              <w:left w:val="single" w:color="000000" w:sz="2" w:space="0"/>
            </w:tcBorders>
            <w:vAlign w:val="top"/>
          </w:tcPr>
          <w:p w14:paraId="43C6398F">
            <w:pPr>
              <w:pStyle w:val="6"/>
              <w:spacing w:before="179" w:line="219" w:lineRule="auto"/>
              <w:ind w:left="108"/>
            </w:pPr>
            <w:r>
              <w:rPr>
                <w:rFonts w:ascii="Times New Roman" w:hAnsi="Times New Roman" w:eastAsia="Times New Roman" w:cs="Times New Roman"/>
                <w:spacing w:val="-1"/>
              </w:rPr>
              <w:t>900-214-08</w:t>
            </w:r>
            <w:r>
              <w:rPr>
                <w:rFonts w:hint="eastAsia" w:ascii="Times New Roman" w:hAnsi="Times New Roman" w:eastAsia="宋体" w:cs="Times New Roman"/>
                <w:spacing w:val="-1"/>
                <w:lang w:eastAsia="zh-CN"/>
              </w:rPr>
              <w:t>.</w:t>
            </w:r>
          </w:p>
          <w:p w14:paraId="411D878F">
            <w:pPr>
              <w:pStyle w:val="6"/>
              <w:spacing w:before="107" w:line="219" w:lineRule="auto"/>
              <w:ind w:left="529"/>
            </w:pPr>
            <w:r>
              <w:rPr>
                <w:rFonts w:ascii="Cambria Math" w:hAnsi="Cambria Math" w:eastAsia="Cambria Math" w:cs="Cambria Math"/>
                <w:spacing w:val="-2"/>
              </w:rPr>
              <w:t>②</w:t>
            </w:r>
            <w:r>
              <w:rPr>
                <w:spacing w:val="-2"/>
              </w:rPr>
              <w:t>废矿物油桶</w:t>
            </w:r>
          </w:p>
          <w:p w14:paraId="7F7556E7">
            <w:pPr>
              <w:pStyle w:val="6"/>
              <w:spacing w:before="158" w:line="352" w:lineRule="auto"/>
              <w:ind w:left="109" w:right="101" w:firstLine="419"/>
            </w:pPr>
            <w:r>
              <w:rPr>
                <w:spacing w:val="-5"/>
              </w:rPr>
              <w:t>本项目涉及使用的各类机械设备如抓车、抱车、液压打包</w:t>
            </w:r>
            <w:r>
              <w:rPr>
                <w:spacing w:val="-6"/>
              </w:rPr>
              <w:t>机、皮带输送机等，</w:t>
            </w:r>
            <w:r>
              <w:rPr>
                <w:spacing w:val="47"/>
              </w:rPr>
              <w:t xml:space="preserve"> </w:t>
            </w:r>
            <w:r>
              <w:rPr>
                <w:spacing w:val="-6"/>
              </w:rPr>
              <w:t>在设</w:t>
            </w:r>
            <w:r>
              <w:t xml:space="preserve"> </w:t>
            </w:r>
            <w:r>
              <w:rPr>
                <w:spacing w:val="-1"/>
              </w:rPr>
              <w:t>备服役期需要定期保养添加润滑油来减少摩擦和磨损。润滑油属于矿物油的一种，</w:t>
            </w:r>
            <w:r>
              <w:rPr>
                <w:spacing w:val="-2"/>
              </w:rPr>
              <w:t>在使</w:t>
            </w:r>
            <w:r>
              <w:t xml:space="preserve"> </w:t>
            </w:r>
            <w:r>
              <w:rPr>
                <w:spacing w:val="-5"/>
              </w:rPr>
              <w:t>用后会产生一定数量的废矿物油桶。根据建设单位介绍并参考行业经验数据，</w:t>
            </w:r>
            <w:r>
              <w:rPr>
                <w:spacing w:val="45"/>
              </w:rPr>
              <w:t xml:space="preserve"> </w:t>
            </w:r>
            <w:r>
              <w:rPr>
                <w:spacing w:val="-5"/>
              </w:rPr>
              <w:t>本项目废</w:t>
            </w:r>
            <w:r>
              <w:t xml:space="preserve"> </w:t>
            </w:r>
            <w:r>
              <w:rPr>
                <w:spacing w:val="-1"/>
              </w:rPr>
              <w:t>润滑油桶的产生量约</w:t>
            </w:r>
            <w:r>
              <w:rPr>
                <w:rFonts w:ascii="Times New Roman" w:hAnsi="Times New Roman" w:eastAsia="Times New Roman" w:cs="Times New Roman"/>
                <w:spacing w:val="-1"/>
              </w:rPr>
              <w:t>0.02t/a</w:t>
            </w:r>
            <w:r>
              <w:rPr>
                <w:spacing w:val="-1"/>
              </w:rPr>
              <w:t>。</w:t>
            </w:r>
          </w:p>
          <w:p w14:paraId="1E1EBB6F">
            <w:pPr>
              <w:pStyle w:val="6"/>
              <w:spacing w:before="1" w:line="351" w:lineRule="auto"/>
              <w:ind w:left="106" w:right="142" w:firstLine="420"/>
            </w:pPr>
            <w:r>
              <w:t>根据《国家危险废物名录（</w:t>
            </w:r>
            <w:r>
              <w:rPr>
                <w:rFonts w:ascii="Times New Roman" w:hAnsi="Times New Roman" w:eastAsia="Times New Roman" w:cs="Times New Roman"/>
              </w:rPr>
              <w:t>2021</w:t>
            </w:r>
            <w:r>
              <w:t>年版）》，废润滑油桶属于其中</w:t>
            </w:r>
            <w:r>
              <w:rPr>
                <w:rFonts w:ascii="Times New Roman" w:hAnsi="Times New Roman" w:eastAsia="Times New Roman" w:cs="Times New Roman"/>
                <w:spacing w:val="-1"/>
              </w:rPr>
              <w:t>HW08</w:t>
            </w:r>
            <w:r>
              <w:rPr>
                <w:spacing w:val="-1"/>
              </w:rPr>
              <w:t>类危废，危</w:t>
            </w:r>
            <w:r>
              <w:t xml:space="preserve"> </w:t>
            </w:r>
            <w:r>
              <w:rPr>
                <w:spacing w:val="-1"/>
              </w:rPr>
              <w:t>废代码：</w:t>
            </w:r>
            <w:r>
              <w:rPr>
                <w:rFonts w:ascii="Times New Roman" w:hAnsi="Times New Roman" w:eastAsia="Times New Roman" w:cs="Times New Roman"/>
                <w:spacing w:val="-1"/>
              </w:rPr>
              <w:t>900-249-08</w:t>
            </w:r>
            <w:r>
              <w:rPr>
                <w:spacing w:val="-1"/>
              </w:rPr>
              <w:t>。</w:t>
            </w:r>
          </w:p>
          <w:p w14:paraId="49707DC5">
            <w:pPr>
              <w:pStyle w:val="6"/>
              <w:spacing w:line="219" w:lineRule="auto"/>
              <w:ind w:left="531"/>
            </w:pPr>
            <w:r>
              <w:rPr>
                <w:spacing w:val="-3"/>
              </w:rPr>
              <w:t>项目危险废物产生及处置情况见下表。</w:t>
            </w:r>
          </w:p>
          <w:p w14:paraId="523353FC">
            <w:pPr>
              <w:spacing w:before="94" w:line="218" w:lineRule="auto"/>
              <w:ind w:left="2303"/>
              <w:rPr>
                <w:rFonts w:ascii="黑体" w:hAnsi="黑体" w:eastAsia="黑体" w:cs="黑体"/>
                <w:sz w:val="20"/>
                <w:szCs w:val="20"/>
              </w:rPr>
            </w:pPr>
            <w:r>
              <w:rPr>
                <w:rFonts w:ascii="黑体" w:hAnsi="黑体" w:eastAsia="黑体" w:cs="黑体"/>
                <w:spacing w:val="-1"/>
                <w:sz w:val="20"/>
                <w:szCs w:val="20"/>
              </w:rPr>
              <w:t>表</w:t>
            </w:r>
            <w:r>
              <w:rPr>
                <w:rFonts w:ascii="Times New Roman" w:hAnsi="Times New Roman" w:eastAsia="Times New Roman" w:cs="Times New Roman"/>
                <w:spacing w:val="-1"/>
                <w:sz w:val="20"/>
                <w:szCs w:val="20"/>
              </w:rPr>
              <w:t xml:space="preserve">4-15        </w:t>
            </w:r>
            <w:r>
              <w:rPr>
                <w:rFonts w:ascii="黑体" w:hAnsi="黑体" w:eastAsia="黑体" w:cs="黑体"/>
                <w:spacing w:val="-1"/>
                <w:sz w:val="20"/>
                <w:szCs w:val="20"/>
              </w:rPr>
              <w:t>项目危险废物产生及处置情况</w:t>
            </w:r>
          </w:p>
          <w:tbl>
            <w:tblPr>
              <w:tblStyle w:val="5"/>
              <w:tblW w:w="7959" w:type="dxa"/>
              <w:tblInd w:w="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4"/>
              <w:gridCol w:w="905"/>
              <w:gridCol w:w="735"/>
              <w:gridCol w:w="853"/>
              <w:gridCol w:w="873"/>
              <w:gridCol w:w="702"/>
              <w:gridCol w:w="588"/>
              <w:gridCol w:w="654"/>
              <w:gridCol w:w="436"/>
              <w:gridCol w:w="436"/>
              <w:gridCol w:w="505"/>
              <w:gridCol w:w="848"/>
            </w:tblGrid>
            <w:tr w14:paraId="79B5E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424" w:type="dxa"/>
                  <w:textDirection w:val="tbRlV"/>
                  <w:vAlign w:val="top"/>
                </w:tcPr>
                <w:p w14:paraId="4F1CF5E3">
                  <w:pPr>
                    <w:pStyle w:val="6"/>
                    <w:spacing w:before="119" w:line="210" w:lineRule="auto"/>
                    <w:ind w:left="214"/>
                    <w:rPr>
                      <w:sz w:val="18"/>
                      <w:szCs w:val="18"/>
                    </w:rPr>
                  </w:pPr>
                  <w:r>
                    <w:rPr>
                      <w:sz w:val="18"/>
                      <w:szCs w:val="18"/>
                    </w:rPr>
                    <w:t>序</w:t>
                  </w:r>
                  <w:r>
                    <w:rPr>
                      <w:spacing w:val="9"/>
                      <w:sz w:val="18"/>
                      <w:szCs w:val="18"/>
                    </w:rPr>
                    <w:t xml:space="preserve"> </w:t>
                  </w:r>
                  <w:r>
                    <w:rPr>
                      <w:sz w:val="18"/>
                      <w:szCs w:val="18"/>
                    </w:rPr>
                    <w:t>号</w:t>
                  </w:r>
                </w:p>
              </w:tc>
              <w:tc>
                <w:tcPr>
                  <w:tcW w:w="905" w:type="dxa"/>
                  <w:vAlign w:val="top"/>
                </w:tcPr>
                <w:p w14:paraId="73602DE9">
                  <w:pPr>
                    <w:pStyle w:val="6"/>
                    <w:spacing w:before="215" w:line="220" w:lineRule="auto"/>
                    <w:ind w:left="97"/>
                    <w:rPr>
                      <w:sz w:val="18"/>
                      <w:szCs w:val="18"/>
                    </w:rPr>
                  </w:pPr>
                  <w:r>
                    <w:rPr>
                      <w:spacing w:val="-2"/>
                      <w:sz w:val="18"/>
                      <w:szCs w:val="18"/>
                    </w:rPr>
                    <w:t>危险废物</w:t>
                  </w:r>
                </w:p>
                <w:p w14:paraId="2620C555">
                  <w:pPr>
                    <w:pStyle w:val="6"/>
                    <w:spacing w:before="64" w:line="222" w:lineRule="auto"/>
                    <w:ind w:left="277"/>
                    <w:rPr>
                      <w:sz w:val="18"/>
                      <w:szCs w:val="18"/>
                    </w:rPr>
                  </w:pPr>
                  <w:r>
                    <w:rPr>
                      <w:spacing w:val="-3"/>
                      <w:sz w:val="18"/>
                      <w:szCs w:val="18"/>
                    </w:rPr>
                    <w:t>名称</w:t>
                  </w:r>
                </w:p>
              </w:tc>
              <w:tc>
                <w:tcPr>
                  <w:tcW w:w="735" w:type="dxa"/>
                  <w:vAlign w:val="top"/>
                </w:tcPr>
                <w:p w14:paraId="250E9454">
                  <w:pPr>
                    <w:pStyle w:val="6"/>
                    <w:spacing w:before="215" w:line="220" w:lineRule="auto"/>
                    <w:ind w:left="103"/>
                    <w:rPr>
                      <w:sz w:val="18"/>
                      <w:szCs w:val="18"/>
                    </w:rPr>
                  </w:pPr>
                  <w:r>
                    <w:rPr>
                      <w:spacing w:val="-3"/>
                      <w:sz w:val="18"/>
                      <w:szCs w:val="18"/>
                    </w:rPr>
                    <w:t>危险废</w:t>
                  </w:r>
                </w:p>
                <w:p w14:paraId="66F40E2E">
                  <w:pPr>
                    <w:pStyle w:val="6"/>
                    <w:spacing w:before="64" w:line="220" w:lineRule="auto"/>
                    <w:ind w:left="101"/>
                    <w:rPr>
                      <w:sz w:val="18"/>
                      <w:szCs w:val="18"/>
                    </w:rPr>
                  </w:pPr>
                  <w:r>
                    <w:rPr>
                      <w:spacing w:val="-2"/>
                      <w:sz w:val="18"/>
                      <w:szCs w:val="18"/>
                    </w:rPr>
                    <w:t>物类别</w:t>
                  </w:r>
                </w:p>
              </w:tc>
              <w:tc>
                <w:tcPr>
                  <w:tcW w:w="853" w:type="dxa"/>
                  <w:vAlign w:val="top"/>
                </w:tcPr>
                <w:p w14:paraId="5BB68C4E">
                  <w:pPr>
                    <w:pStyle w:val="6"/>
                    <w:spacing w:before="215" w:line="220" w:lineRule="auto"/>
                    <w:ind w:left="71"/>
                    <w:rPr>
                      <w:sz w:val="18"/>
                      <w:szCs w:val="18"/>
                    </w:rPr>
                  </w:pPr>
                  <w:r>
                    <w:rPr>
                      <w:spacing w:val="-2"/>
                      <w:sz w:val="18"/>
                      <w:szCs w:val="18"/>
                    </w:rPr>
                    <w:t>危险废物</w:t>
                  </w:r>
                </w:p>
                <w:p w14:paraId="0978E1CC">
                  <w:pPr>
                    <w:pStyle w:val="6"/>
                    <w:spacing w:before="64" w:line="220" w:lineRule="auto"/>
                    <w:ind w:left="248"/>
                    <w:rPr>
                      <w:sz w:val="18"/>
                      <w:szCs w:val="18"/>
                    </w:rPr>
                  </w:pPr>
                  <w:r>
                    <w:rPr>
                      <w:spacing w:val="-2"/>
                      <w:sz w:val="18"/>
                      <w:szCs w:val="18"/>
                    </w:rPr>
                    <w:t>代码</w:t>
                  </w:r>
                </w:p>
              </w:tc>
              <w:tc>
                <w:tcPr>
                  <w:tcW w:w="873" w:type="dxa"/>
                  <w:vAlign w:val="top"/>
                </w:tcPr>
                <w:p w14:paraId="48A66AFC">
                  <w:pPr>
                    <w:pStyle w:val="6"/>
                    <w:spacing w:before="214" w:line="220" w:lineRule="auto"/>
                    <w:ind w:left="170"/>
                    <w:rPr>
                      <w:sz w:val="18"/>
                      <w:szCs w:val="18"/>
                    </w:rPr>
                  </w:pPr>
                  <w:r>
                    <w:rPr>
                      <w:spacing w:val="-2"/>
                      <w:sz w:val="18"/>
                      <w:szCs w:val="18"/>
                    </w:rPr>
                    <w:t>产生量</w:t>
                  </w:r>
                </w:p>
                <w:p w14:paraId="759DDD86">
                  <w:pPr>
                    <w:pStyle w:val="6"/>
                    <w:spacing w:before="65" w:line="233" w:lineRule="auto"/>
                    <w:ind w:left="59"/>
                    <w:rPr>
                      <w:sz w:val="18"/>
                      <w:szCs w:val="18"/>
                    </w:rPr>
                  </w:pPr>
                  <w:r>
                    <w:rPr>
                      <w:spacing w:val="-4"/>
                      <w:sz w:val="18"/>
                      <w:szCs w:val="18"/>
                    </w:rPr>
                    <w:t>（吨</w:t>
                  </w:r>
                  <w:r>
                    <w:rPr>
                      <w:rFonts w:ascii="Times New Roman" w:hAnsi="Times New Roman" w:eastAsia="Times New Roman" w:cs="Times New Roman"/>
                      <w:spacing w:val="-4"/>
                      <w:sz w:val="18"/>
                      <w:szCs w:val="18"/>
                    </w:rPr>
                    <w:t>/</w:t>
                  </w:r>
                  <w:r>
                    <w:rPr>
                      <w:spacing w:val="-4"/>
                      <w:sz w:val="18"/>
                      <w:szCs w:val="18"/>
                    </w:rPr>
                    <w:t>年）</w:t>
                  </w:r>
                </w:p>
              </w:tc>
              <w:tc>
                <w:tcPr>
                  <w:tcW w:w="702" w:type="dxa"/>
                  <w:vAlign w:val="top"/>
                </w:tcPr>
                <w:p w14:paraId="3D1AB5AE">
                  <w:pPr>
                    <w:pStyle w:val="6"/>
                    <w:spacing w:before="73" w:line="220" w:lineRule="auto"/>
                    <w:ind w:left="85"/>
                    <w:rPr>
                      <w:sz w:val="18"/>
                      <w:szCs w:val="18"/>
                    </w:rPr>
                  </w:pPr>
                  <w:r>
                    <w:rPr>
                      <w:spacing w:val="-2"/>
                      <w:sz w:val="18"/>
                      <w:szCs w:val="18"/>
                    </w:rPr>
                    <w:t>产生工</w:t>
                  </w:r>
                </w:p>
                <w:p w14:paraId="7FA1A9DC">
                  <w:pPr>
                    <w:pStyle w:val="6"/>
                    <w:spacing w:before="64" w:line="248" w:lineRule="auto"/>
                    <w:ind w:left="263" w:right="78" w:hanging="179"/>
                    <w:rPr>
                      <w:sz w:val="18"/>
                      <w:szCs w:val="18"/>
                    </w:rPr>
                  </w:pPr>
                  <w:r>
                    <w:rPr>
                      <w:spacing w:val="-3"/>
                      <w:sz w:val="18"/>
                      <w:szCs w:val="18"/>
                    </w:rPr>
                    <w:t>序及装</w:t>
                  </w:r>
                  <w:r>
                    <w:rPr>
                      <w:spacing w:val="1"/>
                      <w:sz w:val="18"/>
                      <w:szCs w:val="18"/>
                    </w:rPr>
                    <w:t xml:space="preserve"> </w:t>
                  </w:r>
                  <w:r>
                    <w:rPr>
                      <w:sz w:val="18"/>
                      <w:szCs w:val="18"/>
                    </w:rPr>
                    <w:t>置</w:t>
                  </w:r>
                </w:p>
              </w:tc>
              <w:tc>
                <w:tcPr>
                  <w:tcW w:w="588" w:type="dxa"/>
                  <w:vAlign w:val="top"/>
                </w:tcPr>
                <w:p w14:paraId="4CD5CBEB">
                  <w:pPr>
                    <w:spacing w:line="293" w:lineRule="auto"/>
                    <w:rPr>
                      <w:rFonts w:ascii="Arial"/>
                      <w:sz w:val="21"/>
                    </w:rPr>
                  </w:pPr>
                </w:p>
                <w:p w14:paraId="18BB93FC">
                  <w:pPr>
                    <w:pStyle w:val="6"/>
                    <w:spacing w:before="58" w:line="222" w:lineRule="auto"/>
                    <w:ind w:left="121"/>
                    <w:rPr>
                      <w:sz w:val="18"/>
                      <w:szCs w:val="18"/>
                    </w:rPr>
                  </w:pPr>
                  <w:r>
                    <w:rPr>
                      <w:spacing w:val="-3"/>
                      <w:sz w:val="18"/>
                      <w:szCs w:val="18"/>
                    </w:rPr>
                    <w:t>形态</w:t>
                  </w:r>
                </w:p>
              </w:tc>
              <w:tc>
                <w:tcPr>
                  <w:tcW w:w="654" w:type="dxa"/>
                  <w:vAlign w:val="top"/>
                </w:tcPr>
                <w:p w14:paraId="2808CC7C">
                  <w:pPr>
                    <w:pStyle w:val="6"/>
                    <w:spacing w:before="214" w:line="221" w:lineRule="auto"/>
                    <w:ind w:left="63"/>
                    <w:rPr>
                      <w:sz w:val="18"/>
                      <w:szCs w:val="18"/>
                    </w:rPr>
                  </w:pPr>
                  <w:r>
                    <w:rPr>
                      <w:spacing w:val="-2"/>
                      <w:sz w:val="18"/>
                      <w:szCs w:val="18"/>
                    </w:rPr>
                    <w:t>主要成</w:t>
                  </w:r>
                </w:p>
                <w:p w14:paraId="6BFCB5A1">
                  <w:pPr>
                    <w:pStyle w:val="6"/>
                    <w:spacing w:before="64" w:line="220" w:lineRule="auto"/>
                    <w:ind w:left="244"/>
                    <w:rPr>
                      <w:sz w:val="18"/>
                      <w:szCs w:val="18"/>
                    </w:rPr>
                  </w:pPr>
                  <w:r>
                    <w:rPr>
                      <w:sz w:val="18"/>
                      <w:szCs w:val="18"/>
                    </w:rPr>
                    <w:t>分</w:t>
                  </w:r>
                </w:p>
              </w:tc>
              <w:tc>
                <w:tcPr>
                  <w:tcW w:w="436" w:type="dxa"/>
                  <w:vAlign w:val="top"/>
                </w:tcPr>
                <w:p w14:paraId="0242FFF9">
                  <w:pPr>
                    <w:pStyle w:val="6"/>
                    <w:spacing w:before="215" w:line="220" w:lineRule="auto"/>
                    <w:ind w:left="44"/>
                    <w:rPr>
                      <w:sz w:val="18"/>
                      <w:szCs w:val="18"/>
                    </w:rPr>
                  </w:pPr>
                  <w:r>
                    <w:rPr>
                      <w:spacing w:val="-2"/>
                      <w:sz w:val="18"/>
                      <w:szCs w:val="18"/>
                    </w:rPr>
                    <w:t>有害</w:t>
                  </w:r>
                </w:p>
                <w:p w14:paraId="68A08C9D">
                  <w:pPr>
                    <w:pStyle w:val="6"/>
                    <w:spacing w:before="65" w:line="220" w:lineRule="auto"/>
                    <w:ind w:left="45"/>
                    <w:rPr>
                      <w:sz w:val="18"/>
                      <w:szCs w:val="18"/>
                    </w:rPr>
                  </w:pPr>
                  <w:r>
                    <w:rPr>
                      <w:spacing w:val="-3"/>
                      <w:sz w:val="18"/>
                      <w:szCs w:val="18"/>
                    </w:rPr>
                    <w:t>成分</w:t>
                  </w:r>
                </w:p>
              </w:tc>
              <w:tc>
                <w:tcPr>
                  <w:tcW w:w="436" w:type="dxa"/>
                  <w:vAlign w:val="top"/>
                </w:tcPr>
                <w:p w14:paraId="6620BD2B">
                  <w:pPr>
                    <w:pStyle w:val="6"/>
                    <w:spacing w:before="214" w:line="220" w:lineRule="auto"/>
                    <w:ind w:left="44"/>
                    <w:rPr>
                      <w:sz w:val="18"/>
                      <w:szCs w:val="18"/>
                    </w:rPr>
                  </w:pPr>
                  <w:r>
                    <w:rPr>
                      <w:spacing w:val="-2"/>
                      <w:sz w:val="18"/>
                      <w:szCs w:val="18"/>
                    </w:rPr>
                    <w:t>产废</w:t>
                  </w:r>
                </w:p>
                <w:p w14:paraId="27AEA8F0">
                  <w:pPr>
                    <w:pStyle w:val="6"/>
                    <w:spacing w:before="65" w:line="220" w:lineRule="auto"/>
                    <w:ind w:left="45"/>
                    <w:rPr>
                      <w:sz w:val="18"/>
                      <w:szCs w:val="18"/>
                    </w:rPr>
                  </w:pPr>
                  <w:r>
                    <w:rPr>
                      <w:spacing w:val="-2"/>
                      <w:sz w:val="18"/>
                      <w:szCs w:val="18"/>
                    </w:rPr>
                    <w:t>周期</w:t>
                  </w:r>
                </w:p>
              </w:tc>
              <w:tc>
                <w:tcPr>
                  <w:tcW w:w="505" w:type="dxa"/>
                  <w:vAlign w:val="top"/>
                </w:tcPr>
                <w:p w14:paraId="1C68AB20">
                  <w:pPr>
                    <w:pStyle w:val="6"/>
                    <w:spacing w:before="215" w:line="220" w:lineRule="auto"/>
                    <w:ind w:left="81"/>
                    <w:rPr>
                      <w:sz w:val="18"/>
                      <w:szCs w:val="18"/>
                    </w:rPr>
                  </w:pPr>
                  <w:r>
                    <w:rPr>
                      <w:spacing w:val="-3"/>
                      <w:sz w:val="18"/>
                      <w:szCs w:val="18"/>
                    </w:rPr>
                    <w:t>危险</w:t>
                  </w:r>
                </w:p>
                <w:p w14:paraId="2E4E513F">
                  <w:pPr>
                    <w:pStyle w:val="6"/>
                    <w:spacing w:before="64" w:line="220" w:lineRule="auto"/>
                    <w:ind w:left="79"/>
                    <w:rPr>
                      <w:sz w:val="18"/>
                      <w:szCs w:val="18"/>
                    </w:rPr>
                  </w:pPr>
                  <w:r>
                    <w:rPr>
                      <w:spacing w:val="-2"/>
                      <w:sz w:val="18"/>
                      <w:szCs w:val="18"/>
                    </w:rPr>
                    <w:t>特性</w:t>
                  </w:r>
                </w:p>
              </w:tc>
              <w:tc>
                <w:tcPr>
                  <w:tcW w:w="848" w:type="dxa"/>
                  <w:vAlign w:val="top"/>
                </w:tcPr>
                <w:p w14:paraId="0F813964">
                  <w:pPr>
                    <w:pStyle w:val="6"/>
                    <w:spacing w:before="215" w:line="289" w:lineRule="auto"/>
                    <w:ind w:left="248" w:right="61" w:hanging="178"/>
                    <w:rPr>
                      <w:sz w:val="18"/>
                      <w:szCs w:val="18"/>
                    </w:rPr>
                  </w:pPr>
                  <w:r>
                    <w:rPr>
                      <w:spacing w:val="-3"/>
                      <w:sz w:val="18"/>
                      <w:szCs w:val="18"/>
                    </w:rPr>
                    <w:t>污染防治</w:t>
                  </w:r>
                  <w:r>
                    <w:rPr>
                      <w:spacing w:val="2"/>
                      <w:sz w:val="18"/>
                      <w:szCs w:val="18"/>
                    </w:rPr>
                    <w:t xml:space="preserve"> </w:t>
                  </w:r>
                  <w:r>
                    <w:rPr>
                      <w:spacing w:val="-2"/>
                      <w:sz w:val="18"/>
                      <w:szCs w:val="18"/>
                    </w:rPr>
                    <w:t>措施</w:t>
                  </w:r>
                </w:p>
              </w:tc>
            </w:tr>
            <w:tr w14:paraId="6576F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424" w:type="dxa"/>
                  <w:vAlign w:val="top"/>
                </w:tcPr>
                <w:p w14:paraId="7E695C14">
                  <w:pPr>
                    <w:spacing w:before="279" w:line="235" w:lineRule="auto"/>
                    <w:ind w:left="185"/>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905" w:type="dxa"/>
                  <w:vAlign w:val="top"/>
                </w:tcPr>
                <w:p w14:paraId="7D6CE657">
                  <w:pPr>
                    <w:pStyle w:val="6"/>
                    <w:spacing w:before="109" w:line="220" w:lineRule="auto"/>
                    <w:ind w:left="94"/>
                    <w:rPr>
                      <w:sz w:val="18"/>
                      <w:szCs w:val="18"/>
                    </w:rPr>
                  </w:pPr>
                  <w:r>
                    <w:rPr>
                      <w:spacing w:val="-2"/>
                      <w:sz w:val="18"/>
                      <w:szCs w:val="18"/>
                    </w:rPr>
                    <w:t>废矿物油</w:t>
                  </w:r>
                </w:p>
                <w:p w14:paraId="5E427896">
                  <w:pPr>
                    <w:pStyle w:val="6"/>
                    <w:spacing w:before="65" w:line="220" w:lineRule="auto"/>
                    <w:ind w:left="366"/>
                    <w:rPr>
                      <w:sz w:val="18"/>
                      <w:szCs w:val="18"/>
                    </w:rPr>
                  </w:pPr>
                  <w:r>
                    <w:rPr>
                      <w:sz w:val="18"/>
                      <w:szCs w:val="18"/>
                    </w:rPr>
                    <w:t>桶</w:t>
                  </w:r>
                </w:p>
              </w:tc>
              <w:tc>
                <w:tcPr>
                  <w:tcW w:w="735" w:type="dxa"/>
                  <w:vAlign w:val="top"/>
                </w:tcPr>
                <w:p w14:paraId="4077C4E0">
                  <w:pPr>
                    <w:spacing w:before="279" w:line="232" w:lineRule="auto"/>
                    <w:ind w:left="12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HW08</w:t>
                  </w:r>
                </w:p>
              </w:tc>
              <w:tc>
                <w:tcPr>
                  <w:tcW w:w="853" w:type="dxa"/>
                  <w:vAlign w:val="top"/>
                </w:tcPr>
                <w:p w14:paraId="344D453F">
                  <w:pPr>
                    <w:spacing w:before="140" w:line="232" w:lineRule="auto"/>
                    <w:ind w:left="5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900-249-0</w:t>
                  </w:r>
                </w:p>
                <w:p w14:paraId="38E59647">
                  <w:pPr>
                    <w:spacing w:before="79" w:line="232" w:lineRule="auto"/>
                    <w:ind w:left="388"/>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873" w:type="dxa"/>
                  <w:vAlign w:val="top"/>
                </w:tcPr>
                <w:p w14:paraId="65E342F3">
                  <w:pPr>
                    <w:spacing w:before="279" w:line="232" w:lineRule="auto"/>
                    <w:ind w:left="28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0.02</w:t>
                  </w:r>
                </w:p>
              </w:tc>
              <w:tc>
                <w:tcPr>
                  <w:tcW w:w="702" w:type="dxa"/>
                  <w:vMerge w:val="restart"/>
                  <w:tcBorders>
                    <w:bottom w:val="nil"/>
                  </w:tcBorders>
                  <w:vAlign w:val="top"/>
                </w:tcPr>
                <w:p w14:paraId="20F2EA6C">
                  <w:pPr>
                    <w:pStyle w:val="6"/>
                    <w:spacing w:before="212" w:line="219" w:lineRule="auto"/>
                    <w:ind w:left="84"/>
                    <w:rPr>
                      <w:sz w:val="18"/>
                      <w:szCs w:val="18"/>
                    </w:rPr>
                  </w:pPr>
                  <w:r>
                    <w:rPr>
                      <w:spacing w:val="-2"/>
                      <w:sz w:val="18"/>
                      <w:szCs w:val="18"/>
                    </w:rPr>
                    <w:t>机械设</w:t>
                  </w:r>
                </w:p>
                <w:p w14:paraId="0501EA5A">
                  <w:pPr>
                    <w:pStyle w:val="6"/>
                    <w:spacing w:before="66" w:line="220" w:lineRule="auto"/>
                    <w:ind w:left="177"/>
                    <w:rPr>
                      <w:sz w:val="18"/>
                      <w:szCs w:val="18"/>
                    </w:rPr>
                  </w:pPr>
                  <w:r>
                    <w:rPr>
                      <w:spacing w:val="-3"/>
                      <w:sz w:val="18"/>
                      <w:szCs w:val="18"/>
                    </w:rPr>
                    <w:t>备维</w:t>
                  </w:r>
                </w:p>
                <w:p w14:paraId="7E170FD7">
                  <w:pPr>
                    <w:pStyle w:val="6"/>
                    <w:spacing w:before="66" w:line="220" w:lineRule="auto"/>
                    <w:ind w:left="86"/>
                    <w:rPr>
                      <w:sz w:val="18"/>
                      <w:szCs w:val="18"/>
                    </w:rPr>
                  </w:pPr>
                  <w:r>
                    <w:rPr>
                      <w:spacing w:val="-2"/>
                      <w:sz w:val="18"/>
                      <w:szCs w:val="18"/>
                    </w:rPr>
                    <w:t>护、保</w:t>
                  </w:r>
                </w:p>
                <w:p w14:paraId="4D81FA62">
                  <w:pPr>
                    <w:pStyle w:val="6"/>
                    <w:spacing w:before="64" w:line="220" w:lineRule="auto"/>
                    <w:ind w:left="266"/>
                    <w:rPr>
                      <w:sz w:val="18"/>
                      <w:szCs w:val="18"/>
                    </w:rPr>
                  </w:pPr>
                  <w:r>
                    <w:rPr>
                      <w:sz w:val="18"/>
                      <w:szCs w:val="18"/>
                    </w:rPr>
                    <w:t>养</w:t>
                  </w:r>
                </w:p>
              </w:tc>
              <w:tc>
                <w:tcPr>
                  <w:tcW w:w="588" w:type="dxa"/>
                  <w:vAlign w:val="top"/>
                </w:tcPr>
                <w:p w14:paraId="1603A855">
                  <w:pPr>
                    <w:pStyle w:val="6"/>
                    <w:spacing w:before="249" w:line="220" w:lineRule="auto"/>
                    <w:ind w:left="134"/>
                    <w:rPr>
                      <w:sz w:val="18"/>
                      <w:szCs w:val="18"/>
                    </w:rPr>
                  </w:pPr>
                  <w:r>
                    <w:rPr>
                      <w:spacing w:val="-6"/>
                      <w:sz w:val="18"/>
                      <w:szCs w:val="18"/>
                    </w:rPr>
                    <w:t>固态</w:t>
                  </w:r>
                </w:p>
              </w:tc>
              <w:tc>
                <w:tcPr>
                  <w:tcW w:w="654" w:type="dxa"/>
                  <w:vAlign w:val="top"/>
                </w:tcPr>
                <w:p w14:paraId="4A715175">
                  <w:pPr>
                    <w:pStyle w:val="6"/>
                    <w:spacing w:before="249" w:line="220" w:lineRule="auto"/>
                    <w:ind w:left="61"/>
                    <w:rPr>
                      <w:sz w:val="18"/>
                      <w:szCs w:val="18"/>
                    </w:rPr>
                  </w:pPr>
                  <w:r>
                    <w:rPr>
                      <w:spacing w:val="-2"/>
                      <w:sz w:val="18"/>
                      <w:szCs w:val="18"/>
                    </w:rPr>
                    <w:t>矿物油</w:t>
                  </w:r>
                </w:p>
              </w:tc>
              <w:tc>
                <w:tcPr>
                  <w:tcW w:w="436" w:type="dxa"/>
                  <w:vAlign w:val="top"/>
                </w:tcPr>
                <w:p w14:paraId="5071BF6E">
                  <w:pPr>
                    <w:pStyle w:val="6"/>
                    <w:spacing w:before="110" w:line="266" w:lineRule="auto"/>
                    <w:ind w:left="136" w:right="34" w:hanging="93"/>
                    <w:rPr>
                      <w:sz w:val="18"/>
                      <w:szCs w:val="18"/>
                    </w:rPr>
                  </w:pPr>
                  <w:r>
                    <w:rPr>
                      <w:spacing w:val="-4"/>
                      <w:sz w:val="18"/>
                      <w:szCs w:val="18"/>
                    </w:rPr>
                    <w:t>矿物</w:t>
                  </w:r>
                  <w:r>
                    <w:rPr>
                      <w:sz w:val="18"/>
                      <w:szCs w:val="18"/>
                    </w:rPr>
                    <w:t xml:space="preserve"> 油</w:t>
                  </w:r>
                </w:p>
              </w:tc>
              <w:tc>
                <w:tcPr>
                  <w:tcW w:w="436" w:type="dxa"/>
                  <w:vAlign w:val="top"/>
                </w:tcPr>
                <w:p w14:paraId="5A526817">
                  <w:pPr>
                    <w:pStyle w:val="6"/>
                    <w:spacing w:before="249" w:line="220" w:lineRule="auto"/>
                    <w:ind w:left="44"/>
                    <w:rPr>
                      <w:sz w:val="18"/>
                      <w:szCs w:val="18"/>
                    </w:rPr>
                  </w:pPr>
                  <w:r>
                    <w:rPr>
                      <w:spacing w:val="-2"/>
                      <w:sz w:val="18"/>
                      <w:szCs w:val="18"/>
                    </w:rPr>
                    <w:t>每月</w:t>
                  </w:r>
                </w:p>
              </w:tc>
              <w:tc>
                <w:tcPr>
                  <w:tcW w:w="505" w:type="dxa"/>
                  <w:vAlign w:val="top"/>
                </w:tcPr>
                <w:p w14:paraId="3B6AC0E4">
                  <w:pPr>
                    <w:spacing w:before="279" w:line="190" w:lineRule="auto"/>
                    <w:ind w:left="1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T/C</w:t>
                  </w:r>
                </w:p>
              </w:tc>
              <w:tc>
                <w:tcPr>
                  <w:tcW w:w="848" w:type="dxa"/>
                  <w:vMerge w:val="restart"/>
                  <w:tcBorders>
                    <w:bottom w:val="nil"/>
                  </w:tcBorders>
                  <w:vAlign w:val="top"/>
                </w:tcPr>
                <w:p w14:paraId="04BAA5AF">
                  <w:pPr>
                    <w:pStyle w:val="6"/>
                    <w:spacing w:before="72" w:line="287" w:lineRule="auto"/>
                    <w:ind w:left="82" w:right="61" w:hanging="8"/>
                    <w:jc w:val="both"/>
                    <w:rPr>
                      <w:sz w:val="18"/>
                      <w:szCs w:val="18"/>
                    </w:rPr>
                  </w:pPr>
                  <w:r>
                    <w:rPr>
                      <w:spacing w:val="-4"/>
                      <w:sz w:val="18"/>
                      <w:szCs w:val="18"/>
                    </w:rPr>
                    <w:t>暂存于危</w:t>
                  </w:r>
                  <w:r>
                    <w:rPr>
                      <w:spacing w:val="2"/>
                      <w:sz w:val="18"/>
                      <w:szCs w:val="18"/>
                    </w:rPr>
                    <w:t xml:space="preserve"> </w:t>
                  </w:r>
                  <w:r>
                    <w:rPr>
                      <w:spacing w:val="22"/>
                      <w:sz w:val="18"/>
                      <w:szCs w:val="18"/>
                    </w:rPr>
                    <w:t>废暂存</w:t>
                  </w:r>
                  <w:r>
                    <w:rPr>
                      <w:sz w:val="18"/>
                      <w:szCs w:val="18"/>
                    </w:rPr>
                    <w:t xml:space="preserve">  </w:t>
                  </w:r>
                  <w:r>
                    <w:rPr>
                      <w:spacing w:val="-6"/>
                      <w:sz w:val="18"/>
                      <w:szCs w:val="18"/>
                    </w:rPr>
                    <w:t>间，交由</w:t>
                  </w:r>
                </w:p>
                <w:p w14:paraId="45A6B2B0">
                  <w:pPr>
                    <w:pStyle w:val="6"/>
                    <w:spacing w:before="1" w:line="248" w:lineRule="auto"/>
                    <w:ind w:left="251" w:right="61" w:hanging="175"/>
                    <w:rPr>
                      <w:sz w:val="18"/>
                      <w:szCs w:val="18"/>
                    </w:rPr>
                  </w:pPr>
                  <w:r>
                    <w:rPr>
                      <w:spacing w:val="-4"/>
                      <w:sz w:val="18"/>
                      <w:szCs w:val="18"/>
                    </w:rPr>
                    <w:t>资质单位</w:t>
                  </w:r>
                  <w:r>
                    <w:rPr>
                      <w:sz w:val="18"/>
                      <w:szCs w:val="18"/>
                    </w:rPr>
                    <w:t xml:space="preserve"> </w:t>
                  </w:r>
                  <w:r>
                    <w:rPr>
                      <w:spacing w:val="-3"/>
                      <w:sz w:val="18"/>
                      <w:szCs w:val="18"/>
                    </w:rPr>
                    <w:t>处理</w:t>
                  </w:r>
                </w:p>
              </w:tc>
            </w:tr>
            <w:tr w14:paraId="1B78C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424" w:type="dxa"/>
                  <w:vAlign w:val="top"/>
                </w:tcPr>
                <w:p w14:paraId="227FE319">
                  <w:pPr>
                    <w:spacing w:line="287" w:lineRule="auto"/>
                    <w:rPr>
                      <w:rFonts w:ascii="Arial"/>
                      <w:sz w:val="21"/>
                    </w:rPr>
                  </w:pPr>
                </w:p>
                <w:p w14:paraId="2C40E9B6">
                  <w:pPr>
                    <w:spacing w:before="52" w:line="235" w:lineRule="auto"/>
                    <w:ind w:left="167"/>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905" w:type="dxa"/>
                  <w:vAlign w:val="top"/>
                </w:tcPr>
                <w:p w14:paraId="577E4C5A">
                  <w:pPr>
                    <w:spacing w:line="250" w:lineRule="auto"/>
                    <w:rPr>
                      <w:rFonts w:ascii="Arial"/>
                      <w:sz w:val="21"/>
                    </w:rPr>
                  </w:pPr>
                </w:p>
                <w:p w14:paraId="4F3F2420">
                  <w:pPr>
                    <w:pStyle w:val="6"/>
                    <w:spacing w:before="59" w:line="220" w:lineRule="auto"/>
                    <w:ind w:left="94"/>
                    <w:rPr>
                      <w:sz w:val="18"/>
                      <w:szCs w:val="18"/>
                    </w:rPr>
                  </w:pPr>
                  <w:r>
                    <w:rPr>
                      <w:spacing w:val="-2"/>
                      <w:sz w:val="18"/>
                      <w:szCs w:val="18"/>
                    </w:rPr>
                    <w:t>废矿物油</w:t>
                  </w:r>
                </w:p>
              </w:tc>
              <w:tc>
                <w:tcPr>
                  <w:tcW w:w="735" w:type="dxa"/>
                  <w:vAlign w:val="top"/>
                </w:tcPr>
                <w:p w14:paraId="31FE3495">
                  <w:pPr>
                    <w:spacing w:line="290" w:lineRule="auto"/>
                    <w:rPr>
                      <w:rFonts w:ascii="Arial"/>
                      <w:sz w:val="21"/>
                    </w:rPr>
                  </w:pPr>
                </w:p>
                <w:p w14:paraId="0293A957">
                  <w:pPr>
                    <w:spacing w:before="52" w:line="186" w:lineRule="auto"/>
                    <w:ind w:left="12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HW08</w:t>
                  </w:r>
                </w:p>
              </w:tc>
              <w:tc>
                <w:tcPr>
                  <w:tcW w:w="853" w:type="dxa"/>
                  <w:vAlign w:val="top"/>
                </w:tcPr>
                <w:p w14:paraId="2C615A5A">
                  <w:pPr>
                    <w:spacing w:before="200" w:line="232" w:lineRule="auto"/>
                    <w:ind w:left="5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900-214-0</w:t>
                  </w:r>
                </w:p>
                <w:p w14:paraId="33FEC2DD">
                  <w:pPr>
                    <w:spacing w:before="81" w:line="232" w:lineRule="auto"/>
                    <w:ind w:left="388"/>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873" w:type="dxa"/>
                  <w:vAlign w:val="top"/>
                </w:tcPr>
                <w:p w14:paraId="6CD9E51C">
                  <w:pPr>
                    <w:spacing w:line="287" w:lineRule="auto"/>
                    <w:rPr>
                      <w:rFonts w:ascii="Arial"/>
                      <w:sz w:val="21"/>
                    </w:rPr>
                  </w:pPr>
                </w:p>
                <w:p w14:paraId="4282AD30">
                  <w:pPr>
                    <w:spacing w:before="52" w:line="232" w:lineRule="auto"/>
                    <w:ind w:left="28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702" w:type="dxa"/>
                  <w:vMerge w:val="continue"/>
                  <w:tcBorders>
                    <w:top w:val="nil"/>
                  </w:tcBorders>
                  <w:vAlign w:val="top"/>
                </w:tcPr>
                <w:p w14:paraId="4A4EAA6D">
                  <w:pPr>
                    <w:rPr>
                      <w:rFonts w:ascii="Arial"/>
                      <w:sz w:val="21"/>
                    </w:rPr>
                  </w:pPr>
                </w:p>
              </w:tc>
              <w:tc>
                <w:tcPr>
                  <w:tcW w:w="588" w:type="dxa"/>
                  <w:vAlign w:val="top"/>
                </w:tcPr>
                <w:p w14:paraId="13D6A5F0">
                  <w:pPr>
                    <w:spacing w:line="251" w:lineRule="auto"/>
                    <w:rPr>
                      <w:rFonts w:ascii="Arial"/>
                      <w:sz w:val="21"/>
                    </w:rPr>
                  </w:pPr>
                </w:p>
                <w:p w14:paraId="10123247">
                  <w:pPr>
                    <w:pStyle w:val="6"/>
                    <w:spacing w:before="58" w:line="220" w:lineRule="auto"/>
                    <w:ind w:left="120"/>
                    <w:rPr>
                      <w:sz w:val="18"/>
                      <w:szCs w:val="18"/>
                    </w:rPr>
                  </w:pPr>
                  <w:r>
                    <w:rPr>
                      <w:spacing w:val="-3"/>
                      <w:sz w:val="18"/>
                      <w:szCs w:val="18"/>
                    </w:rPr>
                    <w:t>液态</w:t>
                  </w:r>
                </w:p>
              </w:tc>
              <w:tc>
                <w:tcPr>
                  <w:tcW w:w="654" w:type="dxa"/>
                  <w:vAlign w:val="top"/>
                </w:tcPr>
                <w:p w14:paraId="4721D27A">
                  <w:pPr>
                    <w:spacing w:line="250" w:lineRule="auto"/>
                    <w:rPr>
                      <w:rFonts w:ascii="Arial"/>
                      <w:sz w:val="21"/>
                    </w:rPr>
                  </w:pPr>
                </w:p>
                <w:p w14:paraId="70B97409">
                  <w:pPr>
                    <w:pStyle w:val="6"/>
                    <w:spacing w:before="59" w:line="220" w:lineRule="auto"/>
                    <w:ind w:left="61"/>
                    <w:rPr>
                      <w:sz w:val="18"/>
                      <w:szCs w:val="18"/>
                    </w:rPr>
                  </w:pPr>
                  <w:r>
                    <w:rPr>
                      <w:spacing w:val="-2"/>
                      <w:sz w:val="18"/>
                      <w:szCs w:val="18"/>
                    </w:rPr>
                    <w:t>矿物油</w:t>
                  </w:r>
                </w:p>
              </w:tc>
              <w:tc>
                <w:tcPr>
                  <w:tcW w:w="436" w:type="dxa"/>
                  <w:vAlign w:val="top"/>
                </w:tcPr>
                <w:p w14:paraId="0069FB1F">
                  <w:pPr>
                    <w:pStyle w:val="6"/>
                    <w:spacing w:before="171" w:line="292" w:lineRule="auto"/>
                    <w:ind w:left="136" w:right="34" w:hanging="93"/>
                    <w:rPr>
                      <w:sz w:val="18"/>
                      <w:szCs w:val="18"/>
                    </w:rPr>
                  </w:pPr>
                  <w:r>
                    <w:rPr>
                      <w:spacing w:val="-4"/>
                      <w:sz w:val="18"/>
                      <w:szCs w:val="18"/>
                    </w:rPr>
                    <w:t>矿物</w:t>
                  </w:r>
                  <w:r>
                    <w:rPr>
                      <w:sz w:val="18"/>
                      <w:szCs w:val="18"/>
                    </w:rPr>
                    <w:t xml:space="preserve"> 油</w:t>
                  </w:r>
                </w:p>
              </w:tc>
              <w:tc>
                <w:tcPr>
                  <w:tcW w:w="436" w:type="dxa"/>
                  <w:vAlign w:val="top"/>
                </w:tcPr>
                <w:p w14:paraId="4B898EAF">
                  <w:pPr>
                    <w:spacing w:line="250" w:lineRule="auto"/>
                    <w:rPr>
                      <w:rFonts w:ascii="Arial"/>
                      <w:sz w:val="21"/>
                    </w:rPr>
                  </w:pPr>
                </w:p>
                <w:p w14:paraId="772D93C7">
                  <w:pPr>
                    <w:pStyle w:val="6"/>
                    <w:spacing w:before="59" w:line="220" w:lineRule="auto"/>
                    <w:ind w:left="44"/>
                    <w:rPr>
                      <w:sz w:val="18"/>
                      <w:szCs w:val="18"/>
                    </w:rPr>
                  </w:pPr>
                  <w:r>
                    <w:rPr>
                      <w:spacing w:val="-2"/>
                      <w:sz w:val="18"/>
                      <w:szCs w:val="18"/>
                    </w:rPr>
                    <w:t>每月</w:t>
                  </w:r>
                </w:p>
              </w:tc>
              <w:tc>
                <w:tcPr>
                  <w:tcW w:w="505" w:type="dxa"/>
                  <w:vAlign w:val="top"/>
                </w:tcPr>
                <w:p w14:paraId="7C88B35E">
                  <w:pPr>
                    <w:spacing w:line="287" w:lineRule="auto"/>
                    <w:rPr>
                      <w:rFonts w:ascii="Arial"/>
                      <w:sz w:val="21"/>
                    </w:rPr>
                  </w:pPr>
                </w:p>
                <w:p w14:paraId="30EAF2C6">
                  <w:pPr>
                    <w:spacing w:before="51" w:line="190" w:lineRule="auto"/>
                    <w:ind w:left="1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T/C</w:t>
                  </w:r>
                </w:p>
              </w:tc>
              <w:tc>
                <w:tcPr>
                  <w:tcW w:w="848" w:type="dxa"/>
                  <w:vMerge w:val="continue"/>
                  <w:tcBorders>
                    <w:top w:val="nil"/>
                  </w:tcBorders>
                  <w:vAlign w:val="top"/>
                </w:tcPr>
                <w:p w14:paraId="112643E3">
                  <w:pPr>
                    <w:rPr>
                      <w:rFonts w:ascii="Arial"/>
                      <w:sz w:val="21"/>
                    </w:rPr>
                  </w:pPr>
                </w:p>
              </w:tc>
            </w:tr>
          </w:tbl>
          <w:p w14:paraId="4AEF3D70">
            <w:pPr>
              <w:pStyle w:val="6"/>
              <w:spacing w:before="140" w:line="220" w:lineRule="auto"/>
              <w:ind w:left="478"/>
            </w:pPr>
            <w:r>
              <w:rPr>
                <w:spacing w:val="-3"/>
              </w:rPr>
              <w:t>项目危险废物贮存设施情况见下表。</w:t>
            </w:r>
          </w:p>
          <w:p w14:paraId="246CA099">
            <w:pPr>
              <w:spacing w:before="94" w:line="218" w:lineRule="auto"/>
              <w:ind w:left="1553"/>
              <w:rPr>
                <w:rFonts w:ascii="黑体" w:hAnsi="黑体" w:eastAsia="黑体" w:cs="黑体"/>
                <w:sz w:val="20"/>
                <w:szCs w:val="20"/>
              </w:rPr>
            </w:pPr>
            <w:r>
              <w:rPr>
                <w:rFonts w:ascii="黑体" w:hAnsi="黑体" w:eastAsia="黑体" w:cs="黑体"/>
                <w:sz w:val="20"/>
                <w:szCs w:val="20"/>
              </w:rPr>
              <w:t>表</w:t>
            </w:r>
            <w:r>
              <w:rPr>
                <w:rFonts w:ascii="Times New Roman" w:hAnsi="Times New Roman" w:eastAsia="Times New Roman" w:cs="Times New Roman"/>
                <w:sz w:val="20"/>
                <w:szCs w:val="20"/>
              </w:rPr>
              <w:t xml:space="preserve">4-16      </w:t>
            </w:r>
            <w:r>
              <w:rPr>
                <w:rFonts w:ascii="黑体" w:hAnsi="黑体" w:eastAsia="黑体" w:cs="黑体"/>
                <w:sz w:val="20"/>
                <w:szCs w:val="20"/>
              </w:rPr>
              <w:t>建设项目危险废物贮存</w:t>
            </w:r>
            <w:r>
              <w:rPr>
                <w:rFonts w:ascii="黑体" w:hAnsi="黑体" w:eastAsia="黑体" w:cs="黑体"/>
                <w:spacing w:val="-1"/>
                <w:sz w:val="20"/>
                <w:szCs w:val="20"/>
              </w:rPr>
              <w:t>场所（设施）基本情况表</w:t>
            </w:r>
          </w:p>
          <w:tbl>
            <w:tblPr>
              <w:tblStyle w:val="5"/>
              <w:tblW w:w="7939" w:type="dxa"/>
              <w:tblInd w:w="1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4"/>
              <w:gridCol w:w="975"/>
              <w:gridCol w:w="996"/>
              <w:gridCol w:w="853"/>
              <w:gridCol w:w="1138"/>
              <w:gridCol w:w="719"/>
              <w:gridCol w:w="626"/>
              <w:gridCol w:w="853"/>
              <w:gridCol w:w="718"/>
              <w:gridCol w:w="617"/>
            </w:tblGrid>
            <w:tr w14:paraId="5D69E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444" w:type="dxa"/>
                  <w:vAlign w:val="top"/>
                </w:tcPr>
                <w:p w14:paraId="70FD561C">
                  <w:pPr>
                    <w:spacing w:line="256" w:lineRule="auto"/>
                    <w:rPr>
                      <w:rFonts w:ascii="Arial"/>
                      <w:sz w:val="21"/>
                    </w:rPr>
                  </w:pPr>
                </w:p>
                <w:p w14:paraId="39A058B6">
                  <w:pPr>
                    <w:pStyle w:val="6"/>
                    <w:spacing w:before="59" w:line="221" w:lineRule="auto"/>
                    <w:ind w:left="44"/>
                    <w:rPr>
                      <w:sz w:val="18"/>
                      <w:szCs w:val="18"/>
                    </w:rPr>
                  </w:pPr>
                  <w:r>
                    <w:rPr>
                      <w:spacing w:val="-2"/>
                      <w:sz w:val="18"/>
                      <w:szCs w:val="18"/>
                    </w:rPr>
                    <w:t>序号</w:t>
                  </w:r>
                </w:p>
              </w:tc>
              <w:tc>
                <w:tcPr>
                  <w:tcW w:w="975" w:type="dxa"/>
                  <w:vAlign w:val="top"/>
                </w:tcPr>
                <w:p w14:paraId="0CC101FA">
                  <w:pPr>
                    <w:pStyle w:val="6"/>
                    <w:spacing w:before="175" w:line="220" w:lineRule="auto"/>
                    <w:ind w:left="39"/>
                    <w:rPr>
                      <w:sz w:val="18"/>
                      <w:szCs w:val="18"/>
                    </w:rPr>
                  </w:pPr>
                  <w:r>
                    <w:rPr>
                      <w:spacing w:val="-2"/>
                      <w:sz w:val="18"/>
                      <w:szCs w:val="18"/>
                    </w:rPr>
                    <w:t>贮存场所名</w:t>
                  </w:r>
                </w:p>
                <w:p w14:paraId="16619009">
                  <w:pPr>
                    <w:pStyle w:val="6"/>
                    <w:spacing w:before="66" w:line="222" w:lineRule="auto"/>
                    <w:ind w:left="398"/>
                    <w:rPr>
                      <w:sz w:val="18"/>
                      <w:szCs w:val="18"/>
                    </w:rPr>
                  </w:pPr>
                  <w:r>
                    <w:rPr>
                      <w:sz w:val="18"/>
                      <w:szCs w:val="18"/>
                    </w:rPr>
                    <w:t>称</w:t>
                  </w:r>
                </w:p>
              </w:tc>
              <w:tc>
                <w:tcPr>
                  <w:tcW w:w="996" w:type="dxa"/>
                  <w:vAlign w:val="top"/>
                </w:tcPr>
                <w:p w14:paraId="255A2AE7">
                  <w:pPr>
                    <w:pStyle w:val="6"/>
                    <w:spacing w:before="176" w:line="220" w:lineRule="auto"/>
                    <w:ind w:left="51"/>
                    <w:rPr>
                      <w:sz w:val="18"/>
                      <w:szCs w:val="18"/>
                    </w:rPr>
                  </w:pPr>
                  <w:r>
                    <w:rPr>
                      <w:spacing w:val="-2"/>
                      <w:sz w:val="18"/>
                      <w:szCs w:val="18"/>
                    </w:rPr>
                    <w:t>危险废物名</w:t>
                  </w:r>
                </w:p>
                <w:p w14:paraId="0956F3B5">
                  <w:pPr>
                    <w:pStyle w:val="6"/>
                    <w:spacing w:before="65" w:line="222" w:lineRule="auto"/>
                    <w:ind w:left="408"/>
                    <w:rPr>
                      <w:sz w:val="18"/>
                      <w:szCs w:val="18"/>
                    </w:rPr>
                  </w:pPr>
                  <w:r>
                    <w:rPr>
                      <w:sz w:val="18"/>
                      <w:szCs w:val="18"/>
                    </w:rPr>
                    <w:t>称</w:t>
                  </w:r>
                </w:p>
              </w:tc>
              <w:tc>
                <w:tcPr>
                  <w:tcW w:w="853" w:type="dxa"/>
                  <w:vAlign w:val="top"/>
                </w:tcPr>
                <w:p w14:paraId="07E61B4F">
                  <w:pPr>
                    <w:pStyle w:val="6"/>
                    <w:spacing w:before="176" w:line="220" w:lineRule="auto"/>
                    <w:ind w:left="70"/>
                    <w:rPr>
                      <w:sz w:val="18"/>
                      <w:szCs w:val="18"/>
                    </w:rPr>
                  </w:pPr>
                  <w:r>
                    <w:rPr>
                      <w:spacing w:val="-2"/>
                      <w:sz w:val="18"/>
                      <w:szCs w:val="18"/>
                    </w:rPr>
                    <w:t>危险废物</w:t>
                  </w:r>
                </w:p>
                <w:p w14:paraId="5F1D5F36">
                  <w:pPr>
                    <w:pStyle w:val="6"/>
                    <w:spacing w:before="65" w:line="220" w:lineRule="auto"/>
                    <w:ind w:left="248"/>
                    <w:rPr>
                      <w:sz w:val="18"/>
                      <w:szCs w:val="18"/>
                    </w:rPr>
                  </w:pPr>
                  <w:r>
                    <w:rPr>
                      <w:spacing w:val="-2"/>
                      <w:sz w:val="18"/>
                      <w:szCs w:val="18"/>
                    </w:rPr>
                    <w:t>类别</w:t>
                  </w:r>
                </w:p>
              </w:tc>
              <w:tc>
                <w:tcPr>
                  <w:tcW w:w="1138" w:type="dxa"/>
                  <w:vAlign w:val="top"/>
                </w:tcPr>
                <w:p w14:paraId="0CDA9B5A">
                  <w:pPr>
                    <w:pStyle w:val="6"/>
                    <w:spacing w:before="175" w:line="220" w:lineRule="auto"/>
                    <w:ind w:left="123"/>
                    <w:rPr>
                      <w:sz w:val="18"/>
                      <w:szCs w:val="18"/>
                    </w:rPr>
                  </w:pPr>
                  <w:r>
                    <w:rPr>
                      <w:spacing w:val="-2"/>
                      <w:sz w:val="18"/>
                      <w:szCs w:val="18"/>
                    </w:rPr>
                    <w:t>危险废物代</w:t>
                  </w:r>
                </w:p>
                <w:p w14:paraId="7D98CB41">
                  <w:pPr>
                    <w:pStyle w:val="6"/>
                    <w:spacing w:before="66" w:line="223" w:lineRule="auto"/>
                    <w:ind w:left="480"/>
                    <w:rPr>
                      <w:sz w:val="18"/>
                      <w:szCs w:val="18"/>
                    </w:rPr>
                  </w:pPr>
                  <w:r>
                    <w:rPr>
                      <w:sz w:val="18"/>
                      <w:szCs w:val="18"/>
                    </w:rPr>
                    <w:t>码</w:t>
                  </w:r>
                </w:p>
              </w:tc>
              <w:tc>
                <w:tcPr>
                  <w:tcW w:w="719" w:type="dxa"/>
                  <w:vAlign w:val="top"/>
                </w:tcPr>
                <w:p w14:paraId="72F76933">
                  <w:pPr>
                    <w:spacing w:line="256" w:lineRule="auto"/>
                    <w:rPr>
                      <w:rFonts w:ascii="Arial"/>
                      <w:sz w:val="21"/>
                    </w:rPr>
                  </w:pPr>
                </w:p>
                <w:p w14:paraId="3F9CAFBF">
                  <w:pPr>
                    <w:pStyle w:val="6"/>
                    <w:spacing w:before="59" w:line="221" w:lineRule="auto"/>
                    <w:ind w:left="182"/>
                    <w:rPr>
                      <w:sz w:val="18"/>
                      <w:szCs w:val="18"/>
                    </w:rPr>
                  </w:pPr>
                  <w:r>
                    <w:rPr>
                      <w:spacing w:val="-2"/>
                      <w:sz w:val="18"/>
                      <w:szCs w:val="18"/>
                    </w:rPr>
                    <w:t>位置</w:t>
                  </w:r>
                </w:p>
              </w:tc>
              <w:tc>
                <w:tcPr>
                  <w:tcW w:w="626" w:type="dxa"/>
                  <w:vAlign w:val="top"/>
                </w:tcPr>
                <w:p w14:paraId="44F50FF7">
                  <w:pPr>
                    <w:pStyle w:val="6"/>
                    <w:spacing w:before="177" w:line="290" w:lineRule="auto"/>
                    <w:ind w:left="226" w:right="40" w:hanging="150"/>
                    <w:rPr>
                      <w:sz w:val="18"/>
                      <w:szCs w:val="18"/>
                    </w:rPr>
                  </w:pPr>
                  <w:r>
                    <w:rPr>
                      <w:spacing w:val="-13"/>
                      <w:sz w:val="18"/>
                      <w:szCs w:val="18"/>
                    </w:rPr>
                    <w:t>占地面</w:t>
                  </w:r>
                  <w:r>
                    <w:rPr>
                      <w:spacing w:val="1"/>
                      <w:sz w:val="18"/>
                      <w:szCs w:val="18"/>
                    </w:rPr>
                    <w:t xml:space="preserve"> </w:t>
                  </w:r>
                  <w:r>
                    <w:rPr>
                      <w:sz w:val="18"/>
                      <w:szCs w:val="18"/>
                    </w:rPr>
                    <w:t>积</w:t>
                  </w:r>
                </w:p>
              </w:tc>
              <w:tc>
                <w:tcPr>
                  <w:tcW w:w="853" w:type="dxa"/>
                  <w:vAlign w:val="top"/>
                </w:tcPr>
                <w:p w14:paraId="1004BBFF">
                  <w:pPr>
                    <w:spacing w:line="256" w:lineRule="auto"/>
                    <w:rPr>
                      <w:rFonts w:ascii="Arial"/>
                      <w:sz w:val="21"/>
                    </w:rPr>
                  </w:pPr>
                </w:p>
                <w:p w14:paraId="28EECBF4">
                  <w:pPr>
                    <w:pStyle w:val="6"/>
                    <w:spacing w:before="58" w:line="220" w:lineRule="auto"/>
                    <w:ind w:left="72"/>
                    <w:rPr>
                      <w:sz w:val="18"/>
                      <w:szCs w:val="18"/>
                    </w:rPr>
                  </w:pPr>
                  <w:r>
                    <w:rPr>
                      <w:spacing w:val="-2"/>
                      <w:sz w:val="18"/>
                      <w:szCs w:val="18"/>
                    </w:rPr>
                    <w:t>贮存方式</w:t>
                  </w:r>
                </w:p>
              </w:tc>
              <w:tc>
                <w:tcPr>
                  <w:tcW w:w="718" w:type="dxa"/>
                  <w:vAlign w:val="top"/>
                </w:tcPr>
                <w:p w14:paraId="0090CDB0">
                  <w:pPr>
                    <w:pStyle w:val="6"/>
                    <w:spacing w:before="175" w:line="220" w:lineRule="auto"/>
                    <w:ind w:left="185"/>
                    <w:rPr>
                      <w:sz w:val="18"/>
                      <w:szCs w:val="18"/>
                    </w:rPr>
                  </w:pPr>
                  <w:r>
                    <w:rPr>
                      <w:spacing w:val="-2"/>
                      <w:sz w:val="18"/>
                      <w:szCs w:val="18"/>
                    </w:rPr>
                    <w:t>贮存</w:t>
                  </w:r>
                </w:p>
                <w:p w14:paraId="3C29E932">
                  <w:pPr>
                    <w:pStyle w:val="6"/>
                    <w:spacing w:before="66" w:line="220" w:lineRule="auto"/>
                    <w:ind w:left="191"/>
                    <w:rPr>
                      <w:sz w:val="18"/>
                      <w:szCs w:val="18"/>
                    </w:rPr>
                  </w:pPr>
                  <w:r>
                    <w:rPr>
                      <w:spacing w:val="-4"/>
                      <w:sz w:val="18"/>
                      <w:szCs w:val="18"/>
                    </w:rPr>
                    <w:t>能力</w:t>
                  </w:r>
                </w:p>
              </w:tc>
              <w:tc>
                <w:tcPr>
                  <w:tcW w:w="617" w:type="dxa"/>
                  <w:vAlign w:val="top"/>
                </w:tcPr>
                <w:p w14:paraId="5935095B">
                  <w:pPr>
                    <w:pStyle w:val="6"/>
                    <w:spacing w:before="175" w:line="220" w:lineRule="auto"/>
                    <w:ind w:left="133"/>
                    <w:rPr>
                      <w:sz w:val="18"/>
                      <w:szCs w:val="18"/>
                    </w:rPr>
                  </w:pPr>
                  <w:r>
                    <w:rPr>
                      <w:spacing w:val="-2"/>
                      <w:sz w:val="18"/>
                      <w:szCs w:val="18"/>
                    </w:rPr>
                    <w:t>贮存</w:t>
                  </w:r>
                </w:p>
                <w:p w14:paraId="77BD3C31">
                  <w:pPr>
                    <w:pStyle w:val="6"/>
                    <w:spacing w:before="67" w:line="220" w:lineRule="auto"/>
                    <w:ind w:left="133"/>
                    <w:rPr>
                      <w:sz w:val="18"/>
                      <w:szCs w:val="18"/>
                    </w:rPr>
                  </w:pPr>
                  <w:r>
                    <w:rPr>
                      <w:spacing w:val="-2"/>
                      <w:sz w:val="18"/>
                      <w:szCs w:val="18"/>
                    </w:rPr>
                    <w:t>周期</w:t>
                  </w:r>
                </w:p>
              </w:tc>
            </w:tr>
            <w:tr w14:paraId="561E8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444" w:type="dxa"/>
                  <w:vAlign w:val="top"/>
                </w:tcPr>
                <w:p w14:paraId="46C2F309">
                  <w:pPr>
                    <w:spacing w:before="172" w:line="235" w:lineRule="auto"/>
                    <w:ind w:left="19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975" w:type="dxa"/>
                  <w:vMerge w:val="restart"/>
                  <w:tcBorders>
                    <w:bottom w:val="nil"/>
                  </w:tcBorders>
                  <w:vAlign w:val="top"/>
                </w:tcPr>
                <w:p w14:paraId="3AF8D580">
                  <w:pPr>
                    <w:pStyle w:val="6"/>
                    <w:spacing w:before="212" w:line="290" w:lineRule="auto"/>
                    <w:ind w:left="218" w:right="37" w:hanging="177"/>
                    <w:rPr>
                      <w:sz w:val="18"/>
                      <w:szCs w:val="18"/>
                    </w:rPr>
                  </w:pPr>
                  <w:r>
                    <w:rPr>
                      <w:spacing w:val="-2"/>
                      <w:sz w:val="18"/>
                      <w:szCs w:val="18"/>
                    </w:rPr>
                    <w:t>危险废物贮</w:t>
                  </w:r>
                  <w:r>
                    <w:rPr>
                      <w:sz w:val="18"/>
                      <w:szCs w:val="18"/>
                    </w:rPr>
                    <w:t xml:space="preserve"> </w:t>
                  </w:r>
                  <w:r>
                    <w:rPr>
                      <w:spacing w:val="-2"/>
                      <w:sz w:val="18"/>
                      <w:szCs w:val="18"/>
                    </w:rPr>
                    <w:t>存设施</w:t>
                  </w:r>
                </w:p>
              </w:tc>
              <w:tc>
                <w:tcPr>
                  <w:tcW w:w="996" w:type="dxa"/>
                  <w:vAlign w:val="top"/>
                </w:tcPr>
                <w:p w14:paraId="4BEE0CD6">
                  <w:pPr>
                    <w:pStyle w:val="6"/>
                    <w:spacing w:before="142" w:line="220" w:lineRule="auto"/>
                    <w:ind w:left="48"/>
                    <w:rPr>
                      <w:sz w:val="18"/>
                      <w:szCs w:val="18"/>
                    </w:rPr>
                  </w:pPr>
                  <w:r>
                    <w:rPr>
                      <w:spacing w:val="-2"/>
                      <w:sz w:val="18"/>
                      <w:szCs w:val="18"/>
                    </w:rPr>
                    <w:t>废矿物油桶</w:t>
                  </w:r>
                </w:p>
              </w:tc>
              <w:tc>
                <w:tcPr>
                  <w:tcW w:w="853" w:type="dxa"/>
                  <w:vAlign w:val="top"/>
                </w:tcPr>
                <w:p w14:paraId="708394E3">
                  <w:pPr>
                    <w:spacing w:before="172" w:line="232" w:lineRule="auto"/>
                    <w:ind w:left="18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HW08</w:t>
                  </w:r>
                </w:p>
              </w:tc>
              <w:tc>
                <w:tcPr>
                  <w:tcW w:w="1138" w:type="dxa"/>
                  <w:vAlign w:val="top"/>
                </w:tcPr>
                <w:p w14:paraId="1739B397">
                  <w:pPr>
                    <w:spacing w:before="173" w:line="232" w:lineRule="auto"/>
                    <w:ind w:left="15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900-249-08</w:t>
                  </w:r>
                </w:p>
              </w:tc>
              <w:tc>
                <w:tcPr>
                  <w:tcW w:w="719" w:type="dxa"/>
                  <w:vMerge w:val="restart"/>
                  <w:tcBorders>
                    <w:bottom w:val="nil"/>
                  </w:tcBorders>
                  <w:vAlign w:val="top"/>
                </w:tcPr>
                <w:p w14:paraId="10497A3C">
                  <w:pPr>
                    <w:pStyle w:val="6"/>
                    <w:spacing w:before="212" w:line="290" w:lineRule="auto"/>
                    <w:ind w:left="181" w:right="88" w:hanging="87"/>
                    <w:rPr>
                      <w:sz w:val="18"/>
                      <w:szCs w:val="18"/>
                    </w:rPr>
                  </w:pPr>
                  <w:r>
                    <w:rPr>
                      <w:spacing w:val="-4"/>
                      <w:sz w:val="18"/>
                      <w:szCs w:val="18"/>
                    </w:rPr>
                    <w:t>危废暂</w:t>
                  </w:r>
                  <w:r>
                    <w:rPr>
                      <w:spacing w:val="1"/>
                      <w:sz w:val="18"/>
                      <w:szCs w:val="18"/>
                    </w:rPr>
                    <w:t xml:space="preserve"> </w:t>
                  </w:r>
                  <w:r>
                    <w:rPr>
                      <w:spacing w:val="-2"/>
                      <w:sz w:val="18"/>
                      <w:szCs w:val="18"/>
                    </w:rPr>
                    <w:t>存间</w:t>
                  </w:r>
                </w:p>
              </w:tc>
              <w:tc>
                <w:tcPr>
                  <w:tcW w:w="626" w:type="dxa"/>
                  <w:vMerge w:val="restart"/>
                  <w:tcBorders>
                    <w:bottom w:val="nil"/>
                  </w:tcBorders>
                  <w:vAlign w:val="top"/>
                </w:tcPr>
                <w:p w14:paraId="2A294B2F">
                  <w:pPr>
                    <w:spacing w:line="310" w:lineRule="auto"/>
                    <w:rPr>
                      <w:rFonts w:ascii="Arial"/>
                      <w:sz w:val="21"/>
                    </w:rPr>
                  </w:pPr>
                </w:p>
                <w:p w14:paraId="6F5C170B">
                  <w:pPr>
                    <w:spacing w:before="52" w:line="219" w:lineRule="exact"/>
                    <w:ind w:left="173"/>
                    <w:rPr>
                      <w:rFonts w:ascii="Times New Roman" w:hAnsi="Times New Roman" w:eastAsia="Times New Roman" w:cs="Times New Roman"/>
                      <w:sz w:val="12"/>
                      <w:szCs w:val="12"/>
                    </w:rPr>
                  </w:pPr>
                  <w:r>
                    <w:rPr>
                      <w:rFonts w:ascii="Times New Roman" w:hAnsi="Times New Roman" w:eastAsia="Times New Roman" w:cs="Times New Roman"/>
                      <w:spacing w:val="-3"/>
                      <w:sz w:val="18"/>
                      <w:szCs w:val="18"/>
                    </w:rPr>
                    <w:t>5m</w:t>
                  </w:r>
                  <w:r>
                    <w:rPr>
                      <w:rFonts w:ascii="Times New Roman" w:hAnsi="Times New Roman" w:eastAsia="Times New Roman" w:cs="Times New Roman"/>
                      <w:spacing w:val="-3"/>
                      <w:position w:val="5"/>
                      <w:sz w:val="12"/>
                      <w:szCs w:val="12"/>
                    </w:rPr>
                    <w:t>2</w:t>
                  </w:r>
                </w:p>
              </w:tc>
              <w:tc>
                <w:tcPr>
                  <w:tcW w:w="853" w:type="dxa"/>
                  <w:vMerge w:val="restart"/>
                  <w:tcBorders>
                    <w:bottom w:val="nil"/>
                  </w:tcBorders>
                  <w:vAlign w:val="top"/>
                </w:tcPr>
                <w:p w14:paraId="774965E7">
                  <w:pPr>
                    <w:pStyle w:val="6"/>
                    <w:spacing w:before="73" w:line="287" w:lineRule="auto"/>
                    <w:ind w:left="71" w:right="63" w:firstLine="92"/>
                    <w:rPr>
                      <w:sz w:val="18"/>
                      <w:szCs w:val="18"/>
                    </w:rPr>
                  </w:pPr>
                  <w:r>
                    <w:rPr>
                      <w:spacing w:val="-4"/>
                      <w:sz w:val="18"/>
                      <w:szCs w:val="18"/>
                    </w:rPr>
                    <w:t>分类存</w:t>
                  </w:r>
                  <w:r>
                    <w:rPr>
                      <w:sz w:val="18"/>
                      <w:szCs w:val="18"/>
                    </w:rPr>
                    <w:t xml:space="preserve">  </w:t>
                  </w:r>
                  <w:r>
                    <w:rPr>
                      <w:spacing w:val="-2"/>
                      <w:sz w:val="18"/>
                      <w:szCs w:val="18"/>
                    </w:rPr>
                    <w:t>放，密闭</w:t>
                  </w:r>
                </w:p>
                <w:p w14:paraId="05119A49">
                  <w:pPr>
                    <w:pStyle w:val="6"/>
                    <w:spacing w:line="210" w:lineRule="auto"/>
                    <w:ind w:left="257"/>
                    <w:rPr>
                      <w:sz w:val="18"/>
                      <w:szCs w:val="18"/>
                    </w:rPr>
                  </w:pPr>
                  <w:r>
                    <w:rPr>
                      <w:spacing w:val="-4"/>
                      <w:sz w:val="18"/>
                      <w:szCs w:val="18"/>
                    </w:rPr>
                    <w:t>暂存</w:t>
                  </w:r>
                </w:p>
              </w:tc>
              <w:tc>
                <w:tcPr>
                  <w:tcW w:w="718" w:type="dxa"/>
                  <w:vMerge w:val="restart"/>
                  <w:tcBorders>
                    <w:bottom w:val="nil"/>
                  </w:tcBorders>
                  <w:vAlign w:val="top"/>
                </w:tcPr>
                <w:p w14:paraId="243EEAAA">
                  <w:pPr>
                    <w:spacing w:line="329" w:lineRule="auto"/>
                    <w:rPr>
                      <w:rFonts w:ascii="Arial"/>
                      <w:sz w:val="21"/>
                    </w:rPr>
                  </w:pPr>
                </w:p>
                <w:p w14:paraId="39723586">
                  <w:pPr>
                    <w:spacing w:before="51" w:line="190" w:lineRule="auto"/>
                    <w:ind w:left="14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500kg</w:t>
                  </w:r>
                </w:p>
              </w:tc>
              <w:tc>
                <w:tcPr>
                  <w:tcW w:w="617" w:type="dxa"/>
                  <w:vMerge w:val="restart"/>
                  <w:tcBorders>
                    <w:bottom w:val="nil"/>
                  </w:tcBorders>
                  <w:vAlign w:val="top"/>
                </w:tcPr>
                <w:p w14:paraId="1C293AB1">
                  <w:pPr>
                    <w:spacing w:line="293" w:lineRule="auto"/>
                    <w:rPr>
                      <w:rFonts w:ascii="Arial"/>
                      <w:sz w:val="21"/>
                    </w:rPr>
                  </w:pPr>
                </w:p>
                <w:p w14:paraId="5ACF2C71">
                  <w:pPr>
                    <w:pStyle w:val="6"/>
                    <w:spacing w:before="58" w:line="233" w:lineRule="auto"/>
                    <w:ind w:left="87"/>
                    <w:rPr>
                      <w:sz w:val="18"/>
                      <w:szCs w:val="18"/>
                    </w:rPr>
                  </w:pPr>
                  <w:r>
                    <w:rPr>
                      <w:rFonts w:ascii="Times New Roman" w:hAnsi="Times New Roman" w:eastAsia="Times New Roman" w:cs="Times New Roman"/>
                      <w:spacing w:val="-3"/>
                      <w:sz w:val="18"/>
                      <w:szCs w:val="18"/>
                    </w:rPr>
                    <w:t>3</w:t>
                  </w:r>
                  <w:r>
                    <w:rPr>
                      <w:spacing w:val="-3"/>
                      <w:sz w:val="18"/>
                      <w:szCs w:val="18"/>
                    </w:rPr>
                    <w:t>个月</w:t>
                  </w:r>
                </w:p>
              </w:tc>
            </w:tr>
            <w:tr w14:paraId="399DB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44" w:type="dxa"/>
                  <w:vAlign w:val="top"/>
                </w:tcPr>
                <w:p w14:paraId="729E8A2E">
                  <w:pPr>
                    <w:spacing w:before="168" w:line="235" w:lineRule="auto"/>
                    <w:ind w:left="176"/>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975" w:type="dxa"/>
                  <w:vMerge w:val="continue"/>
                  <w:tcBorders>
                    <w:top w:val="nil"/>
                  </w:tcBorders>
                  <w:vAlign w:val="top"/>
                </w:tcPr>
                <w:p w14:paraId="08C1BFEB">
                  <w:pPr>
                    <w:rPr>
                      <w:rFonts w:ascii="Arial"/>
                      <w:sz w:val="21"/>
                    </w:rPr>
                  </w:pPr>
                </w:p>
              </w:tc>
              <w:tc>
                <w:tcPr>
                  <w:tcW w:w="996" w:type="dxa"/>
                  <w:vAlign w:val="top"/>
                </w:tcPr>
                <w:p w14:paraId="0F023E51">
                  <w:pPr>
                    <w:pStyle w:val="6"/>
                    <w:spacing w:before="138" w:line="220" w:lineRule="auto"/>
                    <w:ind w:left="138"/>
                    <w:rPr>
                      <w:sz w:val="18"/>
                      <w:szCs w:val="18"/>
                    </w:rPr>
                  </w:pPr>
                  <w:r>
                    <w:rPr>
                      <w:spacing w:val="-2"/>
                      <w:sz w:val="18"/>
                      <w:szCs w:val="18"/>
                    </w:rPr>
                    <w:t>废矿物油</w:t>
                  </w:r>
                </w:p>
              </w:tc>
              <w:tc>
                <w:tcPr>
                  <w:tcW w:w="853" w:type="dxa"/>
                  <w:vAlign w:val="top"/>
                </w:tcPr>
                <w:p w14:paraId="09914865">
                  <w:pPr>
                    <w:spacing w:before="171" w:line="186" w:lineRule="auto"/>
                    <w:ind w:left="18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HW08</w:t>
                  </w:r>
                </w:p>
              </w:tc>
              <w:tc>
                <w:tcPr>
                  <w:tcW w:w="1138" w:type="dxa"/>
                  <w:vAlign w:val="top"/>
                </w:tcPr>
                <w:p w14:paraId="33001D35">
                  <w:pPr>
                    <w:spacing w:before="168" w:line="232" w:lineRule="auto"/>
                    <w:ind w:left="15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900-214-08</w:t>
                  </w:r>
                </w:p>
              </w:tc>
              <w:tc>
                <w:tcPr>
                  <w:tcW w:w="719" w:type="dxa"/>
                  <w:vMerge w:val="continue"/>
                  <w:tcBorders>
                    <w:top w:val="nil"/>
                  </w:tcBorders>
                  <w:vAlign w:val="top"/>
                </w:tcPr>
                <w:p w14:paraId="50AB5877">
                  <w:pPr>
                    <w:rPr>
                      <w:rFonts w:ascii="Arial"/>
                      <w:sz w:val="21"/>
                    </w:rPr>
                  </w:pPr>
                </w:p>
              </w:tc>
              <w:tc>
                <w:tcPr>
                  <w:tcW w:w="626" w:type="dxa"/>
                  <w:vMerge w:val="continue"/>
                  <w:tcBorders>
                    <w:top w:val="nil"/>
                  </w:tcBorders>
                  <w:vAlign w:val="top"/>
                </w:tcPr>
                <w:p w14:paraId="0E972A01">
                  <w:pPr>
                    <w:rPr>
                      <w:rFonts w:ascii="Arial"/>
                      <w:sz w:val="21"/>
                    </w:rPr>
                  </w:pPr>
                </w:p>
              </w:tc>
              <w:tc>
                <w:tcPr>
                  <w:tcW w:w="853" w:type="dxa"/>
                  <w:vMerge w:val="continue"/>
                  <w:tcBorders>
                    <w:top w:val="nil"/>
                  </w:tcBorders>
                  <w:vAlign w:val="top"/>
                </w:tcPr>
                <w:p w14:paraId="5FC6893C">
                  <w:pPr>
                    <w:rPr>
                      <w:rFonts w:ascii="Arial"/>
                      <w:sz w:val="21"/>
                    </w:rPr>
                  </w:pPr>
                </w:p>
              </w:tc>
              <w:tc>
                <w:tcPr>
                  <w:tcW w:w="718" w:type="dxa"/>
                  <w:vMerge w:val="continue"/>
                  <w:tcBorders>
                    <w:top w:val="nil"/>
                  </w:tcBorders>
                  <w:vAlign w:val="top"/>
                </w:tcPr>
                <w:p w14:paraId="1FB294B9">
                  <w:pPr>
                    <w:rPr>
                      <w:rFonts w:ascii="Arial"/>
                      <w:sz w:val="21"/>
                    </w:rPr>
                  </w:pPr>
                </w:p>
              </w:tc>
              <w:tc>
                <w:tcPr>
                  <w:tcW w:w="617" w:type="dxa"/>
                  <w:vMerge w:val="continue"/>
                  <w:tcBorders>
                    <w:top w:val="nil"/>
                  </w:tcBorders>
                  <w:vAlign w:val="top"/>
                </w:tcPr>
                <w:p w14:paraId="6149D02B">
                  <w:pPr>
                    <w:rPr>
                      <w:rFonts w:ascii="Arial"/>
                      <w:sz w:val="21"/>
                    </w:rPr>
                  </w:pPr>
                </w:p>
              </w:tc>
            </w:tr>
          </w:tbl>
          <w:p w14:paraId="67F65061">
            <w:pPr>
              <w:pStyle w:val="6"/>
              <w:spacing w:before="140" w:line="234" w:lineRule="auto"/>
              <w:ind w:left="104"/>
            </w:pPr>
            <w:r>
              <w:rPr>
                <w:rFonts w:ascii="Times New Roman" w:hAnsi="Times New Roman" w:eastAsia="Times New Roman" w:cs="Times New Roman"/>
                <w:b/>
                <w:bCs/>
                <w:spacing w:val="-2"/>
              </w:rPr>
              <w:t>4.3</w:t>
            </w:r>
            <w:r>
              <w:rPr>
                <w:b/>
                <w:bCs/>
                <w:spacing w:val="-2"/>
              </w:rPr>
              <w:t>危险废物的处置措施</w:t>
            </w:r>
          </w:p>
          <w:p w14:paraId="07A98BA7">
            <w:pPr>
              <w:pStyle w:val="6"/>
              <w:spacing w:before="133" w:line="350" w:lineRule="auto"/>
              <w:ind w:left="109" w:right="110" w:firstLine="417"/>
              <w:jc w:val="both"/>
            </w:pPr>
            <w:r>
              <w:rPr>
                <w:spacing w:val="-2"/>
              </w:rPr>
              <w:t>评价要求建设单位应严格按照《危险废物贮</w:t>
            </w:r>
            <w:r>
              <w:rPr>
                <w:spacing w:val="-3"/>
              </w:rPr>
              <w:t>存污染控制标准》（</w:t>
            </w:r>
            <w:r>
              <w:rPr>
                <w:rFonts w:ascii="Times New Roman" w:hAnsi="Times New Roman" w:eastAsia="Times New Roman" w:cs="Times New Roman"/>
                <w:spacing w:val="-3"/>
              </w:rPr>
              <w:t>GB18597-2023</w:t>
            </w:r>
            <w:r>
              <w:rPr>
                <w:spacing w:val="-3"/>
              </w:rPr>
              <w:t>）中</w:t>
            </w:r>
            <w:r>
              <w:t xml:space="preserve"> </w:t>
            </w:r>
            <w:r>
              <w:rPr>
                <w:spacing w:val="-5"/>
              </w:rPr>
              <w:t>的污染控制要求，进行危险废物的收集、贮</w:t>
            </w:r>
            <w:r>
              <w:rPr>
                <w:spacing w:val="-6"/>
              </w:rPr>
              <w:t>存管理；</w:t>
            </w:r>
            <w:r>
              <w:rPr>
                <w:spacing w:val="55"/>
              </w:rPr>
              <w:t xml:space="preserve"> </w:t>
            </w:r>
            <w:r>
              <w:rPr>
                <w:spacing w:val="-6"/>
              </w:rPr>
              <w:t>并按照《危险废物识别标志设置技</w:t>
            </w:r>
            <w:r>
              <w:t xml:space="preserve"> </w:t>
            </w:r>
            <w:r>
              <w:rPr>
                <w:spacing w:val="-2"/>
              </w:rPr>
              <w:t>术规范》</w:t>
            </w:r>
            <w:r>
              <w:rPr>
                <w:rFonts w:hint="eastAsia"/>
                <w:spacing w:val="-2"/>
                <w:lang w:eastAsia="zh-CN"/>
              </w:rPr>
              <w:t>（</w:t>
            </w:r>
            <w:r>
              <w:rPr>
                <w:rFonts w:ascii="Times New Roman" w:hAnsi="Times New Roman" w:eastAsia="Times New Roman" w:cs="Times New Roman"/>
                <w:spacing w:val="-2"/>
              </w:rPr>
              <w:t>HJ</w:t>
            </w:r>
            <w:r>
              <w:rPr>
                <w:rFonts w:ascii="Times New Roman" w:hAnsi="Times New Roman" w:eastAsia="Times New Roman" w:cs="Times New Roman"/>
                <w:spacing w:val="24"/>
                <w:w w:val="101"/>
              </w:rPr>
              <w:t xml:space="preserve"> </w:t>
            </w:r>
            <w:r>
              <w:rPr>
                <w:rFonts w:ascii="Times New Roman" w:hAnsi="Times New Roman" w:eastAsia="Times New Roman" w:cs="Times New Roman"/>
                <w:spacing w:val="-2"/>
              </w:rPr>
              <w:t>1276-2022</w:t>
            </w:r>
            <w:r>
              <w:rPr>
                <w:rFonts w:hint="eastAsia" w:ascii="Times New Roman" w:hAnsi="Times New Roman" w:eastAsia="宋体" w:cs="Times New Roman"/>
                <w:spacing w:val="-2"/>
                <w:lang w:eastAsia="zh-CN"/>
              </w:rPr>
              <w:t>）</w:t>
            </w:r>
            <w:r>
              <w:rPr>
                <w:spacing w:val="-2"/>
              </w:rPr>
              <w:t>的相应要求设置规范的标识标牌。</w:t>
            </w:r>
          </w:p>
          <w:p w14:paraId="26B3F0A5">
            <w:pPr>
              <w:pStyle w:val="6"/>
              <w:spacing w:before="7" w:line="350" w:lineRule="auto"/>
              <w:ind w:left="106" w:right="103" w:firstLine="424"/>
              <w:jc w:val="both"/>
            </w:pPr>
            <w:r>
              <w:t>项目拟在租用的办公用房旁边设置一个规范的</w:t>
            </w:r>
            <w:r>
              <w:rPr>
                <w:spacing w:val="-1"/>
              </w:rPr>
              <w:t>危废暂存间（建筑面积约</w:t>
            </w:r>
            <w:r>
              <w:rPr>
                <w:rFonts w:ascii="Times New Roman" w:hAnsi="Times New Roman" w:eastAsia="Times New Roman" w:cs="Times New Roman"/>
                <w:spacing w:val="-1"/>
              </w:rPr>
              <w:t>5m</w:t>
            </w:r>
            <w:r>
              <w:rPr>
                <w:rFonts w:ascii="Times New Roman" w:hAnsi="Times New Roman" w:eastAsia="Times New Roman" w:cs="Times New Roman"/>
                <w:spacing w:val="-1"/>
                <w:position w:val="7"/>
                <w:sz w:val="14"/>
                <w:szCs w:val="14"/>
              </w:rPr>
              <w:t>2</w:t>
            </w:r>
            <w:r>
              <w:rPr>
                <w:spacing w:val="-4"/>
              </w:rPr>
              <w:t>），</w:t>
            </w:r>
            <w:r>
              <w:rPr>
                <w:spacing w:val="-1"/>
              </w:rPr>
              <w:t>危</w:t>
            </w:r>
            <w:r>
              <w:rPr>
                <w:spacing w:val="1"/>
              </w:rPr>
              <w:t xml:space="preserve"> </w:t>
            </w:r>
            <w:r>
              <w:rPr>
                <w:spacing w:val="-1"/>
              </w:rPr>
              <w:t>废间采取防风、防雨、防渗、防漏、防晒及防腐等环境污染防治措施。设专用容器收集</w:t>
            </w:r>
            <w:r>
              <w:t xml:space="preserve"> </w:t>
            </w:r>
            <w:r>
              <w:rPr>
                <w:spacing w:val="-1"/>
              </w:rPr>
              <w:t>暂存，悬挂危险废物标识牌，建设危废台账并交由有资质的单位</w:t>
            </w:r>
            <w:r>
              <w:rPr>
                <w:spacing w:val="-2"/>
              </w:rPr>
              <w:t>回收处置。</w:t>
            </w:r>
          </w:p>
          <w:p w14:paraId="57D8F9C0">
            <w:pPr>
              <w:pStyle w:val="6"/>
              <w:spacing w:before="7" w:line="350" w:lineRule="auto"/>
              <w:ind w:left="107" w:right="102" w:firstLine="427"/>
              <w:jc w:val="both"/>
            </w:pPr>
            <w:r>
              <w:rPr>
                <w:b/>
                <w:bCs/>
                <w:spacing w:val="-1"/>
              </w:rPr>
              <w:t>管理要求：</w:t>
            </w:r>
            <w:r>
              <w:rPr>
                <w:rFonts w:ascii="Times New Roman" w:hAnsi="Times New Roman" w:eastAsia="Times New Roman" w:cs="Times New Roman"/>
                <w:spacing w:val="-1"/>
              </w:rPr>
              <w:t>6.1.1</w:t>
            </w:r>
            <w:r>
              <w:rPr>
                <w:spacing w:val="-1"/>
              </w:rPr>
              <w:t>贮存设施应根据危险废物</w:t>
            </w:r>
            <w:r>
              <w:rPr>
                <w:spacing w:val="-2"/>
              </w:rPr>
              <w:t>的形态、物理化学性质、包装形式和污染</w:t>
            </w:r>
            <w:r>
              <w:t xml:space="preserve"> </w:t>
            </w:r>
            <w:r>
              <w:rPr>
                <w:spacing w:val="-1"/>
              </w:rPr>
              <w:t>物迁移途径，采取必要的防风、防晒、防雨、防漏、防渗、防腐以及其他环境污染防治</w:t>
            </w:r>
            <w:r>
              <w:t xml:space="preserve"> </w:t>
            </w:r>
            <w:r>
              <w:rPr>
                <w:spacing w:val="-3"/>
              </w:rPr>
              <w:t>措施，不应露天堆放危险废物。</w:t>
            </w:r>
          </w:p>
          <w:p w14:paraId="45614665">
            <w:pPr>
              <w:pStyle w:val="6"/>
              <w:spacing w:before="3" w:line="223" w:lineRule="auto"/>
              <w:ind w:left="528"/>
            </w:pPr>
            <w:r>
              <w:rPr>
                <w:rFonts w:ascii="Times New Roman" w:hAnsi="Times New Roman" w:eastAsia="Times New Roman" w:cs="Times New Roman"/>
                <w:spacing w:val="-1"/>
              </w:rPr>
              <w:t>6.1.2</w:t>
            </w:r>
            <w:r>
              <w:rPr>
                <w:spacing w:val="-1"/>
              </w:rPr>
              <w:t>贮存设施应根据危险废物的类别、数量、形态、物理化学性质和污染防治等要</w:t>
            </w:r>
          </w:p>
        </w:tc>
      </w:tr>
    </w:tbl>
    <w:p w14:paraId="1076ECD2">
      <w:pPr>
        <w:rPr>
          <w:rFonts w:ascii="Arial"/>
          <w:sz w:val="21"/>
        </w:rPr>
      </w:pPr>
    </w:p>
    <w:p w14:paraId="340C2F23">
      <w:pPr>
        <w:rPr>
          <w:rFonts w:ascii="Arial" w:hAnsi="Arial" w:eastAsia="Arial" w:cs="Arial"/>
          <w:sz w:val="21"/>
          <w:szCs w:val="21"/>
        </w:rPr>
        <w:sectPr>
          <w:footerReference r:id="rId69" w:type="default"/>
          <w:pgSz w:w="11908" w:h="16840"/>
          <w:pgMar w:top="1431" w:right="1489" w:bottom="1053" w:left="1489" w:header="0" w:footer="801" w:gutter="0"/>
          <w:cols w:space="720" w:num="1"/>
        </w:sectPr>
      </w:pPr>
    </w:p>
    <w:p w14:paraId="23FB3FBB">
      <w:pPr>
        <w:spacing w:before="28"/>
      </w:pPr>
    </w:p>
    <w:tbl>
      <w:tblPr>
        <w:tblStyle w:val="5"/>
        <w:tblW w:w="891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0"/>
        <w:gridCol w:w="8163"/>
      </w:tblGrid>
      <w:tr w14:paraId="70430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09" w:hRule="atLeast"/>
        </w:trPr>
        <w:tc>
          <w:tcPr>
            <w:tcW w:w="750" w:type="dxa"/>
            <w:tcBorders>
              <w:top w:val="single" w:color="000000" w:sz="2" w:space="0"/>
              <w:right w:val="single" w:color="000000" w:sz="2" w:space="0"/>
            </w:tcBorders>
            <w:vAlign w:val="top"/>
          </w:tcPr>
          <w:p w14:paraId="37064EEA">
            <w:pPr>
              <w:rPr>
                <w:rFonts w:ascii="Arial"/>
                <w:sz w:val="21"/>
              </w:rPr>
            </w:pPr>
          </w:p>
        </w:tc>
        <w:tc>
          <w:tcPr>
            <w:tcW w:w="8163" w:type="dxa"/>
            <w:tcBorders>
              <w:top w:val="single" w:color="000000" w:sz="2" w:space="0"/>
              <w:left w:val="single" w:color="000000" w:sz="2" w:space="0"/>
            </w:tcBorders>
            <w:vAlign w:val="top"/>
          </w:tcPr>
          <w:p w14:paraId="4C697A2D">
            <w:pPr>
              <w:pStyle w:val="6"/>
              <w:spacing w:before="144" w:line="220" w:lineRule="auto"/>
              <w:ind w:left="109"/>
            </w:pPr>
            <w:r>
              <w:rPr>
                <w:spacing w:val="-2"/>
              </w:rPr>
              <w:t>求设置必要的贮存分区，避免不相容的危险废物接触、混合。</w:t>
            </w:r>
          </w:p>
          <w:p w14:paraId="16B3BCC4">
            <w:pPr>
              <w:pStyle w:val="6"/>
              <w:spacing w:before="149" w:line="286" w:lineRule="auto"/>
              <w:ind w:left="108" w:right="102" w:firstLine="419"/>
            </w:pPr>
            <w:r>
              <w:rPr>
                <w:rFonts w:ascii="Times New Roman" w:hAnsi="Times New Roman" w:eastAsia="Times New Roman" w:cs="Times New Roman"/>
                <w:spacing w:val="-1"/>
              </w:rPr>
              <w:t>6.1.3</w:t>
            </w:r>
            <w:r>
              <w:rPr>
                <w:spacing w:val="-1"/>
              </w:rPr>
              <w:t>贮存设施或贮存分区内地面、墙面裙脚、堵截泄漏的围堰、接触危险废物的隔</w:t>
            </w:r>
            <w:r>
              <w:t xml:space="preserve"> </w:t>
            </w:r>
            <w:r>
              <w:rPr>
                <w:spacing w:val="-2"/>
              </w:rPr>
              <w:t>板和墙体等应采用坚固的材料建造，表面无裂缝。</w:t>
            </w:r>
          </w:p>
          <w:p w14:paraId="380F8E91">
            <w:pPr>
              <w:pStyle w:val="6"/>
              <w:spacing w:before="149" w:line="328" w:lineRule="auto"/>
              <w:ind w:left="109" w:right="102" w:firstLine="419"/>
            </w:pPr>
            <w:r>
              <w:rPr>
                <w:rFonts w:ascii="Times New Roman" w:hAnsi="Times New Roman" w:eastAsia="Times New Roman" w:cs="Times New Roman"/>
                <w:spacing w:val="-1"/>
              </w:rPr>
              <w:t>6.1.4</w:t>
            </w:r>
            <w:r>
              <w:rPr>
                <w:spacing w:val="-1"/>
              </w:rPr>
              <w:t>贮存设施地面与裙脚应采取表面防渗措施；表面防渗材料应与所接触的物料或</w:t>
            </w:r>
            <w:r>
              <w:t xml:space="preserve"> </w:t>
            </w:r>
            <w:r>
              <w:rPr>
                <w:spacing w:val="-1"/>
              </w:rPr>
              <w:t>污染物相容，可采用抗渗混凝土、高密度聚乙烯膜、钠基膨润土防水毯或其他防渗</w:t>
            </w:r>
            <w:r>
              <w:rPr>
                <w:spacing w:val="-2"/>
              </w:rPr>
              <w:t>性能</w:t>
            </w:r>
            <w:r>
              <w:t xml:space="preserve"> 等效的材料。贮存的危险废物直接接触地面的，还应进行基础防</w:t>
            </w:r>
            <w:r>
              <w:rPr>
                <w:spacing w:val="-1"/>
              </w:rPr>
              <w:t>渗，防渗层为至少</w:t>
            </w:r>
            <w:r>
              <w:rPr>
                <w:rFonts w:ascii="Times New Roman" w:hAnsi="Times New Roman" w:eastAsia="Times New Roman" w:cs="Times New Roman"/>
                <w:spacing w:val="-1"/>
              </w:rPr>
              <w:t>1m</w:t>
            </w:r>
            <w:r>
              <w:rPr>
                <w:rFonts w:ascii="Times New Roman" w:hAnsi="Times New Roman" w:eastAsia="Times New Roman" w:cs="Times New Roman"/>
              </w:rPr>
              <w:t xml:space="preserve">   </w:t>
            </w:r>
            <w:r>
              <w:t>厚黏土层（渗透系数不大于</w:t>
            </w:r>
            <w:r>
              <w:rPr>
                <w:rFonts w:ascii="Times New Roman" w:hAnsi="Times New Roman" w:eastAsia="Times New Roman" w:cs="Times New Roman"/>
              </w:rPr>
              <w:t>10</w:t>
            </w:r>
            <w:r>
              <w:rPr>
                <w:rFonts w:hint="eastAsia" w:ascii="Times New Roman" w:hAnsi="Times New Roman" w:eastAsia="宋体" w:cs="Times New Roman"/>
                <w:lang w:eastAsia="zh-CN"/>
              </w:rPr>
              <w:t>～</w:t>
            </w:r>
            <w:r>
              <w:rPr>
                <w:rFonts w:ascii="Times New Roman" w:hAnsi="Times New Roman" w:eastAsia="Times New Roman" w:cs="Times New Roman"/>
                <w:position w:val="7"/>
                <w:sz w:val="14"/>
                <w:szCs w:val="14"/>
              </w:rPr>
              <w:t>7</w:t>
            </w:r>
            <w:r>
              <w:rPr>
                <w:rFonts w:ascii="Times New Roman" w:hAnsi="Times New Roman" w:eastAsia="Times New Roman" w:cs="Times New Roman"/>
              </w:rPr>
              <w:t>cm/s</w:t>
            </w:r>
            <w:r>
              <w:rPr>
                <w:spacing w:val="-4"/>
              </w:rPr>
              <w:t>），</w:t>
            </w:r>
            <w:r>
              <w:t>或至少</w:t>
            </w:r>
            <w:r>
              <w:rPr>
                <w:rFonts w:ascii="Times New Roman" w:hAnsi="Times New Roman" w:eastAsia="Times New Roman" w:cs="Times New Roman"/>
              </w:rPr>
              <w:t>2mm</w:t>
            </w:r>
            <w:r>
              <w:t>厚高密度聚乙烯膜等人工</w:t>
            </w:r>
            <w:r>
              <w:rPr>
                <w:spacing w:val="-1"/>
              </w:rPr>
              <w:t>防渗材料</w:t>
            </w:r>
            <w:r>
              <w:t xml:space="preserve"> </w:t>
            </w:r>
            <w:r>
              <w:rPr>
                <w:spacing w:val="-1"/>
              </w:rPr>
              <w:t>（渗透系数不大于</w:t>
            </w:r>
            <w:r>
              <w:rPr>
                <w:rFonts w:ascii="Times New Roman" w:hAnsi="Times New Roman" w:eastAsia="Times New Roman" w:cs="Times New Roman"/>
                <w:spacing w:val="-1"/>
              </w:rPr>
              <w:t>10</w:t>
            </w:r>
            <w:r>
              <w:rPr>
                <w:rFonts w:hint="eastAsia" w:ascii="Times New Roman" w:hAnsi="Times New Roman" w:eastAsia="宋体" w:cs="Times New Roman"/>
                <w:spacing w:val="-1"/>
                <w:lang w:eastAsia="zh-CN"/>
              </w:rPr>
              <w:t>～</w:t>
            </w:r>
            <w:r>
              <w:rPr>
                <w:rFonts w:ascii="Times New Roman" w:hAnsi="Times New Roman" w:eastAsia="Times New Roman" w:cs="Times New Roman"/>
                <w:spacing w:val="-1"/>
                <w:position w:val="7"/>
                <w:sz w:val="14"/>
                <w:szCs w:val="14"/>
              </w:rPr>
              <w:t>10</w:t>
            </w:r>
            <w:r>
              <w:rPr>
                <w:rFonts w:ascii="Times New Roman" w:hAnsi="Times New Roman" w:eastAsia="Times New Roman" w:cs="Times New Roman"/>
                <w:spacing w:val="-1"/>
              </w:rPr>
              <w:t>cm/s</w:t>
            </w:r>
            <w:r>
              <w:rPr>
                <w:spacing w:val="-2"/>
              </w:rPr>
              <w:t>），</w:t>
            </w:r>
            <w:r>
              <w:rPr>
                <w:spacing w:val="-1"/>
              </w:rPr>
              <w:t>或其他防渗性能</w:t>
            </w:r>
            <w:r>
              <w:rPr>
                <w:spacing w:val="-2"/>
              </w:rPr>
              <w:t>等效的材料。</w:t>
            </w:r>
          </w:p>
          <w:p w14:paraId="71E18AA8">
            <w:pPr>
              <w:pStyle w:val="6"/>
              <w:spacing w:before="137" w:line="307" w:lineRule="auto"/>
              <w:ind w:left="111" w:right="102" w:firstLine="417"/>
            </w:pPr>
            <w:r>
              <w:rPr>
                <w:rFonts w:ascii="Times New Roman" w:hAnsi="Times New Roman" w:eastAsia="Times New Roman" w:cs="Times New Roman"/>
                <w:spacing w:val="-1"/>
              </w:rPr>
              <w:t>6.1.5</w:t>
            </w:r>
            <w:r>
              <w:rPr>
                <w:spacing w:val="-1"/>
              </w:rPr>
              <w:t>同一贮存设施宜采用相同的防渗、防腐工艺（包括防渗、防腐结构或材料），</w:t>
            </w:r>
            <w:r>
              <w:t xml:space="preserve"> </w:t>
            </w:r>
            <w:r>
              <w:rPr>
                <w:spacing w:val="-5"/>
              </w:rPr>
              <w:t>防渗、防腐材料应覆盖所有可能与废物及其渗滤液、渗漏液等接触的构筑物表</w:t>
            </w:r>
            <w:r>
              <w:rPr>
                <w:spacing w:val="-6"/>
              </w:rPr>
              <w:t>面；</w:t>
            </w:r>
            <w:r>
              <w:rPr>
                <w:spacing w:val="47"/>
              </w:rPr>
              <w:t xml:space="preserve"> </w:t>
            </w:r>
            <w:r>
              <w:rPr>
                <w:spacing w:val="-6"/>
              </w:rPr>
              <w:t>采用</w:t>
            </w:r>
            <w:r>
              <w:t xml:space="preserve"> </w:t>
            </w:r>
            <w:r>
              <w:rPr>
                <w:spacing w:val="-3"/>
              </w:rPr>
              <w:t>不同防渗、防腐工艺应分别建设贮存分区。</w:t>
            </w:r>
          </w:p>
          <w:p w14:paraId="665AF07E">
            <w:pPr>
              <w:pStyle w:val="6"/>
              <w:spacing w:before="150" w:line="233" w:lineRule="auto"/>
              <w:ind w:left="528"/>
            </w:pPr>
            <w:r>
              <w:rPr>
                <w:rFonts w:ascii="Times New Roman" w:hAnsi="Times New Roman" w:eastAsia="Times New Roman" w:cs="Times New Roman"/>
                <w:spacing w:val="-2"/>
              </w:rPr>
              <w:t>6.1.6</w:t>
            </w:r>
            <w:r>
              <w:rPr>
                <w:spacing w:val="-2"/>
              </w:rPr>
              <w:t>贮存设施应采取技术和管理措施防止无关人员进入。</w:t>
            </w:r>
          </w:p>
          <w:p w14:paraId="5A6E2812">
            <w:pPr>
              <w:pStyle w:val="6"/>
              <w:spacing w:before="134" w:line="352" w:lineRule="auto"/>
              <w:ind w:left="107" w:right="102" w:firstLine="422"/>
            </w:pPr>
            <w:r>
              <w:rPr>
                <w:spacing w:val="-1"/>
              </w:rPr>
              <w:t>综上所述，本项目固体废物能够得到妥善处置，处理去向合理，对周围</w:t>
            </w:r>
            <w:r>
              <w:rPr>
                <w:spacing w:val="-2"/>
              </w:rPr>
              <w:t>环境造成的</w:t>
            </w:r>
            <w:r>
              <w:t xml:space="preserve"> </w:t>
            </w:r>
            <w:r>
              <w:rPr>
                <w:spacing w:val="-2"/>
              </w:rPr>
              <w:t>影响很小，其处理措施技术可行、经济合理。</w:t>
            </w:r>
          </w:p>
          <w:p w14:paraId="3D53CAF1">
            <w:pPr>
              <w:pStyle w:val="6"/>
              <w:spacing w:line="233" w:lineRule="auto"/>
              <w:ind w:left="106"/>
            </w:pPr>
            <w:r>
              <w:rPr>
                <w:rFonts w:ascii="Times New Roman" w:hAnsi="Times New Roman" w:eastAsia="Times New Roman" w:cs="Times New Roman"/>
                <w:b/>
                <w:bCs/>
                <w:spacing w:val="-4"/>
              </w:rPr>
              <w:t>5</w:t>
            </w:r>
            <w:r>
              <w:rPr>
                <w:rFonts w:ascii="Times New Roman" w:hAnsi="Times New Roman" w:eastAsia="Times New Roman" w:cs="Times New Roman"/>
                <w:b/>
                <w:bCs/>
                <w:spacing w:val="-13"/>
              </w:rPr>
              <w:t xml:space="preserve"> </w:t>
            </w:r>
            <w:r>
              <w:rPr>
                <w:b/>
                <w:bCs/>
                <w:spacing w:val="-4"/>
              </w:rPr>
              <w:t>、地下水、土壤污染防治措施及影响分析</w:t>
            </w:r>
          </w:p>
          <w:p w14:paraId="02131D99">
            <w:pPr>
              <w:pStyle w:val="6"/>
              <w:spacing w:before="135" w:line="233" w:lineRule="auto"/>
              <w:ind w:left="106"/>
            </w:pPr>
            <w:r>
              <w:rPr>
                <w:rFonts w:ascii="Times New Roman" w:hAnsi="Times New Roman" w:eastAsia="Times New Roman" w:cs="Times New Roman"/>
                <w:b/>
                <w:bCs/>
                <w:spacing w:val="-2"/>
              </w:rPr>
              <w:t>5.1</w:t>
            </w:r>
            <w:r>
              <w:rPr>
                <w:b/>
                <w:bCs/>
                <w:spacing w:val="-2"/>
              </w:rPr>
              <w:t>污染途径</w:t>
            </w:r>
          </w:p>
          <w:p w14:paraId="714F2D4A">
            <w:pPr>
              <w:pStyle w:val="6"/>
              <w:spacing w:before="133" w:line="352" w:lineRule="auto"/>
              <w:ind w:left="106" w:right="102" w:firstLine="422"/>
            </w:pPr>
            <w:r>
              <w:rPr>
                <w:spacing w:val="-1"/>
              </w:rPr>
              <w:t>本项目主要进行生物质成型燃料的生产，涉及使用的原料主要为木材边角</w:t>
            </w:r>
            <w:r>
              <w:rPr>
                <w:spacing w:val="-2"/>
              </w:rPr>
              <w:t>废料，产</w:t>
            </w:r>
            <w:r>
              <w:t xml:space="preserve"> </w:t>
            </w:r>
            <w:r>
              <w:rPr>
                <w:spacing w:val="-1"/>
              </w:rPr>
              <w:t>品为生物质成型燃料，贮存在标准化厂房内，不会对区域地下水及土壤造成污染影响。</w:t>
            </w:r>
            <w:r>
              <w:rPr>
                <w:spacing w:val="1"/>
              </w:rPr>
              <w:t xml:space="preserve"> </w:t>
            </w:r>
            <w:r>
              <w:rPr>
                <w:spacing w:val="-1"/>
              </w:rPr>
              <w:t>但营运过程危废间暂存的废矿物油等，一旦泄漏易对地下水、土壤环境造成污染影响。</w:t>
            </w:r>
          </w:p>
          <w:p w14:paraId="20F8D3B7">
            <w:pPr>
              <w:pStyle w:val="6"/>
              <w:spacing w:line="234" w:lineRule="auto"/>
              <w:ind w:left="106"/>
            </w:pPr>
            <w:r>
              <w:rPr>
                <w:rFonts w:ascii="Times New Roman" w:hAnsi="Times New Roman" w:eastAsia="Times New Roman" w:cs="Times New Roman"/>
                <w:b/>
                <w:bCs/>
                <w:spacing w:val="-2"/>
              </w:rPr>
              <w:t>5.2</w:t>
            </w:r>
            <w:r>
              <w:rPr>
                <w:b/>
                <w:bCs/>
                <w:spacing w:val="-2"/>
              </w:rPr>
              <w:t>防治措施</w:t>
            </w:r>
          </w:p>
          <w:p w14:paraId="45BC41A3">
            <w:pPr>
              <w:pStyle w:val="6"/>
              <w:spacing w:before="135" w:line="217" w:lineRule="auto"/>
              <w:ind w:left="526"/>
            </w:pPr>
            <w:r>
              <w:rPr>
                <w:spacing w:val="-1"/>
              </w:rPr>
              <w:t>①源头控制措施</w:t>
            </w:r>
          </w:p>
          <w:p w14:paraId="1FAA2DCC">
            <w:pPr>
              <w:pStyle w:val="6"/>
              <w:spacing w:before="151" w:line="352" w:lineRule="auto"/>
              <w:ind w:left="107" w:right="103" w:firstLine="423"/>
              <w:jc w:val="both"/>
            </w:pPr>
            <w:r>
              <w:rPr>
                <w:spacing w:val="-1"/>
              </w:rPr>
              <w:t>项目应根据国家现行相关规范加强环境管理，采取防止和降低污染</w:t>
            </w:r>
            <w:r>
              <w:rPr>
                <w:spacing w:val="-2"/>
              </w:rPr>
              <w:t>物跑、冒、滴、</w:t>
            </w:r>
            <w:r>
              <w:t xml:space="preserve"> </w:t>
            </w:r>
            <w:r>
              <w:rPr>
                <w:spacing w:val="-1"/>
              </w:rPr>
              <w:t>漏的措施。正常生产过程中应加强巡检及时处理污染物跑、冒、滴、漏。同时应加</w:t>
            </w:r>
            <w:r>
              <w:rPr>
                <w:spacing w:val="-2"/>
              </w:rPr>
              <w:t>强对</w:t>
            </w:r>
            <w:r>
              <w:t xml:space="preserve"> </w:t>
            </w:r>
            <w:r>
              <w:rPr>
                <w:spacing w:val="-1"/>
              </w:rPr>
              <w:t>防渗工程的检查，若发现防渗密封材料老化或损坏，应及时维修更换；对工艺、设</w:t>
            </w:r>
            <w:r>
              <w:rPr>
                <w:spacing w:val="-2"/>
              </w:rPr>
              <w:t>备、</w:t>
            </w:r>
            <w:r>
              <w:t xml:space="preserve"> </w:t>
            </w:r>
            <w:r>
              <w:rPr>
                <w:spacing w:val="-5"/>
              </w:rPr>
              <w:t>危废暂存间采取控制措施，防止污染物的跑、冒、滴、漏，</w:t>
            </w:r>
            <w:r>
              <w:rPr>
                <w:spacing w:val="47"/>
              </w:rPr>
              <w:t xml:space="preserve"> </w:t>
            </w:r>
            <w:r>
              <w:rPr>
                <w:spacing w:val="-5"/>
              </w:rPr>
              <w:t>将污染物泄漏的环境风</w:t>
            </w:r>
            <w:r>
              <w:rPr>
                <w:spacing w:val="-6"/>
              </w:rPr>
              <w:t>险事</w:t>
            </w:r>
            <w:r>
              <w:t xml:space="preserve"> </w:t>
            </w:r>
            <w:r>
              <w:rPr>
                <w:spacing w:val="-5"/>
              </w:rPr>
              <w:t>故降到最低限度。</w:t>
            </w:r>
          </w:p>
          <w:p w14:paraId="4A31269D">
            <w:pPr>
              <w:pStyle w:val="6"/>
              <w:spacing w:before="1" w:line="217" w:lineRule="auto"/>
              <w:ind w:left="526"/>
            </w:pPr>
            <w:r>
              <w:rPr>
                <w:spacing w:val="-1"/>
              </w:rPr>
              <w:t>②分区防治措施</w:t>
            </w:r>
          </w:p>
          <w:p w14:paraId="35B9EA39">
            <w:pPr>
              <w:pStyle w:val="6"/>
              <w:spacing w:before="153" w:line="353" w:lineRule="auto"/>
              <w:ind w:left="106" w:right="102" w:firstLine="420"/>
            </w:pPr>
            <w:r>
              <w:rPr>
                <w:spacing w:val="-1"/>
              </w:rPr>
              <w:t>根据各生产单元可能泄漏至地面区域的污染物性质和生产单元的构筑方式，将</w:t>
            </w:r>
            <w:r>
              <w:rPr>
                <w:spacing w:val="-2"/>
              </w:rPr>
              <w:t>厂区</w:t>
            </w:r>
            <w:r>
              <w:t xml:space="preserve"> </w:t>
            </w:r>
            <w:r>
              <w:rPr>
                <w:spacing w:val="-2"/>
              </w:rPr>
              <w:t>划分为重点防渗区、一般防渗区、简单防渗区，并采取对应的措施，详见下表：</w:t>
            </w:r>
          </w:p>
        </w:tc>
      </w:tr>
    </w:tbl>
    <w:p w14:paraId="23AD4222">
      <w:pPr>
        <w:rPr>
          <w:rFonts w:ascii="Arial"/>
          <w:sz w:val="21"/>
        </w:rPr>
      </w:pPr>
    </w:p>
    <w:p w14:paraId="7D5AACBC">
      <w:pPr>
        <w:rPr>
          <w:rFonts w:ascii="Arial" w:hAnsi="Arial" w:eastAsia="Arial" w:cs="Arial"/>
          <w:sz w:val="21"/>
          <w:szCs w:val="21"/>
        </w:rPr>
        <w:sectPr>
          <w:footerReference r:id="rId70" w:type="default"/>
          <w:pgSz w:w="11908" w:h="16840"/>
          <w:pgMar w:top="1431" w:right="1489" w:bottom="1053" w:left="1489" w:header="0" w:footer="801" w:gutter="0"/>
          <w:cols w:space="720" w:num="1"/>
        </w:sectPr>
      </w:pPr>
    </w:p>
    <w:p w14:paraId="0AA1CE46">
      <w:pPr>
        <w:spacing w:before="28"/>
      </w:pPr>
    </w:p>
    <w:tbl>
      <w:tblPr>
        <w:tblStyle w:val="5"/>
        <w:tblW w:w="891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62"/>
        <w:gridCol w:w="47"/>
        <w:gridCol w:w="583"/>
        <w:gridCol w:w="1254"/>
        <w:gridCol w:w="720"/>
        <w:gridCol w:w="903"/>
        <w:gridCol w:w="597"/>
        <w:gridCol w:w="1069"/>
        <w:gridCol w:w="809"/>
        <w:gridCol w:w="958"/>
        <w:gridCol w:w="1040"/>
        <w:gridCol w:w="20"/>
        <w:gridCol w:w="101"/>
      </w:tblGrid>
      <w:tr w14:paraId="46A0F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50" w:type="dxa"/>
            <w:vMerge w:val="restart"/>
            <w:tcBorders>
              <w:left w:val="single" w:color="000000" w:sz="6" w:space="0"/>
              <w:bottom w:val="nil"/>
            </w:tcBorders>
            <w:vAlign w:val="top"/>
          </w:tcPr>
          <w:p w14:paraId="3661FCDE">
            <w:pPr>
              <w:rPr>
                <w:rFonts w:ascii="Arial"/>
                <w:sz w:val="21"/>
              </w:rPr>
            </w:pPr>
          </w:p>
        </w:tc>
        <w:tc>
          <w:tcPr>
            <w:tcW w:w="8163" w:type="dxa"/>
            <w:gridSpan w:val="13"/>
            <w:tcBorders>
              <w:right w:val="single" w:color="000000" w:sz="6" w:space="0"/>
            </w:tcBorders>
            <w:vAlign w:val="top"/>
          </w:tcPr>
          <w:p w14:paraId="706FFB0E">
            <w:pPr>
              <w:pStyle w:val="6"/>
              <w:spacing w:before="153" w:line="227" w:lineRule="auto"/>
              <w:ind w:left="2643"/>
              <w:rPr>
                <w:sz w:val="20"/>
                <w:szCs w:val="20"/>
              </w:rPr>
            </w:pPr>
            <w:r>
              <w:rPr>
                <w:b/>
                <w:bCs/>
                <w:spacing w:val="-1"/>
                <w:sz w:val="20"/>
                <w:szCs w:val="20"/>
              </w:rPr>
              <w:t>表</w:t>
            </w:r>
            <w:r>
              <w:rPr>
                <w:rFonts w:ascii="Times New Roman" w:hAnsi="Times New Roman" w:eastAsia="Times New Roman" w:cs="Times New Roman"/>
                <w:b/>
                <w:bCs/>
                <w:spacing w:val="-1"/>
                <w:sz w:val="20"/>
                <w:szCs w:val="20"/>
              </w:rPr>
              <w:t xml:space="preserve">4-17          </w:t>
            </w:r>
            <w:r>
              <w:rPr>
                <w:b/>
                <w:bCs/>
                <w:spacing w:val="-1"/>
                <w:sz w:val="20"/>
                <w:szCs w:val="20"/>
              </w:rPr>
              <w:t>项目分区防渗一览表</w:t>
            </w:r>
          </w:p>
        </w:tc>
      </w:tr>
      <w:tr w14:paraId="0A109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750" w:type="dxa"/>
            <w:vMerge w:val="continue"/>
            <w:tcBorders>
              <w:top w:val="nil"/>
              <w:left w:val="single" w:color="000000" w:sz="6" w:space="0"/>
              <w:bottom w:val="nil"/>
            </w:tcBorders>
            <w:vAlign w:val="top"/>
          </w:tcPr>
          <w:p w14:paraId="075A6850">
            <w:pPr>
              <w:rPr>
                <w:rFonts w:ascii="Arial"/>
                <w:sz w:val="21"/>
              </w:rPr>
            </w:pPr>
          </w:p>
        </w:tc>
        <w:tc>
          <w:tcPr>
            <w:tcW w:w="109" w:type="dxa"/>
            <w:gridSpan w:val="2"/>
            <w:tcBorders>
              <w:right w:val="single" w:color="000000" w:sz="8" w:space="0"/>
            </w:tcBorders>
            <w:vAlign w:val="top"/>
          </w:tcPr>
          <w:p w14:paraId="7DF3B117">
            <w:pPr>
              <w:rPr>
                <w:rFonts w:ascii="Arial"/>
                <w:sz w:val="21"/>
              </w:rPr>
            </w:pPr>
          </w:p>
        </w:tc>
        <w:tc>
          <w:tcPr>
            <w:tcW w:w="583" w:type="dxa"/>
            <w:tcBorders>
              <w:left w:val="single" w:color="000000" w:sz="8" w:space="0"/>
            </w:tcBorders>
            <w:vAlign w:val="top"/>
          </w:tcPr>
          <w:p w14:paraId="01F4F901">
            <w:pPr>
              <w:pStyle w:val="6"/>
              <w:spacing w:before="107" w:line="221" w:lineRule="auto"/>
              <w:ind w:left="95"/>
              <w:rPr>
                <w:sz w:val="18"/>
                <w:szCs w:val="18"/>
              </w:rPr>
            </w:pPr>
            <w:r>
              <w:rPr>
                <w:spacing w:val="-2"/>
                <w:sz w:val="18"/>
                <w:szCs w:val="18"/>
              </w:rPr>
              <w:t>序号</w:t>
            </w:r>
          </w:p>
        </w:tc>
        <w:tc>
          <w:tcPr>
            <w:tcW w:w="1254" w:type="dxa"/>
            <w:vAlign w:val="top"/>
          </w:tcPr>
          <w:p w14:paraId="7C1601BA">
            <w:pPr>
              <w:pStyle w:val="6"/>
              <w:spacing w:before="108" w:line="220" w:lineRule="auto"/>
              <w:ind w:left="264"/>
              <w:rPr>
                <w:sz w:val="18"/>
                <w:szCs w:val="18"/>
              </w:rPr>
            </w:pPr>
            <w:r>
              <w:rPr>
                <w:spacing w:val="-4"/>
                <w:sz w:val="18"/>
                <w:szCs w:val="18"/>
              </w:rPr>
              <w:t>防渗分区</w:t>
            </w:r>
          </w:p>
        </w:tc>
        <w:tc>
          <w:tcPr>
            <w:tcW w:w="1623" w:type="dxa"/>
            <w:gridSpan w:val="2"/>
            <w:vAlign w:val="top"/>
          </w:tcPr>
          <w:p w14:paraId="05EEE9FE">
            <w:pPr>
              <w:pStyle w:val="6"/>
              <w:spacing w:before="108" w:line="220" w:lineRule="auto"/>
              <w:ind w:left="443"/>
              <w:rPr>
                <w:sz w:val="18"/>
                <w:szCs w:val="18"/>
              </w:rPr>
            </w:pPr>
            <w:r>
              <w:rPr>
                <w:spacing w:val="-2"/>
                <w:sz w:val="18"/>
                <w:szCs w:val="18"/>
              </w:rPr>
              <w:t>具体范围</w:t>
            </w:r>
          </w:p>
        </w:tc>
        <w:tc>
          <w:tcPr>
            <w:tcW w:w="4473" w:type="dxa"/>
            <w:gridSpan w:val="5"/>
            <w:vAlign w:val="top"/>
          </w:tcPr>
          <w:p w14:paraId="20DF8F90">
            <w:pPr>
              <w:pStyle w:val="6"/>
              <w:spacing w:before="108" w:line="220" w:lineRule="auto"/>
              <w:ind w:left="1889"/>
              <w:rPr>
                <w:sz w:val="18"/>
                <w:szCs w:val="18"/>
              </w:rPr>
            </w:pPr>
            <w:r>
              <w:rPr>
                <w:spacing w:val="-4"/>
                <w:sz w:val="18"/>
                <w:szCs w:val="18"/>
              </w:rPr>
              <w:t>防渗措施</w:t>
            </w:r>
          </w:p>
        </w:tc>
        <w:tc>
          <w:tcPr>
            <w:tcW w:w="121" w:type="dxa"/>
            <w:gridSpan w:val="2"/>
            <w:vMerge w:val="restart"/>
            <w:tcBorders>
              <w:top w:val="nil"/>
              <w:bottom w:val="nil"/>
              <w:right w:val="single" w:color="000000" w:sz="6" w:space="0"/>
            </w:tcBorders>
            <w:vAlign w:val="top"/>
          </w:tcPr>
          <w:p w14:paraId="65036F72">
            <w:pPr>
              <w:rPr>
                <w:rFonts w:ascii="Arial"/>
                <w:sz w:val="21"/>
              </w:rPr>
            </w:pPr>
          </w:p>
        </w:tc>
      </w:tr>
      <w:tr w14:paraId="23B70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750" w:type="dxa"/>
            <w:vMerge w:val="continue"/>
            <w:tcBorders>
              <w:top w:val="nil"/>
              <w:left w:val="single" w:color="000000" w:sz="6" w:space="0"/>
              <w:bottom w:val="nil"/>
            </w:tcBorders>
            <w:vAlign w:val="top"/>
          </w:tcPr>
          <w:p w14:paraId="0B592DB8">
            <w:pPr>
              <w:rPr>
                <w:rFonts w:ascii="Arial"/>
                <w:sz w:val="21"/>
              </w:rPr>
            </w:pPr>
          </w:p>
        </w:tc>
        <w:tc>
          <w:tcPr>
            <w:tcW w:w="109" w:type="dxa"/>
            <w:gridSpan w:val="2"/>
            <w:tcBorders>
              <w:right w:val="single" w:color="000000" w:sz="8" w:space="0"/>
            </w:tcBorders>
            <w:vAlign w:val="top"/>
          </w:tcPr>
          <w:p w14:paraId="0C83E79E">
            <w:pPr>
              <w:rPr>
                <w:rFonts w:ascii="Arial"/>
                <w:sz w:val="21"/>
              </w:rPr>
            </w:pPr>
          </w:p>
        </w:tc>
        <w:tc>
          <w:tcPr>
            <w:tcW w:w="583" w:type="dxa"/>
            <w:tcBorders>
              <w:left w:val="single" w:color="000000" w:sz="8" w:space="0"/>
            </w:tcBorders>
            <w:vAlign w:val="top"/>
          </w:tcPr>
          <w:p w14:paraId="42780821">
            <w:pPr>
              <w:spacing w:line="467" w:lineRule="auto"/>
              <w:rPr>
                <w:rFonts w:ascii="Arial"/>
                <w:sz w:val="21"/>
              </w:rPr>
            </w:pPr>
          </w:p>
          <w:p w14:paraId="4C674D48">
            <w:pPr>
              <w:spacing w:before="51" w:line="235" w:lineRule="auto"/>
              <w:ind w:left="245"/>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254" w:type="dxa"/>
            <w:vAlign w:val="top"/>
          </w:tcPr>
          <w:p w14:paraId="09A1150A">
            <w:pPr>
              <w:spacing w:line="431" w:lineRule="auto"/>
              <w:rPr>
                <w:rFonts w:ascii="Arial"/>
                <w:sz w:val="21"/>
              </w:rPr>
            </w:pPr>
          </w:p>
          <w:p w14:paraId="602143B1">
            <w:pPr>
              <w:pStyle w:val="6"/>
              <w:spacing w:before="58" w:line="220" w:lineRule="auto"/>
              <w:ind w:left="254"/>
              <w:rPr>
                <w:sz w:val="18"/>
                <w:szCs w:val="18"/>
              </w:rPr>
            </w:pPr>
            <w:r>
              <w:rPr>
                <w:spacing w:val="-2"/>
                <w:sz w:val="18"/>
                <w:szCs w:val="18"/>
              </w:rPr>
              <w:t>重点防渗</w:t>
            </w:r>
          </w:p>
        </w:tc>
        <w:tc>
          <w:tcPr>
            <w:tcW w:w="1623" w:type="dxa"/>
            <w:gridSpan w:val="2"/>
            <w:vAlign w:val="top"/>
          </w:tcPr>
          <w:p w14:paraId="337131F0">
            <w:pPr>
              <w:spacing w:line="430" w:lineRule="auto"/>
              <w:rPr>
                <w:rFonts w:ascii="Arial"/>
                <w:sz w:val="21"/>
              </w:rPr>
            </w:pPr>
          </w:p>
          <w:p w14:paraId="63A0CD09">
            <w:pPr>
              <w:pStyle w:val="6"/>
              <w:spacing w:before="58" w:line="220" w:lineRule="auto"/>
              <w:ind w:left="351"/>
              <w:rPr>
                <w:sz w:val="18"/>
                <w:szCs w:val="18"/>
              </w:rPr>
            </w:pPr>
            <w:r>
              <w:rPr>
                <w:spacing w:val="-2"/>
                <w:sz w:val="18"/>
                <w:szCs w:val="18"/>
              </w:rPr>
              <w:t>危废暂存间</w:t>
            </w:r>
          </w:p>
        </w:tc>
        <w:tc>
          <w:tcPr>
            <w:tcW w:w="4473" w:type="dxa"/>
            <w:gridSpan w:val="5"/>
            <w:vAlign w:val="top"/>
          </w:tcPr>
          <w:p w14:paraId="3D892F7E">
            <w:pPr>
              <w:pStyle w:val="6"/>
              <w:spacing w:before="71" w:line="233" w:lineRule="auto"/>
              <w:ind w:left="18"/>
              <w:rPr>
                <w:rFonts w:ascii="Times New Roman" w:hAnsi="Times New Roman" w:eastAsia="Times New Roman" w:cs="Times New Roman"/>
                <w:sz w:val="18"/>
                <w:szCs w:val="18"/>
              </w:rPr>
            </w:pPr>
            <w:r>
              <w:rPr>
                <w:spacing w:val="-1"/>
                <w:sz w:val="18"/>
                <w:szCs w:val="18"/>
              </w:rPr>
              <w:t>在现有混凝土地面的基础上再采用</w:t>
            </w:r>
            <w:r>
              <w:rPr>
                <w:spacing w:val="-48"/>
                <w:sz w:val="18"/>
                <w:szCs w:val="18"/>
              </w:rPr>
              <w:t xml:space="preserve"> </w:t>
            </w:r>
            <w:r>
              <w:rPr>
                <w:rFonts w:ascii="Times New Roman" w:hAnsi="Times New Roman" w:eastAsia="Times New Roman" w:cs="Times New Roman"/>
                <w:spacing w:val="-1"/>
                <w:sz w:val="18"/>
                <w:szCs w:val="18"/>
              </w:rPr>
              <w:t>2mmHDPE</w:t>
            </w:r>
            <w:r>
              <w:rPr>
                <w:rFonts w:ascii="Times New Roman" w:hAnsi="Times New Roman" w:eastAsia="Times New Roman" w:cs="Times New Roman"/>
                <w:spacing w:val="12"/>
                <w:w w:val="101"/>
                <w:sz w:val="18"/>
                <w:szCs w:val="18"/>
              </w:rPr>
              <w:t xml:space="preserve"> </w:t>
            </w:r>
            <w:r>
              <w:rPr>
                <w:spacing w:val="-1"/>
                <w:sz w:val="18"/>
                <w:szCs w:val="18"/>
              </w:rPr>
              <w:t>防渗</w:t>
            </w:r>
            <w:r>
              <w:rPr>
                <w:spacing w:val="-2"/>
                <w:sz w:val="18"/>
                <w:szCs w:val="18"/>
              </w:rPr>
              <w:t>材料</w:t>
            </w:r>
            <w:r>
              <w:rPr>
                <w:rFonts w:ascii="Times New Roman" w:hAnsi="Times New Roman" w:eastAsia="Times New Roman" w:cs="Times New Roman"/>
                <w:spacing w:val="-2"/>
                <w:sz w:val="18"/>
                <w:szCs w:val="18"/>
              </w:rPr>
              <w:t>+</w:t>
            </w:r>
          </w:p>
          <w:p w14:paraId="2AC41045">
            <w:pPr>
              <w:pStyle w:val="6"/>
              <w:spacing w:before="52" w:line="233" w:lineRule="auto"/>
              <w:ind w:left="38"/>
              <w:rPr>
                <w:sz w:val="18"/>
                <w:szCs w:val="18"/>
              </w:rPr>
            </w:pPr>
            <w:r>
              <w:rPr>
                <w:spacing w:val="-1"/>
                <w:sz w:val="18"/>
                <w:szCs w:val="18"/>
              </w:rPr>
              <w:t>防渗混凝土</w:t>
            </w:r>
            <w:r>
              <w:rPr>
                <w:rFonts w:ascii="Times New Roman" w:hAnsi="Times New Roman" w:eastAsia="Times New Roman" w:cs="Times New Roman"/>
                <w:spacing w:val="-1"/>
                <w:sz w:val="18"/>
                <w:szCs w:val="18"/>
              </w:rPr>
              <w:t>+</w:t>
            </w:r>
            <w:r>
              <w:rPr>
                <w:spacing w:val="-1"/>
                <w:sz w:val="18"/>
                <w:szCs w:val="18"/>
              </w:rPr>
              <w:t>环氧地坪防腐措施进行防渗，其防渗性能满</w:t>
            </w:r>
          </w:p>
          <w:p w14:paraId="7F133CCB">
            <w:pPr>
              <w:pStyle w:val="6"/>
              <w:spacing w:before="53" w:line="233" w:lineRule="auto"/>
              <w:ind w:left="61"/>
              <w:rPr>
                <w:sz w:val="18"/>
                <w:szCs w:val="18"/>
              </w:rPr>
            </w:pPr>
            <w:r>
              <w:rPr>
                <w:sz w:val="18"/>
                <w:szCs w:val="18"/>
              </w:rPr>
              <w:t>足等效粘土防渗层厚度</w:t>
            </w:r>
            <w:r>
              <w:rPr>
                <w:rFonts w:ascii="Times New Roman" w:hAnsi="Times New Roman" w:eastAsia="Times New Roman" w:cs="Times New Roman"/>
                <w:sz w:val="18"/>
                <w:szCs w:val="18"/>
              </w:rPr>
              <w:t>≥6.0m</w:t>
            </w:r>
            <w:r>
              <w:rPr>
                <w:sz w:val="18"/>
                <w:szCs w:val="18"/>
              </w:rPr>
              <w:t>，渗透系数</w:t>
            </w:r>
            <w:r>
              <w:rPr>
                <w:rFonts w:ascii="Times New Roman" w:hAnsi="Times New Roman" w:eastAsia="Times New Roman" w:cs="Times New Roman"/>
                <w:sz w:val="18"/>
                <w:szCs w:val="18"/>
              </w:rPr>
              <w:t>≤1×</w:t>
            </w:r>
            <w:r>
              <w:rPr>
                <w:rFonts w:ascii="Times New Roman" w:hAnsi="Times New Roman" w:eastAsia="Times New Roman" w:cs="Times New Roman"/>
                <w:spacing w:val="-1"/>
                <w:sz w:val="18"/>
                <w:szCs w:val="18"/>
              </w:rPr>
              <w:t>10</w:t>
            </w:r>
            <w:r>
              <w:rPr>
                <w:rFonts w:hint="eastAsia" w:ascii="Times New Roman" w:hAnsi="Times New Roman" w:eastAsia="宋体" w:cs="Times New Roman"/>
                <w:spacing w:val="-1"/>
                <w:sz w:val="18"/>
                <w:szCs w:val="18"/>
                <w:lang w:eastAsia="zh-CN"/>
              </w:rPr>
              <w:t>～</w:t>
            </w:r>
            <w:r>
              <w:rPr>
                <w:rFonts w:ascii="Times New Roman" w:hAnsi="Times New Roman" w:eastAsia="Times New Roman" w:cs="Times New Roman"/>
                <w:spacing w:val="-1"/>
                <w:position w:val="5"/>
                <w:sz w:val="12"/>
                <w:szCs w:val="12"/>
              </w:rPr>
              <w:t>10</w:t>
            </w:r>
            <w:r>
              <w:rPr>
                <w:rFonts w:ascii="Times New Roman" w:hAnsi="Times New Roman" w:eastAsia="Times New Roman" w:cs="Times New Roman"/>
                <w:spacing w:val="-1"/>
                <w:sz w:val="18"/>
                <w:szCs w:val="18"/>
              </w:rPr>
              <w:t>cm/s</w:t>
            </w:r>
            <w:r>
              <w:rPr>
                <w:rFonts w:ascii="Times New Roman" w:hAnsi="Times New Roman" w:eastAsia="Times New Roman" w:cs="Times New Roman"/>
                <w:spacing w:val="20"/>
                <w:w w:val="101"/>
                <w:sz w:val="18"/>
                <w:szCs w:val="18"/>
              </w:rPr>
              <w:t xml:space="preserve"> </w:t>
            </w:r>
            <w:r>
              <w:rPr>
                <w:spacing w:val="-1"/>
                <w:sz w:val="18"/>
                <w:szCs w:val="18"/>
              </w:rPr>
              <w:t>的</w:t>
            </w:r>
          </w:p>
          <w:p w14:paraId="004F9330">
            <w:pPr>
              <w:pStyle w:val="6"/>
              <w:spacing w:before="53" w:line="207" w:lineRule="auto"/>
              <w:ind w:left="194"/>
              <w:rPr>
                <w:sz w:val="18"/>
                <w:szCs w:val="18"/>
              </w:rPr>
            </w:pPr>
            <w:r>
              <w:rPr>
                <w:spacing w:val="-2"/>
                <w:sz w:val="18"/>
                <w:szCs w:val="18"/>
              </w:rPr>
              <w:t>等效防渗层。废矿物油贮存区设置</w:t>
            </w:r>
            <w:r>
              <w:rPr>
                <w:spacing w:val="-19"/>
                <w:sz w:val="18"/>
                <w:szCs w:val="18"/>
              </w:rPr>
              <w:t xml:space="preserve"> </w:t>
            </w:r>
            <w:r>
              <w:rPr>
                <w:rFonts w:ascii="Times New Roman" w:hAnsi="Times New Roman" w:eastAsia="Times New Roman" w:cs="Times New Roman"/>
                <w:spacing w:val="-2"/>
                <w:sz w:val="18"/>
                <w:szCs w:val="18"/>
              </w:rPr>
              <w:t>10cm</w:t>
            </w:r>
            <w:r>
              <w:rPr>
                <w:rFonts w:ascii="Times New Roman" w:hAnsi="Times New Roman" w:eastAsia="Times New Roman" w:cs="Times New Roman"/>
                <w:spacing w:val="12"/>
                <w:w w:val="101"/>
                <w:sz w:val="18"/>
                <w:szCs w:val="18"/>
              </w:rPr>
              <w:t xml:space="preserve"> </w:t>
            </w:r>
            <w:r>
              <w:rPr>
                <w:spacing w:val="-2"/>
                <w:sz w:val="18"/>
                <w:szCs w:val="18"/>
              </w:rPr>
              <w:t>高防渗围堰</w:t>
            </w:r>
          </w:p>
        </w:tc>
        <w:tc>
          <w:tcPr>
            <w:tcW w:w="121" w:type="dxa"/>
            <w:gridSpan w:val="2"/>
            <w:vMerge w:val="continue"/>
            <w:tcBorders>
              <w:top w:val="nil"/>
              <w:bottom w:val="nil"/>
              <w:right w:val="single" w:color="000000" w:sz="6" w:space="0"/>
            </w:tcBorders>
            <w:vAlign w:val="top"/>
          </w:tcPr>
          <w:p w14:paraId="5AB4019F">
            <w:pPr>
              <w:rPr>
                <w:rFonts w:ascii="Arial"/>
                <w:sz w:val="21"/>
              </w:rPr>
            </w:pPr>
          </w:p>
        </w:tc>
      </w:tr>
      <w:tr w14:paraId="0809C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50" w:type="dxa"/>
            <w:vMerge w:val="continue"/>
            <w:tcBorders>
              <w:top w:val="nil"/>
              <w:left w:val="single" w:color="000000" w:sz="6" w:space="0"/>
              <w:bottom w:val="nil"/>
            </w:tcBorders>
            <w:vAlign w:val="top"/>
          </w:tcPr>
          <w:p w14:paraId="0559E896">
            <w:pPr>
              <w:rPr>
                <w:rFonts w:ascii="Arial"/>
                <w:sz w:val="21"/>
              </w:rPr>
            </w:pPr>
          </w:p>
        </w:tc>
        <w:tc>
          <w:tcPr>
            <w:tcW w:w="109" w:type="dxa"/>
            <w:gridSpan w:val="2"/>
            <w:tcBorders>
              <w:right w:val="single" w:color="000000" w:sz="8" w:space="0"/>
            </w:tcBorders>
            <w:vAlign w:val="top"/>
          </w:tcPr>
          <w:p w14:paraId="764D0BBA">
            <w:pPr>
              <w:rPr>
                <w:rFonts w:ascii="Arial"/>
                <w:sz w:val="21"/>
              </w:rPr>
            </w:pPr>
          </w:p>
        </w:tc>
        <w:tc>
          <w:tcPr>
            <w:tcW w:w="583" w:type="dxa"/>
            <w:tcBorders>
              <w:left w:val="single" w:color="000000" w:sz="8" w:space="0"/>
            </w:tcBorders>
            <w:vAlign w:val="top"/>
          </w:tcPr>
          <w:p w14:paraId="308C419A">
            <w:pPr>
              <w:spacing w:before="101" w:line="201" w:lineRule="auto"/>
              <w:ind w:left="228"/>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254" w:type="dxa"/>
            <w:vAlign w:val="top"/>
          </w:tcPr>
          <w:p w14:paraId="46E8FF66">
            <w:pPr>
              <w:pStyle w:val="6"/>
              <w:spacing w:before="72" w:line="208" w:lineRule="auto"/>
              <w:ind w:left="166"/>
              <w:rPr>
                <w:sz w:val="18"/>
                <w:szCs w:val="18"/>
              </w:rPr>
            </w:pPr>
            <w:r>
              <w:rPr>
                <w:spacing w:val="-2"/>
                <w:sz w:val="18"/>
                <w:szCs w:val="18"/>
              </w:rPr>
              <w:t>一般防渗区</w:t>
            </w:r>
          </w:p>
        </w:tc>
        <w:tc>
          <w:tcPr>
            <w:tcW w:w="1623" w:type="dxa"/>
            <w:gridSpan w:val="2"/>
            <w:vAlign w:val="top"/>
          </w:tcPr>
          <w:p w14:paraId="3BCB95C9">
            <w:pPr>
              <w:pStyle w:val="6"/>
              <w:spacing w:before="72" w:line="208" w:lineRule="auto"/>
              <w:ind w:left="440"/>
              <w:rPr>
                <w:sz w:val="18"/>
                <w:szCs w:val="18"/>
              </w:rPr>
            </w:pPr>
            <w:r>
              <w:rPr>
                <w:spacing w:val="-2"/>
                <w:sz w:val="18"/>
                <w:szCs w:val="18"/>
              </w:rPr>
              <w:t>生产车间</w:t>
            </w:r>
          </w:p>
        </w:tc>
        <w:tc>
          <w:tcPr>
            <w:tcW w:w="4473" w:type="dxa"/>
            <w:gridSpan w:val="5"/>
            <w:vAlign w:val="top"/>
          </w:tcPr>
          <w:p w14:paraId="16D8B4B8">
            <w:pPr>
              <w:pStyle w:val="6"/>
              <w:spacing w:before="72" w:line="208" w:lineRule="auto"/>
              <w:ind w:left="1248"/>
              <w:rPr>
                <w:sz w:val="18"/>
                <w:szCs w:val="18"/>
              </w:rPr>
            </w:pPr>
            <w:r>
              <w:rPr>
                <w:spacing w:val="-1"/>
                <w:sz w:val="18"/>
                <w:szCs w:val="18"/>
              </w:rPr>
              <w:t>利用现有防渗混凝土地面</w:t>
            </w:r>
          </w:p>
        </w:tc>
        <w:tc>
          <w:tcPr>
            <w:tcW w:w="121" w:type="dxa"/>
            <w:gridSpan w:val="2"/>
            <w:vMerge w:val="continue"/>
            <w:tcBorders>
              <w:top w:val="nil"/>
              <w:bottom w:val="nil"/>
              <w:right w:val="single" w:color="000000" w:sz="6" w:space="0"/>
            </w:tcBorders>
            <w:vAlign w:val="top"/>
          </w:tcPr>
          <w:p w14:paraId="02213921">
            <w:pPr>
              <w:rPr>
                <w:rFonts w:ascii="Arial"/>
                <w:sz w:val="21"/>
              </w:rPr>
            </w:pPr>
          </w:p>
        </w:tc>
      </w:tr>
      <w:tr w14:paraId="1E503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50" w:type="dxa"/>
            <w:vMerge w:val="continue"/>
            <w:tcBorders>
              <w:top w:val="nil"/>
              <w:left w:val="single" w:color="000000" w:sz="6" w:space="0"/>
              <w:bottom w:val="nil"/>
            </w:tcBorders>
            <w:vAlign w:val="top"/>
          </w:tcPr>
          <w:p w14:paraId="1B6C94EA">
            <w:pPr>
              <w:rPr>
                <w:rFonts w:ascii="Arial"/>
                <w:sz w:val="21"/>
              </w:rPr>
            </w:pPr>
          </w:p>
        </w:tc>
        <w:tc>
          <w:tcPr>
            <w:tcW w:w="109" w:type="dxa"/>
            <w:gridSpan w:val="2"/>
            <w:tcBorders>
              <w:right w:val="single" w:color="000000" w:sz="8" w:space="0"/>
            </w:tcBorders>
            <w:vAlign w:val="top"/>
          </w:tcPr>
          <w:p w14:paraId="68D6617E">
            <w:pPr>
              <w:rPr>
                <w:rFonts w:ascii="Arial"/>
                <w:sz w:val="21"/>
              </w:rPr>
            </w:pPr>
          </w:p>
        </w:tc>
        <w:tc>
          <w:tcPr>
            <w:tcW w:w="583" w:type="dxa"/>
            <w:tcBorders>
              <w:left w:val="single" w:color="000000" w:sz="8" w:space="0"/>
            </w:tcBorders>
            <w:vAlign w:val="top"/>
          </w:tcPr>
          <w:p w14:paraId="5CF36B6A">
            <w:pPr>
              <w:spacing w:before="102" w:line="200" w:lineRule="auto"/>
              <w:ind w:left="231"/>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254" w:type="dxa"/>
            <w:vAlign w:val="top"/>
          </w:tcPr>
          <w:p w14:paraId="63A3867C">
            <w:pPr>
              <w:pStyle w:val="6"/>
              <w:spacing w:before="72" w:line="208" w:lineRule="auto"/>
              <w:ind w:left="167"/>
              <w:rPr>
                <w:sz w:val="18"/>
                <w:szCs w:val="18"/>
              </w:rPr>
            </w:pPr>
            <w:r>
              <w:rPr>
                <w:spacing w:val="-2"/>
                <w:sz w:val="18"/>
                <w:szCs w:val="18"/>
              </w:rPr>
              <w:t>简单防渗区</w:t>
            </w:r>
          </w:p>
        </w:tc>
        <w:tc>
          <w:tcPr>
            <w:tcW w:w="1623" w:type="dxa"/>
            <w:gridSpan w:val="2"/>
            <w:vAlign w:val="top"/>
          </w:tcPr>
          <w:p w14:paraId="12D93E73">
            <w:pPr>
              <w:pStyle w:val="6"/>
              <w:spacing w:before="72" w:line="208" w:lineRule="auto"/>
              <w:ind w:left="350"/>
              <w:rPr>
                <w:sz w:val="18"/>
                <w:szCs w:val="18"/>
              </w:rPr>
            </w:pPr>
            <w:r>
              <w:rPr>
                <w:spacing w:val="-2"/>
                <w:sz w:val="18"/>
                <w:szCs w:val="18"/>
              </w:rPr>
              <w:t>车间外道路</w:t>
            </w:r>
          </w:p>
        </w:tc>
        <w:tc>
          <w:tcPr>
            <w:tcW w:w="4473" w:type="dxa"/>
            <w:gridSpan w:val="5"/>
            <w:vAlign w:val="top"/>
          </w:tcPr>
          <w:p w14:paraId="1FEF32AF">
            <w:pPr>
              <w:pStyle w:val="6"/>
              <w:spacing w:before="72" w:line="208" w:lineRule="auto"/>
              <w:ind w:left="1700"/>
              <w:rPr>
                <w:sz w:val="18"/>
                <w:szCs w:val="18"/>
              </w:rPr>
            </w:pPr>
            <w:r>
              <w:rPr>
                <w:spacing w:val="-2"/>
                <w:sz w:val="18"/>
                <w:szCs w:val="18"/>
              </w:rPr>
              <w:t>一般地面硬化</w:t>
            </w:r>
          </w:p>
        </w:tc>
        <w:tc>
          <w:tcPr>
            <w:tcW w:w="121" w:type="dxa"/>
            <w:gridSpan w:val="2"/>
            <w:vMerge w:val="continue"/>
            <w:tcBorders>
              <w:top w:val="nil"/>
              <w:bottom w:val="nil"/>
              <w:right w:val="single" w:color="000000" w:sz="6" w:space="0"/>
            </w:tcBorders>
            <w:vAlign w:val="top"/>
          </w:tcPr>
          <w:p w14:paraId="6F819D4C">
            <w:pPr>
              <w:rPr>
                <w:rFonts w:ascii="Arial"/>
                <w:sz w:val="21"/>
              </w:rPr>
            </w:pPr>
          </w:p>
        </w:tc>
      </w:tr>
      <w:tr w14:paraId="4779B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0" w:hRule="atLeast"/>
        </w:trPr>
        <w:tc>
          <w:tcPr>
            <w:tcW w:w="750" w:type="dxa"/>
            <w:vMerge w:val="continue"/>
            <w:tcBorders>
              <w:top w:val="nil"/>
              <w:left w:val="single" w:color="000000" w:sz="6" w:space="0"/>
              <w:bottom w:val="nil"/>
            </w:tcBorders>
            <w:vAlign w:val="top"/>
          </w:tcPr>
          <w:p w14:paraId="69246B7A">
            <w:pPr>
              <w:rPr>
                <w:rFonts w:ascii="Arial"/>
                <w:sz w:val="21"/>
              </w:rPr>
            </w:pPr>
          </w:p>
        </w:tc>
        <w:tc>
          <w:tcPr>
            <w:tcW w:w="8163" w:type="dxa"/>
            <w:gridSpan w:val="13"/>
            <w:tcBorders>
              <w:right w:val="single" w:color="000000" w:sz="6" w:space="0"/>
            </w:tcBorders>
            <w:vAlign w:val="top"/>
          </w:tcPr>
          <w:p w14:paraId="04A5BB3A">
            <w:pPr>
              <w:pStyle w:val="6"/>
              <w:spacing w:before="142" w:line="350" w:lineRule="auto"/>
              <w:ind w:left="107" w:right="102" w:firstLine="445"/>
              <w:jc w:val="both"/>
            </w:pPr>
            <w:r>
              <w:rPr>
                <w:spacing w:val="-2"/>
              </w:rPr>
              <w:t>由于本项目车间为租用的标准厂房，各设施设备均布置在生产车间内，生产车间地</w:t>
            </w:r>
            <w:r>
              <w:rPr>
                <w:spacing w:val="8"/>
              </w:rPr>
              <w:t xml:space="preserve"> </w:t>
            </w:r>
            <w:r>
              <w:rPr>
                <w:spacing w:val="-1"/>
              </w:rPr>
              <w:t>基属黏土防渗层，能够满足</w:t>
            </w:r>
            <w:r>
              <w:rPr>
                <w:rFonts w:ascii="Times New Roman" w:hAnsi="Times New Roman" w:eastAsia="Times New Roman" w:cs="Times New Roman"/>
                <w:spacing w:val="-1"/>
              </w:rPr>
              <w:t>Mb≥1.5m</w:t>
            </w:r>
            <w:r>
              <w:rPr>
                <w:rFonts w:ascii="Times New Roman" w:hAnsi="Times New Roman" w:eastAsia="Times New Roman" w:cs="Times New Roman"/>
                <w:spacing w:val="-16"/>
              </w:rPr>
              <w:t xml:space="preserve"> </w:t>
            </w:r>
            <w:r>
              <w:rPr>
                <w:spacing w:val="-1"/>
              </w:rPr>
              <w:t>，</w:t>
            </w:r>
            <w:r>
              <w:rPr>
                <w:rFonts w:ascii="Times New Roman" w:hAnsi="Times New Roman" w:eastAsia="Times New Roman" w:cs="Times New Roman"/>
                <w:spacing w:val="-1"/>
              </w:rPr>
              <w:t>k≤1x10</w:t>
            </w:r>
            <w:r>
              <w:rPr>
                <w:rFonts w:ascii="Times New Roman" w:hAnsi="Times New Roman" w:eastAsia="Times New Roman" w:cs="Times New Roman"/>
                <w:spacing w:val="-1"/>
                <w:position w:val="7"/>
                <w:sz w:val="14"/>
                <w:szCs w:val="14"/>
              </w:rPr>
              <w:t>-7</w:t>
            </w:r>
            <w:r>
              <w:rPr>
                <w:rFonts w:ascii="Times New Roman" w:hAnsi="Times New Roman" w:eastAsia="Times New Roman" w:cs="Times New Roman"/>
                <w:spacing w:val="-1"/>
              </w:rPr>
              <w:t>cm/s</w:t>
            </w:r>
            <w:r>
              <w:rPr>
                <w:spacing w:val="-1"/>
              </w:rPr>
              <w:t>的防渗技术要求；同时车间地面已</w:t>
            </w:r>
            <w:r>
              <w:t xml:space="preserve">  </w:t>
            </w:r>
            <w:r>
              <w:rPr>
                <w:spacing w:val="-5"/>
              </w:rPr>
              <w:t>经采取了水泥硬化防渗处理。因此，</w:t>
            </w:r>
            <w:r>
              <w:rPr>
                <w:spacing w:val="46"/>
              </w:rPr>
              <w:t xml:space="preserve"> </w:t>
            </w:r>
            <w:r>
              <w:rPr>
                <w:spacing w:val="-5"/>
              </w:rPr>
              <w:t>评价要求建设单位在营运期应对车间内地面进行及</w:t>
            </w:r>
            <w:r>
              <w:t xml:space="preserve"> </w:t>
            </w:r>
            <w:r>
              <w:rPr>
                <w:spacing w:val="-2"/>
              </w:rPr>
              <w:t>时维护，避免防渗层破坏，失去防渗效果。</w:t>
            </w:r>
          </w:p>
          <w:p w14:paraId="240AA75D">
            <w:pPr>
              <w:spacing w:line="241" w:lineRule="auto"/>
              <w:ind w:left="109"/>
              <w:rPr>
                <w:rFonts w:ascii="黑体" w:hAnsi="黑体" w:eastAsia="黑体" w:cs="黑体"/>
                <w:sz w:val="21"/>
                <w:szCs w:val="21"/>
              </w:rPr>
            </w:pPr>
            <w:r>
              <w:rPr>
                <w:rFonts w:ascii="Times New Roman" w:hAnsi="Times New Roman" w:eastAsia="Times New Roman" w:cs="Times New Roman"/>
                <w:spacing w:val="6"/>
                <w:sz w:val="21"/>
                <w:szCs w:val="21"/>
              </w:rPr>
              <w:t>6</w:t>
            </w:r>
            <w:r>
              <w:rPr>
                <w:rFonts w:ascii="黑体" w:hAnsi="黑体" w:eastAsia="黑体" w:cs="黑体"/>
                <w:spacing w:val="6"/>
                <w:sz w:val="21"/>
                <w:szCs w:val="21"/>
              </w:rPr>
              <w:t>、环境风险</w:t>
            </w:r>
          </w:p>
          <w:p w14:paraId="46EA9996">
            <w:pPr>
              <w:pStyle w:val="6"/>
              <w:spacing w:before="132" w:line="233" w:lineRule="auto"/>
              <w:ind w:left="107"/>
            </w:pPr>
            <w:r>
              <w:rPr>
                <w:rFonts w:ascii="Times New Roman" w:hAnsi="Times New Roman" w:eastAsia="Times New Roman" w:cs="Times New Roman"/>
                <w:b/>
                <w:bCs/>
                <w:spacing w:val="-2"/>
              </w:rPr>
              <w:t xml:space="preserve">6.1 </w:t>
            </w:r>
            <w:r>
              <w:rPr>
                <w:b/>
                <w:bCs/>
                <w:spacing w:val="-2"/>
              </w:rPr>
              <w:t>危险物质及分布情况</w:t>
            </w:r>
          </w:p>
          <w:p w14:paraId="0990CB7E">
            <w:pPr>
              <w:pStyle w:val="6"/>
              <w:spacing w:before="136" w:line="335" w:lineRule="auto"/>
              <w:ind w:left="53" w:right="94" w:firstLine="420"/>
              <w:jc w:val="both"/>
            </w:pPr>
            <w:r>
              <w:t>对照《建设项目环境风险评价技术导则》</w:t>
            </w:r>
            <w:r>
              <w:rPr>
                <w:rFonts w:hint="eastAsia"/>
                <w:lang w:eastAsia="zh-CN"/>
              </w:rPr>
              <w:t>（</w:t>
            </w:r>
            <w:r>
              <w:rPr>
                <w:rFonts w:ascii="Times New Roman" w:hAnsi="Times New Roman" w:eastAsia="Times New Roman" w:cs="Times New Roman"/>
              </w:rPr>
              <w:t>HJ</w:t>
            </w:r>
            <w:r>
              <w:rPr>
                <w:rFonts w:ascii="Times New Roman" w:hAnsi="Times New Roman" w:eastAsia="Times New Roman" w:cs="Times New Roman"/>
                <w:spacing w:val="-1"/>
              </w:rPr>
              <w:t>169-2018</w:t>
            </w:r>
            <w:r>
              <w:rPr>
                <w:spacing w:val="-1"/>
              </w:rPr>
              <w:t>）附录中</w:t>
            </w:r>
            <w:r>
              <w:rPr>
                <w:spacing w:val="-49"/>
              </w:rPr>
              <w:t xml:space="preserve"> </w:t>
            </w:r>
            <w:r>
              <w:rPr>
                <w:rFonts w:ascii="Times New Roman" w:hAnsi="Times New Roman" w:eastAsia="Times New Roman" w:cs="Times New Roman"/>
                <w:spacing w:val="-1"/>
              </w:rPr>
              <w:t>B</w:t>
            </w:r>
            <w:r>
              <w:rPr>
                <w:spacing w:val="-1"/>
              </w:rPr>
              <w:t>，项目涉及的危险</w:t>
            </w:r>
            <w:r>
              <w:t xml:space="preserve"> 物质主要有废机油，根据《企业突发环境事件风险分级</w:t>
            </w:r>
            <w:r>
              <w:rPr>
                <w:spacing w:val="-1"/>
              </w:rPr>
              <w:t>方法》（</w:t>
            </w:r>
            <w:r>
              <w:rPr>
                <w:rFonts w:ascii="Times New Roman" w:hAnsi="Times New Roman" w:eastAsia="Times New Roman" w:cs="Times New Roman"/>
                <w:spacing w:val="-1"/>
              </w:rPr>
              <w:t>HJ941-2018</w:t>
            </w:r>
            <w:r>
              <w:rPr>
                <w:spacing w:val="-1"/>
              </w:rPr>
              <w:t>）附录</w:t>
            </w:r>
            <w:r>
              <w:rPr>
                <w:spacing w:val="-42"/>
              </w:rPr>
              <w:t xml:space="preserve"> </w:t>
            </w:r>
            <w:r>
              <w:rPr>
                <w:rFonts w:ascii="Times New Roman" w:hAnsi="Times New Roman" w:eastAsia="Times New Roman" w:cs="Times New Roman"/>
                <w:spacing w:val="-1"/>
              </w:rPr>
              <w:t>A</w:t>
            </w:r>
            <w:r>
              <w:rPr>
                <w:rFonts w:ascii="Times New Roman" w:hAnsi="Times New Roman" w:eastAsia="Times New Roman" w:cs="Times New Roman"/>
                <w:spacing w:val="-27"/>
              </w:rPr>
              <w:t xml:space="preserve"> </w:t>
            </w:r>
            <w:r>
              <w:rPr>
                <w:spacing w:val="-1"/>
              </w:rPr>
              <w:t>，</w:t>
            </w:r>
            <w:r>
              <w:t xml:space="preserve"> </w:t>
            </w:r>
            <w:r>
              <w:rPr>
                <w:spacing w:val="-4"/>
              </w:rPr>
              <w:t>废机油为风险物质。</w:t>
            </w:r>
          </w:p>
          <w:p w14:paraId="5E3D488E">
            <w:pPr>
              <w:spacing w:before="1" w:line="205" w:lineRule="auto"/>
              <w:ind w:left="2802"/>
              <w:rPr>
                <w:rFonts w:ascii="黑体" w:hAnsi="黑体" w:eastAsia="黑体" w:cs="黑体"/>
                <w:sz w:val="20"/>
                <w:szCs w:val="20"/>
              </w:rPr>
            </w:pPr>
            <w:r>
              <w:rPr>
                <w:rFonts w:ascii="黑体" w:hAnsi="黑体" w:eastAsia="黑体" w:cs="黑体"/>
                <w:spacing w:val="-1"/>
                <w:sz w:val="20"/>
                <w:szCs w:val="20"/>
              </w:rPr>
              <w:t>表</w:t>
            </w:r>
            <w:r>
              <w:rPr>
                <w:rFonts w:ascii="Times New Roman" w:hAnsi="Times New Roman" w:eastAsia="Times New Roman" w:cs="Times New Roman"/>
                <w:spacing w:val="-1"/>
                <w:sz w:val="20"/>
                <w:szCs w:val="20"/>
              </w:rPr>
              <w:t xml:space="preserve">4-18    </w:t>
            </w:r>
            <w:r>
              <w:rPr>
                <w:rFonts w:ascii="黑体" w:hAnsi="黑体" w:eastAsia="黑体" w:cs="黑体"/>
                <w:spacing w:val="-1"/>
                <w:sz w:val="20"/>
                <w:szCs w:val="20"/>
              </w:rPr>
              <w:t>危险废物产生情况表</w:t>
            </w:r>
          </w:p>
        </w:tc>
      </w:tr>
      <w:tr w14:paraId="48D99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50" w:type="dxa"/>
            <w:vMerge w:val="continue"/>
            <w:tcBorders>
              <w:top w:val="nil"/>
              <w:left w:val="single" w:color="000000" w:sz="6" w:space="0"/>
              <w:bottom w:val="nil"/>
            </w:tcBorders>
            <w:vAlign w:val="top"/>
          </w:tcPr>
          <w:p w14:paraId="3FE0B672">
            <w:pPr>
              <w:rPr>
                <w:rFonts w:ascii="Arial"/>
                <w:sz w:val="21"/>
              </w:rPr>
            </w:pPr>
          </w:p>
        </w:tc>
        <w:tc>
          <w:tcPr>
            <w:tcW w:w="62" w:type="dxa"/>
            <w:tcBorders>
              <w:right w:val="single" w:color="000000" w:sz="8" w:space="0"/>
            </w:tcBorders>
            <w:vAlign w:val="top"/>
          </w:tcPr>
          <w:p w14:paraId="4B18E4E7">
            <w:pPr>
              <w:rPr>
                <w:rFonts w:ascii="Arial"/>
                <w:sz w:val="21"/>
              </w:rPr>
            </w:pPr>
          </w:p>
        </w:tc>
        <w:tc>
          <w:tcPr>
            <w:tcW w:w="630" w:type="dxa"/>
            <w:gridSpan w:val="2"/>
            <w:tcBorders>
              <w:left w:val="single" w:color="000000" w:sz="8" w:space="0"/>
            </w:tcBorders>
            <w:vAlign w:val="top"/>
          </w:tcPr>
          <w:p w14:paraId="65030796">
            <w:pPr>
              <w:pStyle w:val="6"/>
              <w:spacing w:before="78" w:line="202" w:lineRule="auto"/>
              <w:ind w:left="138"/>
              <w:rPr>
                <w:sz w:val="18"/>
                <w:szCs w:val="18"/>
              </w:rPr>
            </w:pPr>
            <w:r>
              <w:rPr>
                <w:b/>
                <w:bCs/>
                <w:spacing w:val="-4"/>
                <w:sz w:val="18"/>
                <w:szCs w:val="18"/>
              </w:rPr>
              <w:t>序号</w:t>
            </w:r>
          </w:p>
        </w:tc>
        <w:tc>
          <w:tcPr>
            <w:tcW w:w="1974" w:type="dxa"/>
            <w:gridSpan w:val="2"/>
            <w:vAlign w:val="top"/>
          </w:tcPr>
          <w:p w14:paraId="412976F8">
            <w:pPr>
              <w:pStyle w:val="6"/>
              <w:spacing w:before="78" w:line="202" w:lineRule="auto"/>
              <w:ind w:left="837"/>
              <w:rPr>
                <w:sz w:val="18"/>
                <w:szCs w:val="18"/>
              </w:rPr>
            </w:pPr>
            <w:r>
              <w:rPr>
                <w:b/>
                <w:bCs/>
                <w:spacing w:val="-4"/>
                <w:sz w:val="18"/>
                <w:szCs w:val="18"/>
              </w:rPr>
              <w:t>名称</w:t>
            </w:r>
          </w:p>
        </w:tc>
        <w:tc>
          <w:tcPr>
            <w:tcW w:w="1500" w:type="dxa"/>
            <w:gridSpan w:val="2"/>
            <w:vAlign w:val="top"/>
          </w:tcPr>
          <w:p w14:paraId="43EF5099">
            <w:pPr>
              <w:pStyle w:val="6"/>
              <w:spacing w:before="78" w:line="202" w:lineRule="auto"/>
              <w:ind w:left="122"/>
              <w:rPr>
                <w:sz w:val="18"/>
                <w:szCs w:val="18"/>
              </w:rPr>
            </w:pPr>
            <w:r>
              <w:rPr>
                <w:b/>
                <w:bCs/>
                <w:spacing w:val="-3"/>
                <w:sz w:val="18"/>
                <w:szCs w:val="18"/>
              </w:rPr>
              <w:t>最大储存量（</w:t>
            </w:r>
            <w:r>
              <w:rPr>
                <w:rFonts w:ascii="Times New Roman" w:hAnsi="Times New Roman" w:eastAsia="Times New Roman" w:cs="Times New Roman"/>
                <w:b/>
                <w:bCs/>
                <w:spacing w:val="-3"/>
                <w:sz w:val="18"/>
                <w:szCs w:val="18"/>
              </w:rPr>
              <w:t>t</w:t>
            </w:r>
            <w:r>
              <w:rPr>
                <w:b/>
                <w:bCs/>
                <w:spacing w:val="-3"/>
                <w:sz w:val="18"/>
                <w:szCs w:val="18"/>
              </w:rPr>
              <w:t>）</w:t>
            </w:r>
          </w:p>
        </w:tc>
        <w:tc>
          <w:tcPr>
            <w:tcW w:w="1069" w:type="dxa"/>
            <w:vAlign w:val="top"/>
          </w:tcPr>
          <w:p w14:paraId="3BECF814">
            <w:pPr>
              <w:pStyle w:val="6"/>
              <w:spacing w:before="78" w:line="202" w:lineRule="auto"/>
              <w:ind w:left="207"/>
              <w:rPr>
                <w:sz w:val="18"/>
                <w:szCs w:val="18"/>
              </w:rPr>
            </w:pPr>
            <w:r>
              <w:rPr>
                <w:b/>
                <w:bCs/>
                <w:spacing w:val="-4"/>
                <w:sz w:val="18"/>
                <w:szCs w:val="18"/>
              </w:rPr>
              <w:t>贮存方式</w:t>
            </w:r>
          </w:p>
        </w:tc>
        <w:tc>
          <w:tcPr>
            <w:tcW w:w="809" w:type="dxa"/>
            <w:vAlign w:val="top"/>
          </w:tcPr>
          <w:p w14:paraId="3E062302">
            <w:pPr>
              <w:pStyle w:val="6"/>
              <w:spacing w:before="78" w:line="202" w:lineRule="auto"/>
              <w:ind w:left="178"/>
              <w:rPr>
                <w:sz w:val="18"/>
                <w:szCs w:val="18"/>
              </w:rPr>
            </w:pPr>
            <w:r>
              <w:rPr>
                <w:b/>
                <w:bCs/>
                <w:spacing w:val="-6"/>
                <w:sz w:val="18"/>
                <w:szCs w:val="18"/>
              </w:rPr>
              <w:t>临界量</w:t>
            </w:r>
          </w:p>
        </w:tc>
        <w:tc>
          <w:tcPr>
            <w:tcW w:w="958" w:type="dxa"/>
            <w:vAlign w:val="top"/>
          </w:tcPr>
          <w:p w14:paraId="772562EA">
            <w:pPr>
              <w:pStyle w:val="6"/>
              <w:spacing w:before="78" w:line="202" w:lineRule="auto"/>
              <w:ind w:left="154"/>
              <w:rPr>
                <w:sz w:val="18"/>
                <w:szCs w:val="18"/>
              </w:rPr>
            </w:pPr>
            <w:r>
              <w:rPr>
                <w:b/>
                <w:bCs/>
                <w:spacing w:val="-3"/>
                <w:sz w:val="18"/>
                <w:szCs w:val="18"/>
              </w:rPr>
              <w:t>储存位置</w:t>
            </w:r>
          </w:p>
        </w:tc>
        <w:tc>
          <w:tcPr>
            <w:tcW w:w="1060" w:type="dxa"/>
            <w:gridSpan w:val="2"/>
            <w:tcBorders>
              <w:right w:val="single" w:color="000000" w:sz="8" w:space="0"/>
            </w:tcBorders>
            <w:vAlign w:val="top"/>
          </w:tcPr>
          <w:p w14:paraId="1DB30BBF">
            <w:pPr>
              <w:pStyle w:val="6"/>
              <w:spacing w:before="78" w:line="202" w:lineRule="auto"/>
              <w:ind w:left="118"/>
              <w:rPr>
                <w:sz w:val="18"/>
                <w:szCs w:val="18"/>
              </w:rPr>
            </w:pPr>
            <w:r>
              <w:rPr>
                <w:b/>
                <w:bCs/>
                <w:spacing w:val="-3"/>
                <w:sz w:val="18"/>
                <w:szCs w:val="18"/>
              </w:rPr>
              <w:t>重大危险源</w:t>
            </w:r>
          </w:p>
        </w:tc>
        <w:tc>
          <w:tcPr>
            <w:tcW w:w="101" w:type="dxa"/>
            <w:tcBorders>
              <w:left w:val="single" w:color="000000" w:sz="8" w:space="0"/>
              <w:right w:val="single" w:color="000000" w:sz="6" w:space="0"/>
            </w:tcBorders>
            <w:vAlign w:val="top"/>
          </w:tcPr>
          <w:p w14:paraId="16E338DE">
            <w:pPr>
              <w:rPr>
                <w:rFonts w:ascii="Arial"/>
                <w:sz w:val="21"/>
              </w:rPr>
            </w:pPr>
          </w:p>
        </w:tc>
      </w:tr>
      <w:tr w14:paraId="1232E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50" w:type="dxa"/>
            <w:vMerge w:val="continue"/>
            <w:tcBorders>
              <w:top w:val="nil"/>
              <w:left w:val="single" w:color="000000" w:sz="6" w:space="0"/>
              <w:bottom w:val="nil"/>
            </w:tcBorders>
            <w:vAlign w:val="top"/>
          </w:tcPr>
          <w:p w14:paraId="61122C1B">
            <w:pPr>
              <w:rPr>
                <w:rFonts w:ascii="Arial"/>
                <w:sz w:val="21"/>
              </w:rPr>
            </w:pPr>
          </w:p>
        </w:tc>
        <w:tc>
          <w:tcPr>
            <w:tcW w:w="62" w:type="dxa"/>
            <w:tcBorders>
              <w:right w:val="single" w:color="000000" w:sz="8" w:space="0"/>
            </w:tcBorders>
            <w:vAlign w:val="top"/>
          </w:tcPr>
          <w:p w14:paraId="645CF6E2">
            <w:pPr>
              <w:rPr>
                <w:rFonts w:ascii="Arial"/>
                <w:sz w:val="21"/>
              </w:rPr>
            </w:pPr>
          </w:p>
        </w:tc>
        <w:tc>
          <w:tcPr>
            <w:tcW w:w="630" w:type="dxa"/>
            <w:gridSpan w:val="2"/>
            <w:tcBorders>
              <w:left w:val="single" w:color="000000" w:sz="8" w:space="0"/>
            </w:tcBorders>
            <w:vAlign w:val="top"/>
          </w:tcPr>
          <w:p w14:paraId="760ECFFA">
            <w:pPr>
              <w:spacing w:before="107" w:line="194" w:lineRule="auto"/>
              <w:ind w:left="28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974" w:type="dxa"/>
            <w:gridSpan w:val="2"/>
            <w:vAlign w:val="top"/>
          </w:tcPr>
          <w:p w14:paraId="1E7B5CE5">
            <w:pPr>
              <w:pStyle w:val="6"/>
              <w:spacing w:before="78" w:line="202" w:lineRule="auto"/>
              <w:ind w:left="654"/>
              <w:rPr>
                <w:sz w:val="18"/>
                <w:szCs w:val="18"/>
              </w:rPr>
            </w:pPr>
            <w:r>
              <w:rPr>
                <w:spacing w:val="-2"/>
                <w:sz w:val="18"/>
                <w:szCs w:val="18"/>
              </w:rPr>
              <w:t>废矿物油</w:t>
            </w:r>
          </w:p>
        </w:tc>
        <w:tc>
          <w:tcPr>
            <w:tcW w:w="1500" w:type="dxa"/>
            <w:gridSpan w:val="2"/>
            <w:vAlign w:val="top"/>
          </w:tcPr>
          <w:p w14:paraId="45A88D87">
            <w:pPr>
              <w:spacing w:before="107" w:line="194" w:lineRule="auto"/>
              <w:ind w:left="62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0.05</w:t>
            </w:r>
          </w:p>
        </w:tc>
        <w:tc>
          <w:tcPr>
            <w:tcW w:w="1069" w:type="dxa"/>
            <w:vAlign w:val="top"/>
          </w:tcPr>
          <w:p w14:paraId="1C061271">
            <w:pPr>
              <w:pStyle w:val="6"/>
              <w:spacing w:before="78" w:line="202" w:lineRule="auto"/>
              <w:ind w:left="389"/>
              <w:rPr>
                <w:sz w:val="18"/>
                <w:szCs w:val="18"/>
              </w:rPr>
            </w:pPr>
            <w:r>
              <w:rPr>
                <w:spacing w:val="-3"/>
                <w:sz w:val="18"/>
                <w:szCs w:val="18"/>
              </w:rPr>
              <w:t>桶装</w:t>
            </w:r>
          </w:p>
        </w:tc>
        <w:tc>
          <w:tcPr>
            <w:tcW w:w="809" w:type="dxa"/>
            <w:vAlign w:val="top"/>
          </w:tcPr>
          <w:p w14:paraId="0B1BCE6C">
            <w:pPr>
              <w:spacing w:before="107" w:line="194" w:lineRule="auto"/>
              <w:ind w:left="25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2500</w:t>
            </w:r>
          </w:p>
        </w:tc>
        <w:tc>
          <w:tcPr>
            <w:tcW w:w="958" w:type="dxa"/>
            <w:vAlign w:val="top"/>
          </w:tcPr>
          <w:p w14:paraId="6CAA5CD5">
            <w:pPr>
              <w:pStyle w:val="6"/>
              <w:spacing w:before="78" w:line="202" w:lineRule="auto"/>
              <w:ind w:left="248"/>
              <w:rPr>
                <w:sz w:val="18"/>
                <w:szCs w:val="18"/>
              </w:rPr>
            </w:pPr>
            <w:r>
              <w:rPr>
                <w:spacing w:val="-3"/>
                <w:sz w:val="18"/>
                <w:szCs w:val="18"/>
              </w:rPr>
              <w:t>危废间</w:t>
            </w:r>
          </w:p>
        </w:tc>
        <w:tc>
          <w:tcPr>
            <w:tcW w:w="1060" w:type="dxa"/>
            <w:gridSpan w:val="2"/>
            <w:tcBorders>
              <w:right w:val="single" w:color="000000" w:sz="8" w:space="0"/>
            </w:tcBorders>
            <w:vAlign w:val="top"/>
          </w:tcPr>
          <w:p w14:paraId="5CC1E857">
            <w:pPr>
              <w:pStyle w:val="6"/>
              <w:spacing w:before="78" w:line="202" w:lineRule="auto"/>
              <w:ind w:left="484"/>
              <w:rPr>
                <w:sz w:val="18"/>
                <w:szCs w:val="18"/>
              </w:rPr>
            </w:pPr>
            <w:r>
              <w:rPr>
                <w:sz w:val="18"/>
                <w:szCs w:val="18"/>
              </w:rPr>
              <w:t>否</w:t>
            </w:r>
          </w:p>
        </w:tc>
        <w:tc>
          <w:tcPr>
            <w:tcW w:w="101" w:type="dxa"/>
            <w:tcBorders>
              <w:left w:val="single" w:color="000000" w:sz="8" w:space="0"/>
              <w:right w:val="single" w:color="000000" w:sz="6" w:space="0"/>
            </w:tcBorders>
            <w:vAlign w:val="top"/>
          </w:tcPr>
          <w:p w14:paraId="417EEDDD">
            <w:pPr>
              <w:rPr>
                <w:rFonts w:ascii="Arial"/>
                <w:sz w:val="21"/>
              </w:rPr>
            </w:pPr>
          </w:p>
        </w:tc>
      </w:tr>
      <w:tr w14:paraId="0A1D4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6" w:hRule="atLeast"/>
        </w:trPr>
        <w:tc>
          <w:tcPr>
            <w:tcW w:w="750" w:type="dxa"/>
            <w:vMerge w:val="continue"/>
            <w:tcBorders>
              <w:top w:val="nil"/>
              <w:left w:val="single" w:color="000000" w:sz="6" w:space="0"/>
              <w:bottom w:val="single" w:color="000000" w:sz="6" w:space="0"/>
            </w:tcBorders>
            <w:vAlign w:val="top"/>
          </w:tcPr>
          <w:p w14:paraId="69686089">
            <w:pPr>
              <w:rPr>
                <w:rFonts w:ascii="Arial"/>
                <w:sz w:val="21"/>
              </w:rPr>
            </w:pPr>
          </w:p>
        </w:tc>
        <w:tc>
          <w:tcPr>
            <w:tcW w:w="8163" w:type="dxa"/>
            <w:gridSpan w:val="13"/>
            <w:tcBorders>
              <w:bottom w:val="single" w:color="000000" w:sz="6" w:space="0"/>
              <w:right w:val="single" w:color="000000" w:sz="6" w:space="0"/>
            </w:tcBorders>
            <w:vAlign w:val="top"/>
          </w:tcPr>
          <w:p w14:paraId="30DA8B2C">
            <w:pPr>
              <w:pStyle w:val="6"/>
              <w:spacing w:before="148" w:line="349" w:lineRule="auto"/>
              <w:ind w:left="107" w:right="44" w:firstLine="419"/>
            </w:pPr>
            <w:r>
              <w:rPr>
                <w:spacing w:val="-3"/>
              </w:rPr>
              <w:t>根据《建设项目环境影响报告表编制技术指南》</w:t>
            </w:r>
            <w:r>
              <w:rPr>
                <w:rFonts w:hint="eastAsia"/>
                <w:spacing w:val="-3"/>
                <w:lang w:eastAsia="zh-CN"/>
              </w:rPr>
              <w:t>（</w:t>
            </w:r>
            <w:r>
              <w:rPr>
                <w:spacing w:val="-3"/>
              </w:rPr>
              <w:t>污染影响类</w:t>
            </w:r>
            <w:r>
              <w:rPr>
                <w:rFonts w:hint="eastAsia"/>
                <w:spacing w:val="-3"/>
                <w:lang w:eastAsia="zh-CN"/>
              </w:rPr>
              <w:t>）（</w:t>
            </w:r>
            <w:r>
              <w:rPr>
                <w:spacing w:val="-3"/>
              </w:rPr>
              <w:t>试行</w:t>
            </w:r>
            <w:r>
              <w:rPr>
                <w:rFonts w:hint="eastAsia"/>
                <w:spacing w:val="-3"/>
                <w:lang w:eastAsia="zh-CN"/>
              </w:rPr>
              <w:t>）</w:t>
            </w:r>
            <w:r>
              <w:rPr>
                <w:spacing w:val="-3"/>
              </w:rPr>
              <w:t>可知，有毒有害</w:t>
            </w:r>
            <w:r>
              <w:rPr>
                <w:spacing w:val="10"/>
              </w:rPr>
              <w:t xml:space="preserve"> </w:t>
            </w:r>
            <w:r>
              <w:t>和易燃易爆危险物质储存量超过临界量的建设项目需进行专项评</w:t>
            </w:r>
            <w:r>
              <w:rPr>
                <w:spacing w:val="-1"/>
              </w:rPr>
              <w:t>价</w:t>
            </w:r>
            <w:r>
              <w:rPr>
                <w:rFonts w:hint="eastAsia"/>
                <w:spacing w:val="-1"/>
                <w:lang w:eastAsia="zh-CN"/>
              </w:rPr>
              <w:t>（</w:t>
            </w:r>
            <w:r>
              <w:rPr>
                <w:spacing w:val="-1"/>
              </w:rPr>
              <w:t>临界量及计算方法</w:t>
            </w:r>
            <w:r>
              <w:t xml:space="preserve">  </w:t>
            </w:r>
            <w:r>
              <w:rPr>
                <w:spacing w:val="-1"/>
              </w:rPr>
              <w:t>可参考《建设项目环境风险评价技术导则》</w:t>
            </w:r>
            <w:r>
              <w:rPr>
                <w:rFonts w:hint="eastAsia"/>
                <w:spacing w:val="-1"/>
                <w:lang w:eastAsia="zh-CN"/>
              </w:rPr>
              <w:t>（</w:t>
            </w:r>
            <w:r>
              <w:rPr>
                <w:rFonts w:ascii="Times New Roman" w:hAnsi="Times New Roman" w:eastAsia="Times New Roman" w:cs="Times New Roman"/>
                <w:spacing w:val="-1"/>
              </w:rPr>
              <w:t>HJ169</w:t>
            </w:r>
            <w:r>
              <w:rPr>
                <w:rFonts w:hint="eastAsia" w:ascii="Times New Roman" w:hAnsi="Times New Roman" w:eastAsia="宋体" w:cs="Times New Roman"/>
                <w:spacing w:val="-1"/>
                <w:lang w:eastAsia="zh-CN"/>
              </w:rPr>
              <w:t>）</w:t>
            </w:r>
            <w:r>
              <w:rPr>
                <w:spacing w:val="-1"/>
              </w:rPr>
              <w:t>附录</w:t>
            </w:r>
            <w:r>
              <w:rPr>
                <w:rFonts w:ascii="Times New Roman" w:hAnsi="Times New Roman" w:eastAsia="Times New Roman" w:cs="Times New Roman"/>
                <w:spacing w:val="-1"/>
              </w:rPr>
              <w:t>B</w:t>
            </w:r>
            <w:r>
              <w:rPr>
                <w:spacing w:val="-1"/>
              </w:rPr>
              <w:t>和附录</w:t>
            </w:r>
            <w:r>
              <w:rPr>
                <w:rFonts w:ascii="Times New Roman" w:hAnsi="Times New Roman" w:eastAsia="Times New Roman" w:cs="Times New Roman"/>
                <w:spacing w:val="-1"/>
              </w:rPr>
              <w:t>C</w:t>
            </w:r>
            <w:r>
              <w:rPr>
                <w:rFonts w:hint="eastAsia" w:ascii="Times New Roman" w:hAnsi="Times New Roman" w:eastAsia="宋体" w:cs="Times New Roman"/>
                <w:spacing w:val="-1"/>
                <w:lang w:eastAsia="zh-CN"/>
              </w:rPr>
              <w:t>）</w:t>
            </w:r>
            <w:r>
              <w:rPr>
                <w:spacing w:val="-1"/>
              </w:rPr>
              <w:t>。本项目暂存的废矿</w:t>
            </w:r>
            <w:r>
              <w:rPr>
                <w:spacing w:val="15"/>
              </w:rPr>
              <w:t xml:space="preserve"> </w:t>
            </w:r>
            <w:r>
              <w:rPr>
                <w:spacing w:val="-5"/>
              </w:rPr>
              <w:t>物油属于油类物质，涉及有毒有害和易燃易爆危险物质储存，但其贮存量未超过临界量，</w:t>
            </w:r>
            <w:r>
              <w:rPr>
                <w:spacing w:val="4"/>
              </w:rPr>
              <w:t xml:space="preserve"> </w:t>
            </w:r>
            <w:r>
              <w:rPr>
                <w:spacing w:val="-2"/>
              </w:rPr>
              <w:t>因此无需开展风险专项评价。仅进行简单分析。</w:t>
            </w:r>
          </w:p>
          <w:p w14:paraId="79A4923C">
            <w:pPr>
              <w:pStyle w:val="6"/>
              <w:spacing w:before="20" w:line="233" w:lineRule="auto"/>
              <w:ind w:left="107"/>
            </w:pPr>
            <w:r>
              <w:rPr>
                <w:rFonts w:ascii="Times New Roman" w:hAnsi="Times New Roman" w:eastAsia="Times New Roman" w:cs="Times New Roman"/>
                <w:b/>
                <w:bCs/>
                <w:spacing w:val="-2"/>
              </w:rPr>
              <w:t xml:space="preserve">6.2 </w:t>
            </w:r>
            <w:r>
              <w:rPr>
                <w:b/>
                <w:bCs/>
                <w:spacing w:val="-2"/>
              </w:rPr>
              <w:t>风险源识别及影响途径</w:t>
            </w:r>
          </w:p>
          <w:p w14:paraId="1129869A">
            <w:pPr>
              <w:pStyle w:val="6"/>
              <w:spacing w:before="139" w:line="356" w:lineRule="auto"/>
              <w:ind w:left="55" w:right="67" w:firstLine="420"/>
              <w:jc w:val="both"/>
            </w:pPr>
            <w:r>
              <w:t>风险识别范围包括物质危险性识别和生产系统危险性识别</w:t>
            </w:r>
            <w:r>
              <w:rPr>
                <w:spacing w:val="-1"/>
              </w:rPr>
              <w:t>。物质风险性识别包括主</w:t>
            </w:r>
            <w:r>
              <w:t xml:space="preserve"> 要原辅材料、燃料、中间产品、副产品、最终产品、污染物和爆炸伴</w:t>
            </w:r>
            <w:r>
              <w:rPr>
                <w:spacing w:val="-1"/>
              </w:rPr>
              <w:t>生</w:t>
            </w:r>
            <w:r>
              <w:rPr>
                <w:rFonts w:ascii="Times New Roman" w:hAnsi="Times New Roman" w:eastAsia="Times New Roman" w:cs="Times New Roman"/>
                <w:spacing w:val="-1"/>
              </w:rPr>
              <w:t>/</w:t>
            </w:r>
            <w:r>
              <w:rPr>
                <w:spacing w:val="-1"/>
              </w:rPr>
              <w:t>次生物等。生产</w:t>
            </w:r>
            <w:r>
              <w:t xml:space="preserve"> 系统危险性识别包括主要生产装置、储运设施、公用工程和辅</w:t>
            </w:r>
            <w:r>
              <w:rPr>
                <w:spacing w:val="-1"/>
              </w:rPr>
              <w:t>助生产设施，以及环境保</w:t>
            </w:r>
            <w:r>
              <w:t xml:space="preserve"> </w:t>
            </w:r>
            <w:r>
              <w:rPr>
                <w:spacing w:val="-7"/>
              </w:rPr>
              <w:t>护设施等。</w:t>
            </w:r>
          </w:p>
          <w:p w14:paraId="494A72E4">
            <w:pPr>
              <w:pStyle w:val="6"/>
              <w:spacing w:before="4" w:line="234" w:lineRule="auto"/>
              <w:ind w:left="480"/>
            </w:pPr>
            <w:r>
              <w:rPr>
                <w:spacing w:val="-2"/>
              </w:rPr>
              <w:t>（</w:t>
            </w:r>
            <w:r>
              <w:rPr>
                <w:rFonts w:ascii="Times New Roman" w:hAnsi="Times New Roman" w:eastAsia="Times New Roman" w:cs="Times New Roman"/>
                <w:spacing w:val="-2"/>
              </w:rPr>
              <w:t>1</w:t>
            </w:r>
            <w:r>
              <w:rPr>
                <w:spacing w:val="-2"/>
              </w:rPr>
              <w:t>）物质危险性识别</w:t>
            </w:r>
          </w:p>
          <w:p w14:paraId="64CAC407">
            <w:pPr>
              <w:pStyle w:val="6"/>
              <w:spacing w:before="139" w:line="357" w:lineRule="auto"/>
              <w:ind w:left="57" w:right="125" w:firstLine="417"/>
            </w:pPr>
            <w:r>
              <w:t>本项目运营过程中涉及风险物质主要为废机油及原料木材、</w:t>
            </w:r>
            <w:r>
              <w:rPr>
                <w:spacing w:val="-1"/>
              </w:rPr>
              <w:t>产品生物质颗粒等均属</w:t>
            </w:r>
            <w:r>
              <w:t xml:space="preserve"> </w:t>
            </w:r>
            <w:r>
              <w:rPr>
                <w:spacing w:val="-2"/>
              </w:rPr>
              <w:t>于易燃物质。</w:t>
            </w:r>
          </w:p>
          <w:p w14:paraId="5BE29373">
            <w:pPr>
              <w:pStyle w:val="6"/>
              <w:spacing w:before="1" w:line="218" w:lineRule="auto"/>
              <w:jc w:val="right"/>
            </w:pPr>
            <w:r>
              <w:rPr>
                <w:b/>
                <w:bCs/>
                <w:spacing w:val="-3"/>
              </w:rPr>
              <w:t>可能影响途径：</w:t>
            </w:r>
            <w:r>
              <w:rPr>
                <w:spacing w:val="-3"/>
              </w:rPr>
              <w:t>废矿物油储存在危废暂存间，若储存不当发生泄漏，会对区域土</w:t>
            </w:r>
            <w:r>
              <w:rPr>
                <w:spacing w:val="-4"/>
              </w:rPr>
              <w:t>壤、</w:t>
            </w:r>
          </w:p>
        </w:tc>
      </w:tr>
    </w:tbl>
    <w:p w14:paraId="71B96E5A">
      <w:pPr>
        <w:rPr>
          <w:rFonts w:ascii="Arial"/>
          <w:sz w:val="21"/>
        </w:rPr>
      </w:pPr>
    </w:p>
    <w:p w14:paraId="5A57426E">
      <w:pPr>
        <w:rPr>
          <w:rFonts w:ascii="Arial" w:hAnsi="Arial" w:eastAsia="Arial" w:cs="Arial"/>
          <w:sz w:val="21"/>
          <w:szCs w:val="21"/>
        </w:rPr>
        <w:sectPr>
          <w:footerReference r:id="rId71" w:type="default"/>
          <w:pgSz w:w="11908" w:h="16840"/>
          <w:pgMar w:top="1431" w:right="1489" w:bottom="1053" w:left="1489" w:header="0" w:footer="801" w:gutter="0"/>
          <w:cols w:space="720" w:num="1"/>
        </w:sectPr>
      </w:pPr>
    </w:p>
    <w:p w14:paraId="2882B5ED">
      <w:pPr>
        <w:spacing w:before="28"/>
      </w:pPr>
    </w:p>
    <w:tbl>
      <w:tblPr>
        <w:tblStyle w:val="5"/>
        <w:tblW w:w="891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0"/>
        <w:gridCol w:w="8163"/>
      </w:tblGrid>
      <w:tr w14:paraId="1DDCB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95" w:hRule="atLeast"/>
        </w:trPr>
        <w:tc>
          <w:tcPr>
            <w:tcW w:w="750" w:type="dxa"/>
            <w:tcBorders>
              <w:top w:val="single" w:color="000000" w:sz="2" w:space="0"/>
              <w:right w:val="single" w:color="000000" w:sz="2" w:space="0"/>
            </w:tcBorders>
            <w:vAlign w:val="top"/>
          </w:tcPr>
          <w:p w14:paraId="46823F93">
            <w:pPr>
              <w:rPr>
                <w:rFonts w:ascii="Arial"/>
                <w:sz w:val="21"/>
              </w:rPr>
            </w:pPr>
          </w:p>
        </w:tc>
        <w:tc>
          <w:tcPr>
            <w:tcW w:w="8163" w:type="dxa"/>
            <w:tcBorders>
              <w:top w:val="single" w:color="000000" w:sz="2" w:space="0"/>
              <w:left w:val="single" w:color="000000" w:sz="2" w:space="0"/>
            </w:tcBorders>
            <w:vAlign w:val="top"/>
          </w:tcPr>
          <w:p w14:paraId="494CDDC8">
            <w:pPr>
              <w:pStyle w:val="6"/>
              <w:spacing w:before="149" w:line="219" w:lineRule="auto"/>
              <w:ind w:left="54"/>
            </w:pPr>
            <w:r>
              <w:rPr>
                <w:spacing w:val="-1"/>
              </w:rPr>
              <w:t>地下水和地表水造成污染影响；严重时会引发火灾等造成二次环境污染。</w:t>
            </w:r>
          </w:p>
          <w:p w14:paraId="28A0355A">
            <w:pPr>
              <w:pStyle w:val="6"/>
              <w:spacing w:before="156" w:line="219" w:lineRule="auto"/>
              <w:ind w:left="478"/>
            </w:pPr>
            <w:r>
              <w:rPr>
                <w:spacing w:val="-2"/>
              </w:rPr>
              <w:t>项目原料木材、产品生物质颗粒遇火发生火灾等造成环境空气污染。</w:t>
            </w:r>
          </w:p>
          <w:p w14:paraId="2F9C4B0E">
            <w:pPr>
              <w:pStyle w:val="6"/>
              <w:spacing w:before="158" w:line="233" w:lineRule="auto"/>
              <w:ind w:left="483"/>
            </w:pPr>
            <w:r>
              <w:rPr>
                <w:b/>
                <w:bCs/>
                <w:spacing w:val="-2"/>
              </w:rPr>
              <w:t>（</w:t>
            </w:r>
            <w:r>
              <w:rPr>
                <w:rFonts w:ascii="Times New Roman" w:hAnsi="Times New Roman" w:eastAsia="Times New Roman" w:cs="Times New Roman"/>
                <w:b/>
                <w:bCs/>
                <w:spacing w:val="-2"/>
              </w:rPr>
              <w:t>2</w:t>
            </w:r>
            <w:r>
              <w:rPr>
                <w:b/>
                <w:bCs/>
                <w:spacing w:val="-2"/>
              </w:rPr>
              <w:t>）</w:t>
            </w:r>
            <w:r>
              <w:rPr>
                <w:spacing w:val="-2"/>
              </w:rPr>
              <w:t>生产系统危险性</w:t>
            </w:r>
          </w:p>
          <w:p w14:paraId="3BA8E824">
            <w:pPr>
              <w:pStyle w:val="6"/>
              <w:spacing w:before="139" w:line="357" w:lineRule="auto"/>
              <w:ind w:left="56" w:right="125" w:firstLine="419"/>
            </w:pPr>
            <w:r>
              <w:t>本项目生产装置、储运设施及公辅设施等生产系统不涉及</w:t>
            </w:r>
            <w:r>
              <w:rPr>
                <w:spacing w:val="-1"/>
              </w:rPr>
              <w:t>环境危险性。但项目危废</w:t>
            </w:r>
            <w:r>
              <w:t xml:space="preserve"> 暂存设施若发生破损导致危废泄漏，可能引发环境风险事故；</w:t>
            </w:r>
            <w:r>
              <w:rPr>
                <w:spacing w:val="-1"/>
              </w:rPr>
              <w:t>项目废气处理系统可能出</w:t>
            </w:r>
            <w:r>
              <w:t xml:space="preserve"> </w:t>
            </w:r>
            <w:r>
              <w:rPr>
                <w:spacing w:val="-1"/>
              </w:rPr>
              <w:t>现的非正常排放情况，造成环境污染或人员健康危害。</w:t>
            </w:r>
          </w:p>
          <w:p w14:paraId="5D69E20D">
            <w:pPr>
              <w:pStyle w:val="6"/>
              <w:spacing w:before="3" w:line="356" w:lineRule="auto"/>
              <w:ind w:left="54" w:right="119" w:firstLine="424"/>
              <w:jc w:val="both"/>
            </w:pPr>
            <w:r>
              <w:rPr>
                <w:b/>
                <w:bCs/>
                <w:spacing w:val="-1"/>
              </w:rPr>
              <w:t>可能影响途径：</w:t>
            </w:r>
            <w:r>
              <w:rPr>
                <w:spacing w:val="-1"/>
              </w:rPr>
              <w:t>危废间的废矿物油发生泄漏时，可能的影响途径见上文。废处理系</w:t>
            </w:r>
            <w:r>
              <w:rPr>
                <w:spacing w:val="14"/>
              </w:rPr>
              <w:t xml:space="preserve"> </w:t>
            </w:r>
            <w:r>
              <w:t>统出现故障时，会造成区域局部粉尘浓度超标，造成环境污染和</w:t>
            </w:r>
            <w:r>
              <w:rPr>
                <w:spacing w:val="-1"/>
              </w:rPr>
              <w:t>人员健康危害，严重时</w:t>
            </w:r>
            <w:r>
              <w:t xml:space="preserve"> </w:t>
            </w:r>
            <w:r>
              <w:rPr>
                <w:spacing w:val="-4"/>
              </w:rPr>
              <w:t>甚至发生粉尘爆炸。</w:t>
            </w:r>
          </w:p>
          <w:p w14:paraId="2EBBCB10">
            <w:pPr>
              <w:pStyle w:val="6"/>
              <w:spacing w:line="234" w:lineRule="auto"/>
              <w:ind w:left="107"/>
            </w:pPr>
            <w:r>
              <w:rPr>
                <w:rFonts w:ascii="Times New Roman" w:hAnsi="Times New Roman" w:eastAsia="Times New Roman" w:cs="Times New Roman"/>
                <w:b/>
                <w:bCs/>
                <w:spacing w:val="-2"/>
              </w:rPr>
              <w:t xml:space="preserve">6.3 </w:t>
            </w:r>
            <w:r>
              <w:rPr>
                <w:b/>
                <w:bCs/>
                <w:spacing w:val="-2"/>
              </w:rPr>
              <w:t>环境风险防范措施</w:t>
            </w:r>
          </w:p>
          <w:p w14:paraId="7DBB3632">
            <w:pPr>
              <w:pStyle w:val="6"/>
              <w:spacing w:before="137" w:line="330" w:lineRule="auto"/>
              <w:ind w:left="53" w:right="50" w:firstLine="420"/>
            </w:pPr>
            <w:r>
              <w:t>①对危废暂存间进行规范建设，采取防风、防雨、防渗、防漏</w:t>
            </w:r>
            <w:r>
              <w:rPr>
                <w:spacing w:val="-1"/>
              </w:rPr>
              <w:t>、防晒及防腐等环境</w:t>
            </w:r>
            <w:r>
              <w:t xml:space="preserve"> </w:t>
            </w:r>
            <w:r>
              <w:rPr>
                <w:spacing w:val="-1"/>
              </w:rPr>
              <w:t>污染防治措施，废矿物油容器周围应设防渗围堰，围堰高度约</w:t>
            </w:r>
            <w:r>
              <w:rPr>
                <w:spacing w:val="-32"/>
              </w:rPr>
              <w:t xml:space="preserve"> </w:t>
            </w:r>
            <w:r>
              <w:rPr>
                <w:rFonts w:ascii="Times New Roman" w:hAnsi="Times New Roman" w:eastAsia="Times New Roman" w:cs="Times New Roman"/>
                <w:spacing w:val="-1"/>
              </w:rPr>
              <w:t>0.3m</w:t>
            </w:r>
            <w:r>
              <w:rPr>
                <w:spacing w:val="-1"/>
              </w:rPr>
              <w:t>。暂存间地面防渗层</w:t>
            </w:r>
            <w:r>
              <w:t xml:space="preserve"> </w:t>
            </w:r>
            <w:r>
              <w:rPr>
                <w:spacing w:val="-3"/>
              </w:rPr>
              <w:t>为至少</w:t>
            </w:r>
            <w:r>
              <w:rPr>
                <w:spacing w:val="-15"/>
              </w:rPr>
              <w:t xml:space="preserve"> </w:t>
            </w:r>
            <w:r>
              <w:rPr>
                <w:rFonts w:ascii="Times New Roman" w:hAnsi="Times New Roman" w:eastAsia="Times New Roman" w:cs="Times New Roman"/>
                <w:spacing w:val="-3"/>
              </w:rPr>
              <w:t xml:space="preserve">1 </w:t>
            </w:r>
            <w:r>
              <w:rPr>
                <w:spacing w:val="-3"/>
              </w:rPr>
              <w:t>米厚粘土层</w:t>
            </w:r>
            <w:r>
              <w:rPr>
                <w:rFonts w:hint="eastAsia"/>
                <w:spacing w:val="-3"/>
                <w:lang w:eastAsia="zh-CN"/>
              </w:rPr>
              <w:t>（</w:t>
            </w:r>
            <w:r>
              <w:rPr>
                <w:spacing w:val="-3"/>
              </w:rPr>
              <w:t>渗透系数≤</w:t>
            </w:r>
            <w:r>
              <w:rPr>
                <w:rFonts w:ascii="Times New Roman" w:hAnsi="Times New Roman" w:eastAsia="Times New Roman" w:cs="Times New Roman"/>
                <w:spacing w:val="-3"/>
              </w:rPr>
              <w:t>10</w:t>
            </w:r>
            <w:r>
              <w:rPr>
                <w:rFonts w:ascii="Times New Roman" w:hAnsi="Times New Roman" w:eastAsia="Times New Roman" w:cs="Times New Roman"/>
                <w:spacing w:val="-3"/>
                <w:position w:val="7"/>
                <w:sz w:val="14"/>
                <w:szCs w:val="14"/>
              </w:rPr>
              <w:t>-7</w:t>
            </w:r>
            <w:r>
              <w:rPr>
                <w:rFonts w:ascii="Times New Roman" w:hAnsi="Times New Roman" w:eastAsia="Times New Roman" w:cs="Times New Roman"/>
                <w:spacing w:val="10"/>
                <w:position w:val="7"/>
                <w:sz w:val="14"/>
                <w:szCs w:val="14"/>
              </w:rPr>
              <w:t xml:space="preserve"> </w:t>
            </w:r>
            <w:r>
              <w:rPr>
                <w:spacing w:val="-3"/>
              </w:rPr>
              <w:t>厘米</w:t>
            </w:r>
            <w:r>
              <w:rPr>
                <w:rFonts w:ascii="Times New Roman" w:hAnsi="Times New Roman" w:eastAsia="Times New Roman" w:cs="Times New Roman"/>
                <w:spacing w:val="-3"/>
              </w:rPr>
              <w:t>/</w:t>
            </w:r>
            <w:r>
              <w:rPr>
                <w:spacing w:val="-3"/>
              </w:rPr>
              <w:t>秒</w:t>
            </w:r>
            <w:r>
              <w:rPr>
                <w:rFonts w:hint="eastAsia"/>
                <w:spacing w:val="-3"/>
                <w:lang w:eastAsia="zh-CN"/>
              </w:rPr>
              <w:t>）</w:t>
            </w:r>
            <w:r>
              <w:rPr>
                <w:spacing w:val="-3"/>
              </w:rPr>
              <w:t>，或</w:t>
            </w:r>
            <w:r>
              <w:rPr>
                <w:spacing w:val="-40"/>
              </w:rPr>
              <w:t xml:space="preserve"> </w:t>
            </w:r>
            <w:r>
              <w:rPr>
                <w:rFonts w:ascii="Times New Roman" w:hAnsi="Times New Roman" w:eastAsia="Times New Roman" w:cs="Times New Roman"/>
                <w:spacing w:val="-3"/>
              </w:rPr>
              <w:t xml:space="preserve">2 </w:t>
            </w:r>
            <w:r>
              <w:rPr>
                <w:spacing w:val="-3"/>
              </w:rPr>
              <w:t>毫米厚高密度聚乙烯，或至少</w:t>
            </w:r>
            <w:r>
              <w:rPr>
                <w:spacing w:val="-47"/>
              </w:rPr>
              <w:t xml:space="preserve"> </w:t>
            </w:r>
            <w:r>
              <w:rPr>
                <w:rFonts w:ascii="Times New Roman" w:hAnsi="Times New Roman" w:eastAsia="Times New Roman" w:cs="Times New Roman"/>
                <w:spacing w:val="-3"/>
              </w:rPr>
              <w:t xml:space="preserve">2 </w:t>
            </w:r>
            <w:r>
              <w:rPr>
                <w:spacing w:val="-3"/>
              </w:rPr>
              <w:t>毫米</w:t>
            </w:r>
            <w:r>
              <w:t xml:space="preserve"> 厚的</w:t>
            </w:r>
            <w:r>
              <w:rPr>
                <w:rFonts w:hint="eastAsia"/>
                <w:lang w:eastAsia="zh-CN"/>
              </w:rPr>
              <w:t>其他</w:t>
            </w:r>
            <w:r>
              <w:t>人工材料，渗透系数≤</w:t>
            </w:r>
            <w:r>
              <w:rPr>
                <w:rFonts w:ascii="Times New Roman" w:hAnsi="Times New Roman" w:eastAsia="Times New Roman" w:cs="Times New Roman"/>
              </w:rPr>
              <w:t>10</w:t>
            </w:r>
            <w:r>
              <w:rPr>
                <w:rFonts w:ascii="Times New Roman" w:hAnsi="Times New Roman" w:eastAsia="Times New Roman" w:cs="Times New Roman"/>
                <w:position w:val="7"/>
                <w:sz w:val="14"/>
                <w:szCs w:val="14"/>
              </w:rPr>
              <w:t>-10</w:t>
            </w:r>
            <w:r>
              <w:rPr>
                <w:rFonts w:ascii="Times New Roman" w:hAnsi="Times New Roman" w:eastAsia="Times New Roman" w:cs="Times New Roman"/>
                <w:spacing w:val="11"/>
                <w:w w:val="102"/>
                <w:position w:val="7"/>
                <w:sz w:val="14"/>
                <w:szCs w:val="14"/>
              </w:rPr>
              <w:t xml:space="preserve"> </w:t>
            </w:r>
            <w:r>
              <w:t>厘米</w:t>
            </w:r>
            <w:r>
              <w:rPr>
                <w:rFonts w:ascii="Times New Roman" w:hAnsi="Times New Roman" w:eastAsia="Times New Roman" w:cs="Times New Roman"/>
              </w:rPr>
              <w:t>/</w:t>
            </w:r>
            <w:r>
              <w:t>秒</w:t>
            </w:r>
            <w:r>
              <w:rPr>
                <w:spacing w:val="-1"/>
              </w:rPr>
              <w:t>。废矿物油等危险废物采用专用油桶暂存，</w:t>
            </w:r>
            <w:r>
              <w:t xml:space="preserve"> </w:t>
            </w:r>
            <w:r>
              <w:rPr>
                <w:spacing w:val="-2"/>
              </w:rPr>
              <w:t>储存间设置在密闭的房间内，储存容器下方配置防流失托盘。</w:t>
            </w:r>
          </w:p>
          <w:p w14:paraId="52FC9ACA">
            <w:pPr>
              <w:pStyle w:val="6"/>
              <w:spacing w:before="158" w:line="329" w:lineRule="auto"/>
              <w:ind w:left="54" w:right="126" w:firstLine="418"/>
            </w:pPr>
            <w:r>
              <w:t>②危废暂存间等易燃物质区域配备一定数量的消防器材，预防火</w:t>
            </w:r>
            <w:r>
              <w:rPr>
                <w:spacing w:val="-1"/>
              </w:rPr>
              <w:t>灾事故发生。认真</w:t>
            </w:r>
            <w:r>
              <w:t xml:space="preserve"> 贯彻“安全第一，预防为主”的方针，安排专门的人员定期负责</w:t>
            </w:r>
            <w:r>
              <w:rPr>
                <w:spacing w:val="-1"/>
              </w:rPr>
              <w:t>检查。设置专人看管，</w:t>
            </w:r>
            <w:r>
              <w:t xml:space="preserve"> 防止危废流失进入外环境。暂存间设置警示标志，无关人员不得入</w:t>
            </w:r>
            <w:r>
              <w:rPr>
                <w:spacing w:val="-1"/>
              </w:rPr>
              <w:t>内，建立危废台账，</w:t>
            </w:r>
            <w:r>
              <w:t xml:space="preserve"> 加强危险废物管理。严格控制危险废物的储存量，达到一定量时</w:t>
            </w:r>
            <w:r>
              <w:rPr>
                <w:spacing w:val="-1"/>
              </w:rPr>
              <w:t>立即通知资质单位转移</w:t>
            </w:r>
            <w:r>
              <w:t xml:space="preserve"> </w:t>
            </w:r>
            <w:r>
              <w:rPr>
                <w:spacing w:val="-1"/>
              </w:rPr>
              <w:t>处置，尽量避免长时间暂存。定期对厂区内的危废暂</w:t>
            </w:r>
            <w:r>
              <w:rPr>
                <w:spacing w:val="-2"/>
              </w:rPr>
              <w:t>存间等进行检查。</w:t>
            </w:r>
          </w:p>
          <w:p w14:paraId="5E5EF23D">
            <w:pPr>
              <w:pStyle w:val="6"/>
              <w:spacing w:before="160" w:line="329" w:lineRule="auto"/>
              <w:ind w:left="54" w:firstLine="418"/>
            </w:pPr>
            <w:r>
              <w:t>③危废暂存间外设置明显的标识、标牌，严禁烟</w:t>
            </w:r>
            <w:r>
              <w:rPr>
                <w:spacing w:val="-1"/>
              </w:rPr>
              <w:t>火等。暂存间内分类设置各类危废</w:t>
            </w:r>
            <w:r>
              <w:t xml:space="preserve">  </w:t>
            </w:r>
            <w:r>
              <w:rPr>
                <w:spacing w:val="-2"/>
              </w:rPr>
              <w:t>的储存区域，并设置明显标识。根据《</w:t>
            </w:r>
            <w:r>
              <w:rPr>
                <w:rFonts w:hint="eastAsia"/>
                <w:spacing w:val="-2"/>
                <w:lang w:eastAsia="zh-CN"/>
              </w:rPr>
              <w:t>中华人民共和国固体废物污染环境防治法》的</w:t>
            </w:r>
            <w:r>
              <w:rPr>
                <w:spacing w:val="-3"/>
              </w:rPr>
              <w:t>规定要求，</w:t>
            </w:r>
            <w:r>
              <w:t xml:space="preserve"> 产生的危险废物应严格按照《四川省环境保护</w:t>
            </w:r>
            <w:r>
              <w:rPr>
                <w:spacing w:val="-1"/>
              </w:rPr>
              <w:t>厅关于进一步规范危险废物省内转移工作</w:t>
            </w:r>
            <w:r>
              <w:t xml:space="preserve">  的通知》（川环函〔</w:t>
            </w:r>
            <w:r>
              <w:rPr>
                <w:rFonts w:ascii="Times New Roman" w:hAnsi="Times New Roman" w:eastAsia="Times New Roman" w:cs="Times New Roman"/>
              </w:rPr>
              <w:t>2017</w:t>
            </w:r>
            <w:r>
              <w:t>〕</w:t>
            </w:r>
            <w:r>
              <w:rPr>
                <w:rFonts w:ascii="Times New Roman" w:hAnsi="Times New Roman" w:eastAsia="Times New Roman" w:cs="Times New Roman"/>
              </w:rPr>
              <w:t xml:space="preserve">710  </w:t>
            </w:r>
            <w:r>
              <w:t>号）危险废物</w:t>
            </w:r>
            <w:r>
              <w:rPr>
                <w:spacing w:val="-1"/>
              </w:rPr>
              <w:t>处置之前，厂内临时储存和运输也应按照</w:t>
            </w:r>
            <w:r>
              <w:t xml:space="preserve">  </w:t>
            </w:r>
            <w:r>
              <w:rPr>
                <w:spacing w:val="-3"/>
              </w:rPr>
              <w:t>危险废物管理和处置相关要求进行。</w:t>
            </w:r>
          </w:p>
          <w:p w14:paraId="6848EF40">
            <w:pPr>
              <w:pStyle w:val="6"/>
              <w:spacing w:before="155" w:line="289" w:lineRule="auto"/>
              <w:ind w:left="56" w:right="126" w:firstLine="417"/>
            </w:pPr>
            <w:r>
              <w:t>④做好车间通风和禁火工作，重点防火单元应禁止吸烟、使用明</w:t>
            </w:r>
            <w:r>
              <w:rPr>
                <w:spacing w:val="-1"/>
              </w:rPr>
              <w:t>火，同时应避免电</w:t>
            </w:r>
            <w:r>
              <w:t xml:space="preserve"> </w:t>
            </w:r>
            <w:r>
              <w:rPr>
                <w:spacing w:val="-2"/>
              </w:rPr>
              <w:t>路短路引起火灾。若一旦发生事故，立即启动应急预案。</w:t>
            </w:r>
          </w:p>
          <w:p w14:paraId="2CEFCFAD">
            <w:pPr>
              <w:pStyle w:val="6"/>
              <w:spacing w:before="154" w:line="312" w:lineRule="auto"/>
              <w:ind w:left="53" w:right="126" w:firstLine="419"/>
            </w:pPr>
            <w:r>
              <w:t>⑤建立防火档案，确定消防安全重点部位，设置防火标志。同时</w:t>
            </w:r>
            <w:r>
              <w:rPr>
                <w:spacing w:val="-1"/>
              </w:rPr>
              <w:t>加强管理，严禁烟</w:t>
            </w:r>
            <w:r>
              <w:t xml:space="preserve"> 火，定期检查电路状况。配备充足的灭火设施。实行每日防火巡查，</w:t>
            </w:r>
            <w:r>
              <w:rPr>
                <w:spacing w:val="-1"/>
              </w:rPr>
              <w:t>并建立巡查记录。</w:t>
            </w:r>
            <w:r>
              <w:t xml:space="preserve"> </w:t>
            </w:r>
            <w:r>
              <w:rPr>
                <w:spacing w:val="-3"/>
              </w:rPr>
              <w:t>对职工进行消防安全培训。</w:t>
            </w:r>
          </w:p>
          <w:p w14:paraId="334C4EEA">
            <w:pPr>
              <w:pStyle w:val="6"/>
              <w:spacing w:before="156" w:line="217" w:lineRule="auto"/>
              <w:ind w:left="473"/>
            </w:pPr>
            <w:r>
              <w:rPr>
                <w:spacing w:val="-1"/>
              </w:rPr>
              <w:t>⑥制定灭火和应急疏散方案，定期组织消防</w:t>
            </w:r>
            <w:r>
              <w:rPr>
                <w:spacing w:val="-2"/>
              </w:rPr>
              <w:t>演练。执行有关防火安全规定和文件，</w:t>
            </w:r>
          </w:p>
        </w:tc>
      </w:tr>
    </w:tbl>
    <w:p w14:paraId="4FACD4D2">
      <w:pPr>
        <w:rPr>
          <w:rFonts w:ascii="Arial"/>
          <w:sz w:val="21"/>
        </w:rPr>
      </w:pPr>
    </w:p>
    <w:p w14:paraId="462882B6">
      <w:pPr>
        <w:rPr>
          <w:rFonts w:ascii="Arial" w:hAnsi="Arial" w:eastAsia="Arial" w:cs="Arial"/>
          <w:sz w:val="21"/>
          <w:szCs w:val="21"/>
        </w:rPr>
        <w:sectPr>
          <w:footerReference r:id="rId72" w:type="default"/>
          <w:pgSz w:w="11908" w:h="16840"/>
          <w:pgMar w:top="1431" w:right="1489" w:bottom="1053" w:left="1489" w:header="0" w:footer="801" w:gutter="0"/>
          <w:cols w:space="720" w:num="1"/>
        </w:sectPr>
      </w:pPr>
    </w:p>
    <w:p w14:paraId="73BA2128">
      <w:pPr>
        <w:spacing w:before="28"/>
      </w:pPr>
    </w:p>
    <w:tbl>
      <w:tblPr>
        <w:tblStyle w:val="5"/>
        <w:tblW w:w="891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124"/>
        <w:gridCol w:w="548"/>
        <w:gridCol w:w="5845"/>
        <w:gridCol w:w="848"/>
        <w:gridCol w:w="665"/>
        <w:gridCol w:w="133"/>
      </w:tblGrid>
      <w:tr w14:paraId="10F84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0" w:hRule="atLeast"/>
        </w:trPr>
        <w:tc>
          <w:tcPr>
            <w:tcW w:w="750" w:type="dxa"/>
            <w:vMerge w:val="restart"/>
            <w:tcBorders>
              <w:left w:val="single" w:color="000000" w:sz="6" w:space="0"/>
              <w:bottom w:val="nil"/>
            </w:tcBorders>
            <w:vAlign w:val="top"/>
          </w:tcPr>
          <w:p w14:paraId="194BC92C">
            <w:pPr>
              <w:rPr>
                <w:rFonts w:ascii="Arial"/>
                <w:sz w:val="21"/>
              </w:rPr>
            </w:pPr>
          </w:p>
        </w:tc>
        <w:tc>
          <w:tcPr>
            <w:tcW w:w="8163" w:type="dxa"/>
            <w:gridSpan w:val="6"/>
            <w:tcBorders>
              <w:right w:val="single" w:color="000000" w:sz="6" w:space="0"/>
            </w:tcBorders>
            <w:vAlign w:val="top"/>
          </w:tcPr>
          <w:p w14:paraId="5838A2AA">
            <w:pPr>
              <w:pStyle w:val="6"/>
              <w:spacing w:before="149" w:line="357" w:lineRule="auto"/>
              <w:ind w:left="55" w:right="126" w:firstLine="1"/>
              <w:jc w:val="both"/>
            </w:pPr>
            <w:r>
              <w:t>组织实施消防安全制度。制订岗位防火责任制和安全操作规</w:t>
            </w:r>
            <w:r>
              <w:rPr>
                <w:spacing w:val="-1"/>
              </w:rPr>
              <w:t>程，定期检查执行情况。保</w:t>
            </w:r>
            <w:r>
              <w:t xml:space="preserve"> 障电话等</w:t>
            </w:r>
            <w:r>
              <w:rPr>
                <w:rFonts w:hint="eastAsia"/>
                <w:lang w:eastAsia="zh-CN"/>
              </w:rPr>
              <w:t>通信畅通</w:t>
            </w:r>
            <w:r>
              <w:t>，配置火灾自动报警及联动控制系统，及早</w:t>
            </w:r>
            <w:r>
              <w:rPr>
                <w:spacing w:val="-1"/>
              </w:rPr>
              <w:t>发现火灾危险，将风险控</w:t>
            </w:r>
            <w:r>
              <w:t xml:space="preserve"> </w:t>
            </w:r>
            <w:r>
              <w:rPr>
                <w:spacing w:val="-5"/>
              </w:rPr>
              <w:t>制在最小范围内。</w:t>
            </w:r>
          </w:p>
          <w:p w14:paraId="75F82930">
            <w:pPr>
              <w:pStyle w:val="6"/>
              <w:spacing w:before="1" w:line="356" w:lineRule="auto"/>
              <w:ind w:left="52" w:right="126" w:firstLine="422"/>
              <w:jc w:val="both"/>
            </w:pPr>
            <w:r>
              <w:t>应急措施迅速撤离火灾区域与消防灭火无关人员至安全区。</w:t>
            </w:r>
            <w:r>
              <w:rPr>
                <w:spacing w:val="-1"/>
              </w:rPr>
              <w:t>同时场内应急处理人员</w:t>
            </w:r>
            <w:r>
              <w:t xml:space="preserve"> 进行紧急处理，控制火势。与消防专业机构保持密切联系。事故发生</w:t>
            </w:r>
            <w:r>
              <w:rPr>
                <w:spacing w:val="-1"/>
              </w:rPr>
              <w:t>时立即向消防专业</w:t>
            </w:r>
            <w:r>
              <w:t xml:space="preserve"> </w:t>
            </w:r>
            <w:r>
              <w:rPr>
                <w:spacing w:val="-6"/>
              </w:rPr>
              <w:t>机构求援。</w:t>
            </w:r>
          </w:p>
          <w:p w14:paraId="0B2F6128">
            <w:pPr>
              <w:pStyle w:val="6"/>
              <w:spacing w:before="1" w:line="286" w:lineRule="auto"/>
              <w:ind w:left="111" w:right="102" w:firstLine="414"/>
            </w:pPr>
            <w:r>
              <w:rPr>
                <w:spacing w:val="-5"/>
              </w:rPr>
              <w:t>⑦定期对除尘系统的各类设备进行保养、检查和维修，</w:t>
            </w:r>
            <w:r>
              <w:rPr>
                <w:spacing w:val="41"/>
              </w:rPr>
              <w:t xml:space="preserve"> </w:t>
            </w:r>
            <w:r>
              <w:rPr>
                <w:spacing w:val="-5"/>
              </w:rPr>
              <w:t>确保集气系统和除尘</w:t>
            </w:r>
            <w:r>
              <w:rPr>
                <w:spacing w:val="-6"/>
              </w:rPr>
              <w:t>系统的</w:t>
            </w:r>
            <w:r>
              <w:t xml:space="preserve"> </w:t>
            </w:r>
            <w:r>
              <w:rPr>
                <w:spacing w:val="-2"/>
              </w:rPr>
              <w:t>正常运行，及时更换破损的除尘布袋，确保处理效率。</w:t>
            </w:r>
          </w:p>
          <w:p w14:paraId="30FCA593">
            <w:pPr>
              <w:pStyle w:val="6"/>
              <w:spacing w:before="154" w:line="310" w:lineRule="auto"/>
              <w:ind w:left="57" w:right="48" w:firstLine="416"/>
            </w:pPr>
            <w:r>
              <w:rPr>
                <w:spacing w:val="-3"/>
              </w:rPr>
              <w:t>⑧按照《国家突发环境事件应急预案》（国办函〔</w:t>
            </w:r>
            <w:r>
              <w:rPr>
                <w:rFonts w:ascii="Times New Roman" w:hAnsi="Times New Roman" w:eastAsia="Times New Roman" w:cs="Times New Roman"/>
                <w:spacing w:val="-3"/>
              </w:rPr>
              <w:t>2014</w:t>
            </w:r>
            <w:r>
              <w:rPr>
                <w:spacing w:val="-3"/>
              </w:rPr>
              <w:t>〕</w:t>
            </w:r>
            <w:r>
              <w:rPr>
                <w:rFonts w:ascii="Times New Roman" w:hAnsi="Times New Roman" w:eastAsia="Times New Roman" w:cs="Times New Roman"/>
                <w:spacing w:val="-3"/>
              </w:rPr>
              <w:t>119</w:t>
            </w:r>
            <w:r>
              <w:rPr>
                <w:rFonts w:ascii="Times New Roman" w:hAnsi="Times New Roman" w:eastAsia="Times New Roman" w:cs="Times New Roman"/>
                <w:spacing w:val="32"/>
              </w:rPr>
              <w:t xml:space="preserve"> </w:t>
            </w:r>
            <w:r>
              <w:rPr>
                <w:spacing w:val="-3"/>
              </w:rPr>
              <w:t>号）、地方和相关部门</w:t>
            </w:r>
            <w:r>
              <w:t xml:space="preserve"> 的要求，制定符合项目实际需要的应急预案，并定期组织演</w:t>
            </w:r>
            <w:r>
              <w:rPr>
                <w:spacing w:val="-1"/>
              </w:rPr>
              <w:t>练，一旦发生事故，迅速采</w:t>
            </w:r>
            <w:r>
              <w:t xml:space="preserve"> </w:t>
            </w:r>
            <w:r>
              <w:rPr>
                <w:spacing w:val="-1"/>
              </w:rPr>
              <w:t>取有效处理措施进行抢险修复，最大限度降低对周围环境和人民生命</w:t>
            </w:r>
            <w:r>
              <w:rPr>
                <w:spacing w:val="-2"/>
              </w:rPr>
              <w:t>财产的危害。</w:t>
            </w:r>
          </w:p>
          <w:p w14:paraId="0BD6B7F2">
            <w:pPr>
              <w:pStyle w:val="6"/>
              <w:spacing w:before="155" w:line="232" w:lineRule="auto"/>
              <w:ind w:left="107"/>
            </w:pPr>
            <w:r>
              <w:rPr>
                <w:rFonts w:ascii="Times New Roman" w:hAnsi="Times New Roman" w:eastAsia="Times New Roman" w:cs="Times New Roman"/>
                <w:b/>
                <w:bCs/>
                <w:spacing w:val="-2"/>
              </w:rPr>
              <w:t>6.4</w:t>
            </w:r>
            <w:r>
              <w:rPr>
                <w:b/>
                <w:bCs/>
                <w:spacing w:val="-2"/>
              </w:rPr>
              <w:t>环境风险评价结论</w:t>
            </w:r>
          </w:p>
          <w:p w14:paraId="75657D8B">
            <w:pPr>
              <w:pStyle w:val="6"/>
              <w:spacing w:before="140" w:line="350" w:lineRule="auto"/>
              <w:ind w:left="107" w:right="114" w:firstLine="420"/>
            </w:pPr>
            <w:r>
              <w:rPr>
                <w:spacing w:val="-1"/>
              </w:rPr>
              <w:t>本项目风险源主要为废矿物油及原辅材料中的易</w:t>
            </w:r>
            <w:r>
              <w:rPr>
                <w:spacing w:val="-2"/>
              </w:rPr>
              <w:t>燃物质。通过采取相应的风险防范</w:t>
            </w:r>
            <w:r>
              <w:t xml:space="preserve"> </w:t>
            </w:r>
            <w:r>
              <w:rPr>
                <w:spacing w:val="-1"/>
              </w:rPr>
              <w:t>措施，环境风险是可控的。因此，从环境风险角度分析本</w:t>
            </w:r>
            <w:r>
              <w:rPr>
                <w:spacing w:val="-2"/>
              </w:rPr>
              <w:t>项目建设可行。</w:t>
            </w:r>
          </w:p>
          <w:p w14:paraId="07F671AD">
            <w:pPr>
              <w:spacing w:before="1" w:line="241" w:lineRule="auto"/>
              <w:ind w:left="107"/>
              <w:rPr>
                <w:rFonts w:ascii="黑体" w:hAnsi="黑体" w:eastAsia="黑体" w:cs="黑体"/>
                <w:sz w:val="21"/>
                <w:szCs w:val="21"/>
              </w:rPr>
            </w:pPr>
            <w:r>
              <w:rPr>
                <w:rFonts w:ascii="Times New Roman" w:hAnsi="Times New Roman" w:eastAsia="Times New Roman" w:cs="Times New Roman"/>
                <w:spacing w:val="8"/>
                <w:sz w:val="21"/>
                <w:szCs w:val="21"/>
              </w:rPr>
              <w:t>7</w:t>
            </w:r>
            <w:r>
              <w:rPr>
                <w:rFonts w:ascii="黑体" w:hAnsi="黑体" w:eastAsia="黑体" w:cs="黑体"/>
                <w:spacing w:val="8"/>
                <w:sz w:val="21"/>
                <w:szCs w:val="21"/>
              </w:rPr>
              <w:t>、环保投资一览表</w:t>
            </w:r>
          </w:p>
          <w:p w14:paraId="60480682">
            <w:pPr>
              <w:spacing w:before="77" w:line="206" w:lineRule="auto"/>
              <w:ind w:left="2252"/>
              <w:rPr>
                <w:rFonts w:ascii="黑体" w:hAnsi="黑体" w:eastAsia="黑体" w:cs="黑体"/>
                <w:sz w:val="20"/>
                <w:szCs w:val="20"/>
              </w:rPr>
            </w:pPr>
            <w:r>
              <w:rPr>
                <w:rFonts w:ascii="黑体" w:hAnsi="黑体" w:eastAsia="黑体" w:cs="黑体"/>
                <w:spacing w:val="-1"/>
                <w:sz w:val="20"/>
                <w:szCs w:val="20"/>
              </w:rPr>
              <w:t>表</w:t>
            </w:r>
            <w:r>
              <w:rPr>
                <w:rFonts w:ascii="Times New Roman" w:hAnsi="Times New Roman" w:eastAsia="Times New Roman" w:cs="Times New Roman"/>
                <w:spacing w:val="-1"/>
                <w:sz w:val="20"/>
                <w:szCs w:val="20"/>
              </w:rPr>
              <w:t xml:space="preserve">4-19      </w:t>
            </w:r>
            <w:r>
              <w:rPr>
                <w:rFonts w:ascii="黑体" w:hAnsi="黑体" w:eastAsia="黑体" w:cs="黑体"/>
                <w:spacing w:val="-1"/>
                <w:sz w:val="20"/>
                <w:szCs w:val="20"/>
              </w:rPr>
              <w:t>环保投资估算一览表单位：万元</w:t>
            </w:r>
          </w:p>
        </w:tc>
      </w:tr>
      <w:tr w14:paraId="42FCB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50" w:type="dxa"/>
            <w:vMerge w:val="continue"/>
            <w:tcBorders>
              <w:top w:val="nil"/>
              <w:left w:val="single" w:color="000000" w:sz="6" w:space="0"/>
              <w:bottom w:val="nil"/>
            </w:tcBorders>
            <w:vAlign w:val="top"/>
          </w:tcPr>
          <w:p w14:paraId="415CB2F1">
            <w:pPr>
              <w:rPr>
                <w:rFonts w:ascii="Arial"/>
                <w:sz w:val="21"/>
              </w:rPr>
            </w:pPr>
          </w:p>
        </w:tc>
        <w:tc>
          <w:tcPr>
            <w:tcW w:w="124" w:type="dxa"/>
            <w:tcBorders>
              <w:top w:val="nil"/>
              <w:bottom w:val="nil"/>
            </w:tcBorders>
            <w:vAlign w:val="top"/>
          </w:tcPr>
          <w:p w14:paraId="4A554A92">
            <w:pPr>
              <w:rPr>
                <w:rFonts w:ascii="Arial"/>
                <w:sz w:val="21"/>
              </w:rPr>
            </w:pPr>
          </w:p>
        </w:tc>
        <w:tc>
          <w:tcPr>
            <w:tcW w:w="548" w:type="dxa"/>
            <w:vAlign w:val="top"/>
          </w:tcPr>
          <w:p w14:paraId="57550CD8">
            <w:pPr>
              <w:pStyle w:val="6"/>
              <w:spacing w:before="118" w:line="220" w:lineRule="auto"/>
              <w:ind w:left="93"/>
              <w:rPr>
                <w:sz w:val="18"/>
                <w:szCs w:val="18"/>
              </w:rPr>
            </w:pPr>
            <w:r>
              <w:rPr>
                <w:b/>
                <w:bCs/>
                <w:spacing w:val="-5"/>
                <w:sz w:val="18"/>
                <w:szCs w:val="18"/>
              </w:rPr>
              <w:t>项目</w:t>
            </w:r>
          </w:p>
        </w:tc>
        <w:tc>
          <w:tcPr>
            <w:tcW w:w="5845" w:type="dxa"/>
            <w:vAlign w:val="top"/>
          </w:tcPr>
          <w:p w14:paraId="693D4A0E">
            <w:pPr>
              <w:pStyle w:val="6"/>
              <w:spacing w:before="117" w:line="220" w:lineRule="auto"/>
              <w:ind w:left="2023"/>
              <w:rPr>
                <w:sz w:val="18"/>
                <w:szCs w:val="18"/>
              </w:rPr>
            </w:pPr>
            <w:r>
              <w:rPr>
                <w:b/>
                <w:bCs/>
                <w:spacing w:val="-5"/>
                <w:sz w:val="18"/>
                <w:szCs w:val="18"/>
              </w:rPr>
              <w:t>环保设施（措施）</w:t>
            </w:r>
            <w:r>
              <w:rPr>
                <w:spacing w:val="-48"/>
                <w:sz w:val="18"/>
                <w:szCs w:val="18"/>
              </w:rPr>
              <w:t xml:space="preserve"> </w:t>
            </w:r>
            <w:r>
              <w:rPr>
                <w:b/>
                <w:bCs/>
                <w:spacing w:val="-5"/>
                <w:sz w:val="18"/>
                <w:szCs w:val="18"/>
              </w:rPr>
              <w:t>内容</w:t>
            </w:r>
          </w:p>
        </w:tc>
        <w:tc>
          <w:tcPr>
            <w:tcW w:w="848" w:type="dxa"/>
            <w:vAlign w:val="top"/>
          </w:tcPr>
          <w:p w14:paraId="79EA4A05">
            <w:pPr>
              <w:pStyle w:val="6"/>
              <w:spacing w:before="118" w:line="234" w:lineRule="auto"/>
              <w:ind w:left="50"/>
              <w:rPr>
                <w:sz w:val="18"/>
                <w:szCs w:val="18"/>
              </w:rPr>
            </w:pPr>
            <w:r>
              <w:rPr>
                <w:b/>
                <w:bCs/>
                <w:spacing w:val="-3"/>
                <w:sz w:val="18"/>
                <w:szCs w:val="18"/>
              </w:rPr>
              <w:t>投资</w:t>
            </w:r>
            <w:r>
              <w:rPr>
                <w:rFonts w:ascii="Times New Roman" w:hAnsi="Times New Roman" w:eastAsia="Times New Roman" w:cs="Times New Roman"/>
                <w:b/>
                <w:bCs/>
                <w:spacing w:val="-3"/>
                <w:sz w:val="18"/>
                <w:szCs w:val="18"/>
              </w:rPr>
              <w:t>/</w:t>
            </w:r>
            <w:r>
              <w:rPr>
                <w:b/>
                <w:bCs/>
                <w:spacing w:val="-3"/>
                <w:sz w:val="18"/>
                <w:szCs w:val="18"/>
              </w:rPr>
              <w:t>万元</w:t>
            </w:r>
          </w:p>
        </w:tc>
        <w:tc>
          <w:tcPr>
            <w:tcW w:w="665" w:type="dxa"/>
            <w:vAlign w:val="top"/>
          </w:tcPr>
          <w:p w14:paraId="479A6887">
            <w:pPr>
              <w:pStyle w:val="6"/>
              <w:spacing w:before="118" w:line="221" w:lineRule="auto"/>
              <w:ind w:left="166"/>
              <w:rPr>
                <w:sz w:val="18"/>
                <w:szCs w:val="18"/>
              </w:rPr>
            </w:pPr>
            <w:r>
              <w:rPr>
                <w:b/>
                <w:bCs/>
                <w:spacing w:val="-4"/>
                <w:sz w:val="18"/>
                <w:szCs w:val="18"/>
              </w:rPr>
              <w:t>备注</w:t>
            </w:r>
          </w:p>
        </w:tc>
        <w:tc>
          <w:tcPr>
            <w:tcW w:w="133" w:type="dxa"/>
            <w:tcBorders>
              <w:top w:val="nil"/>
              <w:bottom w:val="nil"/>
              <w:right w:val="single" w:color="000000" w:sz="6" w:space="0"/>
            </w:tcBorders>
            <w:vAlign w:val="top"/>
          </w:tcPr>
          <w:p w14:paraId="66D83F9F">
            <w:pPr>
              <w:rPr>
                <w:rFonts w:ascii="Arial"/>
                <w:sz w:val="21"/>
              </w:rPr>
            </w:pPr>
          </w:p>
        </w:tc>
      </w:tr>
      <w:tr w14:paraId="36C05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750" w:type="dxa"/>
            <w:vMerge w:val="continue"/>
            <w:tcBorders>
              <w:top w:val="nil"/>
              <w:left w:val="single" w:color="000000" w:sz="6" w:space="0"/>
              <w:bottom w:val="nil"/>
            </w:tcBorders>
            <w:vAlign w:val="top"/>
          </w:tcPr>
          <w:p w14:paraId="7E7B4310">
            <w:pPr>
              <w:rPr>
                <w:rFonts w:ascii="Arial"/>
                <w:sz w:val="21"/>
              </w:rPr>
            </w:pPr>
          </w:p>
        </w:tc>
        <w:tc>
          <w:tcPr>
            <w:tcW w:w="124" w:type="dxa"/>
            <w:tcBorders>
              <w:top w:val="nil"/>
              <w:bottom w:val="nil"/>
            </w:tcBorders>
            <w:vAlign w:val="top"/>
          </w:tcPr>
          <w:p w14:paraId="4BE4279B">
            <w:pPr>
              <w:rPr>
                <w:rFonts w:ascii="Arial"/>
                <w:sz w:val="21"/>
              </w:rPr>
            </w:pPr>
          </w:p>
        </w:tc>
        <w:tc>
          <w:tcPr>
            <w:tcW w:w="548" w:type="dxa"/>
            <w:vMerge w:val="restart"/>
            <w:tcBorders>
              <w:bottom w:val="nil"/>
            </w:tcBorders>
            <w:vAlign w:val="top"/>
          </w:tcPr>
          <w:p w14:paraId="2A510C49">
            <w:pPr>
              <w:spacing w:line="244" w:lineRule="auto"/>
              <w:rPr>
                <w:rFonts w:ascii="Arial"/>
                <w:sz w:val="21"/>
              </w:rPr>
            </w:pPr>
          </w:p>
          <w:p w14:paraId="537631D4">
            <w:pPr>
              <w:spacing w:line="244" w:lineRule="auto"/>
              <w:rPr>
                <w:rFonts w:ascii="Arial"/>
                <w:sz w:val="21"/>
              </w:rPr>
            </w:pPr>
          </w:p>
          <w:p w14:paraId="5A5496D6">
            <w:pPr>
              <w:spacing w:line="245" w:lineRule="auto"/>
              <w:rPr>
                <w:rFonts w:ascii="Arial"/>
                <w:sz w:val="21"/>
              </w:rPr>
            </w:pPr>
          </w:p>
          <w:p w14:paraId="012A10B7">
            <w:pPr>
              <w:spacing w:line="245" w:lineRule="auto"/>
              <w:rPr>
                <w:rFonts w:ascii="Arial"/>
                <w:sz w:val="21"/>
              </w:rPr>
            </w:pPr>
          </w:p>
          <w:p w14:paraId="7A9E87DD">
            <w:pPr>
              <w:spacing w:line="245" w:lineRule="auto"/>
              <w:rPr>
                <w:rFonts w:ascii="Arial"/>
                <w:sz w:val="21"/>
              </w:rPr>
            </w:pPr>
          </w:p>
          <w:p w14:paraId="4C30029A">
            <w:pPr>
              <w:spacing w:line="245" w:lineRule="auto"/>
              <w:rPr>
                <w:rFonts w:ascii="Arial"/>
                <w:sz w:val="21"/>
              </w:rPr>
            </w:pPr>
          </w:p>
          <w:p w14:paraId="7E1F718F">
            <w:pPr>
              <w:spacing w:line="245" w:lineRule="auto"/>
              <w:rPr>
                <w:rFonts w:ascii="Arial"/>
                <w:sz w:val="21"/>
              </w:rPr>
            </w:pPr>
          </w:p>
          <w:p w14:paraId="7F1B3B2D">
            <w:pPr>
              <w:spacing w:line="245" w:lineRule="auto"/>
              <w:rPr>
                <w:rFonts w:ascii="Arial"/>
                <w:sz w:val="21"/>
              </w:rPr>
            </w:pPr>
          </w:p>
          <w:p w14:paraId="154CD9AE">
            <w:pPr>
              <w:spacing w:line="245" w:lineRule="auto"/>
              <w:rPr>
                <w:rFonts w:ascii="Arial"/>
                <w:sz w:val="21"/>
              </w:rPr>
            </w:pPr>
          </w:p>
          <w:p w14:paraId="39BFD975">
            <w:pPr>
              <w:spacing w:line="245" w:lineRule="auto"/>
              <w:rPr>
                <w:rFonts w:ascii="Arial"/>
                <w:sz w:val="21"/>
              </w:rPr>
            </w:pPr>
          </w:p>
          <w:p w14:paraId="70EE32B5">
            <w:pPr>
              <w:spacing w:line="245" w:lineRule="auto"/>
              <w:rPr>
                <w:rFonts w:ascii="Arial"/>
                <w:sz w:val="21"/>
              </w:rPr>
            </w:pPr>
          </w:p>
          <w:p w14:paraId="0B3E2043">
            <w:pPr>
              <w:pStyle w:val="6"/>
              <w:spacing w:before="59" w:line="220" w:lineRule="auto"/>
              <w:ind w:left="91"/>
              <w:rPr>
                <w:sz w:val="18"/>
                <w:szCs w:val="18"/>
              </w:rPr>
            </w:pPr>
            <w:r>
              <w:rPr>
                <w:spacing w:val="-2"/>
                <w:sz w:val="18"/>
                <w:szCs w:val="18"/>
              </w:rPr>
              <w:t>废气</w:t>
            </w:r>
          </w:p>
          <w:p w14:paraId="04401E7F">
            <w:pPr>
              <w:pStyle w:val="6"/>
              <w:spacing w:before="65" w:line="225" w:lineRule="auto"/>
              <w:ind w:left="96"/>
              <w:rPr>
                <w:sz w:val="18"/>
                <w:szCs w:val="18"/>
              </w:rPr>
            </w:pPr>
            <w:r>
              <w:rPr>
                <w:spacing w:val="-3"/>
                <w:sz w:val="18"/>
                <w:szCs w:val="18"/>
              </w:rPr>
              <w:t>治理</w:t>
            </w:r>
          </w:p>
        </w:tc>
        <w:tc>
          <w:tcPr>
            <w:tcW w:w="5845" w:type="dxa"/>
            <w:vAlign w:val="top"/>
          </w:tcPr>
          <w:p w14:paraId="158BA371">
            <w:pPr>
              <w:pStyle w:val="6"/>
              <w:spacing w:before="61" w:line="238" w:lineRule="auto"/>
              <w:ind w:left="53" w:right="39" w:firstLine="5"/>
              <w:jc w:val="both"/>
              <w:rPr>
                <w:sz w:val="20"/>
                <w:szCs w:val="20"/>
              </w:rPr>
            </w:pPr>
            <w:r>
              <w:rPr>
                <w:spacing w:val="-2"/>
                <w:sz w:val="20"/>
                <w:szCs w:val="20"/>
              </w:rPr>
              <w:t>原料削片粉尘：布置在封闭式车间内，避免风</w:t>
            </w:r>
            <w:r>
              <w:rPr>
                <w:spacing w:val="-3"/>
                <w:sz w:val="20"/>
                <w:szCs w:val="20"/>
              </w:rPr>
              <w:t>力扰动起尘，从途径</w:t>
            </w:r>
            <w:r>
              <w:rPr>
                <w:sz w:val="20"/>
                <w:szCs w:val="20"/>
              </w:rPr>
              <w:t xml:space="preserve"> </w:t>
            </w:r>
            <w:r>
              <w:rPr>
                <w:spacing w:val="-2"/>
                <w:sz w:val="20"/>
                <w:szCs w:val="20"/>
              </w:rPr>
              <w:t>上抑制粉尘逸散；原料木材本身具有较高的含水率，起尘概率低；</w:t>
            </w:r>
            <w:r>
              <w:rPr>
                <w:spacing w:val="3"/>
                <w:sz w:val="20"/>
                <w:szCs w:val="20"/>
              </w:rPr>
              <w:t xml:space="preserve"> </w:t>
            </w:r>
            <w:r>
              <w:rPr>
                <w:spacing w:val="-1"/>
                <w:sz w:val="20"/>
                <w:szCs w:val="20"/>
              </w:rPr>
              <w:t>采用密闭型设备，在入料口上方增加挡板</w:t>
            </w:r>
          </w:p>
        </w:tc>
        <w:tc>
          <w:tcPr>
            <w:tcW w:w="848" w:type="dxa"/>
            <w:vAlign w:val="top"/>
          </w:tcPr>
          <w:p w14:paraId="62BA3A29">
            <w:pPr>
              <w:spacing w:line="335" w:lineRule="auto"/>
              <w:rPr>
                <w:rFonts w:ascii="Arial"/>
                <w:sz w:val="21"/>
              </w:rPr>
            </w:pPr>
          </w:p>
          <w:p w14:paraId="12C0492F">
            <w:pPr>
              <w:spacing w:before="51" w:line="232" w:lineRule="auto"/>
              <w:ind w:left="33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w:t>
            </w:r>
          </w:p>
        </w:tc>
        <w:tc>
          <w:tcPr>
            <w:tcW w:w="665" w:type="dxa"/>
            <w:vAlign w:val="top"/>
          </w:tcPr>
          <w:p w14:paraId="0C1BE40E">
            <w:pPr>
              <w:spacing w:line="298" w:lineRule="auto"/>
              <w:rPr>
                <w:rFonts w:ascii="Arial"/>
                <w:sz w:val="21"/>
              </w:rPr>
            </w:pPr>
          </w:p>
          <w:p w14:paraId="3587D6D5">
            <w:pPr>
              <w:pStyle w:val="6"/>
              <w:spacing w:before="59" w:line="220" w:lineRule="auto"/>
              <w:ind w:left="164"/>
              <w:rPr>
                <w:sz w:val="18"/>
                <w:szCs w:val="18"/>
              </w:rPr>
            </w:pPr>
            <w:r>
              <w:rPr>
                <w:spacing w:val="-2"/>
                <w:sz w:val="18"/>
                <w:szCs w:val="18"/>
              </w:rPr>
              <w:t>新建</w:t>
            </w:r>
          </w:p>
        </w:tc>
        <w:tc>
          <w:tcPr>
            <w:tcW w:w="133" w:type="dxa"/>
            <w:tcBorders>
              <w:top w:val="nil"/>
              <w:bottom w:val="nil"/>
              <w:right w:val="single" w:color="000000" w:sz="6" w:space="0"/>
            </w:tcBorders>
            <w:vAlign w:val="top"/>
          </w:tcPr>
          <w:p w14:paraId="38735327">
            <w:pPr>
              <w:rPr>
                <w:rFonts w:ascii="Arial"/>
                <w:sz w:val="21"/>
              </w:rPr>
            </w:pPr>
          </w:p>
        </w:tc>
      </w:tr>
      <w:tr w14:paraId="596EA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750" w:type="dxa"/>
            <w:vMerge w:val="continue"/>
            <w:tcBorders>
              <w:top w:val="nil"/>
              <w:left w:val="single" w:color="000000" w:sz="6" w:space="0"/>
              <w:bottom w:val="nil"/>
            </w:tcBorders>
            <w:vAlign w:val="top"/>
          </w:tcPr>
          <w:p w14:paraId="52592E11">
            <w:pPr>
              <w:rPr>
                <w:rFonts w:ascii="Arial"/>
                <w:sz w:val="21"/>
              </w:rPr>
            </w:pPr>
          </w:p>
        </w:tc>
        <w:tc>
          <w:tcPr>
            <w:tcW w:w="124" w:type="dxa"/>
            <w:tcBorders>
              <w:top w:val="nil"/>
              <w:bottom w:val="nil"/>
            </w:tcBorders>
            <w:vAlign w:val="top"/>
          </w:tcPr>
          <w:p w14:paraId="5C8C7F81">
            <w:pPr>
              <w:rPr>
                <w:rFonts w:ascii="Arial"/>
                <w:sz w:val="21"/>
              </w:rPr>
            </w:pPr>
          </w:p>
        </w:tc>
        <w:tc>
          <w:tcPr>
            <w:tcW w:w="548" w:type="dxa"/>
            <w:vMerge w:val="continue"/>
            <w:tcBorders>
              <w:top w:val="nil"/>
              <w:bottom w:val="nil"/>
            </w:tcBorders>
            <w:vAlign w:val="top"/>
          </w:tcPr>
          <w:p w14:paraId="60D04DDA">
            <w:pPr>
              <w:rPr>
                <w:rFonts w:ascii="Arial"/>
                <w:sz w:val="21"/>
              </w:rPr>
            </w:pPr>
          </w:p>
        </w:tc>
        <w:tc>
          <w:tcPr>
            <w:tcW w:w="5845" w:type="dxa"/>
            <w:vAlign w:val="top"/>
          </w:tcPr>
          <w:p w14:paraId="3DF7D637">
            <w:pPr>
              <w:pStyle w:val="6"/>
              <w:spacing w:before="60" w:line="246" w:lineRule="auto"/>
              <w:ind w:left="54" w:right="47"/>
              <w:jc w:val="both"/>
              <w:rPr>
                <w:sz w:val="20"/>
                <w:szCs w:val="20"/>
              </w:rPr>
            </w:pPr>
            <w:r>
              <w:rPr>
                <w:spacing w:val="-2"/>
                <w:sz w:val="20"/>
                <w:szCs w:val="20"/>
              </w:rPr>
              <w:t>给料粉碎粉尘：将设备布置在封闭式车间内，在给</w:t>
            </w:r>
            <w:r>
              <w:rPr>
                <w:spacing w:val="-3"/>
                <w:sz w:val="20"/>
                <w:szCs w:val="20"/>
              </w:rPr>
              <w:t>料机筛网上方加</w:t>
            </w:r>
            <w:r>
              <w:rPr>
                <w:sz w:val="20"/>
                <w:szCs w:val="20"/>
              </w:rPr>
              <w:t xml:space="preserve"> </w:t>
            </w:r>
            <w:r>
              <w:rPr>
                <w:spacing w:val="-2"/>
                <w:sz w:val="20"/>
                <w:szCs w:val="20"/>
              </w:rPr>
              <w:t>盖封闭挡板仅留进料口，出料口与粉碎机紧密连接。</w:t>
            </w:r>
            <w:r>
              <w:rPr>
                <w:spacing w:val="-3"/>
                <w:sz w:val="20"/>
                <w:szCs w:val="20"/>
              </w:rPr>
              <w:t>粉碎机半地下</w:t>
            </w:r>
            <w:r>
              <w:rPr>
                <w:sz w:val="20"/>
                <w:szCs w:val="20"/>
              </w:rPr>
              <w:t xml:space="preserve"> </w:t>
            </w:r>
            <w:r>
              <w:rPr>
                <w:spacing w:val="-2"/>
                <w:sz w:val="20"/>
                <w:szCs w:val="20"/>
              </w:rPr>
              <w:t>式安装，设备出料与输送皮带连接处设包围式集气罩</w:t>
            </w:r>
            <w:r>
              <w:rPr>
                <w:spacing w:val="-3"/>
                <w:sz w:val="20"/>
                <w:szCs w:val="20"/>
              </w:rPr>
              <w:t>形成微负压状</w:t>
            </w:r>
            <w:r>
              <w:rPr>
                <w:sz w:val="20"/>
                <w:szCs w:val="20"/>
              </w:rPr>
              <w:t xml:space="preserve"> </w:t>
            </w:r>
            <w:r>
              <w:rPr>
                <w:spacing w:val="1"/>
                <w:sz w:val="20"/>
                <w:szCs w:val="20"/>
              </w:rPr>
              <w:t>态，收集粉尘至一套“旋风除尘</w:t>
            </w:r>
            <w:r>
              <w:rPr>
                <w:rFonts w:ascii="Times New Roman" w:hAnsi="Times New Roman" w:eastAsia="Times New Roman" w:cs="Times New Roman"/>
                <w:spacing w:val="1"/>
                <w:sz w:val="20"/>
                <w:szCs w:val="20"/>
              </w:rPr>
              <w:t>+</w:t>
            </w:r>
            <w:r>
              <w:rPr>
                <w:spacing w:val="1"/>
                <w:sz w:val="20"/>
                <w:szCs w:val="20"/>
              </w:rPr>
              <w:t>布袋除尘”处理后</w:t>
            </w:r>
            <w:r>
              <w:rPr>
                <w:sz w:val="20"/>
                <w:szCs w:val="20"/>
              </w:rPr>
              <w:t xml:space="preserve">在车间无组织 </w:t>
            </w:r>
            <w:r>
              <w:rPr>
                <w:spacing w:val="-1"/>
                <w:sz w:val="20"/>
                <w:szCs w:val="20"/>
              </w:rPr>
              <w:t>排放，加强车间通风换气</w:t>
            </w:r>
          </w:p>
        </w:tc>
        <w:tc>
          <w:tcPr>
            <w:tcW w:w="848" w:type="dxa"/>
            <w:vAlign w:val="top"/>
          </w:tcPr>
          <w:p w14:paraId="36046F8A">
            <w:pPr>
              <w:spacing w:line="306" w:lineRule="auto"/>
              <w:rPr>
                <w:rFonts w:ascii="Arial"/>
                <w:sz w:val="21"/>
              </w:rPr>
            </w:pPr>
          </w:p>
          <w:p w14:paraId="149A1018">
            <w:pPr>
              <w:spacing w:line="307" w:lineRule="auto"/>
              <w:rPr>
                <w:rFonts w:ascii="Arial"/>
                <w:sz w:val="21"/>
              </w:rPr>
            </w:pPr>
          </w:p>
          <w:p w14:paraId="53AFDDAF">
            <w:pPr>
              <w:spacing w:before="52" w:line="232" w:lineRule="auto"/>
              <w:ind w:left="27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20.0</w:t>
            </w:r>
          </w:p>
        </w:tc>
        <w:tc>
          <w:tcPr>
            <w:tcW w:w="665" w:type="dxa"/>
            <w:vAlign w:val="top"/>
          </w:tcPr>
          <w:p w14:paraId="1CCFB31C">
            <w:pPr>
              <w:spacing w:line="288" w:lineRule="auto"/>
              <w:rPr>
                <w:rFonts w:ascii="Arial"/>
                <w:sz w:val="21"/>
              </w:rPr>
            </w:pPr>
          </w:p>
          <w:p w14:paraId="665D9822">
            <w:pPr>
              <w:spacing w:line="289" w:lineRule="auto"/>
              <w:rPr>
                <w:rFonts w:ascii="Arial"/>
                <w:sz w:val="21"/>
              </w:rPr>
            </w:pPr>
          </w:p>
          <w:p w14:paraId="4070D782">
            <w:pPr>
              <w:pStyle w:val="6"/>
              <w:spacing w:before="59" w:line="220" w:lineRule="auto"/>
              <w:ind w:left="164"/>
              <w:rPr>
                <w:sz w:val="18"/>
                <w:szCs w:val="18"/>
              </w:rPr>
            </w:pPr>
            <w:r>
              <w:rPr>
                <w:spacing w:val="-2"/>
                <w:sz w:val="18"/>
                <w:szCs w:val="18"/>
              </w:rPr>
              <w:t>新建</w:t>
            </w:r>
          </w:p>
        </w:tc>
        <w:tc>
          <w:tcPr>
            <w:tcW w:w="133" w:type="dxa"/>
            <w:tcBorders>
              <w:top w:val="nil"/>
              <w:bottom w:val="nil"/>
              <w:right w:val="single" w:color="000000" w:sz="6" w:space="0"/>
            </w:tcBorders>
            <w:vAlign w:val="top"/>
          </w:tcPr>
          <w:p w14:paraId="1709E071">
            <w:pPr>
              <w:rPr>
                <w:rFonts w:ascii="Arial"/>
                <w:sz w:val="21"/>
              </w:rPr>
            </w:pPr>
          </w:p>
        </w:tc>
      </w:tr>
      <w:tr w14:paraId="42356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750" w:type="dxa"/>
            <w:vMerge w:val="continue"/>
            <w:tcBorders>
              <w:top w:val="nil"/>
              <w:left w:val="single" w:color="000000" w:sz="6" w:space="0"/>
              <w:bottom w:val="nil"/>
            </w:tcBorders>
            <w:vAlign w:val="top"/>
          </w:tcPr>
          <w:p w14:paraId="4EF39948">
            <w:pPr>
              <w:rPr>
                <w:rFonts w:ascii="Arial"/>
                <w:sz w:val="21"/>
              </w:rPr>
            </w:pPr>
          </w:p>
        </w:tc>
        <w:tc>
          <w:tcPr>
            <w:tcW w:w="124" w:type="dxa"/>
            <w:tcBorders>
              <w:top w:val="nil"/>
              <w:bottom w:val="nil"/>
            </w:tcBorders>
            <w:vAlign w:val="top"/>
          </w:tcPr>
          <w:p w14:paraId="356E65B4">
            <w:pPr>
              <w:rPr>
                <w:rFonts w:ascii="Arial"/>
                <w:sz w:val="21"/>
              </w:rPr>
            </w:pPr>
          </w:p>
        </w:tc>
        <w:tc>
          <w:tcPr>
            <w:tcW w:w="548" w:type="dxa"/>
            <w:vMerge w:val="continue"/>
            <w:tcBorders>
              <w:top w:val="nil"/>
              <w:bottom w:val="nil"/>
            </w:tcBorders>
            <w:vAlign w:val="top"/>
          </w:tcPr>
          <w:p w14:paraId="0E72397E">
            <w:pPr>
              <w:rPr>
                <w:rFonts w:ascii="Arial"/>
                <w:sz w:val="21"/>
              </w:rPr>
            </w:pPr>
          </w:p>
        </w:tc>
        <w:tc>
          <w:tcPr>
            <w:tcW w:w="5845" w:type="dxa"/>
            <w:vAlign w:val="top"/>
          </w:tcPr>
          <w:p w14:paraId="4E9C4435">
            <w:pPr>
              <w:pStyle w:val="6"/>
              <w:spacing w:before="63" w:line="237" w:lineRule="auto"/>
              <w:ind w:left="54" w:right="37"/>
              <w:jc w:val="both"/>
              <w:rPr>
                <w:sz w:val="20"/>
                <w:szCs w:val="20"/>
              </w:rPr>
            </w:pPr>
            <w:r>
              <w:rPr>
                <w:spacing w:val="-2"/>
                <w:sz w:val="20"/>
                <w:szCs w:val="20"/>
              </w:rPr>
              <w:t>烘干粉尘、热风炉烟气：引至旋风除尘（分离）器分离干粉料后，</w:t>
            </w:r>
            <w:r>
              <w:rPr>
                <w:spacing w:val="5"/>
                <w:sz w:val="20"/>
                <w:szCs w:val="20"/>
              </w:rPr>
              <w:t xml:space="preserve"> </w:t>
            </w:r>
            <w:r>
              <w:rPr>
                <w:spacing w:val="4"/>
                <w:sz w:val="20"/>
                <w:szCs w:val="20"/>
              </w:rPr>
              <w:t>少量未被分离的烘干粉尘和热风炉烟气在进入一套喷淋塔水雾除</w:t>
            </w:r>
            <w:r>
              <w:rPr>
                <w:spacing w:val="18"/>
                <w:sz w:val="20"/>
                <w:szCs w:val="20"/>
              </w:rPr>
              <w:t xml:space="preserve"> </w:t>
            </w:r>
            <w:r>
              <w:rPr>
                <w:spacing w:val="-4"/>
                <w:sz w:val="20"/>
                <w:szCs w:val="20"/>
              </w:rPr>
              <w:t>尘，然后再经</w:t>
            </w:r>
            <w:r>
              <w:rPr>
                <w:spacing w:val="-14"/>
                <w:sz w:val="20"/>
                <w:szCs w:val="20"/>
              </w:rPr>
              <w:t xml:space="preserve"> </w:t>
            </w:r>
            <w:r>
              <w:rPr>
                <w:rFonts w:ascii="Times New Roman" w:hAnsi="Times New Roman" w:eastAsia="Times New Roman" w:cs="Times New Roman"/>
                <w:spacing w:val="-4"/>
                <w:sz w:val="20"/>
                <w:szCs w:val="20"/>
              </w:rPr>
              <w:t xml:space="preserve">1 </w:t>
            </w:r>
            <w:r>
              <w:rPr>
                <w:spacing w:val="-4"/>
                <w:sz w:val="20"/>
                <w:szCs w:val="20"/>
              </w:rPr>
              <w:t>根</w:t>
            </w:r>
            <w:r>
              <w:rPr>
                <w:spacing w:val="-28"/>
                <w:sz w:val="20"/>
                <w:szCs w:val="20"/>
              </w:rPr>
              <w:t xml:space="preserve"> </w:t>
            </w:r>
            <w:r>
              <w:rPr>
                <w:rFonts w:ascii="Times New Roman" w:hAnsi="Times New Roman" w:eastAsia="Times New Roman" w:cs="Times New Roman"/>
                <w:spacing w:val="-4"/>
                <w:sz w:val="20"/>
                <w:szCs w:val="20"/>
              </w:rPr>
              <w:t>15m</w:t>
            </w:r>
            <w:r>
              <w:rPr>
                <w:rFonts w:ascii="Times New Roman" w:hAnsi="Times New Roman" w:eastAsia="Times New Roman" w:cs="Times New Roman"/>
                <w:spacing w:val="13"/>
                <w:sz w:val="20"/>
                <w:szCs w:val="20"/>
              </w:rPr>
              <w:t xml:space="preserve"> </w:t>
            </w:r>
            <w:r>
              <w:rPr>
                <w:spacing w:val="-4"/>
                <w:sz w:val="20"/>
                <w:szCs w:val="20"/>
              </w:rPr>
              <w:t>高排气筒高空排放</w:t>
            </w:r>
          </w:p>
        </w:tc>
        <w:tc>
          <w:tcPr>
            <w:tcW w:w="848" w:type="dxa"/>
            <w:vAlign w:val="top"/>
          </w:tcPr>
          <w:p w14:paraId="3C0D8208">
            <w:pPr>
              <w:spacing w:line="336" w:lineRule="auto"/>
              <w:rPr>
                <w:rFonts w:ascii="Arial"/>
                <w:sz w:val="21"/>
              </w:rPr>
            </w:pPr>
          </w:p>
          <w:p w14:paraId="06121080">
            <w:pPr>
              <w:spacing w:before="52" w:line="232" w:lineRule="auto"/>
              <w:ind w:left="291"/>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18.0</w:t>
            </w:r>
          </w:p>
        </w:tc>
        <w:tc>
          <w:tcPr>
            <w:tcW w:w="665" w:type="dxa"/>
            <w:vAlign w:val="top"/>
          </w:tcPr>
          <w:p w14:paraId="63D486BD">
            <w:pPr>
              <w:spacing w:line="300" w:lineRule="auto"/>
              <w:rPr>
                <w:rFonts w:ascii="Arial"/>
                <w:sz w:val="21"/>
              </w:rPr>
            </w:pPr>
          </w:p>
          <w:p w14:paraId="3CD9D80E">
            <w:pPr>
              <w:pStyle w:val="6"/>
              <w:spacing w:before="58" w:line="220" w:lineRule="auto"/>
              <w:ind w:left="164"/>
              <w:rPr>
                <w:sz w:val="18"/>
                <w:szCs w:val="18"/>
              </w:rPr>
            </w:pPr>
            <w:r>
              <w:rPr>
                <w:spacing w:val="-2"/>
                <w:sz w:val="18"/>
                <w:szCs w:val="18"/>
              </w:rPr>
              <w:t>新建</w:t>
            </w:r>
          </w:p>
        </w:tc>
        <w:tc>
          <w:tcPr>
            <w:tcW w:w="133" w:type="dxa"/>
            <w:tcBorders>
              <w:top w:val="nil"/>
              <w:bottom w:val="nil"/>
              <w:right w:val="single" w:color="000000" w:sz="6" w:space="0"/>
            </w:tcBorders>
            <w:vAlign w:val="top"/>
          </w:tcPr>
          <w:p w14:paraId="4FE8A5F0">
            <w:pPr>
              <w:rPr>
                <w:rFonts w:ascii="Arial"/>
                <w:sz w:val="21"/>
              </w:rPr>
            </w:pPr>
          </w:p>
        </w:tc>
      </w:tr>
      <w:tr w14:paraId="4D985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750" w:type="dxa"/>
            <w:vMerge w:val="continue"/>
            <w:tcBorders>
              <w:top w:val="nil"/>
              <w:left w:val="single" w:color="000000" w:sz="6" w:space="0"/>
              <w:bottom w:val="nil"/>
            </w:tcBorders>
            <w:vAlign w:val="top"/>
          </w:tcPr>
          <w:p w14:paraId="75EBBA5C">
            <w:pPr>
              <w:rPr>
                <w:rFonts w:ascii="Arial"/>
                <w:sz w:val="21"/>
              </w:rPr>
            </w:pPr>
          </w:p>
        </w:tc>
        <w:tc>
          <w:tcPr>
            <w:tcW w:w="124" w:type="dxa"/>
            <w:tcBorders>
              <w:top w:val="nil"/>
              <w:bottom w:val="nil"/>
            </w:tcBorders>
            <w:vAlign w:val="top"/>
          </w:tcPr>
          <w:p w14:paraId="157B5F83">
            <w:pPr>
              <w:rPr>
                <w:rFonts w:ascii="Arial"/>
                <w:sz w:val="21"/>
              </w:rPr>
            </w:pPr>
          </w:p>
        </w:tc>
        <w:tc>
          <w:tcPr>
            <w:tcW w:w="548" w:type="dxa"/>
            <w:vMerge w:val="continue"/>
            <w:tcBorders>
              <w:top w:val="nil"/>
              <w:bottom w:val="nil"/>
            </w:tcBorders>
            <w:vAlign w:val="top"/>
          </w:tcPr>
          <w:p w14:paraId="168F0FB3">
            <w:pPr>
              <w:rPr>
                <w:rFonts w:ascii="Arial"/>
                <w:sz w:val="21"/>
              </w:rPr>
            </w:pPr>
          </w:p>
        </w:tc>
        <w:tc>
          <w:tcPr>
            <w:tcW w:w="5845" w:type="dxa"/>
            <w:vAlign w:val="top"/>
          </w:tcPr>
          <w:p w14:paraId="2AFD4FA9">
            <w:pPr>
              <w:pStyle w:val="6"/>
              <w:spacing w:before="62" w:line="237" w:lineRule="auto"/>
              <w:ind w:left="53" w:right="46"/>
              <w:jc w:val="both"/>
              <w:rPr>
                <w:sz w:val="20"/>
                <w:szCs w:val="20"/>
              </w:rPr>
            </w:pPr>
            <w:r>
              <w:rPr>
                <w:spacing w:val="-2"/>
                <w:sz w:val="20"/>
                <w:szCs w:val="20"/>
              </w:rPr>
              <w:t>造粒粉尘：采用密闭性生产设备，在出料口设包围式集</w:t>
            </w:r>
            <w:r>
              <w:rPr>
                <w:spacing w:val="-3"/>
                <w:sz w:val="20"/>
                <w:szCs w:val="20"/>
              </w:rPr>
              <w:t>气罩形成微</w:t>
            </w:r>
            <w:r>
              <w:rPr>
                <w:sz w:val="20"/>
                <w:szCs w:val="20"/>
              </w:rPr>
              <w:t xml:space="preserve"> </w:t>
            </w:r>
            <w:r>
              <w:rPr>
                <w:spacing w:val="-2"/>
                <w:sz w:val="20"/>
                <w:szCs w:val="20"/>
              </w:rPr>
              <w:t>负压状态，收集粉尘至一套“旋流喷淋塔”除尘处理后，</w:t>
            </w:r>
            <w:r>
              <w:rPr>
                <w:spacing w:val="-3"/>
                <w:sz w:val="20"/>
                <w:szCs w:val="20"/>
              </w:rPr>
              <w:t>经管道将</w:t>
            </w:r>
            <w:r>
              <w:rPr>
                <w:sz w:val="20"/>
                <w:szCs w:val="20"/>
              </w:rPr>
              <w:t xml:space="preserve"> </w:t>
            </w:r>
            <w:r>
              <w:rPr>
                <w:spacing w:val="-1"/>
                <w:sz w:val="20"/>
                <w:szCs w:val="20"/>
              </w:rPr>
              <w:t>废气引至烘干机的排气筒一同排放</w:t>
            </w:r>
          </w:p>
        </w:tc>
        <w:tc>
          <w:tcPr>
            <w:tcW w:w="848" w:type="dxa"/>
            <w:vAlign w:val="top"/>
          </w:tcPr>
          <w:p w14:paraId="50573961">
            <w:pPr>
              <w:spacing w:line="338" w:lineRule="auto"/>
              <w:rPr>
                <w:rFonts w:ascii="Arial"/>
                <w:sz w:val="21"/>
              </w:rPr>
            </w:pPr>
          </w:p>
          <w:p w14:paraId="007084AE">
            <w:pPr>
              <w:spacing w:before="52" w:line="232" w:lineRule="auto"/>
              <w:ind w:left="291"/>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10.0</w:t>
            </w:r>
          </w:p>
        </w:tc>
        <w:tc>
          <w:tcPr>
            <w:tcW w:w="665" w:type="dxa"/>
            <w:vAlign w:val="top"/>
          </w:tcPr>
          <w:p w14:paraId="175B9E74">
            <w:pPr>
              <w:spacing w:line="302" w:lineRule="auto"/>
              <w:rPr>
                <w:rFonts w:ascii="Arial"/>
                <w:sz w:val="21"/>
              </w:rPr>
            </w:pPr>
          </w:p>
          <w:p w14:paraId="2CF4D63D">
            <w:pPr>
              <w:pStyle w:val="6"/>
              <w:spacing w:before="58" w:line="220" w:lineRule="auto"/>
              <w:ind w:left="164"/>
              <w:rPr>
                <w:sz w:val="18"/>
                <w:szCs w:val="18"/>
              </w:rPr>
            </w:pPr>
            <w:r>
              <w:rPr>
                <w:spacing w:val="-2"/>
                <w:sz w:val="18"/>
                <w:szCs w:val="18"/>
              </w:rPr>
              <w:t>新建</w:t>
            </w:r>
          </w:p>
        </w:tc>
        <w:tc>
          <w:tcPr>
            <w:tcW w:w="133" w:type="dxa"/>
            <w:tcBorders>
              <w:top w:val="nil"/>
              <w:bottom w:val="nil"/>
              <w:right w:val="single" w:color="000000" w:sz="6" w:space="0"/>
            </w:tcBorders>
            <w:vAlign w:val="top"/>
          </w:tcPr>
          <w:p w14:paraId="625757F2">
            <w:pPr>
              <w:rPr>
                <w:rFonts w:ascii="Arial"/>
                <w:sz w:val="21"/>
              </w:rPr>
            </w:pPr>
          </w:p>
        </w:tc>
      </w:tr>
      <w:tr w14:paraId="44E10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750" w:type="dxa"/>
            <w:vMerge w:val="continue"/>
            <w:tcBorders>
              <w:top w:val="nil"/>
              <w:left w:val="single" w:color="000000" w:sz="6" w:space="0"/>
              <w:bottom w:val="nil"/>
            </w:tcBorders>
            <w:vAlign w:val="top"/>
          </w:tcPr>
          <w:p w14:paraId="38BEF117">
            <w:pPr>
              <w:rPr>
                <w:rFonts w:ascii="Arial"/>
                <w:sz w:val="21"/>
              </w:rPr>
            </w:pPr>
          </w:p>
        </w:tc>
        <w:tc>
          <w:tcPr>
            <w:tcW w:w="124" w:type="dxa"/>
            <w:tcBorders>
              <w:top w:val="nil"/>
              <w:bottom w:val="nil"/>
            </w:tcBorders>
            <w:vAlign w:val="top"/>
          </w:tcPr>
          <w:p w14:paraId="496FAC34">
            <w:pPr>
              <w:rPr>
                <w:rFonts w:ascii="Arial"/>
                <w:sz w:val="21"/>
              </w:rPr>
            </w:pPr>
          </w:p>
        </w:tc>
        <w:tc>
          <w:tcPr>
            <w:tcW w:w="548" w:type="dxa"/>
            <w:vMerge w:val="continue"/>
            <w:tcBorders>
              <w:top w:val="nil"/>
              <w:bottom w:val="nil"/>
            </w:tcBorders>
            <w:vAlign w:val="top"/>
          </w:tcPr>
          <w:p w14:paraId="5F4DF994">
            <w:pPr>
              <w:rPr>
                <w:rFonts w:ascii="Arial"/>
                <w:sz w:val="21"/>
              </w:rPr>
            </w:pPr>
          </w:p>
        </w:tc>
        <w:tc>
          <w:tcPr>
            <w:tcW w:w="5845" w:type="dxa"/>
            <w:vAlign w:val="top"/>
          </w:tcPr>
          <w:p w14:paraId="64C0456F">
            <w:pPr>
              <w:pStyle w:val="6"/>
              <w:spacing w:before="67" w:line="236" w:lineRule="auto"/>
              <w:ind w:left="57" w:right="47" w:hanging="3"/>
              <w:jc w:val="both"/>
              <w:rPr>
                <w:sz w:val="20"/>
                <w:szCs w:val="20"/>
              </w:rPr>
            </w:pPr>
            <w:r>
              <w:rPr>
                <w:spacing w:val="-2"/>
                <w:sz w:val="20"/>
                <w:szCs w:val="20"/>
              </w:rPr>
              <w:t>物料输送粉尘：生产线所有物料的输送均采用密闭绞</w:t>
            </w:r>
            <w:r>
              <w:rPr>
                <w:spacing w:val="-3"/>
                <w:sz w:val="20"/>
                <w:szCs w:val="20"/>
              </w:rPr>
              <w:t>龙或者封闭式</w:t>
            </w:r>
            <w:r>
              <w:rPr>
                <w:sz w:val="20"/>
                <w:szCs w:val="20"/>
              </w:rPr>
              <w:t xml:space="preserve"> </w:t>
            </w:r>
            <w:r>
              <w:rPr>
                <w:spacing w:val="-2"/>
                <w:sz w:val="20"/>
                <w:szCs w:val="20"/>
              </w:rPr>
              <w:t>皮带输送，绞龙与设备出料口封闭式连接；干</w:t>
            </w:r>
            <w:r>
              <w:rPr>
                <w:spacing w:val="-3"/>
                <w:sz w:val="20"/>
                <w:szCs w:val="20"/>
              </w:rPr>
              <w:t>粉料输送设备落料口</w:t>
            </w:r>
            <w:r>
              <w:rPr>
                <w:sz w:val="20"/>
                <w:szCs w:val="20"/>
              </w:rPr>
              <w:t xml:space="preserve"> </w:t>
            </w:r>
            <w:r>
              <w:rPr>
                <w:spacing w:val="-1"/>
                <w:sz w:val="20"/>
                <w:szCs w:val="20"/>
              </w:rPr>
              <w:t>设置帆布类围挡，降低落料高度</w:t>
            </w:r>
          </w:p>
        </w:tc>
        <w:tc>
          <w:tcPr>
            <w:tcW w:w="848" w:type="dxa"/>
            <w:vAlign w:val="top"/>
          </w:tcPr>
          <w:p w14:paraId="131C132A">
            <w:pPr>
              <w:spacing w:line="340" w:lineRule="auto"/>
              <w:rPr>
                <w:rFonts w:ascii="Arial"/>
                <w:sz w:val="21"/>
              </w:rPr>
            </w:pPr>
          </w:p>
          <w:p w14:paraId="57F4CCE5">
            <w:pPr>
              <w:spacing w:before="51" w:line="232" w:lineRule="auto"/>
              <w:ind w:left="32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8.0</w:t>
            </w:r>
          </w:p>
        </w:tc>
        <w:tc>
          <w:tcPr>
            <w:tcW w:w="665" w:type="dxa"/>
            <w:vAlign w:val="top"/>
          </w:tcPr>
          <w:p w14:paraId="5F160A16">
            <w:pPr>
              <w:spacing w:line="303" w:lineRule="auto"/>
              <w:rPr>
                <w:rFonts w:ascii="Arial"/>
                <w:sz w:val="21"/>
              </w:rPr>
            </w:pPr>
          </w:p>
          <w:p w14:paraId="5C418F1C">
            <w:pPr>
              <w:pStyle w:val="6"/>
              <w:spacing w:before="59" w:line="220" w:lineRule="auto"/>
              <w:ind w:left="164"/>
              <w:rPr>
                <w:sz w:val="18"/>
                <w:szCs w:val="18"/>
              </w:rPr>
            </w:pPr>
            <w:r>
              <w:rPr>
                <w:spacing w:val="-2"/>
                <w:sz w:val="18"/>
                <w:szCs w:val="18"/>
              </w:rPr>
              <w:t>新建</w:t>
            </w:r>
          </w:p>
        </w:tc>
        <w:tc>
          <w:tcPr>
            <w:tcW w:w="133" w:type="dxa"/>
            <w:tcBorders>
              <w:top w:val="nil"/>
              <w:bottom w:val="nil"/>
              <w:right w:val="single" w:color="000000" w:sz="6" w:space="0"/>
            </w:tcBorders>
            <w:vAlign w:val="top"/>
          </w:tcPr>
          <w:p w14:paraId="07B30D86">
            <w:pPr>
              <w:rPr>
                <w:rFonts w:ascii="Arial"/>
                <w:sz w:val="21"/>
              </w:rPr>
            </w:pPr>
          </w:p>
        </w:tc>
      </w:tr>
      <w:tr w14:paraId="1AB15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750" w:type="dxa"/>
            <w:vMerge w:val="continue"/>
            <w:tcBorders>
              <w:top w:val="nil"/>
              <w:left w:val="single" w:color="000000" w:sz="6" w:space="0"/>
              <w:bottom w:val="nil"/>
            </w:tcBorders>
            <w:vAlign w:val="top"/>
          </w:tcPr>
          <w:p w14:paraId="58247AAF">
            <w:pPr>
              <w:rPr>
                <w:rFonts w:ascii="Arial"/>
                <w:sz w:val="21"/>
              </w:rPr>
            </w:pPr>
          </w:p>
        </w:tc>
        <w:tc>
          <w:tcPr>
            <w:tcW w:w="124" w:type="dxa"/>
            <w:tcBorders>
              <w:top w:val="nil"/>
              <w:bottom w:val="nil"/>
            </w:tcBorders>
            <w:vAlign w:val="top"/>
          </w:tcPr>
          <w:p w14:paraId="795DE847">
            <w:pPr>
              <w:rPr>
                <w:rFonts w:ascii="Arial"/>
                <w:sz w:val="21"/>
              </w:rPr>
            </w:pPr>
          </w:p>
        </w:tc>
        <w:tc>
          <w:tcPr>
            <w:tcW w:w="548" w:type="dxa"/>
            <w:vMerge w:val="continue"/>
            <w:tcBorders>
              <w:top w:val="nil"/>
              <w:bottom w:val="nil"/>
            </w:tcBorders>
            <w:vAlign w:val="top"/>
          </w:tcPr>
          <w:p w14:paraId="5676C19F">
            <w:pPr>
              <w:rPr>
                <w:rFonts w:ascii="Arial"/>
                <w:sz w:val="21"/>
              </w:rPr>
            </w:pPr>
          </w:p>
        </w:tc>
        <w:tc>
          <w:tcPr>
            <w:tcW w:w="5845" w:type="dxa"/>
            <w:vAlign w:val="top"/>
          </w:tcPr>
          <w:p w14:paraId="026E39B1">
            <w:pPr>
              <w:pStyle w:val="6"/>
              <w:spacing w:before="66" w:line="236" w:lineRule="auto"/>
              <w:ind w:left="53" w:right="46" w:firstLine="19"/>
              <w:jc w:val="both"/>
              <w:rPr>
                <w:sz w:val="20"/>
                <w:szCs w:val="20"/>
              </w:rPr>
            </w:pPr>
            <w:r>
              <w:rPr>
                <w:spacing w:val="-3"/>
                <w:sz w:val="20"/>
                <w:szCs w:val="20"/>
              </w:rPr>
              <w:t>中间料堆放粉尘：包括湿粉料堆放间、干粉料堆放间；在车间内设</w:t>
            </w:r>
            <w:r>
              <w:rPr>
                <w:spacing w:val="6"/>
                <w:sz w:val="20"/>
                <w:szCs w:val="20"/>
              </w:rPr>
              <w:t xml:space="preserve"> </w:t>
            </w:r>
            <w:r>
              <w:rPr>
                <w:spacing w:val="-2"/>
                <w:sz w:val="20"/>
                <w:szCs w:val="20"/>
              </w:rPr>
              <w:t>封闭式中间料堆放间，避免风力扰动起尘，从传播途径</w:t>
            </w:r>
            <w:r>
              <w:rPr>
                <w:spacing w:val="-3"/>
                <w:sz w:val="20"/>
                <w:szCs w:val="20"/>
              </w:rPr>
              <w:t>上抑制粉尘</w:t>
            </w:r>
            <w:r>
              <w:rPr>
                <w:sz w:val="20"/>
                <w:szCs w:val="20"/>
              </w:rPr>
              <w:t xml:space="preserve"> </w:t>
            </w:r>
            <w:r>
              <w:rPr>
                <w:spacing w:val="-1"/>
                <w:sz w:val="20"/>
                <w:szCs w:val="20"/>
              </w:rPr>
              <w:t>逸散，湿粉料本身具有较高的含水率，几乎不起尘</w:t>
            </w:r>
          </w:p>
        </w:tc>
        <w:tc>
          <w:tcPr>
            <w:tcW w:w="848" w:type="dxa"/>
            <w:vAlign w:val="top"/>
          </w:tcPr>
          <w:p w14:paraId="146143A6">
            <w:pPr>
              <w:spacing w:line="340" w:lineRule="auto"/>
              <w:rPr>
                <w:rFonts w:ascii="Arial"/>
                <w:sz w:val="21"/>
              </w:rPr>
            </w:pPr>
          </w:p>
          <w:p w14:paraId="2AD68EF2">
            <w:pPr>
              <w:spacing w:before="51" w:line="232" w:lineRule="auto"/>
              <w:ind w:left="291"/>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12.0</w:t>
            </w:r>
          </w:p>
        </w:tc>
        <w:tc>
          <w:tcPr>
            <w:tcW w:w="665" w:type="dxa"/>
            <w:vAlign w:val="top"/>
          </w:tcPr>
          <w:p w14:paraId="01295F58">
            <w:pPr>
              <w:spacing w:line="303" w:lineRule="auto"/>
              <w:rPr>
                <w:rFonts w:ascii="Arial"/>
                <w:sz w:val="21"/>
              </w:rPr>
            </w:pPr>
          </w:p>
          <w:p w14:paraId="7F27D9BE">
            <w:pPr>
              <w:pStyle w:val="6"/>
              <w:spacing w:before="59" w:line="220" w:lineRule="auto"/>
              <w:ind w:left="164"/>
              <w:rPr>
                <w:sz w:val="18"/>
                <w:szCs w:val="18"/>
              </w:rPr>
            </w:pPr>
            <w:r>
              <w:rPr>
                <w:spacing w:val="-2"/>
                <w:sz w:val="18"/>
                <w:szCs w:val="18"/>
              </w:rPr>
              <w:t>新建</w:t>
            </w:r>
          </w:p>
        </w:tc>
        <w:tc>
          <w:tcPr>
            <w:tcW w:w="133" w:type="dxa"/>
            <w:tcBorders>
              <w:top w:val="nil"/>
              <w:bottom w:val="nil"/>
              <w:right w:val="single" w:color="000000" w:sz="6" w:space="0"/>
            </w:tcBorders>
            <w:vAlign w:val="top"/>
          </w:tcPr>
          <w:p w14:paraId="14174427">
            <w:pPr>
              <w:rPr>
                <w:rFonts w:ascii="Arial"/>
                <w:sz w:val="21"/>
              </w:rPr>
            </w:pPr>
          </w:p>
        </w:tc>
      </w:tr>
      <w:tr w14:paraId="26914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750" w:type="dxa"/>
            <w:vMerge w:val="continue"/>
            <w:tcBorders>
              <w:top w:val="nil"/>
              <w:left w:val="single" w:color="000000" w:sz="6" w:space="0"/>
              <w:bottom w:val="single" w:color="000000" w:sz="6" w:space="0"/>
            </w:tcBorders>
            <w:vAlign w:val="top"/>
          </w:tcPr>
          <w:p w14:paraId="136297D6">
            <w:pPr>
              <w:rPr>
                <w:rFonts w:ascii="Arial"/>
                <w:sz w:val="21"/>
              </w:rPr>
            </w:pPr>
          </w:p>
        </w:tc>
        <w:tc>
          <w:tcPr>
            <w:tcW w:w="124" w:type="dxa"/>
            <w:tcBorders>
              <w:top w:val="nil"/>
              <w:bottom w:val="single" w:color="000000" w:sz="6" w:space="0"/>
            </w:tcBorders>
            <w:vAlign w:val="top"/>
          </w:tcPr>
          <w:p w14:paraId="01378DB7">
            <w:pPr>
              <w:rPr>
                <w:rFonts w:ascii="Arial"/>
                <w:sz w:val="21"/>
              </w:rPr>
            </w:pPr>
          </w:p>
        </w:tc>
        <w:tc>
          <w:tcPr>
            <w:tcW w:w="548" w:type="dxa"/>
            <w:vMerge w:val="continue"/>
            <w:tcBorders>
              <w:top w:val="nil"/>
              <w:bottom w:val="single" w:color="000000" w:sz="6" w:space="0"/>
            </w:tcBorders>
            <w:vAlign w:val="top"/>
          </w:tcPr>
          <w:p w14:paraId="04380402">
            <w:pPr>
              <w:rPr>
                <w:rFonts w:ascii="Arial"/>
                <w:sz w:val="21"/>
              </w:rPr>
            </w:pPr>
          </w:p>
        </w:tc>
        <w:tc>
          <w:tcPr>
            <w:tcW w:w="5845" w:type="dxa"/>
            <w:tcBorders>
              <w:bottom w:val="single" w:color="000000" w:sz="6" w:space="0"/>
            </w:tcBorders>
            <w:vAlign w:val="top"/>
          </w:tcPr>
          <w:p w14:paraId="66CB1FA6">
            <w:pPr>
              <w:pStyle w:val="6"/>
              <w:spacing w:before="67" w:line="204" w:lineRule="auto"/>
              <w:ind w:left="54"/>
              <w:rPr>
                <w:sz w:val="20"/>
                <w:szCs w:val="20"/>
              </w:rPr>
            </w:pPr>
            <w:r>
              <w:rPr>
                <w:spacing w:val="-2"/>
                <w:sz w:val="20"/>
                <w:szCs w:val="20"/>
              </w:rPr>
              <w:t>包装环节粉尘：造粒机出料口设有粉尘收集系统，因此</w:t>
            </w:r>
            <w:r>
              <w:rPr>
                <w:spacing w:val="-3"/>
                <w:sz w:val="20"/>
                <w:szCs w:val="20"/>
              </w:rPr>
              <w:t>成品料含尘</w:t>
            </w:r>
          </w:p>
        </w:tc>
        <w:tc>
          <w:tcPr>
            <w:tcW w:w="848" w:type="dxa"/>
            <w:tcBorders>
              <w:bottom w:val="single" w:color="000000" w:sz="6" w:space="0"/>
            </w:tcBorders>
            <w:vAlign w:val="top"/>
          </w:tcPr>
          <w:p w14:paraId="02F9E966">
            <w:pPr>
              <w:pStyle w:val="6"/>
              <w:spacing w:before="85" w:line="208" w:lineRule="auto"/>
              <w:ind w:left="74"/>
              <w:rPr>
                <w:sz w:val="18"/>
                <w:szCs w:val="18"/>
              </w:rPr>
            </w:pPr>
            <w:r>
              <w:rPr>
                <w:spacing w:val="-2"/>
                <w:sz w:val="18"/>
                <w:szCs w:val="18"/>
              </w:rPr>
              <w:t>计入工程</w:t>
            </w:r>
          </w:p>
        </w:tc>
        <w:tc>
          <w:tcPr>
            <w:tcW w:w="665" w:type="dxa"/>
            <w:tcBorders>
              <w:bottom w:val="single" w:color="000000" w:sz="6" w:space="0"/>
            </w:tcBorders>
            <w:vAlign w:val="top"/>
          </w:tcPr>
          <w:p w14:paraId="747F0834">
            <w:pPr>
              <w:pStyle w:val="6"/>
              <w:spacing w:before="85" w:line="208" w:lineRule="auto"/>
              <w:ind w:left="164"/>
              <w:rPr>
                <w:sz w:val="18"/>
                <w:szCs w:val="18"/>
              </w:rPr>
            </w:pPr>
            <w:r>
              <w:rPr>
                <w:spacing w:val="-2"/>
                <w:sz w:val="18"/>
                <w:szCs w:val="18"/>
              </w:rPr>
              <w:t>新建</w:t>
            </w:r>
          </w:p>
        </w:tc>
        <w:tc>
          <w:tcPr>
            <w:tcW w:w="133" w:type="dxa"/>
            <w:tcBorders>
              <w:top w:val="nil"/>
              <w:bottom w:val="single" w:color="000000" w:sz="6" w:space="0"/>
              <w:right w:val="single" w:color="000000" w:sz="6" w:space="0"/>
            </w:tcBorders>
            <w:vAlign w:val="top"/>
          </w:tcPr>
          <w:p w14:paraId="4AA6D12F">
            <w:pPr>
              <w:rPr>
                <w:rFonts w:ascii="Arial"/>
                <w:sz w:val="21"/>
              </w:rPr>
            </w:pPr>
          </w:p>
        </w:tc>
      </w:tr>
    </w:tbl>
    <w:p w14:paraId="1357EA9B">
      <w:pPr>
        <w:rPr>
          <w:rFonts w:ascii="Arial"/>
          <w:sz w:val="21"/>
        </w:rPr>
      </w:pPr>
    </w:p>
    <w:p w14:paraId="7991B3A9">
      <w:pPr>
        <w:rPr>
          <w:rFonts w:ascii="Arial" w:hAnsi="Arial" w:eastAsia="Arial" w:cs="Arial"/>
          <w:sz w:val="21"/>
          <w:szCs w:val="21"/>
        </w:rPr>
        <w:sectPr>
          <w:footerReference r:id="rId73" w:type="default"/>
          <w:pgSz w:w="11908" w:h="16840"/>
          <w:pgMar w:top="1431" w:right="1489" w:bottom="1053" w:left="1489" w:header="0" w:footer="801" w:gutter="0"/>
          <w:cols w:space="720" w:num="1"/>
        </w:sectPr>
      </w:pPr>
    </w:p>
    <w:p w14:paraId="3C85A3B2">
      <w:pPr>
        <w:spacing w:before="28"/>
      </w:pPr>
    </w:p>
    <w:tbl>
      <w:tblPr>
        <w:tblStyle w:val="5"/>
        <w:tblW w:w="891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124"/>
        <w:gridCol w:w="548"/>
        <w:gridCol w:w="5845"/>
        <w:gridCol w:w="848"/>
        <w:gridCol w:w="665"/>
        <w:gridCol w:w="133"/>
      </w:tblGrid>
      <w:tr w14:paraId="5680C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750" w:type="dxa"/>
            <w:vMerge w:val="restart"/>
            <w:tcBorders>
              <w:left w:val="single" w:color="000000" w:sz="6" w:space="0"/>
              <w:bottom w:val="nil"/>
            </w:tcBorders>
            <w:vAlign w:val="top"/>
          </w:tcPr>
          <w:p w14:paraId="17A371BE">
            <w:pPr>
              <w:rPr>
                <w:rFonts w:ascii="Arial"/>
                <w:sz w:val="21"/>
              </w:rPr>
            </w:pPr>
          </w:p>
        </w:tc>
        <w:tc>
          <w:tcPr>
            <w:tcW w:w="124" w:type="dxa"/>
            <w:vMerge w:val="restart"/>
            <w:tcBorders>
              <w:bottom w:val="nil"/>
            </w:tcBorders>
            <w:vAlign w:val="top"/>
          </w:tcPr>
          <w:p w14:paraId="787EDF7F">
            <w:pPr>
              <w:rPr>
                <w:rFonts w:ascii="Arial"/>
                <w:sz w:val="21"/>
              </w:rPr>
            </w:pPr>
          </w:p>
        </w:tc>
        <w:tc>
          <w:tcPr>
            <w:tcW w:w="548" w:type="dxa"/>
            <w:vAlign w:val="top"/>
          </w:tcPr>
          <w:p w14:paraId="368001C1">
            <w:pPr>
              <w:rPr>
                <w:rFonts w:ascii="Arial"/>
                <w:sz w:val="21"/>
              </w:rPr>
            </w:pPr>
          </w:p>
        </w:tc>
        <w:tc>
          <w:tcPr>
            <w:tcW w:w="5845" w:type="dxa"/>
            <w:vAlign w:val="top"/>
          </w:tcPr>
          <w:p w14:paraId="7556FFFB">
            <w:pPr>
              <w:pStyle w:val="6"/>
              <w:spacing w:before="66" w:line="205" w:lineRule="auto"/>
              <w:ind w:left="57"/>
              <w:rPr>
                <w:sz w:val="20"/>
                <w:szCs w:val="20"/>
              </w:rPr>
            </w:pPr>
            <w:r>
              <w:rPr>
                <w:spacing w:val="-1"/>
                <w:sz w:val="20"/>
                <w:szCs w:val="20"/>
              </w:rPr>
              <w:t>极少；包装环节在封闭式车间内，加强车间通风换气</w:t>
            </w:r>
          </w:p>
        </w:tc>
        <w:tc>
          <w:tcPr>
            <w:tcW w:w="848" w:type="dxa"/>
            <w:vAlign w:val="top"/>
          </w:tcPr>
          <w:p w14:paraId="71C01C38">
            <w:pPr>
              <w:pStyle w:val="6"/>
              <w:spacing w:before="84" w:line="210" w:lineRule="auto"/>
              <w:ind w:left="256"/>
              <w:rPr>
                <w:sz w:val="18"/>
                <w:szCs w:val="18"/>
              </w:rPr>
            </w:pPr>
            <w:r>
              <w:rPr>
                <w:spacing w:val="-3"/>
                <w:sz w:val="18"/>
                <w:szCs w:val="18"/>
              </w:rPr>
              <w:t>投资</w:t>
            </w:r>
          </w:p>
        </w:tc>
        <w:tc>
          <w:tcPr>
            <w:tcW w:w="665" w:type="dxa"/>
            <w:vAlign w:val="top"/>
          </w:tcPr>
          <w:p w14:paraId="512FB02E">
            <w:pPr>
              <w:rPr>
                <w:rFonts w:ascii="Arial"/>
                <w:sz w:val="21"/>
              </w:rPr>
            </w:pPr>
          </w:p>
        </w:tc>
        <w:tc>
          <w:tcPr>
            <w:tcW w:w="133" w:type="dxa"/>
            <w:tcBorders>
              <w:bottom w:val="nil"/>
              <w:right w:val="single" w:color="000000" w:sz="6" w:space="0"/>
            </w:tcBorders>
            <w:vAlign w:val="top"/>
          </w:tcPr>
          <w:p w14:paraId="59FA12BF">
            <w:pPr>
              <w:rPr>
                <w:rFonts w:ascii="Arial"/>
                <w:sz w:val="21"/>
              </w:rPr>
            </w:pPr>
          </w:p>
        </w:tc>
      </w:tr>
      <w:tr w14:paraId="65659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50" w:type="dxa"/>
            <w:vMerge w:val="continue"/>
            <w:tcBorders>
              <w:top w:val="nil"/>
              <w:left w:val="single" w:color="000000" w:sz="6" w:space="0"/>
              <w:bottom w:val="nil"/>
            </w:tcBorders>
            <w:vAlign w:val="top"/>
          </w:tcPr>
          <w:p w14:paraId="2DFD63A9">
            <w:pPr>
              <w:rPr>
                <w:rFonts w:ascii="Arial"/>
                <w:sz w:val="21"/>
              </w:rPr>
            </w:pPr>
          </w:p>
        </w:tc>
        <w:tc>
          <w:tcPr>
            <w:tcW w:w="124" w:type="dxa"/>
            <w:vMerge w:val="continue"/>
            <w:tcBorders>
              <w:top w:val="nil"/>
              <w:bottom w:val="nil"/>
            </w:tcBorders>
            <w:vAlign w:val="top"/>
          </w:tcPr>
          <w:p w14:paraId="3DFB0DC6">
            <w:pPr>
              <w:rPr>
                <w:rFonts w:ascii="Arial"/>
                <w:sz w:val="21"/>
              </w:rPr>
            </w:pPr>
          </w:p>
        </w:tc>
        <w:tc>
          <w:tcPr>
            <w:tcW w:w="548" w:type="dxa"/>
            <w:vMerge w:val="restart"/>
            <w:tcBorders>
              <w:bottom w:val="nil"/>
            </w:tcBorders>
            <w:vAlign w:val="top"/>
          </w:tcPr>
          <w:p w14:paraId="41585DD2">
            <w:pPr>
              <w:spacing w:line="294" w:lineRule="auto"/>
              <w:rPr>
                <w:rFonts w:ascii="Arial"/>
                <w:sz w:val="21"/>
              </w:rPr>
            </w:pPr>
          </w:p>
          <w:p w14:paraId="333B1790">
            <w:pPr>
              <w:pStyle w:val="6"/>
              <w:spacing w:before="58" w:line="220" w:lineRule="auto"/>
              <w:ind w:left="91"/>
              <w:rPr>
                <w:sz w:val="18"/>
                <w:szCs w:val="18"/>
              </w:rPr>
            </w:pPr>
            <w:r>
              <w:rPr>
                <w:spacing w:val="-2"/>
                <w:sz w:val="18"/>
                <w:szCs w:val="18"/>
              </w:rPr>
              <w:t>废水</w:t>
            </w:r>
          </w:p>
          <w:p w14:paraId="03DC5033">
            <w:pPr>
              <w:pStyle w:val="6"/>
              <w:spacing w:before="66" w:line="225" w:lineRule="auto"/>
              <w:ind w:left="96"/>
              <w:rPr>
                <w:sz w:val="18"/>
                <w:szCs w:val="18"/>
              </w:rPr>
            </w:pPr>
            <w:r>
              <w:rPr>
                <w:spacing w:val="-3"/>
                <w:sz w:val="18"/>
                <w:szCs w:val="18"/>
              </w:rPr>
              <w:t>治理</w:t>
            </w:r>
          </w:p>
        </w:tc>
        <w:tc>
          <w:tcPr>
            <w:tcW w:w="5845" w:type="dxa"/>
            <w:vAlign w:val="top"/>
          </w:tcPr>
          <w:p w14:paraId="27621CC5">
            <w:pPr>
              <w:pStyle w:val="6"/>
              <w:spacing w:before="53" w:line="231" w:lineRule="auto"/>
              <w:ind w:left="54" w:right="47" w:firstLine="7"/>
              <w:rPr>
                <w:sz w:val="20"/>
                <w:szCs w:val="20"/>
              </w:rPr>
            </w:pPr>
            <w:r>
              <w:rPr>
                <w:spacing w:val="-3"/>
                <w:sz w:val="20"/>
                <w:szCs w:val="20"/>
              </w:rPr>
              <w:t>喷淋除尘废水：由喷淋塔底部水槽收集，经超细过滤网过滤处理后</w:t>
            </w:r>
            <w:r>
              <w:rPr>
                <w:spacing w:val="15"/>
                <w:sz w:val="20"/>
                <w:szCs w:val="20"/>
              </w:rPr>
              <w:t xml:space="preserve"> </w:t>
            </w:r>
            <w:r>
              <w:rPr>
                <w:spacing w:val="-1"/>
                <w:sz w:val="20"/>
                <w:szCs w:val="20"/>
              </w:rPr>
              <w:t>循环回用不外排</w:t>
            </w:r>
          </w:p>
        </w:tc>
        <w:tc>
          <w:tcPr>
            <w:tcW w:w="848" w:type="dxa"/>
            <w:vAlign w:val="top"/>
          </w:tcPr>
          <w:p w14:paraId="7BEE2C0A">
            <w:pPr>
              <w:pStyle w:val="6"/>
              <w:spacing w:before="70" w:line="220" w:lineRule="auto"/>
              <w:ind w:left="74"/>
              <w:rPr>
                <w:sz w:val="18"/>
                <w:szCs w:val="18"/>
              </w:rPr>
            </w:pPr>
            <w:r>
              <w:rPr>
                <w:spacing w:val="-2"/>
                <w:sz w:val="18"/>
                <w:szCs w:val="18"/>
              </w:rPr>
              <w:t>计入工程</w:t>
            </w:r>
          </w:p>
          <w:p w14:paraId="495295B2">
            <w:pPr>
              <w:pStyle w:val="6"/>
              <w:spacing w:before="65" w:line="209" w:lineRule="auto"/>
              <w:ind w:left="256"/>
              <w:rPr>
                <w:sz w:val="18"/>
                <w:szCs w:val="18"/>
              </w:rPr>
            </w:pPr>
            <w:r>
              <w:rPr>
                <w:spacing w:val="-3"/>
                <w:sz w:val="18"/>
                <w:szCs w:val="18"/>
              </w:rPr>
              <w:t>投资</w:t>
            </w:r>
          </w:p>
        </w:tc>
        <w:tc>
          <w:tcPr>
            <w:tcW w:w="665" w:type="dxa"/>
            <w:vAlign w:val="top"/>
          </w:tcPr>
          <w:p w14:paraId="7F485F48">
            <w:pPr>
              <w:pStyle w:val="6"/>
              <w:spacing w:before="211" w:line="220" w:lineRule="auto"/>
              <w:ind w:left="164"/>
              <w:rPr>
                <w:sz w:val="18"/>
                <w:szCs w:val="18"/>
              </w:rPr>
            </w:pPr>
            <w:r>
              <w:rPr>
                <w:spacing w:val="-2"/>
                <w:sz w:val="18"/>
                <w:szCs w:val="18"/>
              </w:rPr>
              <w:t>新建</w:t>
            </w:r>
          </w:p>
        </w:tc>
        <w:tc>
          <w:tcPr>
            <w:tcW w:w="133" w:type="dxa"/>
            <w:tcBorders>
              <w:top w:val="nil"/>
              <w:bottom w:val="nil"/>
              <w:right w:val="single" w:color="000000" w:sz="6" w:space="0"/>
            </w:tcBorders>
            <w:vAlign w:val="top"/>
          </w:tcPr>
          <w:p w14:paraId="5AD9A5DC">
            <w:pPr>
              <w:rPr>
                <w:rFonts w:ascii="Arial"/>
                <w:sz w:val="21"/>
              </w:rPr>
            </w:pPr>
          </w:p>
        </w:tc>
      </w:tr>
      <w:tr w14:paraId="1E637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50" w:type="dxa"/>
            <w:vMerge w:val="continue"/>
            <w:tcBorders>
              <w:top w:val="nil"/>
              <w:left w:val="single" w:color="000000" w:sz="6" w:space="0"/>
              <w:bottom w:val="nil"/>
            </w:tcBorders>
            <w:vAlign w:val="top"/>
          </w:tcPr>
          <w:p w14:paraId="7AF36BC0">
            <w:pPr>
              <w:rPr>
                <w:rFonts w:ascii="Arial"/>
                <w:sz w:val="21"/>
              </w:rPr>
            </w:pPr>
          </w:p>
        </w:tc>
        <w:tc>
          <w:tcPr>
            <w:tcW w:w="124" w:type="dxa"/>
            <w:vMerge w:val="continue"/>
            <w:tcBorders>
              <w:top w:val="nil"/>
              <w:bottom w:val="nil"/>
            </w:tcBorders>
            <w:vAlign w:val="top"/>
          </w:tcPr>
          <w:p w14:paraId="6F744A7F">
            <w:pPr>
              <w:rPr>
                <w:rFonts w:ascii="Arial"/>
                <w:sz w:val="21"/>
              </w:rPr>
            </w:pPr>
          </w:p>
        </w:tc>
        <w:tc>
          <w:tcPr>
            <w:tcW w:w="548" w:type="dxa"/>
            <w:vMerge w:val="continue"/>
            <w:tcBorders>
              <w:top w:val="nil"/>
            </w:tcBorders>
            <w:vAlign w:val="top"/>
          </w:tcPr>
          <w:p w14:paraId="2F49328C">
            <w:pPr>
              <w:rPr>
                <w:rFonts w:ascii="Arial"/>
                <w:sz w:val="21"/>
              </w:rPr>
            </w:pPr>
          </w:p>
        </w:tc>
        <w:tc>
          <w:tcPr>
            <w:tcW w:w="5845" w:type="dxa"/>
            <w:vAlign w:val="top"/>
          </w:tcPr>
          <w:p w14:paraId="59FB8858">
            <w:pPr>
              <w:pStyle w:val="6"/>
              <w:spacing w:before="54" w:line="225" w:lineRule="auto"/>
              <w:ind w:left="56" w:right="91"/>
            </w:pPr>
            <w:r>
              <w:rPr>
                <w:spacing w:val="-2"/>
                <w:sz w:val="20"/>
                <w:szCs w:val="20"/>
              </w:rPr>
              <w:t>生活污水：依托亚飞玻璃公司已建化粪池（</w:t>
            </w:r>
            <w:r>
              <w:rPr>
                <w:rFonts w:ascii="Times New Roman" w:hAnsi="Times New Roman" w:eastAsia="Times New Roman" w:cs="Times New Roman"/>
                <w:spacing w:val="-2"/>
                <w:sz w:val="20"/>
                <w:szCs w:val="20"/>
              </w:rPr>
              <w:t>100m</w:t>
            </w:r>
            <w:r>
              <w:rPr>
                <w:rFonts w:ascii="Times New Roman" w:hAnsi="Times New Roman" w:eastAsia="Times New Roman" w:cs="Times New Roman"/>
                <w:spacing w:val="-2"/>
                <w:position w:val="6"/>
                <w:sz w:val="12"/>
                <w:szCs w:val="12"/>
              </w:rPr>
              <w:t xml:space="preserve">3 </w:t>
            </w:r>
            <w:r>
              <w:rPr>
                <w:spacing w:val="-2"/>
                <w:sz w:val="20"/>
                <w:szCs w:val="20"/>
              </w:rPr>
              <w:t>）收集处理后，</w:t>
            </w:r>
            <w:r>
              <w:rPr>
                <w:spacing w:val="9"/>
                <w:sz w:val="20"/>
                <w:szCs w:val="20"/>
              </w:rPr>
              <w:t xml:space="preserve"> </w:t>
            </w:r>
            <w:r>
              <w:rPr>
                <w:spacing w:val="-1"/>
                <w:sz w:val="20"/>
                <w:szCs w:val="20"/>
              </w:rPr>
              <w:t>经市政污水管网进入</w:t>
            </w:r>
            <w:r>
              <w:rPr>
                <w:spacing w:val="-1"/>
              </w:rPr>
              <w:t>东岳场镇污水处理厂处理</w:t>
            </w:r>
          </w:p>
        </w:tc>
        <w:tc>
          <w:tcPr>
            <w:tcW w:w="848" w:type="dxa"/>
            <w:vAlign w:val="top"/>
          </w:tcPr>
          <w:p w14:paraId="060D55A4">
            <w:pPr>
              <w:spacing w:before="242" w:line="232" w:lineRule="auto"/>
              <w:ind w:left="40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65" w:type="dxa"/>
            <w:vAlign w:val="top"/>
          </w:tcPr>
          <w:p w14:paraId="3E0D478A">
            <w:pPr>
              <w:pStyle w:val="6"/>
              <w:spacing w:before="211" w:line="219" w:lineRule="auto"/>
              <w:ind w:left="165"/>
              <w:rPr>
                <w:sz w:val="18"/>
                <w:szCs w:val="18"/>
              </w:rPr>
            </w:pPr>
            <w:r>
              <w:rPr>
                <w:spacing w:val="-3"/>
                <w:sz w:val="18"/>
                <w:szCs w:val="18"/>
              </w:rPr>
              <w:t>依托</w:t>
            </w:r>
          </w:p>
        </w:tc>
        <w:tc>
          <w:tcPr>
            <w:tcW w:w="133" w:type="dxa"/>
            <w:tcBorders>
              <w:top w:val="nil"/>
              <w:bottom w:val="nil"/>
              <w:right w:val="single" w:color="000000" w:sz="6" w:space="0"/>
            </w:tcBorders>
            <w:vAlign w:val="top"/>
          </w:tcPr>
          <w:p w14:paraId="7859C817">
            <w:pPr>
              <w:rPr>
                <w:rFonts w:ascii="Arial"/>
                <w:sz w:val="21"/>
              </w:rPr>
            </w:pPr>
          </w:p>
        </w:tc>
      </w:tr>
      <w:tr w14:paraId="7F0D9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750" w:type="dxa"/>
            <w:vMerge w:val="continue"/>
            <w:tcBorders>
              <w:top w:val="nil"/>
              <w:left w:val="single" w:color="000000" w:sz="6" w:space="0"/>
              <w:bottom w:val="nil"/>
            </w:tcBorders>
            <w:vAlign w:val="top"/>
          </w:tcPr>
          <w:p w14:paraId="5A6692C4">
            <w:pPr>
              <w:rPr>
                <w:rFonts w:ascii="Arial"/>
                <w:sz w:val="21"/>
              </w:rPr>
            </w:pPr>
          </w:p>
        </w:tc>
        <w:tc>
          <w:tcPr>
            <w:tcW w:w="124" w:type="dxa"/>
            <w:vMerge w:val="continue"/>
            <w:tcBorders>
              <w:top w:val="nil"/>
              <w:bottom w:val="nil"/>
            </w:tcBorders>
            <w:vAlign w:val="top"/>
          </w:tcPr>
          <w:p w14:paraId="6154CDD3">
            <w:pPr>
              <w:rPr>
                <w:rFonts w:ascii="Arial"/>
                <w:sz w:val="21"/>
              </w:rPr>
            </w:pPr>
          </w:p>
        </w:tc>
        <w:tc>
          <w:tcPr>
            <w:tcW w:w="548" w:type="dxa"/>
            <w:vAlign w:val="top"/>
          </w:tcPr>
          <w:p w14:paraId="3F594E29">
            <w:pPr>
              <w:pStyle w:val="6"/>
              <w:spacing w:before="213" w:line="220" w:lineRule="auto"/>
              <w:ind w:left="100"/>
              <w:rPr>
                <w:sz w:val="18"/>
                <w:szCs w:val="18"/>
              </w:rPr>
            </w:pPr>
            <w:r>
              <w:rPr>
                <w:spacing w:val="-4"/>
                <w:sz w:val="18"/>
                <w:szCs w:val="18"/>
              </w:rPr>
              <w:t>噪声</w:t>
            </w:r>
          </w:p>
          <w:p w14:paraId="3C304B88">
            <w:pPr>
              <w:pStyle w:val="6"/>
              <w:spacing w:before="64" w:line="225" w:lineRule="auto"/>
              <w:ind w:left="96"/>
              <w:rPr>
                <w:sz w:val="18"/>
                <w:szCs w:val="18"/>
              </w:rPr>
            </w:pPr>
            <w:r>
              <w:rPr>
                <w:spacing w:val="-3"/>
                <w:sz w:val="18"/>
                <w:szCs w:val="18"/>
              </w:rPr>
              <w:t>治理</w:t>
            </w:r>
          </w:p>
        </w:tc>
        <w:tc>
          <w:tcPr>
            <w:tcW w:w="5845" w:type="dxa"/>
            <w:vAlign w:val="top"/>
          </w:tcPr>
          <w:p w14:paraId="2F3FB827">
            <w:pPr>
              <w:pStyle w:val="6"/>
              <w:spacing w:before="55" w:line="239" w:lineRule="auto"/>
              <w:ind w:left="56" w:right="46"/>
              <w:jc w:val="both"/>
              <w:rPr>
                <w:sz w:val="20"/>
                <w:szCs w:val="20"/>
              </w:rPr>
            </w:pPr>
            <w:r>
              <w:rPr>
                <w:spacing w:val="-2"/>
                <w:sz w:val="20"/>
                <w:szCs w:val="20"/>
              </w:rPr>
              <w:t>生产车间为全封闭式车间，所有生产设备均布置在</w:t>
            </w:r>
            <w:r>
              <w:rPr>
                <w:spacing w:val="-3"/>
                <w:sz w:val="20"/>
                <w:szCs w:val="20"/>
              </w:rPr>
              <w:t>车间内，优化设</w:t>
            </w:r>
            <w:r>
              <w:rPr>
                <w:sz w:val="20"/>
                <w:szCs w:val="20"/>
              </w:rPr>
              <w:t xml:space="preserve"> </w:t>
            </w:r>
            <w:r>
              <w:rPr>
                <w:spacing w:val="-2"/>
                <w:sz w:val="20"/>
                <w:szCs w:val="20"/>
              </w:rPr>
              <w:t>备布局；选用环保型低噪声设备、安装时采取基础</w:t>
            </w:r>
            <w:r>
              <w:rPr>
                <w:spacing w:val="-3"/>
                <w:sz w:val="20"/>
                <w:szCs w:val="20"/>
              </w:rPr>
              <w:t>减振；加强设备</w:t>
            </w:r>
            <w:r>
              <w:rPr>
                <w:sz w:val="20"/>
                <w:szCs w:val="20"/>
              </w:rPr>
              <w:t xml:space="preserve"> </w:t>
            </w:r>
            <w:r>
              <w:rPr>
                <w:spacing w:val="-1"/>
                <w:sz w:val="20"/>
                <w:szCs w:val="20"/>
              </w:rPr>
              <w:t>的维护保养；合理安排生产及运输作业时间</w:t>
            </w:r>
          </w:p>
        </w:tc>
        <w:tc>
          <w:tcPr>
            <w:tcW w:w="848" w:type="dxa"/>
            <w:vAlign w:val="top"/>
          </w:tcPr>
          <w:p w14:paraId="445ED7D7">
            <w:pPr>
              <w:spacing w:line="328" w:lineRule="auto"/>
              <w:rPr>
                <w:rFonts w:ascii="Arial"/>
                <w:sz w:val="21"/>
              </w:rPr>
            </w:pPr>
          </w:p>
          <w:p w14:paraId="5E9D8EDA">
            <w:pPr>
              <w:spacing w:before="52" w:line="232" w:lineRule="auto"/>
              <w:ind w:left="291"/>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15.0</w:t>
            </w:r>
          </w:p>
        </w:tc>
        <w:tc>
          <w:tcPr>
            <w:tcW w:w="665" w:type="dxa"/>
            <w:vAlign w:val="top"/>
          </w:tcPr>
          <w:p w14:paraId="4C81962F">
            <w:pPr>
              <w:spacing w:line="292" w:lineRule="auto"/>
              <w:rPr>
                <w:rFonts w:ascii="Arial"/>
                <w:sz w:val="21"/>
              </w:rPr>
            </w:pPr>
          </w:p>
          <w:p w14:paraId="717EF839">
            <w:pPr>
              <w:pStyle w:val="6"/>
              <w:spacing w:before="58" w:line="220" w:lineRule="auto"/>
              <w:ind w:left="164"/>
              <w:rPr>
                <w:sz w:val="18"/>
                <w:szCs w:val="18"/>
              </w:rPr>
            </w:pPr>
            <w:r>
              <w:rPr>
                <w:spacing w:val="-2"/>
                <w:sz w:val="18"/>
                <w:szCs w:val="18"/>
              </w:rPr>
              <w:t>新建</w:t>
            </w:r>
          </w:p>
        </w:tc>
        <w:tc>
          <w:tcPr>
            <w:tcW w:w="133" w:type="dxa"/>
            <w:tcBorders>
              <w:top w:val="nil"/>
              <w:bottom w:val="nil"/>
              <w:right w:val="single" w:color="000000" w:sz="6" w:space="0"/>
            </w:tcBorders>
            <w:vAlign w:val="top"/>
          </w:tcPr>
          <w:p w14:paraId="1E69B54F">
            <w:pPr>
              <w:rPr>
                <w:rFonts w:ascii="Arial"/>
                <w:sz w:val="21"/>
              </w:rPr>
            </w:pPr>
          </w:p>
        </w:tc>
      </w:tr>
      <w:tr w14:paraId="7CA0A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2" w:hRule="atLeast"/>
        </w:trPr>
        <w:tc>
          <w:tcPr>
            <w:tcW w:w="750" w:type="dxa"/>
            <w:vMerge w:val="continue"/>
            <w:tcBorders>
              <w:top w:val="nil"/>
              <w:left w:val="single" w:color="000000" w:sz="6" w:space="0"/>
              <w:bottom w:val="nil"/>
            </w:tcBorders>
            <w:vAlign w:val="top"/>
          </w:tcPr>
          <w:p w14:paraId="4EAED6E5">
            <w:pPr>
              <w:rPr>
                <w:rFonts w:ascii="Arial"/>
                <w:sz w:val="21"/>
              </w:rPr>
            </w:pPr>
          </w:p>
        </w:tc>
        <w:tc>
          <w:tcPr>
            <w:tcW w:w="124" w:type="dxa"/>
            <w:vMerge w:val="continue"/>
            <w:tcBorders>
              <w:top w:val="nil"/>
              <w:bottom w:val="nil"/>
            </w:tcBorders>
            <w:vAlign w:val="top"/>
          </w:tcPr>
          <w:p w14:paraId="42D58970">
            <w:pPr>
              <w:rPr>
                <w:rFonts w:ascii="Arial"/>
                <w:sz w:val="21"/>
              </w:rPr>
            </w:pPr>
          </w:p>
        </w:tc>
        <w:tc>
          <w:tcPr>
            <w:tcW w:w="548" w:type="dxa"/>
            <w:vMerge w:val="restart"/>
            <w:tcBorders>
              <w:bottom w:val="nil"/>
            </w:tcBorders>
            <w:vAlign w:val="top"/>
          </w:tcPr>
          <w:p w14:paraId="7C93EFD4">
            <w:pPr>
              <w:spacing w:line="259" w:lineRule="auto"/>
              <w:rPr>
                <w:rFonts w:ascii="Arial"/>
                <w:sz w:val="21"/>
              </w:rPr>
            </w:pPr>
          </w:p>
          <w:p w14:paraId="4049D6C7">
            <w:pPr>
              <w:spacing w:line="259" w:lineRule="auto"/>
              <w:rPr>
                <w:rFonts w:ascii="Arial"/>
                <w:sz w:val="21"/>
              </w:rPr>
            </w:pPr>
          </w:p>
          <w:p w14:paraId="0EF87973">
            <w:pPr>
              <w:spacing w:line="259" w:lineRule="auto"/>
              <w:rPr>
                <w:rFonts w:ascii="Arial"/>
                <w:sz w:val="21"/>
              </w:rPr>
            </w:pPr>
          </w:p>
          <w:p w14:paraId="6A63151B">
            <w:pPr>
              <w:spacing w:line="260" w:lineRule="auto"/>
              <w:rPr>
                <w:rFonts w:ascii="Arial"/>
                <w:sz w:val="21"/>
              </w:rPr>
            </w:pPr>
          </w:p>
          <w:p w14:paraId="4022B265">
            <w:pPr>
              <w:spacing w:line="260" w:lineRule="auto"/>
              <w:rPr>
                <w:rFonts w:ascii="Arial"/>
                <w:sz w:val="21"/>
              </w:rPr>
            </w:pPr>
          </w:p>
          <w:p w14:paraId="0B7F9409">
            <w:pPr>
              <w:spacing w:line="260" w:lineRule="auto"/>
              <w:rPr>
                <w:rFonts w:ascii="Arial"/>
                <w:sz w:val="21"/>
              </w:rPr>
            </w:pPr>
          </w:p>
          <w:p w14:paraId="78CB5C63">
            <w:pPr>
              <w:pStyle w:val="6"/>
              <w:spacing w:before="59" w:line="220" w:lineRule="auto"/>
              <w:ind w:left="107"/>
              <w:rPr>
                <w:sz w:val="18"/>
                <w:szCs w:val="18"/>
              </w:rPr>
            </w:pPr>
            <w:r>
              <w:rPr>
                <w:spacing w:val="-6"/>
                <w:sz w:val="18"/>
                <w:szCs w:val="18"/>
              </w:rPr>
              <w:t>固废</w:t>
            </w:r>
          </w:p>
          <w:p w14:paraId="06AF3C5C">
            <w:pPr>
              <w:pStyle w:val="6"/>
              <w:spacing w:before="64" w:line="224" w:lineRule="auto"/>
              <w:ind w:left="95"/>
              <w:rPr>
                <w:sz w:val="18"/>
                <w:szCs w:val="18"/>
              </w:rPr>
            </w:pPr>
            <w:r>
              <w:rPr>
                <w:spacing w:val="-3"/>
                <w:sz w:val="18"/>
                <w:szCs w:val="18"/>
              </w:rPr>
              <w:t>处置</w:t>
            </w:r>
          </w:p>
        </w:tc>
        <w:tc>
          <w:tcPr>
            <w:tcW w:w="5845" w:type="dxa"/>
            <w:vAlign w:val="top"/>
          </w:tcPr>
          <w:p w14:paraId="0D6736C9">
            <w:pPr>
              <w:pStyle w:val="6"/>
              <w:spacing w:before="59" w:line="246" w:lineRule="auto"/>
              <w:ind w:left="53" w:right="21" w:firstLine="4"/>
              <w:jc w:val="both"/>
              <w:rPr>
                <w:sz w:val="20"/>
                <w:szCs w:val="20"/>
              </w:rPr>
            </w:pPr>
            <w:r>
              <w:rPr>
                <w:spacing w:val="-2"/>
                <w:sz w:val="20"/>
                <w:szCs w:val="20"/>
              </w:rPr>
              <w:t>一般固废：主要包括人工分拣和磁选环节的废</w:t>
            </w:r>
            <w:r>
              <w:rPr>
                <w:spacing w:val="-3"/>
                <w:sz w:val="20"/>
                <w:szCs w:val="20"/>
              </w:rPr>
              <w:t>纸板废塑料和废铁质</w:t>
            </w:r>
            <w:r>
              <w:rPr>
                <w:sz w:val="20"/>
                <w:szCs w:val="20"/>
              </w:rPr>
              <w:t xml:space="preserve"> </w:t>
            </w:r>
            <w:r>
              <w:rPr>
                <w:spacing w:val="-1"/>
                <w:sz w:val="20"/>
                <w:szCs w:val="20"/>
              </w:rPr>
              <w:t>杂物、除尘器的收尘灰、喷淋塔水槽清理的沉渣</w:t>
            </w:r>
            <w:r>
              <w:rPr>
                <w:spacing w:val="-2"/>
                <w:sz w:val="20"/>
                <w:szCs w:val="20"/>
              </w:rPr>
              <w:t>、热风炉的炉灰。</w:t>
            </w:r>
            <w:r>
              <w:rPr>
                <w:sz w:val="20"/>
                <w:szCs w:val="20"/>
              </w:rPr>
              <w:t xml:space="preserve"> </w:t>
            </w:r>
            <w:r>
              <w:rPr>
                <w:spacing w:val="5"/>
                <w:sz w:val="20"/>
                <w:szCs w:val="20"/>
              </w:rPr>
              <w:t>废纸板废塑料和废铁质杂物集中收集后，外售</w:t>
            </w:r>
            <w:r>
              <w:rPr>
                <w:spacing w:val="4"/>
                <w:sz w:val="20"/>
                <w:szCs w:val="20"/>
              </w:rPr>
              <w:t>至附近的废品回收</w:t>
            </w:r>
            <w:r>
              <w:rPr>
                <w:sz w:val="20"/>
                <w:szCs w:val="20"/>
              </w:rPr>
              <w:t xml:space="preserve"> </w:t>
            </w:r>
            <w:r>
              <w:rPr>
                <w:spacing w:val="-2"/>
                <w:sz w:val="20"/>
                <w:szCs w:val="20"/>
              </w:rPr>
              <w:t>站；喷淋塔清理的沉渣和收尘灰定期清理后返回生产线</w:t>
            </w:r>
            <w:r>
              <w:rPr>
                <w:spacing w:val="-3"/>
                <w:sz w:val="20"/>
                <w:szCs w:val="20"/>
              </w:rPr>
              <w:t>做原料。热</w:t>
            </w:r>
            <w:r>
              <w:rPr>
                <w:sz w:val="20"/>
                <w:szCs w:val="20"/>
              </w:rPr>
              <w:t xml:space="preserve"> </w:t>
            </w:r>
            <w:r>
              <w:rPr>
                <w:spacing w:val="-1"/>
                <w:sz w:val="20"/>
                <w:szCs w:val="20"/>
              </w:rPr>
              <w:t>风炉炉灰定期清理后，可作为农业肥料外运综合利用。</w:t>
            </w:r>
          </w:p>
        </w:tc>
        <w:tc>
          <w:tcPr>
            <w:tcW w:w="848" w:type="dxa"/>
            <w:vAlign w:val="top"/>
          </w:tcPr>
          <w:p w14:paraId="7D038E97">
            <w:pPr>
              <w:spacing w:line="305" w:lineRule="auto"/>
              <w:rPr>
                <w:rFonts w:ascii="Arial"/>
                <w:sz w:val="21"/>
              </w:rPr>
            </w:pPr>
          </w:p>
          <w:p w14:paraId="302B8581">
            <w:pPr>
              <w:spacing w:line="305" w:lineRule="auto"/>
              <w:rPr>
                <w:rFonts w:ascii="Arial"/>
                <w:sz w:val="21"/>
              </w:rPr>
            </w:pPr>
          </w:p>
          <w:p w14:paraId="3FCCB8F4">
            <w:pPr>
              <w:spacing w:before="51" w:line="232" w:lineRule="auto"/>
              <w:ind w:left="32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6.0</w:t>
            </w:r>
          </w:p>
        </w:tc>
        <w:tc>
          <w:tcPr>
            <w:tcW w:w="665" w:type="dxa"/>
            <w:vAlign w:val="top"/>
          </w:tcPr>
          <w:p w14:paraId="538BFB10">
            <w:pPr>
              <w:spacing w:line="286" w:lineRule="auto"/>
              <w:rPr>
                <w:rFonts w:ascii="Arial"/>
                <w:sz w:val="21"/>
              </w:rPr>
            </w:pPr>
          </w:p>
          <w:p w14:paraId="2650EE74">
            <w:pPr>
              <w:spacing w:line="287" w:lineRule="auto"/>
              <w:rPr>
                <w:rFonts w:ascii="Arial"/>
                <w:sz w:val="21"/>
              </w:rPr>
            </w:pPr>
          </w:p>
          <w:p w14:paraId="3131BF74">
            <w:pPr>
              <w:pStyle w:val="6"/>
              <w:spacing w:before="59" w:line="220" w:lineRule="auto"/>
              <w:ind w:left="164"/>
              <w:rPr>
                <w:sz w:val="18"/>
                <w:szCs w:val="18"/>
              </w:rPr>
            </w:pPr>
            <w:r>
              <w:rPr>
                <w:spacing w:val="-2"/>
                <w:sz w:val="18"/>
                <w:szCs w:val="18"/>
              </w:rPr>
              <w:t>新建</w:t>
            </w:r>
          </w:p>
        </w:tc>
        <w:tc>
          <w:tcPr>
            <w:tcW w:w="133" w:type="dxa"/>
            <w:tcBorders>
              <w:top w:val="nil"/>
              <w:bottom w:val="nil"/>
              <w:right w:val="single" w:color="000000" w:sz="6" w:space="0"/>
            </w:tcBorders>
            <w:vAlign w:val="top"/>
          </w:tcPr>
          <w:p w14:paraId="255CC771">
            <w:pPr>
              <w:rPr>
                <w:rFonts w:ascii="Arial"/>
                <w:sz w:val="21"/>
              </w:rPr>
            </w:pPr>
          </w:p>
        </w:tc>
      </w:tr>
      <w:tr w14:paraId="17CD2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0" w:hRule="atLeast"/>
        </w:trPr>
        <w:tc>
          <w:tcPr>
            <w:tcW w:w="750" w:type="dxa"/>
            <w:vMerge w:val="continue"/>
            <w:tcBorders>
              <w:top w:val="nil"/>
              <w:left w:val="single" w:color="000000" w:sz="6" w:space="0"/>
              <w:bottom w:val="nil"/>
            </w:tcBorders>
            <w:vAlign w:val="top"/>
          </w:tcPr>
          <w:p w14:paraId="5CC4F0F6">
            <w:pPr>
              <w:rPr>
                <w:rFonts w:ascii="Arial"/>
                <w:sz w:val="21"/>
              </w:rPr>
            </w:pPr>
          </w:p>
        </w:tc>
        <w:tc>
          <w:tcPr>
            <w:tcW w:w="124" w:type="dxa"/>
            <w:vMerge w:val="continue"/>
            <w:tcBorders>
              <w:top w:val="nil"/>
              <w:bottom w:val="nil"/>
            </w:tcBorders>
            <w:vAlign w:val="top"/>
          </w:tcPr>
          <w:p w14:paraId="60CE2846">
            <w:pPr>
              <w:rPr>
                <w:rFonts w:ascii="Arial"/>
                <w:sz w:val="21"/>
              </w:rPr>
            </w:pPr>
          </w:p>
        </w:tc>
        <w:tc>
          <w:tcPr>
            <w:tcW w:w="548" w:type="dxa"/>
            <w:vMerge w:val="continue"/>
            <w:tcBorders>
              <w:top w:val="nil"/>
              <w:bottom w:val="nil"/>
            </w:tcBorders>
            <w:vAlign w:val="top"/>
          </w:tcPr>
          <w:p w14:paraId="138098DA">
            <w:pPr>
              <w:rPr>
                <w:rFonts w:ascii="Arial"/>
                <w:sz w:val="21"/>
              </w:rPr>
            </w:pPr>
          </w:p>
        </w:tc>
        <w:tc>
          <w:tcPr>
            <w:tcW w:w="5845" w:type="dxa"/>
            <w:vAlign w:val="top"/>
          </w:tcPr>
          <w:p w14:paraId="2CC98B3E">
            <w:pPr>
              <w:pStyle w:val="6"/>
              <w:spacing w:before="58" w:line="248" w:lineRule="auto"/>
              <w:ind w:left="54" w:right="47" w:firstLine="2"/>
              <w:jc w:val="both"/>
              <w:rPr>
                <w:sz w:val="20"/>
                <w:szCs w:val="20"/>
              </w:rPr>
            </w:pPr>
            <w:r>
              <w:rPr>
                <w:spacing w:val="-2"/>
                <w:sz w:val="20"/>
                <w:szCs w:val="20"/>
              </w:rPr>
              <w:t>危险废物：主要为废矿物油和废矿物油桶，在车</w:t>
            </w:r>
            <w:r>
              <w:rPr>
                <w:spacing w:val="-3"/>
                <w:sz w:val="20"/>
                <w:szCs w:val="20"/>
              </w:rPr>
              <w:t>间内设危废暂存间</w:t>
            </w:r>
            <w:r>
              <w:rPr>
                <w:sz w:val="20"/>
                <w:szCs w:val="20"/>
              </w:rPr>
              <w:t xml:space="preserve"> </w:t>
            </w:r>
            <w:r>
              <w:rPr>
                <w:rFonts w:ascii="Times New Roman" w:hAnsi="Times New Roman" w:eastAsia="Times New Roman" w:cs="Times New Roman"/>
                <w:spacing w:val="-6"/>
                <w:sz w:val="20"/>
                <w:szCs w:val="20"/>
              </w:rPr>
              <w:t xml:space="preserve">1 </w:t>
            </w:r>
            <w:r>
              <w:rPr>
                <w:spacing w:val="-6"/>
                <w:sz w:val="20"/>
                <w:szCs w:val="20"/>
              </w:rPr>
              <w:t>个，建筑面积约</w:t>
            </w:r>
            <w:r>
              <w:rPr>
                <w:spacing w:val="-25"/>
                <w:sz w:val="20"/>
                <w:szCs w:val="20"/>
              </w:rPr>
              <w:t xml:space="preserve"> </w:t>
            </w:r>
            <w:r>
              <w:rPr>
                <w:rFonts w:ascii="Times New Roman" w:hAnsi="Times New Roman" w:eastAsia="Times New Roman" w:cs="Times New Roman"/>
                <w:spacing w:val="-6"/>
                <w:sz w:val="20"/>
                <w:szCs w:val="20"/>
              </w:rPr>
              <w:t>5m</w:t>
            </w:r>
            <w:r>
              <w:rPr>
                <w:rFonts w:ascii="Times New Roman" w:hAnsi="Times New Roman" w:eastAsia="Times New Roman" w:cs="Times New Roman"/>
                <w:spacing w:val="-6"/>
                <w:position w:val="6"/>
                <w:sz w:val="12"/>
                <w:szCs w:val="12"/>
              </w:rPr>
              <w:t>2</w:t>
            </w:r>
            <w:r>
              <w:rPr>
                <w:spacing w:val="-10"/>
                <w:sz w:val="20"/>
                <w:szCs w:val="20"/>
              </w:rPr>
              <w:t>，按照《危险废物贮存污染物控制标准》（</w:t>
            </w:r>
            <w:r>
              <w:rPr>
                <w:rFonts w:ascii="Times New Roman" w:hAnsi="Times New Roman" w:eastAsia="Times New Roman" w:cs="Times New Roman"/>
                <w:spacing w:val="-10"/>
                <w:sz w:val="20"/>
                <w:szCs w:val="20"/>
              </w:rPr>
              <w:t>GB</w:t>
            </w:r>
            <w:r>
              <w:rPr>
                <w:rFonts w:ascii="Times New Roman" w:hAnsi="Times New Roman" w:eastAsia="Times New Roman" w:cs="Times New Roman"/>
                <w:sz w:val="20"/>
                <w:szCs w:val="20"/>
              </w:rPr>
              <w:t xml:space="preserve"> </w:t>
            </w:r>
            <w:r>
              <w:rPr>
                <w:rFonts w:ascii="Times New Roman" w:hAnsi="Times New Roman" w:eastAsia="Times New Roman" w:cs="Times New Roman"/>
                <w:spacing w:val="-1"/>
                <w:sz w:val="20"/>
                <w:szCs w:val="20"/>
              </w:rPr>
              <w:t>18597-2023</w:t>
            </w:r>
            <w:r>
              <w:rPr>
                <w:spacing w:val="-1"/>
                <w:sz w:val="20"/>
                <w:szCs w:val="20"/>
              </w:rPr>
              <w:t>）要求，落实防风、防雨、防晒、防渗、防漏、防腐等</w:t>
            </w:r>
            <w:r>
              <w:rPr>
                <w:spacing w:val="4"/>
                <w:sz w:val="20"/>
                <w:szCs w:val="20"/>
              </w:rPr>
              <w:t xml:space="preserve"> </w:t>
            </w:r>
            <w:r>
              <w:rPr>
                <w:spacing w:val="-2"/>
                <w:sz w:val="20"/>
                <w:szCs w:val="20"/>
              </w:rPr>
              <w:t xml:space="preserve">环境污染防治措施，并按《危险废物识别标志设置技术规范》 </w:t>
            </w:r>
            <w:r>
              <w:rPr>
                <w:rFonts w:ascii="Times New Roman" w:hAnsi="Times New Roman" w:eastAsia="Times New Roman" w:cs="Times New Roman"/>
                <w:spacing w:val="-2"/>
                <w:sz w:val="20"/>
                <w:szCs w:val="20"/>
              </w:rPr>
              <w:t>(HJ</w:t>
            </w:r>
            <w:r>
              <w:rPr>
                <w:rFonts w:ascii="Times New Roman" w:hAnsi="Times New Roman" w:eastAsia="Times New Roman" w:cs="Times New Roman"/>
                <w:spacing w:val="10"/>
                <w:sz w:val="20"/>
                <w:szCs w:val="20"/>
              </w:rPr>
              <w:t xml:space="preserve"> </w:t>
            </w:r>
            <w:r>
              <w:rPr>
                <w:rFonts w:ascii="Times New Roman" w:hAnsi="Times New Roman" w:eastAsia="Times New Roman" w:cs="Times New Roman"/>
                <w:sz w:val="20"/>
                <w:szCs w:val="20"/>
              </w:rPr>
              <w:t>1276-2022</w:t>
            </w:r>
            <w:r>
              <w:rPr>
                <w:rFonts w:hint="eastAsia" w:ascii="Times New Roman" w:hAnsi="Times New Roman" w:eastAsia="宋体" w:cs="Times New Roman"/>
                <w:sz w:val="20"/>
                <w:szCs w:val="20"/>
                <w:lang w:eastAsia="zh-CN"/>
              </w:rPr>
              <w:t>）</w:t>
            </w:r>
            <w:r>
              <w:rPr>
                <w:sz w:val="20"/>
                <w:szCs w:val="20"/>
              </w:rPr>
              <w:t>要求张贴标识标牌等，建立危废台账，委托有资质的单</w:t>
            </w:r>
            <w:r>
              <w:rPr>
                <w:spacing w:val="1"/>
                <w:sz w:val="20"/>
                <w:szCs w:val="20"/>
              </w:rPr>
              <w:t xml:space="preserve"> </w:t>
            </w:r>
            <w:r>
              <w:rPr>
                <w:spacing w:val="-2"/>
                <w:sz w:val="20"/>
                <w:szCs w:val="20"/>
              </w:rPr>
              <w:t>位回收处理</w:t>
            </w:r>
          </w:p>
        </w:tc>
        <w:tc>
          <w:tcPr>
            <w:tcW w:w="848" w:type="dxa"/>
            <w:vAlign w:val="top"/>
          </w:tcPr>
          <w:p w14:paraId="36AC94F7">
            <w:pPr>
              <w:spacing w:line="250" w:lineRule="auto"/>
              <w:rPr>
                <w:rFonts w:ascii="Arial"/>
                <w:sz w:val="21"/>
              </w:rPr>
            </w:pPr>
          </w:p>
          <w:p w14:paraId="18C696EE">
            <w:pPr>
              <w:spacing w:line="251" w:lineRule="auto"/>
              <w:rPr>
                <w:rFonts w:ascii="Arial"/>
                <w:sz w:val="21"/>
              </w:rPr>
            </w:pPr>
          </w:p>
          <w:p w14:paraId="735D6F3D">
            <w:pPr>
              <w:spacing w:line="251" w:lineRule="auto"/>
              <w:rPr>
                <w:rFonts w:ascii="Arial"/>
                <w:sz w:val="21"/>
              </w:rPr>
            </w:pPr>
          </w:p>
          <w:p w14:paraId="23D935F3">
            <w:pPr>
              <w:spacing w:before="52" w:line="232" w:lineRule="auto"/>
              <w:ind w:left="32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3.0</w:t>
            </w:r>
          </w:p>
        </w:tc>
        <w:tc>
          <w:tcPr>
            <w:tcW w:w="665" w:type="dxa"/>
            <w:vAlign w:val="top"/>
          </w:tcPr>
          <w:p w14:paraId="342D3C7C">
            <w:pPr>
              <w:spacing w:line="358" w:lineRule="auto"/>
              <w:rPr>
                <w:rFonts w:ascii="Arial"/>
                <w:sz w:val="21"/>
              </w:rPr>
            </w:pPr>
          </w:p>
          <w:p w14:paraId="17BE619A">
            <w:pPr>
              <w:spacing w:line="358" w:lineRule="auto"/>
              <w:rPr>
                <w:rFonts w:ascii="Arial"/>
                <w:sz w:val="21"/>
              </w:rPr>
            </w:pPr>
          </w:p>
          <w:p w14:paraId="7324FDE5">
            <w:pPr>
              <w:pStyle w:val="6"/>
              <w:spacing w:before="59" w:line="220" w:lineRule="auto"/>
              <w:ind w:left="164"/>
              <w:rPr>
                <w:sz w:val="18"/>
                <w:szCs w:val="18"/>
              </w:rPr>
            </w:pPr>
            <w:r>
              <w:rPr>
                <w:spacing w:val="-2"/>
                <w:sz w:val="18"/>
                <w:szCs w:val="18"/>
              </w:rPr>
              <w:t>新建</w:t>
            </w:r>
          </w:p>
        </w:tc>
        <w:tc>
          <w:tcPr>
            <w:tcW w:w="133" w:type="dxa"/>
            <w:tcBorders>
              <w:top w:val="nil"/>
              <w:bottom w:val="nil"/>
              <w:right w:val="single" w:color="000000" w:sz="6" w:space="0"/>
            </w:tcBorders>
            <w:vAlign w:val="top"/>
          </w:tcPr>
          <w:p w14:paraId="75673577">
            <w:pPr>
              <w:rPr>
                <w:rFonts w:ascii="Arial"/>
                <w:sz w:val="21"/>
              </w:rPr>
            </w:pPr>
          </w:p>
        </w:tc>
      </w:tr>
      <w:tr w14:paraId="4EFB4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50" w:type="dxa"/>
            <w:vMerge w:val="continue"/>
            <w:tcBorders>
              <w:top w:val="nil"/>
              <w:left w:val="single" w:color="000000" w:sz="6" w:space="0"/>
              <w:bottom w:val="nil"/>
            </w:tcBorders>
            <w:vAlign w:val="top"/>
          </w:tcPr>
          <w:p w14:paraId="5ED35431">
            <w:pPr>
              <w:rPr>
                <w:rFonts w:ascii="Arial"/>
                <w:sz w:val="21"/>
              </w:rPr>
            </w:pPr>
          </w:p>
        </w:tc>
        <w:tc>
          <w:tcPr>
            <w:tcW w:w="124" w:type="dxa"/>
            <w:vMerge w:val="continue"/>
            <w:tcBorders>
              <w:top w:val="nil"/>
              <w:bottom w:val="nil"/>
            </w:tcBorders>
            <w:vAlign w:val="top"/>
          </w:tcPr>
          <w:p w14:paraId="76CC05B3">
            <w:pPr>
              <w:rPr>
                <w:rFonts w:ascii="Arial"/>
                <w:sz w:val="21"/>
              </w:rPr>
            </w:pPr>
          </w:p>
        </w:tc>
        <w:tc>
          <w:tcPr>
            <w:tcW w:w="548" w:type="dxa"/>
            <w:vMerge w:val="continue"/>
            <w:tcBorders>
              <w:top w:val="nil"/>
            </w:tcBorders>
            <w:vAlign w:val="top"/>
          </w:tcPr>
          <w:p w14:paraId="5CF2F242">
            <w:pPr>
              <w:rPr>
                <w:rFonts w:ascii="Arial"/>
                <w:sz w:val="21"/>
              </w:rPr>
            </w:pPr>
          </w:p>
        </w:tc>
        <w:tc>
          <w:tcPr>
            <w:tcW w:w="5845" w:type="dxa"/>
            <w:vAlign w:val="top"/>
          </w:tcPr>
          <w:p w14:paraId="6C3455DC">
            <w:pPr>
              <w:pStyle w:val="6"/>
              <w:spacing w:before="66" w:line="225" w:lineRule="auto"/>
              <w:ind w:left="62" w:right="47" w:hanging="6"/>
              <w:rPr>
                <w:sz w:val="20"/>
                <w:szCs w:val="20"/>
              </w:rPr>
            </w:pPr>
            <w:r>
              <w:rPr>
                <w:spacing w:val="-2"/>
                <w:sz w:val="20"/>
                <w:szCs w:val="20"/>
              </w:rPr>
              <w:t>生活垃圾：袋装收集后运至附近场镇生活垃圾集中</w:t>
            </w:r>
            <w:r>
              <w:rPr>
                <w:spacing w:val="-3"/>
                <w:sz w:val="20"/>
                <w:szCs w:val="20"/>
              </w:rPr>
              <w:t>收集点，由环卫</w:t>
            </w:r>
            <w:r>
              <w:rPr>
                <w:sz w:val="20"/>
                <w:szCs w:val="20"/>
              </w:rPr>
              <w:t xml:space="preserve"> </w:t>
            </w:r>
            <w:r>
              <w:rPr>
                <w:spacing w:val="-3"/>
                <w:sz w:val="20"/>
                <w:szCs w:val="20"/>
              </w:rPr>
              <w:t>负责清运</w:t>
            </w:r>
          </w:p>
        </w:tc>
        <w:tc>
          <w:tcPr>
            <w:tcW w:w="848" w:type="dxa"/>
            <w:vAlign w:val="top"/>
          </w:tcPr>
          <w:p w14:paraId="507B5039">
            <w:pPr>
              <w:spacing w:before="253" w:line="232" w:lineRule="auto"/>
              <w:ind w:left="32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w:t>
            </w:r>
          </w:p>
        </w:tc>
        <w:tc>
          <w:tcPr>
            <w:tcW w:w="665" w:type="dxa"/>
            <w:vAlign w:val="top"/>
          </w:tcPr>
          <w:p w14:paraId="3AFE8BF7">
            <w:pPr>
              <w:pStyle w:val="6"/>
              <w:spacing w:before="223" w:line="220" w:lineRule="auto"/>
              <w:ind w:left="164"/>
              <w:rPr>
                <w:sz w:val="18"/>
                <w:szCs w:val="18"/>
              </w:rPr>
            </w:pPr>
            <w:r>
              <w:rPr>
                <w:spacing w:val="-2"/>
                <w:sz w:val="18"/>
                <w:szCs w:val="18"/>
              </w:rPr>
              <w:t>新建</w:t>
            </w:r>
          </w:p>
        </w:tc>
        <w:tc>
          <w:tcPr>
            <w:tcW w:w="133" w:type="dxa"/>
            <w:tcBorders>
              <w:top w:val="nil"/>
              <w:bottom w:val="nil"/>
              <w:right w:val="single" w:color="000000" w:sz="6" w:space="0"/>
            </w:tcBorders>
            <w:vAlign w:val="top"/>
          </w:tcPr>
          <w:p w14:paraId="3EB82995">
            <w:pPr>
              <w:rPr>
                <w:rFonts w:ascii="Arial"/>
                <w:sz w:val="21"/>
              </w:rPr>
            </w:pPr>
          </w:p>
        </w:tc>
      </w:tr>
      <w:tr w14:paraId="2BD30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50" w:type="dxa"/>
            <w:vMerge w:val="continue"/>
            <w:tcBorders>
              <w:top w:val="nil"/>
              <w:left w:val="single" w:color="000000" w:sz="6" w:space="0"/>
              <w:bottom w:val="single" w:color="000000" w:sz="6" w:space="0"/>
            </w:tcBorders>
            <w:vAlign w:val="top"/>
          </w:tcPr>
          <w:p w14:paraId="31637BA9">
            <w:pPr>
              <w:rPr>
                <w:rFonts w:ascii="Arial"/>
                <w:sz w:val="21"/>
              </w:rPr>
            </w:pPr>
          </w:p>
        </w:tc>
        <w:tc>
          <w:tcPr>
            <w:tcW w:w="124" w:type="dxa"/>
            <w:vMerge w:val="continue"/>
            <w:tcBorders>
              <w:top w:val="nil"/>
              <w:bottom w:val="single" w:color="000000" w:sz="6" w:space="0"/>
            </w:tcBorders>
            <w:vAlign w:val="top"/>
          </w:tcPr>
          <w:p w14:paraId="7F8E78D9">
            <w:pPr>
              <w:rPr>
                <w:rFonts w:ascii="Arial"/>
                <w:sz w:val="21"/>
              </w:rPr>
            </w:pPr>
          </w:p>
        </w:tc>
        <w:tc>
          <w:tcPr>
            <w:tcW w:w="6393" w:type="dxa"/>
            <w:gridSpan w:val="2"/>
            <w:tcBorders>
              <w:bottom w:val="single" w:color="000000" w:sz="6" w:space="0"/>
            </w:tcBorders>
            <w:vAlign w:val="top"/>
          </w:tcPr>
          <w:p w14:paraId="12989AAB">
            <w:pPr>
              <w:pStyle w:val="6"/>
              <w:spacing w:before="85" w:line="219" w:lineRule="auto"/>
              <w:ind w:left="3020"/>
              <w:rPr>
                <w:sz w:val="18"/>
                <w:szCs w:val="18"/>
              </w:rPr>
            </w:pPr>
            <w:r>
              <w:rPr>
                <w:spacing w:val="-2"/>
                <w:sz w:val="18"/>
                <w:szCs w:val="18"/>
              </w:rPr>
              <w:t>合计</w:t>
            </w:r>
          </w:p>
        </w:tc>
        <w:tc>
          <w:tcPr>
            <w:tcW w:w="848" w:type="dxa"/>
            <w:tcBorders>
              <w:bottom w:val="single" w:color="000000" w:sz="6" w:space="0"/>
            </w:tcBorders>
            <w:vAlign w:val="top"/>
          </w:tcPr>
          <w:p w14:paraId="506FD81C">
            <w:pPr>
              <w:spacing w:before="115" w:line="213" w:lineRule="auto"/>
              <w:ind w:left="2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93.50</w:t>
            </w:r>
          </w:p>
        </w:tc>
        <w:tc>
          <w:tcPr>
            <w:tcW w:w="665" w:type="dxa"/>
            <w:tcBorders>
              <w:bottom w:val="single" w:color="000000" w:sz="6" w:space="0"/>
            </w:tcBorders>
            <w:vAlign w:val="top"/>
          </w:tcPr>
          <w:p w14:paraId="6476A8FF">
            <w:pPr>
              <w:spacing w:before="115" w:line="213" w:lineRule="auto"/>
              <w:ind w:left="10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4.67%</w:t>
            </w:r>
          </w:p>
        </w:tc>
        <w:tc>
          <w:tcPr>
            <w:tcW w:w="133" w:type="dxa"/>
            <w:tcBorders>
              <w:top w:val="nil"/>
              <w:bottom w:val="single" w:color="000000" w:sz="6" w:space="0"/>
              <w:right w:val="single" w:color="000000" w:sz="6" w:space="0"/>
            </w:tcBorders>
            <w:vAlign w:val="top"/>
          </w:tcPr>
          <w:p w14:paraId="75ABC56A">
            <w:pPr>
              <w:rPr>
                <w:rFonts w:ascii="Arial"/>
                <w:sz w:val="21"/>
              </w:rPr>
            </w:pPr>
          </w:p>
        </w:tc>
      </w:tr>
    </w:tbl>
    <w:p w14:paraId="0710F005">
      <w:pPr>
        <w:rPr>
          <w:rFonts w:ascii="Arial"/>
          <w:sz w:val="21"/>
        </w:rPr>
      </w:pPr>
    </w:p>
    <w:p w14:paraId="774029D2">
      <w:pPr>
        <w:rPr>
          <w:rFonts w:ascii="Arial" w:hAnsi="Arial" w:eastAsia="Arial" w:cs="Arial"/>
          <w:sz w:val="21"/>
          <w:szCs w:val="21"/>
        </w:rPr>
        <w:sectPr>
          <w:footerReference r:id="rId74" w:type="default"/>
          <w:pgSz w:w="11908" w:h="16840"/>
          <w:pgMar w:top="1431" w:right="1489" w:bottom="1053" w:left="1489" w:header="0" w:footer="801" w:gutter="0"/>
          <w:cols w:space="720" w:num="1"/>
        </w:sectPr>
      </w:pPr>
    </w:p>
    <w:p w14:paraId="28BE4960">
      <w:pPr>
        <w:spacing w:line="247" w:lineRule="auto"/>
        <w:rPr>
          <w:rFonts w:ascii="Arial"/>
          <w:sz w:val="21"/>
        </w:rPr>
      </w:pPr>
    </w:p>
    <w:p w14:paraId="60A2289D">
      <w:pPr>
        <w:spacing w:line="248" w:lineRule="auto"/>
        <w:rPr>
          <w:rFonts w:ascii="Arial"/>
          <w:sz w:val="21"/>
        </w:rPr>
      </w:pPr>
    </w:p>
    <w:p w14:paraId="72211C40">
      <w:pPr>
        <w:spacing w:before="97" w:line="218" w:lineRule="auto"/>
        <w:ind w:left="2389"/>
        <w:rPr>
          <w:rFonts w:ascii="黑体" w:hAnsi="黑体" w:eastAsia="黑体" w:cs="黑体"/>
          <w:sz w:val="30"/>
          <w:szCs w:val="30"/>
        </w:rPr>
      </w:pPr>
      <w:r>
        <w:rPr>
          <w:rFonts w:ascii="黑体" w:hAnsi="黑体" w:eastAsia="黑体" w:cs="黑体"/>
          <w:spacing w:val="-2"/>
          <w:sz w:val="30"/>
          <w:szCs w:val="30"/>
        </w:rPr>
        <w:t>五、环境保护措施监督检查清单</w:t>
      </w:r>
    </w:p>
    <w:p w14:paraId="6DD9835E">
      <w:pPr>
        <w:spacing w:before="27"/>
      </w:pPr>
    </w:p>
    <w:tbl>
      <w:tblPr>
        <w:tblStyle w:val="5"/>
        <w:tblW w:w="892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9"/>
        <w:gridCol w:w="1338"/>
        <w:gridCol w:w="1126"/>
        <w:gridCol w:w="3822"/>
        <w:gridCol w:w="1658"/>
      </w:tblGrid>
      <w:tr w14:paraId="3B7CE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9" w:type="dxa"/>
            <w:tcBorders>
              <w:top w:val="single" w:color="000000" w:sz="6" w:space="0"/>
              <w:left w:val="single" w:color="000000" w:sz="6" w:space="0"/>
              <w:tl2br w:val="single" w:color="000000" w:sz="2" w:space="0"/>
            </w:tcBorders>
            <w:vAlign w:val="top"/>
          </w:tcPr>
          <w:p w14:paraId="3A7F200C">
            <w:pPr>
              <w:pStyle w:val="6"/>
              <w:spacing w:before="57" w:line="232" w:lineRule="auto"/>
              <w:ind w:left="58" w:right="59" w:firstLine="480"/>
              <w:rPr>
                <w:sz w:val="20"/>
                <w:szCs w:val="20"/>
              </w:rPr>
            </w:pPr>
            <w:r>
              <w:rPr>
                <w:b/>
                <w:bCs/>
                <w:spacing w:val="-18"/>
                <w:sz w:val="20"/>
                <w:szCs w:val="20"/>
              </w:rPr>
              <w:t>内容</w:t>
            </w:r>
            <w:r>
              <w:rPr>
                <w:sz w:val="20"/>
                <w:szCs w:val="20"/>
              </w:rPr>
              <w:t xml:space="preserve"> </w:t>
            </w:r>
            <w:r>
              <w:rPr>
                <w:b/>
                <w:bCs/>
                <w:spacing w:val="-4"/>
                <w:sz w:val="20"/>
                <w:szCs w:val="20"/>
              </w:rPr>
              <w:t>要素</w:t>
            </w:r>
          </w:p>
        </w:tc>
        <w:tc>
          <w:tcPr>
            <w:tcW w:w="1338" w:type="dxa"/>
            <w:tcBorders>
              <w:top w:val="single" w:color="000000" w:sz="6" w:space="0"/>
            </w:tcBorders>
            <w:vAlign w:val="top"/>
          </w:tcPr>
          <w:p w14:paraId="4B30C394">
            <w:pPr>
              <w:pStyle w:val="6"/>
              <w:spacing w:before="57" w:line="216" w:lineRule="auto"/>
              <w:ind w:left="53"/>
              <w:rPr>
                <w:sz w:val="20"/>
                <w:szCs w:val="20"/>
              </w:rPr>
            </w:pPr>
            <w:r>
              <w:rPr>
                <w:b/>
                <w:bCs/>
                <w:spacing w:val="-6"/>
                <w:sz w:val="20"/>
                <w:szCs w:val="20"/>
              </w:rPr>
              <w:t>排放口</w:t>
            </w:r>
            <w:r>
              <w:rPr>
                <w:rFonts w:hint="eastAsia"/>
                <w:b/>
                <w:bCs/>
                <w:spacing w:val="-6"/>
                <w:sz w:val="20"/>
                <w:szCs w:val="20"/>
                <w:lang w:eastAsia="zh-CN"/>
              </w:rPr>
              <w:t>（</w:t>
            </w:r>
            <w:r>
              <w:rPr>
                <w:b/>
                <w:bCs/>
                <w:spacing w:val="-6"/>
                <w:sz w:val="20"/>
                <w:szCs w:val="20"/>
              </w:rPr>
              <w:t>编号、</w:t>
            </w:r>
            <w:r>
              <w:rPr>
                <w:b/>
                <w:bCs/>
                <w:spacing w:val="-3"/>
                <w:sz w:val="20"/>
                <w:szCs w:val="20"/>
              </w:rPr>
              <w:t>名称</w:t>
            </w:r>
            <w:r>
              <w:rPr>
                <w:rFonts w:hint="eastAsia"/>
                <w:b/>
                <w:bCs/>
                <w:spacing w:val="-3"/>
                <w:sz w:val="20"/>
                <w:szCs w:val="20"/>
                <w:lang w:eastAsia="zh-CN"/>
              </w:rPr>
              <w:t>）</w:t>
            </w:r>
            <w:r>
              <w:rPr>
                <w:rFonts w:ascii="Times New Roman" w:hAnsi="Times New Roman" w:eastAsia="Times New Roman" w:cs="Times New Roman"/>
                <w:b/>
                <w:bCs/>
                <w:spacing w:val="-3"/>
                <w:sz w:val="20"/>
                <w:szCs w:val="20"/>
              </w:rPr>
              <w:t>/</w:t>
            </w:r>
            <w:r>
              <w:rPr>
                <w:b/>
                <w:bCs/>
                <w:spacing w:val="-3"/>
                <w:sz w:val="20"/>
                <w:szCs w:val="20"/>
              </w:rPr>
              <w:t>污染源</w:t>
            </w:r>
          </w:p>
        </w:tc>
        <w:tc>
          <w:tcPr>
            <w:tcW w:w="1126" w:type="dxa"/>
            <w:tcBorders>
              <w:top w:val="single" w:color="000000" w:sz="6" w:space="0"/>
            </w:tcBorders>
            <w:vAlign w:val="top"/>
          </w:tcPr>
          <w:p w14:paraId="204C43BF">
            <w:pPr>
              <w:pStyle w:val="6"/>
              <w:spacing w:before="197" w:line="221" w:lineRule="auto"/>
              <w:ind w:left="64"/>
              <w:rPr>
                <w:sz w:val="20"/>
                <w:szCs w:val="20"/>
              </w:rPr>
            </w:pPr>
            <w:r>
              <w:rPr>
                <w:b/>
                <w:bCs/>
                <w:spacing w:val="-4"/>
                <w:sz w:val="20"/>
                <w:szCs w:val="20"/>
              </w:rPr>
              <w:t>污染物项目</w:t>
            </w:r>
          </w:p>
        </w:tc>
        <w:tc>
          <w:tcPr>
            <w:tcW w:w="3822" w:type="dxa"/>
            <w:tcBorders>
              <w:top w:val="single" w:color="000000" w:sz="6" w:space="0"/>
            </w:tcBorders>
            <w:vAlign w:val="top"/>
          </w:tcPr>
          <w:p w14:paraId="0958973B">
            <w:pPr>
              <w:pStyle w:val="6"/>
              <w:spacing w:before="197" w:line="221" w:lineRule="auto"/>
              <w:ind w:left="1316"/>
              <w:rPr>
                <w:sz w:val="20"/>
                <w:szCs w:val="20"/>
              </w:rPr>
            </w:pPr>
            <w:r>
              <w:rPr>
                <w:b/>
                <w:bCs/>
                <w:spacing w:val="-3"/>
                <w:sz w:val="20"/>
                <w:szCs w:val="20"/>
              </w:rPr>
              <w:t>环境保护措施</w:t>
            </w:r>
          </w:p>
        </w:tc>
        <w:tc>
          <w:tcPr>
            <w:tcW w:w="1658" w:type="dxa"/>
            <w:tcBorders>
              <w:top w:val="single" w:color="000000" w:sz="6" w:space="0"/>
              <w:right w:val="single" w:color="000000" w:sz="6" w:space="0"/>
            </w:tcBorders>
            <w:vAlign w:val="top"/>
          </w:tcPr>
          <w:p w14:paraId="602B5F3A">
            <w:pPr>
              <w:pStyle w:val="6"/>
              <w:spacing w:before="197" w:line="220" w:lineRule="auto"/>
              <w:ind w:left="434"/>
              <w:rPr>
                <w:sz w:val="20"/>
                <w:szCs w:val="20"/>
              </w:rPr>
            </w:pPr>
            <w:r>
              <w:rPr>
                <w:b/>
                <w:bCs/>
                <w:spacing w:val="-4"/>
                <w:sz w:val="20"/>
                <w:szCs w:val="20"/>
              </w:rPr>
              <w:t>执行标准</w:t>
            </w:r>
          </w:p>
        </w:tc>
      </w:tr>
      <w:tr w14:paraId="7AACE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4" w:hRule="atLeast"/>
        </w:trPr>
        <w:tc>
          <w:tcPr>
            <w:tcW w:w="979" w:type="dxa"/>
            <w:vMerge w:val="restart"/>
            <w:tcBorders>
              <w:left w:val="single" w:color="000000" w:sz="6" w:space="0"/>
              <w:bottom w:val="nil"/>
            </w:tcBorders>
            <w:vAlign w:val="top"/>
          </w:tcPr>
          <w:p w14:paraId="672F06DD">
            <w:pPr>
              <w:spacing w:line="253" w:lineRule="auto"/>
              <w:rPr>
                <w:rFonts w:ascii="Arial"/>
                <w:sz w:val="21"/>
              </w:rPr>
            </w:pPr>
          </w:p>
          <w:p w14:paraId="44893514">
            <w:pPr>
              <w:spacing w:line="253" w:lineRule="auto"/>
              <w:rPr>
                <w:rFonts w:ascii="Arial"/>
                <w:sz w:val="21"/>
              </w:rPr>
            </w:pPr>
          </w:p>
          <w:p w14:paraId="17185F8B">
            <w:pPr>
              <w:spacing w:line="253" w:lineRule="auto"/>
              <w:rPr>
                <w:rFonts w:ascii="Arial"/>
                <w:sz w:val="21"/>
              </w:rPr>
            </w:pPr>
          </w:p>
          <w:p w14:paraId="10BB2D26">
            <w:pPr>
              <w:spacing w:line="253" w:lineRule="auto"/>
              <w:rPr>
                <w:rFonts w:ascii="Arial"/>
                <w:sz w:val="21"/>
              </w:rPr>
            </w:pPr>
          </w:p>
          <w:p w14:paraId="4BE31F56">
            <w:pPr>
              <w:spacing w:line="253" w:lineRule="auto"/>
              <w:rPr>
                <w:rFonts w:ascii="Arial"/>
                <w:sz w:val="21"/>
              </w:rPr>
            </w:pPr>
          </w:p>
          <w:p w14:paraId="4671CE51">
            <w:pPr>
              <w:spacing w:line="253" w:lineRule="auto"/>
              <w:rPr>
                <w:rFonts w:ascii="Arial"/>
                <w:sz w:val="21"/>
              </w:rPr>
            </w:pPr>
          </w:p>
          <w:p w14:paraId="0D488AE8">
            <w:pPr>
              <w:spacing w:line="253" w:lineRule="auto"/>
              <w:rPr>
                <w:rFonts w:ascii="Arial"/>
                <w:sz w:val="21"/>
              </w:rPr>
            </w:pPr>
          </w:p>
          <w:p w14:paraId="7716E019">
            <w:pPr>
              <w:spacing w:line="253" w:lineRule="auto"/>
              <w:rPr>
                <w:rFonts w:ascii="Arial"/>
                <w:sz w:val="21"/>
              </w:rPr>
            </w:pPr>
          </w:p>
          <w:p w14:paraId="47314C19">
            <w:pPr>
              <w:spacing w:line="253" w:lineRule="auto"/>
              <w:rPr>
                <w:rFonts w:ascii="Arial"/>
                <w:sz w:val="21"/>
              </w:rPr>
            </w:pPr>
          </w:p>
          <w:p w14:paraId="678E2DE6">
            <w:pPr>
              <w:spacing w:line="253" w:lineRule="auto"/>
              <w:rPr>
                <w:rFonts w:ascii="Arial"/>
                <w:sz w:val="21"/>
              </w:rPr>
            </w:pPr>
          </w:p>
          <w:p w14:paraId="3057B6ED">
            <w:pPr>
              <w:spacing w:line="253" w:lineRule="auto"/>
              <w:rPr>
                <w:rFonts w:ascii="Arial"/>
                <w:sz w:val="21"/>
              </w:rPr>
            </w:pPr>
          </w:p>
          <w:p w14:paraId="39CD3B4D">
            <w:pPr>
              <w:spacing w:line="253" w:lineRule="auto"/>
              <w:rPr>
                <w:rFonts w:ascii="Arial"/>
                <w:sz w:val="21"/>
              </w:rPr>
            </w:pPr>
          </w:p>
          <w:p w14:paraId="5E026107">
            <w:pPr>
              <w:spacing w:line="253" w:lineRule="auto"/>
              <w:rPr>
                <w:rFonts w:ascii="Arial"/>
                <w:sz w:val="21"/>
              </w:rPr>
            </w:pPr>
          </w:p>
          <w:p w14:paraId="4CF02FC3">
            <w:pPr>
              <w:spacing w:line="253" w:lineRule="auto"/>
              <w:rPr>
                <w:rFonts w:ascii="Arial"/>
                <w:sz w:val="21"/>
              </w:rPr>
            </w:pPr>
          </w:p>
          <w:p w14:paraId="0AAFC290">
            <w:pPr>
              <w:spacing w:line="254" w:lineRule="auto"/>
              <w:rPr>
                <w:rFonts w:ascii="Arial"/>
                <w:sz w:val="21"/>
              </w:rPr>
            </w:pPr>
          </w:p>
          <w:p w14:paraId="18608EB5">
            <w:pPr>
              <w:spacing w:line="254" w:lineRule="auto"/>
              <w:rPr>
                <w:rFonts w:ascii="Arial"/>
                <w:sz w:val="21"/>
              </w:rPr>
            </w:pPr>
          </w:p>
          <w:p w14:paraId="37C14CBD">
            <w:pPr>
              <w:spacing w:line="254" w:lineRule="auto"/>
              <w:rPr>
                <w:rFonts w:ascii="Arial"/>
                <w:sz w:val="21"/>
              </w:rPr>
            </w:pPr>
          </w:p>
          <w:p w14:paraId="0B1C61DA">
            <w:pPr>
              <w:spacing w:line="254" w:lineRule="auto"/>
              <w:rPr>
                <w:rFonts w:ascii="Arial"/>
                <w:sz w:val="21"/>
              </w:rPr>
            </w:pPr>
          </w:p>
          <w:p w14:paraId="7F93E74C">
            <w:pPr>
              <w:pStyle w:val="6"/>
              <w:spacing w:before="65" w:line="221" w:lineRule="auto"/>
              <w:ind w:left="289"/>
              <w:rPr>
                <w:sz w:val="20"/>
                <w:szCs w:val="20"/>
              </w:rPr>
            </w:pPr>
            <w:r>
              <w:rPr>
                <w:spacing w:val="-3"/>
                <w:sz w:val="20"/>
                <w:szCs w:val="20"/>
              </w:rPr>
              <w:t>大气</w:t>
            </w:r>
          </w:p>
          <w:p w14:paraId="2A245F1E">
            <w:pPr>
              <w:pStyle w:val="6"/>
              <w:spacing w:before="41" w:line="221" w:lineRule="auto"/>
              <w:ind w:left="287"/>
              <w:rPr>
                <w:sz w:val="20"/>
                <w:szCs w:val="20"/>
              </w:rPr>
            </w:pPr>
            <w:r>
              <w:rPr>
                <w:spacing w:val="-2"/>
                <w:sz w:val="20"/>
                <w:szCs w:val="20"/>
              </w:rPr>
              <w:t>环境</w:t>
            </w:r>
          </w:p>
        </w:tc>
        <w:tc>
          <w:tcPr>
            <w:tcW w:w="1338" w:type="dxa"/>
            <w:vAlign w:val="top"/>
          </w:tcPr>
          <w:p w14:paraId="151D4CBC">
            <w:pPr>
              <w:spacing w:line="349" w:lineRule="auto"/>
              <w:rPr>
                <w:rFonts w:ascii="Arial"/>
                <w:sz w:val="21"/>
              </w:rPr>
            </w:pPr>
          </w:p>
          <w:p w14:paraId="60D2BE6E">
            <w:pPr>
              <w:pStyle w:val="6"/>
              <w:spacing w:before="65" w:line="221" w:lineRule="auto"/>
              <w:ind w:left="267"/>
              <w:rPr>
                <w:sz w:val="20"/>
                <w:szCs w:val="20"/>
              </w:rPr>
            </w:pPr>
            <w:r>
              <w:rPr>
                <w:spacing w:val="-2"/>
                <w:sz w:val="20"/>
                <w:szCs w:val="20"/>
              </w:rPr>
              <w:t>施工废气</w:t>
            </w:r>
          </w:p>
        </w:tc>
        <w:tc>
          <w:tcPr>
            <w:tcW w:w="1126" w:type="dxa"/>
            <w:vAlign w:val="top"/>
          </w:tcPr>
          <w:p w14:paraId="051CE12B">
            <w:pPr>
              <w:pStyle w:val="6"/>
              <w:spacing w:before="278" w:line="220" w:lineRule="auto"/>
              <w:ind w:left="38"/>
              <w:rPr>
                <w:sz w:val="20"/>
                <w:szCs w:val="20"/>
              </w:rPr>
            </w:pPr>
            <w:r>
              <w:rPr>
                <w:spacing w:val="-19"/>
                <w:w w:val="98"/>
                <w:sz w:val="20"/>
                <w:szCs w:val="20"/>
              </w:rPr>
              <w:t>扬尘、汽车尾</w:t>
            </w:r>
          </w:p>
          <w:p w14:paraId="1F48988E">
            <w:pPr>
              <w:pStyle w:val="6"/>
              <w:spacing w:before="41" w:line="221" w:lineRule="auto"/>
              <w:ind w:left="472"/>
              <w:rPr>
                <w:sz w:val="20"/>
                <w:szCs w:val="20"/>
              </w:rPr>
            </w:pPr>
            <w:r>
              <w:rPr>
                <w:sz w:val="20"/>
                <w:szCs w:val="20"/>
              </w:rPr>
              <w:t>气</w:t>
            </w:r>
          </w:p>
        </w:tc>
        <w:tc>
          <w:tcPr>
            <w:tcW w:w="3822" w:type="dxa"/>
            <w:vAlign w:val="top"/>
          </w:tcPr>
          <w:p w14:paraId="27410F7E">
            <w:pPr>
              <w:spacing w:line="350" w:lineRule="auto"/>
              <w:rPr>
                <w:rFonts w:ascii="Arial"/>
                <w:sz w:val="21"/>
              </w:rPr>
            </w:pPr>
          </w:p>
          <w:p w14:paraId="72702EB6">
            <w:pPr>
              <w:pStyle w:val="6"/>
              <w:spacing w:before="65" w:line="220" w:lineRule="auto"/>
              <w:ind w:left="367"/>
              <w:rPr>
                <w:sz w:val="20"/>
                <w:szCs w:val="20"/>
              </w:rPr>
            </w:pPr>
            <w:r>
              <w:rPr>
                <w:spacing w:val="-2"/>
                <w:sz w:val="20"/>
                <w:szCs w:val="20"/>
              </w:rPr>
              <w:t>限制车速；运输车辆覆盖；及时清扫</w:t>
            </w:r>
          </w:p>
        </w:tc>
        <w:tc>
          <w:tcPr>
            <w:tcW w:w="1658" w:type="dxa"/>
            <w:tcBorders>
              <w:right w:val="single" w:color="000000" w:sz="6" w:space="0"/>
            </w:tcBorders>
            <w:vAlign w:val="top"/>
          </w:tcPr>
          <w:p w14:paraId="547CB506">
            <w:pPr>
              <w:pStyle w:val="6"/>
              <w:spacing w:before="137" w:line="259" w:lineRule="auto"/>
              <w:ind w:left="134" w:right="26" w:hanging="97"/>
              <w:rPr>
                <w:sz w:val="20"/>
                <w:szCs w:val="20"/>
              </w:rPr>
            </w:pPr>
            <w:r>
              <w:rPr>
                <w:spacing w:val="-2"/>
                <w:sz w:val="20"/>
                <w:szCs w:val="20"/>
              </w:rPr>
              <w:t>《四川省施工场地</w:t>
            </w:r>
            <w:r>
              <w:rPr>
                <w:sz w:val="20"/>
                <w:szCs w:val="20"/>
              </w:rPr>
              <w:t xml:space="preserve"> </w:t>
            </w:r>
            <w:r>
              <w:rPr>
                <w:spacing w:val="-1"/>
                <w:sz w:val="20"/>
                <w:szCs w:val="20"/>
              </w:rPr>
              <w:t>扬尘排放标准》</w:t>
            </w:r>
          </w:p>
          <w:p w14:paraId="6AAB4876">
            <w:pPr>
              <w:pStyle w:val="6"/>
              <w:spacing w:line="266" w:lineRule="exact"/>
              <w:jc w:val="right"/>
              <w:rPr>
                <w:sz w:val="20"/>
                <w:szCs w:val="20"/>
              </w:rPr>
            </w:pPr>
            <w:r>
              <w:rPr>
                <w:rFonts w:hint="eastAsia"/>
                <w:spacing w:val="-8"/>
                <w:position w:val="1"/>
                <w:sz w:val="20"/>
                <w:szCs w:val="20"/>
                <w:lang w:eastAsia="zh-CN"/>
              </w:rPr>
              <w:t>(</w:t>
            </w:r>
            <w:r>
              <w:rPr>
                <w:rFonts w:ascii="Times New Roman" w:hAnsi="Times New Roman" w:eastAsia="Times New Roman" w:cs="Times New Roman"/>
                <w:spacing w:val="-8"/>
                <w:position w:val="1"/>
                <w:sz w:val="20"/>
                <w:szCs w:val="20"/>
              </w:rPr>
              <w:t>DB512682-2020</w:t>
            </w:r>
            <w:r>
              <w:rPr>
                <w:rFonts w:hint="eastAsia" w:ascii="Times New Roman" w:hAnsi="Times New Roman" w:eastAsia="宋体" w:cs="Times New Roman"/>
                <w:spacing w:val="-8"/>
                <w:position w:val="1"/>
                <w:sz w:val="20"/>
                <w:szCs w:val="20"/>
                <w:lang w:eastAsia="zh-CN"/>
              </w:rPr>
              <w:t>)</w:t>
            </w:r>
          </w:p>
        </w:tc>
      </w:tr>
      <w:tr w14:paraId="4660F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979" w:type="dxa"/>
            <w:vMerge w:val="continue"/>
            <w:tcBorders>
              <w:top w:val="nil"/>
              <w:left w:val="single" w:color="000000" w:sz="6" w:space="0"/>
              <w:bottom w:val="nil"/>
            </w:tcBorders>
            <w:vAlign w:val="top"/>
          </w:tcPr>
          <w:p w14:paraId="230E8266">
            <w:pPr>
              <w:rPr>
                <w:rFonts w:ascii="Arial"/>
                <w:sz w:val="21"/>
              </w:rPr>
            </w:pPr>
          </w:p>
        </w:tc>
        <w:tc>
          <w:tcPr>
            <w:tcW w:w="1338" w:type="dxa"/>
            <w:vAlign w:val="top"/>
          </w:tcPr>
          <w:p w14:paraId="0644E38C">
            <w:pPr>
              <w:spacing w:line="405" w:lineRule="auto"/>
              <w:rPr>
                <w:rFonts w:ascii="Arial"/>
                <w:sz w:val="21"/>
              </w:rPr>
            </w:pPr>
          </w:p>
          <w:p w14:paraId="219F2DAF">
            <w:pPr>
              <w:pStyle w:val="6"/>
              <w:spacing w:before="65" w:line="221" w:lineRule="auto"/>
              <w:ind w:left="273"/>
              <w:rPr>
                <w:sz w:val="20"/>
                <w:szCs w:val="20"/>
              </w:rPr>
            </w:pPr>
            <w:r>
              <w:rPr>
                <w:spacing w:val="-3"/>
                <w:sz w:val="20"/>
                <w:szCs w:val="20"/>
              </w:rPr>
              <w:t>原料削片</w:t>
            </w:r>
          </w:p>
        </w:tc>
        <w:tc>
          <w:tcPr>
            <w:tcW w:w="1126" w:type="dxa"/>
            <w:vAlign w:val="top"/>
          </w:tcPr>
          <w:p w14:paraId="4CD51783">
            <w:pPr>
              <w:spacing w:line="406" w:lineRule="auto"/>
              <w:rPr>
                <w:rFonts w:ascii="Arial"/>
                <w:sz w:val="21"/>
              </w:rPr>
            </w:pPr>
          </w:p>
          <w:p w14:paraId="0D16E42B">
            <w:pPr>
              <w:pStyle w:val="6"/>
              <w:spacing w:before="65" w:line="220" w:lineRule="auto"/>
              <w:ind w:left="364"/>
              <w:rPr>
                <w:sz w:val="20"/>
                <w:szCs w:val="20"/>
              </w:rPr>
            </w:pPr>
            <w:r>
              <w:rPr>
                <w:spacing w:val="-2"/>
                <w:sz w:val="20"/>
                <w:szCs w:val="20"/>
              </w:rPr>
              <w:t>粉尘</w:t>
            </w:r>
          </w:p>
        </w:tc>
        <w:tc>
          <w:tcPr>
            <w:tcW w:w="3822" w:type="dxa"/>
            <w:vAlign w:val="top"/>
          </w:tcPr>
          <w:p w14:paraId="57E2D44F">
            <w:pPr>
              <w:pStyle w:val="6"/>
              <w:spacing w:before="55" w:line="244" w:lineRule="auto"/>
              <w:ind w:left="41" w:right="28" w:hanging="1"/>
              <w:jc w:val="both"/>
              <w:rPr>
                <w:sz w:val="20"/>
                <w:szCs w:val="20"/>
              </w:rPr>
            </w:pPr>
            <w:r>
              <w:rPr>
                <w:spacing w:val="-3"/>
                <w:sz w:val="20"/>
                <w:szCs w:val="20"/>
              </w:rPr>
              <w:t>粉尘：布置在封闭式车间内，避免风力扰动</w:t>
            </w:r>
            <w:r>
              <w:rPr>
                <w:spacing w:val="3"/>
                <w:sz w:val="20"/>
                <w:szCs w:val="20"/>
              </w:rPr>
              <w:t xml:space="preserve"> </w:t>
            </w:r>
            <w:r>
              <w:rPr>
                <w:spacing w:val="-3"/>
                <w:sz w:val="20"/>
                <w:szCs w:val="20"/>
              </w:rPr>
              <w:t>起尘，从途径上抑制粉尘逸散；原料木材本</w:t>
            </w:r>
            <w:r>
              <w:rPr>
                <w:spacing w:val="2"/>
                <w:sz w:val="20"/>
                <w:szCs w:val="20"/>
              </w:rPr>
              <w:t xml:space="preserve"> </w:t>
            </w:r>
            <w:r>
              <w:rPr>
                <w:spacing w:val="-3"/>
                <w:sz w:val="20"/>
                <w:szCs w:val="20"/>
              </w:rPr>
              <w:t>身具有较高的含水率，起尘概率低；采用密</w:t>
            </w:r>
            <w:r>
              <w:rPr>
                <w:spacing w:val="2"/>
                <w:sz w:val="20"/>
                <w:szCs w:val="20"/>
              </w:rPr>
              <w:t xml:space="preserve"> </w:t>
            </w:r>
            <w:r>
              <w:rPr>
                <w:spacing w:val="-1"/>
                <w:sz w:val="20"/>
                <w:szCs w:val="20"/>
              </w:rPr>
              <w:t>闭型设备，在入料口上方增加挡板</w:t>
            </w:r>
          </w:p>
        </w:tc>
        <w:tc>
          <w:tcPr>
            <w:tcW w:w="1658" w:type="dxa"/>
            <w:vMerge w:val="restart"/>
            <w:tcBorders>
              <w:bottom w:val="nil"/>
              <w:right w:val="single" w:color="000000" w:sz="6" w:space="0"/>
            </w:tcBorders>
            <w:vAlign w:val="top"/>
          </w:tcPr>
          <w:p w14:paraId="17D4AFFA">
            <w:pPr>
              <w:spacing w:line="247" w:lineRule="auto"/>
              <w:rPr>
                <w:rFonts w:ascii="Arial"/>
                <w:sz w:val="21"/>
              </w:rPr>
            </w:pPr>
          </w:p>
          <w:p w14:paraId="75C1ADDB">
            <w:pPr>
              <w:spacing w:line="247" w:lineRule="auto"/>
              <w:rPr>
                <w:rFonts w:ascii="Arial"/>
                <w:sz w:val="21"/>
              </w:rPr>
            </w:pPr>
          </w:p>
          <w:p w14:paraId="0F3491F3">
            <w:pPr>
              <w:spacing w:line="247" w:lineRule="auto"/>
              <w:rPr>
                <w:rFonts w:ascii="Arial"/>
                <w:sz w:val="21"/>
              </w:rPr>
            </w:pPr>
          </w:p>
          <w:p w14:paraId="6011AAB1">
            <w:pPr>
              <w:spacing w:line="247" w:lineRule="auto"/>
              <w:rPr>
                <w:rFonts w:ascii="Arial"/>
                <w:sz w:val="21"/>
              </w:rPr>
            </w:pPr>
          </w:p>
          <w:p w14:paraId="0BF0ECF9">
            <w:pPr>
              <w:spacing w:line="248" w:lineRule="auto"/>
              <w:rPr>
                <w:rFonts w:ascii="Arial"/>
                <w:sz w:val="21"/>
              </w:rPr>
            </w:pPr>
          </w:p>
          <w:p w14:paraId="74DFD8ED">
            <w:pPr>
              <w:spacing w:line="248" w:lineRule="auto"/>
              <w:rPr>
                <w:rFonts w:ascii="Arial"/>
                <w:sz w:val="21"/>
              </w:rPr>
            </w:pPr>
          </w:p>
          <w:p w14:paraId="7FD40C45">
            <w:pPr>
              <w:spacing w:line="248" w:lineRule="auto"/>
              <w:rPr>
                <w:rFonts w:ascii="Arial"/>
                <w:sz w:val="21"/>
              </w:rPr>
            </w:pPr>
          </w:p>
          <w:p w14:paraId="33A7BD27">
            <w:pPr>
              <w:spacing w:line="248" w:lineRule="auto"/>
              <w:rPr>
                <w:rFonts w:ascii="Arial"/>
                <w:sz w:val="21"/>
              </w:rPr>
            </w:pPr>
          </w:p>
          <w:p w14:paraId="54DEEAA5">
            <w:pPr>
              <w:spacing w:line="248" w:lineRule="auto"/>
              <w:rPr>
                <w:rFonts w:ascii="Arial"/>
                <w:sz w:val="21"/>
              </w:rPr>
            </w:pPr>
          </w:p>
          <w:p w14:paraId="13022F8A">
            <w:pPr>
              <w:spacing w:line="248" w:lineRule="auto"/>
              <w:rPr>
                <w:rFonts w:ascii="Arial"/>
                <w:sz w:val="21"/>
              </w:rPr>
            </w:pPr>
          </w:p>
          <w:p w14:paraId="0F72764A">
            <w:pPr>
              <w:spacing w:line="248" w:lineRule="auto"/>
              <w:rPr>
                <w:rFonts w:ascii="Arial"/>
                <w:sz w:val="21"/>
              </w:rPr>
            </w:pPr>
          </w:p>
          <w:p w14:paraId="3CD6EAE6">
            <w:pPr>
              <w:spacing w:line="248" w:lineRule="auto"/>
              <w:rPr>
                <w:rFonts w:ascii="Arial"/>
                <w:sz w:val="21"/>
              </w:rPr>
            </w:pPr>
          </w:p>
          <w:p w14:paraId="19CDEA80">
            <w:pPr>
              <w:spacing w:line="248" w:lineRule="auto"/>
              <w:rPr>
                <w:rFonts w:ascii="Arial"/>
                <w:sz w:val="21"/>
              </w:rPr>
            </w:pPr>
          </w:p>
          <w:p w14:paraId="637FFE6C">
            <w:pPr>
              <w:pStyle w:val="6"/>
              <w:spacing w:before="65" w:line="258" w:lineRule="auto"/>
              <w:ind w:left="37" w:right="29" w:firstLine="9"/>
              <w:rPr>
                <w:sz w:val="20"/>
                <w:szCs w:val="20"/>
              </w:rPr>
            </w:pPr>
            <w:r>
              <w:rPr>
                <w:spacing w:val="-4"/>
                <w:sz w:val="20"/>
                <w:szCs w:val="20"/>
              </w:rPr>
              <w:t>颗粒物执行《大气</w:t>
            </w:r>
            <w:r>
              <w:rPr>
                <w:spacing w:val="1"/>
                <w:sz w:val="20"/>
                <w:szCs w:val="20"/>
              </w:rPr>
              <w:t xml:space="preserve"> </w:t>
            </w:r>
            <w:r>
              <w:rPr>
                <w:spacing w:val="12"/>
                <w:sz w:val="20"/>
                <w:szCs w:val="20"/>
              </w:rPr>
              <w:t>污染物综合排放</w:t>
            </w:r>
            <w:r>
              <w:rPr>
                <w:spacing w:val="2"/>
                <w:sz w:val="20"/>
                <w:szCs w:val="20"/>
              </w:rPr>
              <w:t xml:space="preserve">  </w:t>
            </w:r>
            <w:r>
              <w:rPr>
                <w:sz w:val="20"/>
                <w:szCs w:val="20"/>
              </w:rPr>
              <w:t>标准》（</w:t>
            </w:r>
            <w:r>
              <w:rPr>
                <w:rFonts w:ascii="Times New Roman" w:hAnsi="Times New Roman" w:eastAsia="Times New Roman" w:cs="Times New Roman"/>
                <w:sz w:val="20"/>
                <w:szCs w:val="20"/>
              </w:rPr>
              <w:t xml:space="preserve">GB16297 </w:t>
            </w:r>
            <w:r>
              <w:rPr>
                <w:spacing w:val="15"/>
                <w:sz w:val="20"/>
                <w:szCs w:val="20"/>
              </w:rPr>
              <w:t>-</w:t>
            </w:r>
            <w:r>
              <w:rPr>
                <w:rFonts w:ascii="Times New Roman" w:hAnsi="Times New Roman" w:eastAsia="Times New Roman" w:cs="Times New Roman"/>
                <w:spacing w:val="15"/>
                <w:sz w:val="20"/>
                <w:szCs w:val="20"/>
              </w:rPr>
              <w:t>1996</w:t>
            </w:r>
            <w:r>
              <w:rPr>
                <w:spacing w:val="15"/>
                <w:sz w:val="20"/>
                <w:szCs w:val="20"/>
              </w:rPr>
              <w:t>）、</w:t>
            </w:r>
            <w:r>
              <w:rPr>
                <w:rFonts w:ascii="Times New Roman" w:hAnsi="Times New Roman" w:eastAsia="Times New Roman" w:cs="Times New Roman"/>
                <w:sz w:val="20"/>
                <w:szCs w:val="20"/>
              </w:rPr>
              <w:t>SO</w:t>
            </w:r>
            <w:r>
              <w:rPr>
                <w:rFonts w:ascii="Times New Roman" w:hAnsi="Times New Roman" w:eastAsia="Times New Roman" w:cs="Times New Roman"/>
                <w:spacing w:val="15"/>
                <w:position w:val="-1"/>
                <w:sz w:val="12"/>
                <w:szCs w:val="12"/>
              </w:rPr>
              <w:t>2</w:t>
            </w:r>
            <w:r>
              <w:rPr>
                <w:rFonts w:ascii="Times New Roman" w:hAnsi="Times New Roman" w:eastAsia="Times New Roman" w:cs="Times New Roman"/>
                <w:spacing w:val="-9"/>
                <w:position w:val="-1"/>
                <w:sz w:val="12"/>
                <w:szCs w:val="12"/>
              </w:rPr>
              <w:t xml:space="preserve"> </w:t>
            </w:r>
            <w:r>
              <w:rPr>
                <w:spacing w:val="15"/>
                <w:sz w:val="20"/>
                <w:szCs w:val="20"/>
              </w:rPr>
              <w:t>、</w:t>
            </w:r>
            <w:r>
              <w:rPr>
                <w:sz w:val="20"/>
                <w:szCs w:val="20"/>
              </w:rPr>
              <w:t xml:space="preserve"> </w:t>
            </w:r>
            <w:r>
              <w:rPr>
                <w:rFonts w:ascii="Times New Roman" w:hAnsi="Times New Roman" w:eastAsia="Times New Roman" w:cs="Times New Roman"/>
                <w:spacing w:val="-1"/>
                <w:sz w:val="20"/>
                <w:szCs w:val="20"/>
              </w:rPr>
              <w:t>NO</w:t>
            </w:r>
            <w:r>
              <w:rPr>
                <w:rFonts w:ascii="Times New Roman" w:hAnsi="Times New Roman" w:eastAsia="Times New Roman" w:cs="Times New Roman"/>
                <w:spacing w:val="-1"/>
                <w:position w:val="-1"/>
                <w:sz w:val="12"/>
                <w:szCs w:val="12"/>
              </w:rPr>
              <w:t>x</w:t>
            </w:r>
            <w:r>
              <w:rPr>
                <w:rFonts w:ascii="Times New Roman" w:hAnsi="Times New Roman" w:eastAsia="Times New Roman" w:cs="Times New Roman"/>
                <w:spacing w:val="10"/>
                <w:position w:val="-1"/>
                <w:sz w:val="12"/>
                <w:szCs w:val="12"/>
              </w:rPr>
              <w:t xml:space="preserve"> </w:t>
            </w:r>
            <w:r>
              <w:rPr>
                <w:spacing w:val="-1"/>
                <w:sz w:val="20"/>
                <w:szCs w:val="20"/>
              </w:rPr>
              <w:t>执行《四川省</w:t>
            </w:r>
            <w:r>
              <w:rPr>
                <w:sz w:val="20"/>
                <w:szCs w:val="20"/>
              </w:rPr>
              <w:t xml:space="preserve"> </w:t>
            </w:r>
            <w:r>
              <w:rPr>
                <w:spacing w:val="12"/>
                <w:sz w:val="20"/>
                <w:szCs w:val="20"/>
              </w:rPr>
              <w:t>工业炉窑大气污</w:t>
            </w:r>
            <w:r>
              <w:rPr>
                <w:spacing w:val="2"/>
                <w:sz w:val="20"/>
                <w:szCs w:val="20"/>
              </w:rPr>
              <w:t xml:space="preserve">  </w:t>
            </w:r>
            <w:r>
              <w:rPr>
                <w:spacing w:val="12"/>
                <w:sz w:val="20"/>
                <w:szCs w:val="20"/>
              </w:rPr>
              <w:t>染综合治理实施</w:t>
            </w:r>
            <w:r>
              <w:rPr>
                <w:spacing w:val="2"/>
                <w:sz w:val="20"/>
                <w:szCs w:val="20"/>
              </w:rPr>
              <w:t xml:space="preserve">  </w:t>
            </w:r>
            <w:r>
              <w:rPr>
                <w:spacing w:val="-3"/>
                <w:sz w:val="20"/>
                <w:szCs w:val="20"/>
              </w:rPr>
              <w:t>清单》的限值要求</w:t>
            </w:r>
          </w:p>
        </w:tc>
      </w:tr>
      <w:tr w14:paraId="5C3E1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3" w:hRule="atLeast"/>
        </w:trPr>
        <w:tc>
          <w:tcPr>
            <w:tcW w:w="979" w:type="dxa"/>
            <w:vMerge w:val="continue"/>
            <w:tcBorders>
              <w:top w:val="nil"/>
              <w:left w:val="single" w:color="000000" w:sz="6" w:space="0"/>
              <w:bottom w:val="nil"/>
            </w:tcBorders>
            <w:vAlign w:val="top"/>
          </w:tcPr>
          <w:p w14:paraId="10836B97">
            <w:pPr>
              <w:rPr>
                <w:rFonts w:ascii="Arial"/>
                <w:sz w:val="21"/>
              </w:rPr>
            </w:pPr>
          </w:p>
        </w:tc>
        <w:tc>
          <w:tcPr>
            <w:tcW w:w="1338" w:type="dxa"/>
            <w:vAlign w:val="top"/>
          </w:tcPr>
          <w:p w14:paraId="3B1B8CD4">
            <w:pPr>
              <w:spacing w:line="275" w:lineRule="auto"/>
              <w:rPr>
                <w:rFonts w:ascii="Arial"/>
                <w:sz w:val="21"/>
              </w:rPr>
            </w:pPr>
          </w:p>
          <w:p w14:paraId="329E9302">
            <w:pPr>
              <w:spacing w:line="275" w:lineRule="auto"/>
              <w:rPr>
                <w:rFonts w:ascii="Arial"/>
                <w:sz w:val="21"/>
              </w:rPr>
            </w:pPr>
          </w:p>
          <w:p w14:paraId="22390216">
            <w:pPr>
              <w:spacing w:line="275" w:lineRule="auto"/>
              <w:rPr>
                <w:rFonts w:ascii="Arial"/>
                <w:sz w:val="21"/>
              </w:rPr>
            </w:pPr>
          </w:p>
          <w:p w14:paraId="7EA06E5D">
            <w:pPr>
              <w:pStyle w:val="6"/>
              <w:spacing w:before="65" w:line="220" w:lineRule="auto"/>
              <w:ind w:left="269"/>
              <w:rPr>
                <w:sz w:val="20"/>
                <w:szCs w:val="20"/>
              </w:rPr>
            </w:pPr>
            <w:r>
              <w:rPr>
                <w:spacing w:val="-2"/>
                <w:sz w:val="20"/>
                <w:szCs w:val="20"/>
              </w:rPr>
              <w:t>给料粉碎</w:t>
            </w:r>
          </w:p>
        </w:tc>
        <w:tc>
          <w:tcPr>
            <w:tcW w:w="1126" w:type="dxa"/>
            <w:vAlign w:val="top"/>
          </w:tcPr>
          <w:p w14:paraId="7A78920D">
            <w:pPr>
              <w:spacing w:line="275" w:lineRule="auto"/>
              <w:rPr>
                <w:rFonts w:ascii="Arial"/>
                <w:sz w:val="21"/>
              </w:rPr>
            </w:pPr>
          </w:p>
          <w:p w14:paraId="11026621">
            <w:pPr>
              <w:spacing w:line="275" w:lineRule="auto"/>
              <w:rPr>
                <w:rFonts w:ascii="Arial"/>
                <w:sz w:val="21"/>
              </w:rPr>
            </w:pPr>
          </w:p>
          <w:p w14:paraId="50B3D3A9">
            <w:pPr>
              <w:spacing w:line="275" w:lineRule="auto"/>
              <w:rPr>
                <w:rFonts w:ascii="Arial"/>
                <w:sz w:val="21"/>
              </w:rPr>
            </w:pPr>
          </w:p>
          <w:p w14:paraId="5C1E9D1F">
            <w:pPr>
              <w:pStyle w:val="6"/>
              <w:spacing w:before="65" w:line="221" w:lineRule="auto"/>
              <w:ind w:left="265"/>
              <w:rPr>
                <w:sz w:val="20"/>
                <w:szCs w:val="20"/>
              </w:rPr>
            </w:pPr>
            <w:r>
              <w:rPr>
                <w:spacing w:val="-2"/>
                <w:sz w:val="20"/>
                <w:szCs w:val="20"/>
              </w:rPr>
              <w:t>颗粒物</w:t>
            </w:r>
          </w:p>
        </w:tc>
        <w:tc>
          <w:tcPr>
            <w:tcW w:w="3822" w:type="dxa"/>
            <w:vAlign w:val="top"/>
          </w:tcPr>
          <w:p w14:paraId="6FA9597F">
            <w:pPr>
              <w:pStyle w:val="6"/>
              <w:spacing w:before="57" w:line="250" w:lineRule="auto"/>
              <w:ind w:left="40" w:right="28"/>
              <w:jc w:val="both"/>
              <w:rPr>
                <w:sz w:val="20"/>
                <w:szCs w:val="20"/>
              </w:rPr>
            </w:pPr>
            <w:r>
              <w:rPr>
                <w:spacing w:val="-3"/>
                <w:sz w:val="20"/>
                <w:szCs w:val="20"/>
              </w:rPr>
              <w:t>粉尘：将设备布置在封闭式车间内，在给料</w:t>
            </w:r>
            <w:r>
              <w:rPr>
                <w:spacing w:val="3"/>
                <w:sz w:val="20"/>
                <w:szCs w:val="20"/>
              </w:rPr>
              <w:t xml:space="preserve"> </w:t>
            </w:r>
            <w:r>
              <w:rPr>
                <w:spacing w:val="-3"/>
                <w:sz w:val="20"/>
                <w:szCs w:val="20"/>
              </w:rPr>
              <w:t>机筛网上方加盖封闭挡板仅留进料口，出料</w:t>
            </w:r>
            <w:r>
              <w:rPr>
                <w:spacing w:val="3"/>
                <w:sz w:val="20"/>
                <w:szCs w:val="20"/>
              </w:rPr>
              <w:t xml:space="preserve"> </w:t>
            </w:r>
            <w:r>
              <w:rPr>
                <w:spacing w:val="8"/>
                <w:sz w:val="20"/>
                <w:szCs w:val="20"/>
              </w:rPr>
              <w:t>口与粉碎机紧密连接。粉碎机半地下式安</w:t>
            </w:r>
            <w:r>
              <w:rPr>
                <w:sz w:val="20"/>
                <w:szCs w:val="20"/>
              </w:rPr>
              <w:t xml:space="preserve"> </w:t>
            </w:r>
            <w:r>
              <w:rPr>
                <w:spacing w:val="-3"/>
                <w:sz w:val="20"/>
                <w:szCs w:val="20"/>
              </w:rPr>
              <w:t>装，设备出料与输送皮带连接处设包围式集</w:t>
            </w:r>
            <w:r>
              <w:rPr>
                <w:spacing w:val="3"/>
                <w:sz w:val="20"/>
                <w:szCs w:val="20"/>
              </w:rPr>
              <w:t xml:space="preserve"> </w:t>
            </w:r>
            <w:r>
              <w:rPr>
                <w:spacing w:val="-3"/>
                <w:sz w:val="20"/>
                <w:szCs w:val="20"/>
              </w:rPr>
              <w:t>气罩形成微负压状态，收集粉尘至一套“旋</w:t>
            </w:r>
            <w:r>
              <w:rPr>
                <w:spacing w:val="3"/>
                <w:sz w:val="20"/>
                <w:szCs w:val="20"/>
              </w:rPr>
              <w:t xml:space="preserve"> </w:t>
            </w:r>
            <w:r>
              <w:rPr>
                <w:spacing w:val="1"/>
                <w:sz w:val="20"/>
                <w:szCs w:val="20"/>
              </w:rPr>
              <w:t>风除尘</w:t>
            </w:r>
            <w:r>
              <w:rPr>
                <w:rFonts w:ascii="Times New Roman" w:hAnsi="Times New Roman" w:eastAsia="Times New Roman" w:cs="Times New Roman"/>
                <w:spacing w:val="1"/>
                <w:sz w:val="20"/>
                <w:szCs w:val="20"/>
              </w:rPr>
              <w:t>+</w:t>
            </w:r>
            <w:r>
              <w:rPr>
                <w:spacing w:val="1"/>
                <w:sz w:val="20"/>
                <w:szCs w:val="20"/>
              </w:rPr>
              <w:t>布袋除尘”处理后在车间无组织排</w:t>
            </w:r>
            <w:r>
              <w:rPr>
                <w:spacing w:val="11"/>
                <w:sz w:val="20"/>
                <w:szCs w:val="20"/>
              </w:rPr>
              <w:t xml:space="preserve"> </w:t>
            </w:r>
            <w:r>
              <w:rPr>
                <w:spacing w:val="-1"/>
                <w:sz w:val="20"/>
                <w:szCs w:val="20"/>
              </w:rPr>
              <w:t>放，加强车间通风换气</w:t>
            </w:r>
          </w:p>
        </w:tc>
        <w:tc>
          <w:tcPr>
            <w:tcW w:w="1658" w:type="dxa"/>
            <w:vMerge w:val="continue"/>
            <w:tcBorders>
              <w:top w:val="nil"/>
              <w:bottom w:val="nil"/>
              <w:right w:val="single" w:color="000000" w:sz="6" w:space="0"/>
            </w:tcBorders>
            <w:vAlign w:val="top"/>
          </w:tcPr>
          <w:p w14:paraId="03524348">
            <w:pPr>
              <w:rPr>
                <w:rFonts w:ascii="Arial"/>
                <w:sz w:val="21"/>
              </w:rPr>
            </w:pPr>
          </w:p>
        </w:tc>
      </w:tr>
      <w:tr w14:paraId="29509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79" w:type="dxa"/>
            <w:vMerge w:val="continue"/>
            <w:tcBorders>
              <w:top w:val="nil"/>
              <w:left w:val="single" w:color="000000" w:sz="6" w:space="0"/>
              <w:bottom w:val="nil"/>
            </w:tcBorders>
            <w:vAlign w:val="top"/>
          </w:tcPr>
          <w:p w14:paraId="2C663EC5">
            <w:pPr>
              <w:rPr>
                <w:rFonts w:ascii="Arial"/>
                <w:sz w:val="21"/>
              </w:rPr>
            </w:pPr>
          </w:p>
        </w:tc>
        <w:tc>
          <w:tcPr>
            <w:tcW w:w="1338" w:type="dxa"/>
            <w:vAlign w:val="top"/>
          </w:tcPr>
          <w:p w14:paraId="1F2E9994">
            <w:pPr>
              <w:spacing w:line="271" w:lineRule="auto"/>
              <w:rPr>
                <w:rFonts w:ascii="Arial"/>
                <w:sz w:val="21"/>
              </w:rPr>
            </w:pPr>
          </w:p>
          <w:p w14:paraId="2EA6318C">
            <w:pPr>
              <w:pStyle w:val="6"/>
              <w:spacing w:before="65" w:line="219" w:lineRule="auto"/>
              <w:ind w:left="69"/>
              <w:rPr>
                <w:sz w:val="20"/>
                <w:szCs w:val="20"/>
              </w:rPr>
            </w:pPr>
            <w:r>
              <w:rPr>
                <w:spacing w:val="-2"/>
                <w:sz w:val="20"/>
                <w:szCs w:val="20"/>
              </w:rPr>
              <w:t>烘干机、热风</w:t>
            </w:r>
          </w:p>
          <w:p w14:paraId="6DD7C878">
            <w:pPr>
              <w:pStyle w:val="6"/>
              <w:spacing w:before="41" w:line="221" w:lineRule="auto"/>
              <w:ind w:left="570"/>
              <w:rPr>
                <w:sz w:val="20"/>
                <w:szCs w:val="20"/>
              </w:rPr>
            </w:pPr>
            <w:r>
              <w:rPr>
                <w:sz w:val="20"/>
                <w:szCs w:val="20"/>
              </w:rPr>
              <w:t>炉</w:t>
            </w:r>
          </w:p>
        </w:tc>
        <w:tc>
          <w:tcPr>
            <w:tcW w:w="1126" w:type="dxa"/>
            <w:vAlign w:val="top"/>
          </w:tcPr>
          <w:p w14:paraId="4E206C74">
            <w:pPr>
              <w:spacing w:line="272" w:lineRule="auto"/>
              <w:rPr>
                <w:rFonts w:ascii="Arial"/>
                <w:sz w:val="21"/>
              </w:rPr>
            </w:pPr>
          </w:p>
          <w:p w14:paraId="3EC4865B">
            <w:pPr>
              <w:pStyle w:val="6"/>
              <w:spacing w:before="65" w:line="290" w:lineRule="auto"/>
              <w:ind w:left="132" w:right="124" w:firstLine="31"/>
              <w:rPr>
                <w:rFonts w:ascii="Times New Roman" w:hAnsi="Times New Roman" w:eastAsia="Times New Roman" w:cs="Times New Roman"/>
                <w:sz w:val="12"/>
                <w:szCs w:val="12"/>
              </w:rPr>
            </w:pPr>
            <w:r>
              <w:rPr>
                <w:sz w:val="20"/>
                <w:szCs w:val="20"/>
              </w:rPr>
              <w:t xml:space="preserve">颗粒物、 </w:t>
            </w:r>
            <w:r>
              <w:rPr>
                <w:rFonts w:ascii="Times New Roman" w:hAnsi="Times New Roman" w:eastAsia="Times New Roman" w:cs="Times New Roman"/>
                <w:spacing w:val="-3"/>
                <w:sz w:val="20"/>
                <w:szCs w:val="20"/>
              </w:rPr>
              <w:t>SO</w:t>
            </w:r>
            <w:r>
              <w:rPr>
                <w:rFonts w:ascii="Times New Roman" w:hAnsi="Times New Roman" w:eastAsia="Times New Roman" w:cs="Times New Roman"/>
                <w:spacing w:val="-3"/>
                <w:position w:val="-1"/>
                <w:sz w:val="12"/>
                <w:szCs w:val="12"/>
              </w:rPr>
              <w:t>2</w:t>
            </w:r>
            <w:r>
              <w:rPr>
                <w:rFonts w:ascii="Times New Roman" w:hAnsi="Times New Roman" w:eastAsia="Times New Roman" w:cs="Times New Roman"/>
                <w:spacing w:val="-8"/>
                <w:position w:val="-1"/>
                <w:sz w:val="12"/>
                <w:szCs w:val="12"/>
              </w:rPr>
              <w:t xml:space="preserve"> </w:t>
            </w:r>
            <w:r>
              <w:rPr>
                <w:spacing w:val="-4"/>
                <w:sz w:val="20"/>
                <w:szCs w:val="20"/>
              </w:rPr>
              <w:t>、</w:t>
            </w:r>
            <w:r>
              <w:rPr>
                <w:rFonts w:ascii="Times New Roman" w:hAnsi="Times New Roman" w:eastAsia="Times New Roman" w:cs="Times New Roman"/>
                <w:spacing w:val="-4"/>
                <w:sz w:val="20"/>
                <w:szCs w:val="20"/>
              </w:rPr>
              <w:t>NO</w:t>
            </w:r>
            <w:r>
              <w:rPr>
                <w:rFonts w:ascii="Times New Roman" w:hAnsi="Times New Roman" w:eastAsia="Times New Roman" w:cs="Times New Roman"/>
                <w:spacing w:val="-4"/>
                <w:position w:val="-1"/>
                <w:sz w:val="12"/>
                <w:szCs w:val="12"/>
              </w:rPr>
              <w:t>x</w:t>
            </w:r>
          </w:p>
        </w:tc>
        <w:tc>
          <w:tcPr>
            <w:tcW w:w="3822" w:type="dxa"/>
            <w:vAlign w:val="top"/>
          </w:tcPr>
          <w:p w14:paraId="48147B1C">
            <w:pPr>
              <w:pStyle w:val="6"/>
              <w:spacing w:before="56" w:line="244" w:lineRule="auto"/>
              <w:ind w:left="40" w:right="28" w:firstLine="15"/>
              <w:jc w:val="both"/>
              <w:rPr>
                <w:sz w:val="20"/>
                <w:szCs w:val="20"/>
              </w:rPr>
            </w:pPr>
            <w:r>
              <w:rPr>
                <w:spacing w:val="-4"/>
                <w:sz w:val="20"/>
                <w:szCs w:val="20"/>
              </w:rPr>
              <w:t>引至旋风除尘（分离）器分离干粉料后，少</w:t>
            </w:r>
            <w:r>
              <w:rPr>
                <w:spacing w:val="5"/>
                <w:sz w:val="20"/>
                <w:szCs w:val="20"/>
              </w:rPr>
              <w:t xml:space="preserve"> </w:t>
            </w:r>
            <w:r>
              <w:rPr>
                <w:spacing w:val="8"/>
                <w:sz w:val="20"/>
                <w:szCs w:val="20"/>
              </w:rPr>
              <w:t>量未被分离的烘干粉尘和热风炉烟气在进</w:t>
            </w:r>
            <w:r>
              <w:rPr>
                <w:sz w:val="20"/>
                <w:szCs w:val="20"/>
              </w:rPr>
              <w:t xml:space="preserve"> </w:t>
            </w:r>
            <w:r>
              <w:rPr>
                <w:spacing w:val="-5"/>
                <w:sz w:val="20"/>
                <w:szCs w:val="20"/>
              </w:rPr>
              <w:t>入一套喷淋塔水雾除尘，然后再经</w:t>
            </w:r>
            <w:r>
              <w:rPr>
                <w:spacing w:val="-27"/>
                <w:sz w:val="20"/>
                <w:szCs w:val="20"/>
              </w:rPr>
              <w:t xml:space="preserve"> </w:t>
            </w:r>
            <w:r>
              <w:rPr>
                <w:rFonts w:ascii="Times New Roman" w:hAnsi="Times New Roman" w:eastAsia="Times New Roman" w:cs="Times New Roman"/>
                <w:spacing w:val="-5"/>
                <w:sz w:val="20"/>
                <w:szCs w:val="20"/>
              </w:rPr>
              <w:t xml:space="preserve">1 </w:t>
            </w:r>
            <w:r>
              <w:rPr>
                <w:spacing w:val="-5"/>
                <w:sz w:val="20"/>
                <w:szCs w:val="20"/>
              </w:rPr>
              <w:t>根</w:t>
            </w:r>
            <w:r>
              <w:rPr>
                <w:spacing w:val="-27"/>
                <w:sz w:val="20"/>
                <w:szCs w:val="20"/>
              </w:rPr>
              <w:t xml:space="preserve"> </w:t>
            </w:r>
            <w:r>
              <w:rPr>
                <w:rFonts w:ascii="Times New Roman" w:hAnsi="Times New Roman" w:eastAsia="Times New Roman" w:cs="Times New Roman"/>
                <w:spacing w:val="-5"/>
                <w:sz w:val="20"/>
                <w:szCs w:val="20"/>
              </w:rPr>
              <w:t>15m</w:t>
            </w:r>
            <w:r>
              <w:rPr>
                <w:rFonts w:ascii="Times New Roman" w:hAnsi="Times New Roman" w:eastAsia="Times New Roman" w:cs="Times New Roman"/>
                <w:sz w:val="20"/>
                <w:szCs w:val="20"/>
              </w:rPr>
              <w:t xml:space="preserve"> </w:t>
            </w:r>
            <w:r>
              <w:rPr>
                <w:spacing w:val="-1"/>
                <w:sz w:val="20"/>
                <w:szCs w:val="20"/>
              </w:rPr>
              <w:t>高排气筒高空排放</w:t>
            </w:r>
          </w:p>
        </w:tc>
        <w:tc>
          <w:tcPr>
            <w:tcW w:w="1658" w:type="dxa"/>
            <w:vMerge w:val="continue"/>
            <w:tcBorders>
              <w:top w:val="nil"/>
              <w:bottom w:val="nil"/>
              <w:right w:val="single" w:color="000000" w:sz="6" w:space="0"/>
            </w:tcBorders>
            <w:vAlign w:val="top"/>
          </w:tcPr>
          <w:p w14:paraId="302A6236">
            <w:pPr>
              <w:rPr>
                <w:rFonts w:ascii="Arial"/>
                <w:sz w:val="21"/>
              </w:rPr>
            </w:pPr>
          </w:p>
        </w:tc>
      </w:tr>
      <w:tr w14:paraId="405BE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979" w:type="dxa"/>
            <w:vMerge w:val="continue"/>
            <w:tcBorders>
              <w:top w:val="nil"/>
              <w:left w:val="single" w:color="000000" w:sz="6" w:space="0"/>
              <w:bottom w:val="nil"/>
            </w:tcBorders>
            <w:vAlign w:val="top"/>
          </w:tcPr>
          <w:p w14:paraId="1CB1FF50">
            <w:pPr>
              <w:rPr>
                <w:rFonts w:ascii="Arial"/>
                <w:sz w:val="21"/>
              </w:rPr>
            </w:pPr>
          </w:p>
        </w:tc>
        <w:tc>
          <w:tcPr>
            <w:tcW w:w="1338" w:type="dxa"/>
            <w:vAlign w:val="top"/>
          </w:tcPr>
          <w:p w14:paraId="506148C8">
            <w:pPr>
              <w:spacing w:line="411" w:lineRule="auto"/>
              <w:rPr>
                <w:rFonts w:ascii="Arial"/>
                <w:sz w:val="21"/>
              </w:rPr>
            </w:pPr>
          </w:p>
          <w:p w14:paraId="34E8C7EF">
            <w:pPr>
              <w:pStyle w:val="6"/>
              <w:spacing w:before="65" w:line="219" w:lineRule="auto"/>
              <w:ind w:left="368"/>
              <w:rPr>
                <w:sz w:val="20"/>
                <w:szCs w:val="20"/>
              </w:rPr>
            </w:pPr>
            <w:r>
              <w:rPr>
                <w:spacing w:val="-2"/>
                <w:sz w:val="20"/>
                <w:szCs w:val="20"/>
              </w:rPr>
              <w:t>造粒机</w:t>
            </w:r>
          </w:p>
        </w:tc>
        <w:tc>
          <w:tcPr>
            <w:tcW w:w="1126" w:type="dxa"/>
            <w:vAlign w:val="top"/>
          </w:tcPr>
          <w:p w14:paraId="35EF868A">
            <w:pPr>
              <w:spacing w:line="411" w:lineRule="auto"/>
              <w:rPr>
                <w:rFonts w:ascii="Arial"/>
                <w:sz w:val="21"/>
              </w:rPr>
            </w:pPr>
          </w:p>
          <w:p w14:paraId="309471AE">
            <w:pPr>
              <w:pStyle w:val="6"/>
              <w:spacing w:before="65" w:line="221" w:lineRule="auto"/>
              <w:ind w:left="265"/>
              <w:rPr>
                <w:sz w:val="20"/>
                <w:szCs w:val="20"/>
              </w:rPr>
            </w:pPr>
            <w:r>
              <w:rPr>
                <w:spacing w:val="-2"/>
                <w:sz w:val="20"/>
                <w:szCs w:val="20"/>
              </w:rPr>
              <w:t>颗粒物</w:t>
            </w:r>
          </w:p>
        </w:tc>
        <w:tc>
          <w:tcPr>
            <w:tcW w:w="3822" w:type="dxa"/>
            <w:vAlign w:val="top"/>
          </w:tcPr>
          <w:p w14:paraId="67B6218E">
            <w:pPr>
              <w:pStyle w:val="6"/>
              <w:spacing w:before="59" w:line="243" w:lineRule="auto"/>
              <w:ind w:left="40" w:right="28"/>
              <w:jc w:val="both"/>
              <w:rPr>
                <w:sz w:val="20"/>
                <w:szCs w:val="20"/>
              </w:rPr>
            </w:pPr>
            <w:r>
              <w:rPr>
                <w:spacing w:val="-3"/>
                <w:sz w:val="20"/>
                <w:szCs w:val="20"/>
              </w:rPr>
              <w:t>造粒粉尘：采用密闭性生产设备，在出料口</w:t>
            </w:r>
            <w:r>
              <w:rPr>
                <w:spacing w:val="3"/>
                <w:sz w:val="20"/>
                <w:szCs w:val="20"/>
              </w:rPr>
              <w:t xml:space="preserve"> </w:t>
            </w:r>
            <w:r>
              <w:rPr>
                <w:spacing w:val="-3"/>
                <w:sz w:val="20"/>
                <w:szCs w:val="20"/>
              </w:rPr>
              <w:t>设包围式集气罩形成微负压状态，收集粉尘</w:t>
            </w:r>
            <w:r>
              <w:rPr>
                <w:spacing w:val="4"/>
                <w:sz w:val="20"/>
                <w:szCs w:val="20"/>
              </w:rPr>
              <w:t xml:space="preserve"> </w:t>
            </w:r>
            <w:r>
              <w:rPr>
                <w:spacing w:val="-3"/>
                <w:sz w:val="20"/>
                <w:szCs w:val="20"/>
              </w:rPr>
              <w:t>至一套“旋流喷淋塔”除尘处理后，经管道</w:t>
            </w:r>
            <w:r>
              <w:rPr>
                <w:spacing w:val="3"/>
                <w:sz w:val="20"/>
                <w:szCs w:val="20"/>
              </w:rPr>
              <w:t xml:space="preserve"> </w:t>
            </w:r>
            <w:r>
              <w:rPr>
                <w:spacing w:val="-1"/>
                <w:sz w:val="20"/>
                <w:szCs w:val="20"/>
              </w:rPr>
              <w:t>将废气引至烘干机的排气筒一同排放</w:t>
            </w:r>
          </w:p>
        </w:tc>
        <w:tc>
          <w:tcPr>
            <w:tcW w:w="1658" w:type="dxa"/>
            <w:vMerge w:val="continue"/>
            <w:tcBorders>
              <w:top w:val="nil"/>
              <w:bottom w:val="nil"/>
              <w:right w:val="single" w:color="000000" w:sz="6" w:space="0"/>
            </w:tcBorders>
            <w:vAlign w:val="top"/>
          </w:tcPr>
          <w:p w14:paraId="7D510E9C">
            <w:pPr>
              <w:rPr>
                <w:rFonts w:ascii="Arial"/>
                <w:sz w:val="21"/>
              </w:rPr>
            </w:pPr>
          </w:p>
        </w:tc>
      </w:tr>
      <w:tr w14:paraId="2FBA9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79" w:type="dxa"/>
            <w:vMerge w:val="continue"/>
            <w:tcBorders>
              <w:top w:val="nil"/>
              <w:left w:val="single" w:color="000000" w:sz="6" w:space="0"/>
              <w:bottom w:val="nil"/>
            </w:tcBorders>
            <w:vAlign w:val="top"/>
          </w:tcPr>
          <w:p w14:paraId="38DF8E43">
            <w:pPr>
              <w:rPr>
                <w:rFonts w:ascii="Arial"/>
                <w:sz w:val="21"/>
              </w:rPr>
            </w:pPr>
          </w:p>
        </w:tc>
        <w:tc>
          <w:tcPr>
            <w:tcW w:w="1338" w:type="dxa"/>
            <w:vAlign w:val="top"/>
          </w:tcPr>
          <w:p w14:paraId="2E4EBA21">
            <w:pPr>
              <w:spacing w:line="413" w:lineRule="auto"/>
              <w:rPr>
                <w:rFonts w:ascii="Arial"/>
                <w:sz w:val="21"/>
              </w:rPr>
            </w:pPr>
          </w:p>
          <w:p w14:paraId="655CED5D">
            <w:pPr>
              <w:pStyle w:val="6"/>
              <w:spacing w:before="65" w:line="220" w:lineRule="auto"/>
              <w:ind w:left="268"/>
              <w:rPr>
                <w:sz w:val="20"/>
                <w:szCs w:val="20"/>
              </w:rPr>
            </w:pPr>
            <w:r>
              <w:rPr>
                <w:spacing w:val="-2"/>
                <w:sz w:val="20"/>
                <w:szCs w:val="20"/>
              </w:rPr>
              <w:t>物料输送</w:t>
            </w:r>
          </w:p>
        </w:tc>
        <w:tc>
          <w:tcPr>
            <w:tcW w:w="1126" w:type="dxa"/>
            <w:vAlign w:val="top"/>
          </w:tcPr>
          <w:p w14:paraId="26412E01">
            <w:pPr>
              <w:spacing w:line="413" w:lineRule="auto"/>
              <w:rPr>
                <w:rFonts w:ascii="Arial"/>
                <w:sz w:val="21"/>
              </w:rPr>
            </w:pPr>
          </w:p>
          <w:p w14:paraId="750BA2B8">
            <w:pPr>
              <w:pStyle w:val="6"/>
              <w:spacing w:before="65" w:line="221" w:lineRule="auto"/>
              <w:ind w:left="265"/>
              <w:rPr>
                <w:sz w:val="20"/>
                <w:szCs w:val="20"/>
              </w:rPr>
            </w:pPr>
            <w:r>
              <w:rPr>
                <w:spacing w:val="-2"/>
                <w:sz w:val="20"/>
                <w:szCs w:val="20"/>
              </w:rPr>
              <w:t>颗粒物</w:t>
            </w:r>
          </w:p>
        </w:tc>
        <w:tc>
          <w:tcPr>
            <w:tcW w:w="3822" w:type="dxa"/>
            <w:vAlign w:val="top"/>
          </w:tcPr>
          <w:p w14:paraId="19561BF5">
            <w:pPr>
              <w:pStyle w:val="6"/>
              <w:spacing w:before="61" w:line="243" w:lineRule="auto"/>
              <w:ind w:left="42" w:right="28" w:hanging="1"/>
              <w:jc w:val="both"/>
              <w:rPr>
                <w:sz w:val="20"/>
                <w:szCs w:val="20"/>
              </w:rPr>
            </w:pPr>
            <w:r>
              <w:rPr>
                <w:spacing w:val="-3"/>
                <w:sz w:val="20"/>
                <w:szCs w:val="20"/>
              </w:rPr>
              <w:t>物料输送粉尘：生产线所有物料的输送均采</w:t>
            </w:r>
            <w:r>
              <w:rPr>
                <w:spacing w:val="2"/>
                <w:sz w:val="20"/>
                <w:szCs w:val="20"/>
              </w:rPr>
              <w:t xml:space="preserve"> </w:t>
            </w:r>
            <w:r>
              <w:rPr>
                <w:spacing w:val="-3"/>
                <w:sz w:val="20"/>
                <w:szCs w:val="20"/>
              </w:rPr>
              <w:t>用密闭绞龙或者封闭式皮带输送，绞龙与设</w:t>
            </w:r>
            <w:r>
              <w:rPr>
                <w:spacing w:val="1"/>
                <w:sz w:val="20"/>
                <w:szCs w:val="20"/>
              </w:rPr>
              <w:t xml:space="preserve"> </w:t>
            </w:r>
            <w:r>
              <w:rPr>
                <w:spacing w:val="-3"/>
                <w:sz w:val="20"/>
                <w:szCs w:val="20"/>
              </w:rPr>
              <w:t>备出料口封闭式连接；干粉料输送设备落料</w:t>
            </w:r>
            <w:r>
              <w:rPr>
                <w:spacing w:val="1"/>
                <w:sz w:val="20"/>
                <w:szCs w:val="20"/>
              </w:rPr>
              <w:t xml:space="preserve"> </w:t>
            </w:r>
            <w:r>
              <w:rPr>
                <w:spacing w:val="-1"/>
                <w:sz w:val="20"/>
                <w:szCs w:val="20"/>
              </w:rPr>
              <w:t>口设置帆布类围挡，降低落料高度</w:t>
            </w:r>
          </w:p>
        </w:tc>
        <w:tc>
          <w:tcPr>
            <w:tcW w:w="1658" w:type="dxa"/>
            <w:vMerge w:val="continue"/>
            <w:tcBorders>
              <w:top w:val="nil"/>
              <w:bottom w:val="nil"/>
              <w:right w:val="single" w:color="000000" w:sz="6" w:space="0"/>
            </w:tcBorders>
            <w:vAlign w:val="top"/>
          </w:tcPr>
          <w:p w14:paraId="62A250B3">
            <w:pPr>
              <w:rPr>
                <w:rFonts w:ascii="Arial"/>
                <w:sz w:val="21"/>
              </w:rPr>
            </w:pPr>
          </w:p>
        </w:tc>
      </w:tr>
      <w:tr w14:paraId="48981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979" w:type="dxa"/>
            <w:vMerge w:val="continue"/>
            <w:tcBorders>
              <w:top w:val="nil"/>
              <w:left w:val="single" w:color="000000" w:sz="6" w:space="0"/>
              <w:bottom w:val="nil"/>
            </w:tcBorders>
            <w:vAlign w:val="top"/>
          </w:tcPr>
          <w:p w14:paraId="5B4E04F9">
            <w:pPr>
              <w:rPr>
                <w:rFonts w:ascii="Arial"/>
                <w:sz w:val="21"/>
              </w:rPr>
            </w:pPr>
          </w:p>
        </w:tc>
        <w:tc>
          <w:tcPr>
            <w:tcW w:w="1338" w:type="dxa"/>
            <w:vAlign w:val="top"/>
          </w:tcPr>
          <w:p w14:paraId="1E2397E7">
            <w:pPr>
              <w:spacing w:line="276" w:lineRule="auto"/>
              <w:rPr>
                <w:rFonts w:ascii="Arial"/>
                <w:sz w:val="21"/>
              </w:rPr>
            </w:pPr>
          </w:p>
          <w:p w14:paraId="24983ADF">
            <w:pPr>
              <w:spacing w:line="277" w:lineRule="auto"/>
              <w:rPr>
                <w:rFonts w:ascii="Arial"/>
                <w:sz w:val="21"/>
              </w:rPr>
            </w:pPr>
          </w:p>
          <w:p w14:paraId="309F1005">
            <w:pPr>
              <w:pStyle w:val="6"/>
              <w:spacing w:before="65" w:line="221" w:lineRule="auto"/>
              <w:ind w:left="187"/>
              <w:rPr>
                <w:sz w:val="20"/>
                <w:szCs w:val="20"/>
              </w:rPr>
            </w:pPr>
            <w:r>
              <w:rPr>
                <w:spacing w:val="-6"/>
                <w:sz w:val="20"/>
                <w:szCs w:val="20"/>
              </w:rPr>
              <w:t>中间料堆放</w:t>
            </w:r>
          </w:p>
        </w:tc>
        <w:tc>
          <w:tcPr>
            <w:tcW w:w="1126" w:type="dxa"/>
            <w:vAlign w:val="top"/>
          </w:tcPr>
          <w:p w14:paraId="4FC2FFDD">
            <w:pPr>
              <w:spacing w:line="276" w:lineRule="auto"/>
              <w:rPr>
                <w:rFonts w:ascii="Arial"/>
                <w:sz w:val="21"/>
              </w:rPr>
            </w:pPr>
          </w:p>
          <w:p w14:paraId="670B2A2C">
            <w:pPr>
              <w:spacing w:line="277" w:lineRule="auto"/>
              <w:rPr>
                <w:rFonts w:ascii="Arial"/>
                <w:sz w:val="21"/>
              </w:rPr>
            </w:pPr>
          </w:p>
          <w:p w14:paraId="591B50B2">
            <w:pPr>
              <w:pStyle w:val="6"/>
              <w:spacing w:before="65" w:line="221" w:lineRule="auto"/>
              <w:ind w:left="265"/>
              <w:rPr>
                <w:sz w:val="20"/>
                <w:szCs w:val="20"/>
              </w:rPr>
            </w:pPr>
            <w:r>
              <w:rPr>
                <w:spacing w:val="-2"/>
                <w:sz w:val="20"/>
                <w:szCs w:val="20"/>
              </w:rPr>
              <w:t>颗粒物</w:t>
            </w:r>
          </w:p>
        </w:tc>
        <w:tc>
          <w:tcPr>
            <w:tcW w:w="3822" w:type="dxa"/>
            <w:vAlign w:val="top"/>
          </w:tcPr>
          <w:p w14:paraId="09FD0B76">
            <w:pPr>
              <w:pStyle w:val="6"/>
              <w:spacing w:before="60" w:line="246" w:lineRule="auto"/>
              <w:ind w:left="40" w:right="27" w:firstLine="19"/>
              <w:jc w:val="both"/>
              <w:rPr>
                <w:sz w:val="20"/>
                <w:szCs w:val="20"/>
              </w:rPr>
            </w:pPr>
            <w:r>
              <w:rPr>
                <w:spacing w:val="-4"/>
                <w:sz w:val="20"/>
                <w:szCs w:val="20"/>
              </w:rPr>
              <w:t>中间料堆放粉尘：包括湿粉料堆放间、干粉</w:t>
            </w:r>
            <w:r>
              <w:rPr>
                <w:spacing w:val="3"/>
                <w:sz w:val="20"/>
                <w:szCs w:val="20"/>
              </w:rPr>
              <w:t xml:space="preserve"> </w:t>
            </w:r>
            <w:r>
              <w:rPr>
                <w:spacing w:val="-3"/>
                <w:sz w:val="20"/>
                <w:szCs w:val="20"/>
              </w:rPr>
              <w:t>料堆放间；在车间内设置封闭式中间料堆放</w:t>
            </w:r>
            <w:r>
              <w:rPr>
                <w:spacing w:val="3"/>
                <w:sz w:val="20"/>
                <w:szCs w:val="20"/>
              </w:rPr>
              <w:t xml:space="preserve"> </w:t>
            </w:r>
            <w:r>
              <w:rPr>
                <w:spacing w:val="-3"/>
                <w:sz w:val="20"/>
                <w:szCs w:val="20"/>
              </w:rPr>
              <w:t>间，避免风力扰动起尘，从传播途径上抑制</w:t>
            </w:r>
            <w:r>
              <w:rPr>
                <w:spacing w:val="3"/>
                <w:sz w:val="20"/>
                <w:szCs w:val="20"/>
              </w:rPr>
              <w:t xml:space="preserve"> </w:t>
            </w:r>
            <w:r>
              <w:rPr>
                <w:spacing w:val="-3"/>
                <w:sz w:val="20"/>
                <w:szCs w:val="20"/>
              </w:rPr>
              <w:t>粉尘逸散，湿粉料本身具有较高的含水率，</w:t>
            </w:r>
            <w:r>
              <w:rPr>
                <w:spacing w:val="4"/>
                <w:sz w:val="20"/>
                <w:szCs w:val="20"/>
              </w:rPr>
              <w:t xml:space="preserve"> </w:t>
            </w:r>
            <w:r>
              <w:rPr>
                <w:spacing w:val="-2"/>
                <w:sz w:val="20"/>
                <w:szCs w:val="20"/>
              </w:rPr>
              <w:t>几乎不起尘</w:t>
            </w:r>
          </w:p>
        </w:tc>
        <w:tc>
          <w:tcPr>
            <w:tcW w:w="1658" w:type="dxa"/>
            <w:vMerge w:val="continue"/>
            <w:tcBorders>
              <w:top w:val="nil"/>
              <w:bottom w:val="nil"/>
              <w:right w:val="single" w:color="000000" w:sz="6" w:space="0"/>
            </w:tcBorders>
            <w:vAlign w:val="top"/>
          </w:tcPr>
          <w:p w14:paraId="0DC755B1">
            <w:pPr>
              <w:rPr>
                <w:rFonts w:ascii="Arial"/>
                <w:sz w:val="21"/>
              </w:rPr>
            </w:pPr>
          </w:p>
        </w:tc>
      </w:tr>
      <w:tr w14:paraId="68FAB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979" w:type="dxa"/>
            <w:vMerge w:val="continue"/>
            <w:tcBorders>
              <w:top w:val="nil"/>
              <w:left w:val="single" w:color="000000" w:sz="6" w:space="0"/>
            </w:tcBorders>
            <w:vAlign w:val="top"/>
          </w:tcPr>
          <w:p w14:paraId="4ACE994A">
            <w:pPr>
              <w:rPr>
                <w:rFonts w:ascii="Arial"/>
                <w:sz w:val="21"/>
              </w:rPr>
            </w:pPr>
          </w:p>
        </w:tc>
        <w:tc>
          <w:tcPr>
            <w:tcW w:w="1338" w:type="dxa"/>
            <w:vAlign w:val="top"/>
          </w:tcPr>
          <w:p w14:paraId="387FCBE3">
            <w:pPr>
              <w:spacing w:line="277" w:lineRule="auto"/>
              <w:rPr>
                <w:rFonts w:ascii="Arial"/>
                <w:sz w:val="21"/>
              </w:rPr>
            </w:pPr>
          </w:p>
          <w:p w14:paraId="1DD077EB">
            <w:pPr>
              <w:pStyle w:val="6"/>
              <w:spacing w:before="65" w:line="221" w:lineRule="auto"/>
              <w:ind w:left="270"/>
              <w:rPr>
                <w:sz w:val="20"/>
                <w:szCs w:val="20"/>
              </w:rPr>
            </w:pPr>
            <w:r>
              <w:rPr>
                <w:spacing w:val="-2"/>
                <w:sz w:val="20"/>
                <w:szCs w:val="20"/>
              </w:rPr>
              <w:t>成品包装</w:t>
            </w:r>
          </w:p>
        </w:tc>
        <w:tc>
          <w:tcPr>
            <w:tcW w:w="1126" w:type="dxa"/>
            <w:vAlign w:val="top"/>
          </w:tcPr>
          <w:p w14:paraId="7D3F38C2">
            <w:pPr>
              <w:spacing w:line="277" w:lineRule="auto"/>
              <w:rPr>
                <w:rFonts w:ascii="Arial"/>
                <w:sz w:val="21"/>
              </w:rPr>
            </w:pPr>
          </w:p>
          <w:p w14:paraId="698F8C96">
            <w:pPr>
              <w:pStyle w:val="6"/>
              <w:spacing w:before="65" w:line="221" w:lineRule="auto"/>
              <w:ind w:left="265"/>
              <w:rPr>
                <w:sz w:val="20"/>
                <w:szCs w:val="20"/>
              </w:rPr>
            </w:pPr>
            <w:r>
              <w:rPr>
                <w:spacing w:val="-2"/>
                <w:sz w:val="20"/>
                <w:szCs w:val="20"/>
              </w:rPr>
              <w:t>颗粒物</w:t>
            </w:r>
          </w:p>
        </w:tc>
        <w:tc>
          <w:tcPr>
            <w:tcW w:w="3822" w:type="dxa"/>
            <w:vAlign w:val="top"/>
          </w:tcPr>
          <w:p w14:paraId="684A517C">
            <w:pPr>
              <w:pStyle w:val="6"/>
              <w:spacing w:before="62" w:line="237" w:lineRule="auto"/>
              <w:ind w:left="45" w:right="28" w:hanging="4"/>
              <w:jc w:val="both"/>
              <w:rPr>
                <w:sz w:val="20"/>
                <w:szCs w:val="20"/>
              </w:rPr>
            </w:pPr>
            <w:r>
              <w:rPr>
                <w:spacing w:val="-3"/>
                <w:sz w:val="20"/>
                <w:szCs w:val="20"/>
              </w:rPr>
              <w:t>包装环节粉尘：造粒机出料口设有粉尘收集</w:t>
            </w:r>
            <w:r>
              <w:rPr>
                <w:spacing w:val="2"/>
                <w:sz w:val="20"/>
                <w:szCs w:val="20"/>
              </w:rPr>
              <w:t xml:space="preserve"> </w:t>
            </w:r>
            <w:r>
              <w:rPr>
                <w:spacing w:val="-4"/>
                <w:sz w:val="20"/>
                <w:szCs w:val="20"/>
              </w:rPr>
              <w:t>系统，因此成品料含尘极少；包装环节在封</w:t>
            </w:r>
            <w:r>
              <w:rPr>
                <w:spacing w:val="17"/>
                <w:sz w:val="20"/>
                <w:szCs w:val="20"/>
              </w:rPr>
              <w:t xml:space="preserve"> </w:t>
            </w:r>
            <w:r>
              <w:rPr>
                <w:spacing w:val="-1"/>
                <w:sz w:val="20"/>
                <w:szCs w:val="20"/>
              </w:rPr>
              <w:t>闭式车间内，加强车间通风换气</w:t>
            </w:r>
          </w:p>
        </w:tc>
        <w:tc>
          <w:tcPr>
            <w:tcW w:w="1658" w:type="dxa"/>
            <w:vMerge w:val="continue"/>
            <w:tcBorders>
              <w:top w:val="nil"/>
              <w:right w:val="single" w:color="000000" w:sz="6" w:space="0"/>
            </w:tcBorders>
            <w:vAlign w:val="top"/>
          </w:tcPr>
          <w:p w14:paraId="3258641C">
            <w:pPr>
              <w:rPr>
                <w:rFonts w:ascii="Arial"/>
                <w:sz w:val="21"/>
              </w:rPr>
            </w:pPr>
          </w:p>
        </w:tc>
      </w:tr>
      <w:tr w14:paraId="594EA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79" w:type="dxa"/>
            <w:vMerge w:val="restart"/>
            <w:tcBorders>
              <w:left w:val="single" w:color="000000" w:sz="6" w:space="0"/>
              <w:bottom w:val="nil"/>
            </w:tcBorders>
            <w:vAlign w:val="top"/>
          </w:tcPr>
          <w:p w14:paraId="2706CCAF">
            <w:pPr>
              <w:spacing w:line="329" w:lineRule="auto"/>
              <w:rPr>
                <w:rFonts w:ascii="Arial"/>
                <w:sz w:val="21"/>
              </w:rPr>
            </w:pPr>
          </w:p>
          <w:p w14:paraId="2C96B488">
            <w:pPr>
              <w:spacing w:line="329" w:lineRule="auto"/>
              <w:rPr>
                <w:rFonts w:ascii="Arial"/>
                <w:sz w:val="21"/>
              </w:rPr>
            </w:pPr>
          </w:p>
          <w:p w14:paraId="6C7978ED">
            <w:pPr>
              <w:pStyle w:val="6"/>
              <w:spacing w:before="65" w:line="262" w:lineRule="auto"/>
              <w:ind w:left="286" w:right="187" w:hanging="99"/>
              <w:rPr>
                <w:sz w:val="20"/>
                <w:szCs w:val="20"/>
              </w:rPr>
            </w:pPr>
            <w:r>
              <w:rPr>
                <w:spacing w:val="-3"/>
                <w:sz w:val="20"/>
                <w:szCs w:val="20"/>
              </w:rPr>
              <w:t>地表水</w:t>
            </w:r>
            <w:r>
              <w:rPr>
                <w:spacing w:val="1"/>
                <w:sz w:val="20"/>
                <w:szCs w:val="20"/>
              </w:rPr>
              <w:t xml:space="preserve"> </w:t>
            </w:r>
            <w:r>
              <w:rPr>
                <w:spacing w:val="-2"/>
                <w:sz w:val="20"/>
                <w:szCs w:val="20"/>
              </w:rPr>
              <w:t>环境</w:t>
            </w:r>
          </w:p>
        </w:tc>
        <w:tc>
          <w:tcPr>
            <w:tcW w:w="1338" w:type="dxa"/>
            <w:vAlign w:val="top"/>
          </w:tcPr>
          <w:p w14:paraId="0A69BDDB">
            <w:pPr>
              <w:spacing w:line="278" w:lineRule="auto"/>
              <w:rPr>
                <w:rFonts w:ascii="Arial"/>
                <w:sz w:val="21"/>
              </w:rPr>
            </w:pPr>
          </w:p>
          <w:p w14:paraId="531E5D98">
            <w:pPr>
              <w:pStyle w:val="6"/>
              <w:spacing w:before="65" w:line="221" w:lineRule="auto"/>
              <w:ind w:left="368"/>
              <w:rPr>
                <w:sz w:val="20"/>
                <w:szCs w:val="20"/>
              </w:rPr>
            </w:pPr>
            <w:r>
              <w:rPr>
                <w:spacing w:val="-2"/>
                <w:sz w:val="20"/>
                <w:szCs w:val="20"/>
              </w:rPr>
              <w:t>施工期</w:t>
            </w:r>
          </w:p>
        </w:tc>
        <w:tc>
          <w:tcPr>
            <w:tcW w:w="1126" w:type="dxa"/>
            <w:vAlign w:val="top"/>
          </w:tcPr>
          <w:p w14:paraId="3D9063FA">
            <w:pPr>
              <w:pStyle w:val="6"/>
              <w:spacing w:before="102" w:line="213" w:lineRule="auto"/>
              <w:ind w:left="203"/>
              <w:rPr>
                <w:sz w:val="20"/>
                <w:szCs w:val="20"/>
              </w:rPr>
            </w:pPr>
            <w:r>
              <w:rPr>
                <w:rFonts w:ascii="Times New Roman" w:hAnsi="Times New Roman" w:eastAsia="Times New Roman" w:cs="Times New Roman"/>
                <w:sz w:val="20"/>
                <w:szCs w:val="20"/>
              </w:rPr>
              <w:t>COD</w:t>
            </w:r>
            <w:r>
              <w:rPr>
                <w:rFonts w:ascii="Times New Roman" w:hAnsi="Times New Roman" w:eastAsia="Times New Roman" w:cs="Times New Roman"/>
                <w:position w:val="-1"/>
                <w:sz w:val="12"/>
                <w:szCs w:val="12"/>
              </w:rPr>
              <w:t>cr</w:t>
            </w:r>
            <w:r>
              <w:rPr>
                <w:spacing w:val="2"/>
                <w:sz w:val="20"/>
                <w:szCs w:val="20"/>
              </w:rPr>
              <w:t>、</w:t>
            </w:r>
          </w:p>
          <w:p w14:paraId="0E23F2D7">
            <w:pPr>
              <w:pStyle w:val="6"/>
              <w:spacing w:before="49" w:line="213" w:lineRule="auto"/>
              <w:ind w:left="217"/>
              <w:rPr>
                <w:sz w:val="20"/>
                <w:szCs w:val="20"/>
              </w:rPr>
            </w:pPr>
            <w:r>
              <w:rPr>
                <w:rFonts w:ascii="Times New Roman" w:hAnsi="Times New Roman" w:eastAsia="Times New Roman" w:cs="Times New Roman"/>
                <w:sz w:val="20"/>
                <w:szCs w:val="20"/>
              </w:rPr>
              <w:t>BOD</w:t>
            </w:r>
            <w:r>
              <w:rPr>
                <w:rFonts w:ascii="Times New Roman" w:hAnsi="Times New Roman" w:eastAsia="Times New Roman" w:cs="Times New Roman"/>
                <w:spacing w:val="1"/>
                <w:position w:val="-1"/>
                <w:sz w:val="12"/>
                <w:szCs w:val="12"/>
              </w:rPr>
              <w:t>5</w:t>
            </w:r>
            <w:r>
              <w:rPr>
                <w:spacing w:val="1"/>
                <w:sz w:val="20"/>
                <w:szCs w:val="20"/>
              </w:rPr>
              <w:t>、</w:t>
            </w:r>
          </w:p>
          <w:p w14:paraId="73BBF1F8">
            <w:pPr>
              <w:pStyle w:val="6"/>
              <w:spacing w:before="48" w:line="160" w:lineRule="auto"/>
              <w:ind w:left="2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NH</w:t>
            </w:r>
            <w:r>
              <w:rPr>
                <w:rFonts w:ascii="Times New Roman" w:hAnsi="Times New Roman" w:eastAsia="Times New Roman" w:cs="Times New Roman"/>
                <w:spacing w:val="-2"/>
                <w:position w:val="-1"/>
                <w:sz w:val="12"/>
                <w:szCs w:val="12"/>
              </w:rPr>
              <w:t>3</w:t>
            </w:r>
            <w:r>
              <w:rPr>
                <w:rFonts w:ascii="Times New Roman" w:hAnsi="Times New Roman" w:eastAsia="Times New Roman" w:cs="Times New Roman"/>
                <w:spacing w:val="-2"/>
                <w:sz w:val="20"/>
                <w:szCs w:val="20"/>
              </w:rPr>
              <w:t xml:space="preserve">-N  </w:t>
            </w:r>
            <w:r>
              <w:rPr>
                <w:spacing w:val="-2"/>
                <w:sz w:val="20"/>
                <w:szCs w:val="20"/>
              </w:rPr>
              <w:t>、</w:t>
            </w:r>
            <w:r>
              <w:rPr>
                <w:rFonts w:ascii="Times New Roman" w:hAnsi="Times New Roman" w:eastAsia="Times New Roman" w:cs="Times New Roman"/>
                <w:spacing w:val="-2"/>
                <w:sz w:val="20"/>
                <w:szCs w:val="20"/>
              </w:rPr>
              <w:t>SS</w:t>
            </w:r>
          </w:p>
        </w:tc>
        <w:tc>
          <w:tcPr>
            <w:tcW w:w="3822" w:type="dxa"/>
            <w:vAlign w:val="top"/>
          </w:tcPr>
          <w:p w14:paraId="116E8974">
            <w:pPr>
              <w:pStyle w:val="6"/>
              <w:spacing w:before="65" w:line="229" w:lineRule="auto"/>
              <w:ind w:left="41" w:right="29" w:firstLine="1"/>
              <w:jc w:val="both"/>
            </w:pPr>
            <w:r>
              <w:rPr>
                <w:spacing w:val="-1"/>
                <w:sz w:val="20"/>
                <w:szCs w:val="20"/>
              </w:rPr>
              <w:t>依托亚飞玻璃公司已建化粪池（</w:t>
            </w:r>
            <w:r>
              <w:rPr>
                <w:rFonts w:ascii="Times New Roman" w:hAnsi="Times New Roman" w:eastAsia="Times New Roman" w:cs="Times New Roman"/>
                <w:spacing w:val="-1"/>
                <w:sz w:val="20"/>
                <w:szCs w:val="20"/>
              </w:rPr>
              <w:t>100m</w:t>
            </w:r>
            <w:r>
              <w:rPr>
                <w:rFonts w:ascii="Times New Roman" w:hAnsi="Times New Roman" w:eastAsia="Times New Roman" w:cs="Times New Roman"/>
                <w:spacing w:val="-1"/>
                <w:position w:val="6"/>
                <w:sz w:val="12"/>
                <w:szCs w:val="12"/>
              </w:rPr>
              <w:t>3</w:t>
            </w:r>
            <w:r>
              <w:rPr>
                <w:spacing w:val="-1"/>
                <w:sz w:val="20"/>
                <w:szCs w:val="20"/>
              </w:rPr>
              <w:t>）收</w:t>
            </w:r>
            <w:r>
              <w:rPr>
                <w:spacing w:val="8"/>
                <w:sz w:val="20"/>
                <w:szCs w:val="20"/>
              </w:rPr>
              <w:t xml:space="preserve"> </w:t>
            </w:r>
            <w:r>
              <w:rPr>
                <w:spacing w:val="-6"/>
                <w:sz w:val="20"/>
                <w:szCs w:val="20"/>
              </w:rPr>
              <w:t>集处理后，经市政污水管网进入</w:t>
            </w:r>
            <w:r>
              <w:rPr>
                <w:spacing w:val="-6"/>
              </w:rPr>
              <w:t>东岳场镇污</w:t>
            </w:r>
            <w:r>
              <w:rPr>
                <w:spacing w:val="8"/>
              </w:rPr>
              <w:t xml:space="preserve"> </w:t>
            </w:r>
            <w:r>
              <w:rPr>
                <w:spacing w:val="-2"/>
              </w:rPr>
              <w:t>水处理厂处理</w:t>
            </w:r>
          </w:p>
        </w:tc>
        <w:tc>
          <w:tcPr>
            <w:tcW w:w="1658" w:type="dxa"/>
            <w:vMerge w:val="restart"/>
            <w:tcBorders>
              <w:bottom w:val="nil"/>
              <w:right w:val="single" w:color="000000" w:sz="6" w:space="0"/>
            </w:tcBorders>
            <w:vAlign w:val="top"/>
          </w:tcPr>
          <w:p w14:paraId="527CB986">
            <w:pPr>
              <w:spacing w:line="381" w:lineRule="auto"/>
              <w:rPr>
                <w:rFonts w:ascii="Arial"/>
                <w:sz w:val="21"/>
              </w:rPr>
            </w:pPr>
          </w:p>
          <w:p w14:paraId="1C434C89">
            <w:pPr>
              <w:pStyle w:val="6"/>
              <w:spacing w:before="65" w:line="255" w:lineRule="auto"/>
              <w:ind w:left="536" w:right="127" w:hanging="400"/>
              <w:rPr>
                <w:sz w:val="20"/>
                <w:szCs w:val="20"/>
              </w:rPr>
            </w:pPr>
            <w:r>
              <w:rPr>
                <w:spacing w:val="-3"/>
                <w:sz w:val="20"/>
                <w:szCs w:val="20"/>
              </w:rPr>
              <w:t>《污水综合排放</w:t>
            </w:r>
            <w:r>
              <w:rPr>
                <w:spacing w:val="3"/>
                <w:sz w:val="20"/>
                <w:szCs w:val="20"/>
              </w:rPr>
              <w:t xml:space="preserve"> </w:t>
            </w:r>
            <w:r>
              <w:rPr>
                <w:spacing w:val="-4"/>
                <w:sz w:val="20"/>
                <w:szCs w:val="20"/>
              </w:rPr>
              <w:t>标准》</w:t>
            </w:r>
          </w:p>
          <w:p w14:paraId="18FA74EB">
            <w:pPr>
              <w:pStyle w:val="6"/>
              <w:spacing w:before="7" w:line="213" w:lineRule="auto"/>
              <w:ind w:left="97"/>
              <w:rPr>
                <w:sz w:val="20"/>
                <w:szCs w:val="20"/>
              </w:rPr>
            </w:pPr>
            <w:r>
              <w:fldChar w:fldCharType="begin"/>
            </w:r>
            <w:r>
              <w:instrText xml:space="preserve"> HYPERLINK "http://www.baidu.com/link?url=7tsbnW_2QlYqlRm1s5LoQiXq21nuMYpxXCiEB9RpeGN0OBq1RcmmmkuwEjH4i89-K2NK94lMRWHjREIJXet-EK" </w:instrText>
            </w:r>
            <w:r>
              <w:fldChar w:fldCharType="separate"/>
            </w:r>
            <w:r>
              <w:rPr>
                <w:rFonts w:ascii="Times New Roman" w:hAnsi="Times New Roman" w:eastAsia="Times New Roman" w:cs="Times New Roman"/>
                <w:spacing w:val="-1"/>
                <w:sz w:val="20"/>
                <w:szCs w:val="20"/>
              </w:rPr>
              <w:t>(GB8978-1996</w:t>
            </w:r>
            <w:r>
              <w:rPr>
                <w:rFonts w:hint="eastAsia" w:ascii="Times New Roman" w:hAnsi="Times New Roman" w:eastAsia="宋体" w:cs="Times New Roman"/>
                <w:spacing w:val="-1"/>
                <w:sz w:val="20"/>
                <w:szCs w:val="20"/>
                <w:lang w:eastAsia="zh-CN"/>
              </w:rPr>
              <w:t>）</w:t>
            </w:r>
            <w:r>
              <w:rPr>
                <w:rFonts w:ascii="Times New Roman" w:hAnsi="Times New Roman" w:eastAsia="Times New Roman" w:cs="Times New Roman"/>
                <w:spacing w:val="-1"/>
                <w:sz w:val="20"/>
                <w:szCs w:val="20"/>
              </w:rPr>
              <w:fldChar w:fldCharType="end"/>
            </w:r>
            <w:r>
              <w:rPr>
                <w:spacing w:val="-1"/>
                <w:sz w:val="20"/>
                <w:szCs w:val="20"/>
              </w:rPr>
              <w:t>表</w:t>
            </w:r>
          </w:p>
          <w:p w14:paraId="764D1DAA">
            <w:pPr>
              <w:pStyle w:val="6"/>
              <w:spacing w:before="49" w:line="234" w:lineRule="auto"/>
              <w:ind w:left="257"/>
              <w:rPr>
                <w:sz w:val="20"/>
                <w:szCs w:val="20"/>
              </w:rPr>
            </w:pPr>
            <w:r>
              <w:rPr>
                <w:rFonts w:ascii="Times New Roman" w:hAnsi="Times New Roman" w:eastAsia="Times New Roman" w:cs="Times New Roman"/>
                <w:spacing w:val="-5"/>
                <w:sz w:val="20"/>
                <w:szCs w:val="20"/>
              </w:rPr>
              <w:t>4</w:t>
            </w:r>
            <w:r>
              <w:rPr>
                <w:rFonts w:ascii="Times New Roman" w:hAnsi="Times New Roman" w:eastAsia="Times New Roman" w:cs="Times New Roman"/>
                <w:spacing w:val="27"/>
                <w:w w:val="101"/>
                <w:sz w:val="20"/>
                <w:szCs w:val="20"/>
              </w:rPr>
              <w:t xml:space="preserve"> </w:t>
            </w:r>
            <w:r>
              <w:rPr>
                <w:spacing w:val="-5"/>
                <w:sz w:val="20"/>
                <w:szCs w:val="20"/>
              </w:rPr>
              <w:t>中三级标准</w:t>
            </w:r>
          </w:p>
        </w:tc>
      </w:tr>
      <w:tr w14:paraId="37915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979" w:type="dxa"/>
            <w:vMerge w:val="continue"/>
            <w:tcBorders>
              <w:top w:val="nil"/>
              <w:left w:val="single" w:color="000000" w:sz="6" w:space="0"/>
              <w:bottom w:val="single" w:color="000000" w:sz="6" w:space="0"/>
            </w:tcBorders>
            <w:vAlign w:val="top"/>
          </w:tcPr>
          <w:p w14:paraId="1AD03760">
            <w:pPr>
              <w:rPr>
                <w:rFonts w:ascii="Arial"/>
                <w:sz w:val="21"/>
              </w:rPr>
            </w:pPr>
          </w:p>
        </w:tc>
        <w:tc>
          <w:tcPr>
            <w:tcW w:w="1338" w:type="dxa"/>
            <w:vAlign w:val="top"/>
          </w:tcPr>
          <w:p w14:paraId="04ED0477">
            <w:pPr>
              <w:spacing w:line="375" w:lineRule="auto"/>
              <w:rPr>
                <w:rFonts w:ascii="Arial"/>
                <w:sz w:val="21"/>
              </w:rPr>
            </w:pPr>
          </w:p>
          <w:p w14:paraId="6864DD5F">
            <w:pPr>
              <w:pStyle w:val="6"/>
              <w:spacing w:before="65" w:line="220" w:lineRule="auto"/>
              <w:ind w:left="172"/>
              <w:rPr>
                <w:sz w:val="20"/>
                <w:szCs w:val="20"/>
              </w:rPr>
            </w:pPr>
            <w:r>
              <w:rPr>
                <w:spacing w:val="-3"/>
                <w:sz w:val="20"/>
                <w:szCs w:val="20"/>
              </w:rPr>
              <w:t>办公生活区</w:t>
            </w:r>
          </w:p>
        </w:tc>
        <w:tc>
          <w:tcPr>
            <w:tcW w:w="1126" w:type="dxa"/>
            <w:vAlign w:val="top"/>
          </w:tcPr>
          <w:p w14:paraId="5D645CAB">
            <w:pPr>
              <w:pStyle w:val="6"/>
              <w:spacing w:before="199" w:line="213" w:lineRule="auto"/>
              <w:ind w:left="203"/>
              <w:rPr>
                <w:sz w:val="20"/>
                <w:szCs w:val="20"/>
              </w:rPr>
            </w:pPr>
            <w:r>
              <w:rPr>
                <w:rFonts w:ascii="Times New Roman" w:hAnsi="Times New Roman" w:eastAsia="Times New Roman" w:cs="Times New Roman"/>
                <w:sz w:val="20"/>
                <w:szCs w:val="20"/>
              </w:rPr>
              <w:t>COD</w:t>
            </w:r>
            <w:r>
              <w:rPr>
                <w:rFonts w:ascii="Times New Roman" w:hAnsi="Times New Roman" w:eastAsia="Times New Roman" w:cs="Times New Roman"/>
                <w:position w:val="-1"/>
                <w:sz w:val="12"/>
                <w:szCs w:val="12"/>
              </w:rPr>
              <w:t>cr</w:t>
            </w:r>
            <w:r>
              <w:rPr>
                <w:spacing w:val="2"/>
                <w:sz w:val="20"/>
                <w:szCs w:val="20"/>
              </w:rPr>
              <w:t>、</w:t>
            </w:r>
          </w:p>
          <w:p w14:paraId="249BB31A">
            <w:pPr>
              <w:pStyle w:val="6"/>
              <w:spacing w:before="49" w:line="213" w:lineRule="auto"/>
              <w:ind w:left="217"/>
              <w:rPr>
                <w:sz w:val="20"/>
                <w:szCs w:val="20"/>
              </w:rPr>
            </w:pPr>
            <w:r>
              <w:rPr>
                <w:rFonts w:ascii="Times New Roman" w:hAnsi="Times New Roman" w:eastAsia="Times New Roman" w:cs="Times New Roman"/>
                <w:sz w:val="20"/>
                <w:szCs w:val="20"/>
              </w:rPr>
              <w:t>BOD</w:t>
            </w:r>
            <w:r>
              <w:rPr>
                <w:rFonts w:ascii="Times New Roman" w:hAnsi="Times New Roman" w:eastAsia="Times New Roman" w:cs="Times New Roman"/>
                <w:spacing w:val="1"/>
                <w:position w:val="-1"/>
                <w:sz w:val="12"/>
                <w:szCs w:val="12"/>
              </w:rPr>
              <w:t>5</w:t>
            </w:r>
            <w:r>
              <w:rPr>
                <w:spacing w:val="1"/>
                <w:sz w:val="20"/>
                <w:szCs w:val="20"/>
              </w:rPr>
              <w:t>、</w:t>
            </w:r>
          </w:p>
          <w:p w14:paraId="1802C21A">
            <w:pPr>
              <w:pStyle w:val="6"/>
              <w:spacing w:before="50" w:line="213" w:lineRule="auto"/>
              <w:ind w:left="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NH</w:t>
            </w:r>
            <w:r>
              <w:rPr>
                <w:rFonts w:ascii="Times New Roman" w:hAnsi="Times New Roman" w:eastAsia="Times New Roman" w:cs="Times New Roman"/>
                <w:spacing w:val="-1"/>
                <w:position w:val="-1"/>
                <w:sz w:val="12"/>
                <w:szCs w:val="12"/>
              </w:rPr>
              <w:t>3</w:t>
            </w:r>
            <w:r>
              <w:rPr>
                <w:rFonts w:ascii="Times New Roman" w:hAnsi="Times New Roman" w:eastAsia="Times New Roman" w:cs="Times New Roman"/>
                <w:spacing w:val="-1"/>
                <w:sz w:val="20"/>
                <w:szCs w:val="20"/>
              </w:rPr>
              <w:t>-N</w:t>
            </w:r>
            <w:r>
              <w:rPr>
                <w:rFonts w:ascii="Times New Roman" w:hAnsi="Times New Roman" w:eastAsia="Times New Roman" w:cs="Times New Roman"/>
                <w:spacing w:val="-29"/>
                <w:sz w:val="20"/>
                <w:szCs w:val="20"/>
              </w:rPr>
              <w:t xml:space="preserve"> </w:t>
            </w:r>
            <w:r>
              <w:rPr>
                <w:spacing w:val="-1"/>
                <w:sz w:val="20"/>
                <w:szCs w:val="20"/>
              </w:rPr>
              <w:t>、</w:t>
            </w:r>
            <w:r>
              <w:rPr>
                <w:rFonts w:ascii="Times New Roman" w:hAnsi="Times New Roman" w:eastAsia="Times New Roman" w:cs="Times New Roman"/>
                <w:spacing w:val="-1"/>
                <w:sz w:val="20"/>
                <w:szCs w:val="20"/>
              </w:rPr>
              <w:t>SS</w:t>
            </w:r>
          </w:p>
        </w:tc>
        <w:tc>
          <w:tcPr>
            <w:tcW w:w="3822" w:type="dxa"/>
            <w:vAlign w:val="top"/>
          </w:tcPr>
          <w:p w14:paraId="2C07BCC9">
            <w:pPr>
              <w:pStyle w:val="6"/>
              <w:spacing w:before="165" w:line="247" w:lineRule="auto"/>
              <w:ind w:left="41" w:right="29" w:firstLine="1"/>
              <w:jc w:val="both"/>
            </w:pPr>
            <w:r>
              <w:rPr>
                <w:spacing w:val="1"/>
                <w:sz w:val="20"/>
                <w:szCs w:val="20"/>
              </w:rPr>
              <w:t>依托亚飞玻璃公司已建化粪池（</w:t>
            </w:r>
            <w:r>
              <w:rPr>
                <w:rFonts w:ascii="Times New Roman" w:hAnsi="Times New Roman" w:eastAsia="Times New Roman" w:cs="Times New Roman"/>
                <w:spacing w:val="1"/>
                <w:sz w:val="20"/>
                <w:szCs w:val="20"/>
              </w:rPr>
              <w:t>100m</w:t>
            </w:r>
            <w:r>
              <w:rPr>
                <w:rFonts w:ascii="Times New Roman" w:hAnsi="Times New Roman" w:eastAsia="Times New Roman" w:cs="Times New Roman"/>
                <w:spacing w:val="1"/>
                <w:position w:val="6"/>
                <w:sz w:val="12"/>
                <w:szCs w:val="12"/>
              </w:rPr>
              <w:t>3</w:t>
            </w:r>
            <w:r>
              <w:rPr>
                <w:spacing w:val="1"/>
                <w:sz w:val="20"/>
                <w:szCs w:val="20"/>
              </w:rPr>
              <w:t>）收</w:t>
            </w:r>
            <w:r>
              <w:rPr>
                <w:sz w:val="20"/>
                <w:szCs w:val="20"/>
              </w:rPr>
              <w:t xml:space="preserve"> </w:t>
            </w:r>
            <w:r>
              <w:rPr>
                <w:spacing w:val="-6"/>
                <w:sz w:val="20"/>
                <w:szCs w:val="20"/>
              </w:rPr>
              <w:t>集处理后，经市政污水管网进入</w:t>
            </w:r>
            <w:r>
              <w:rPr>
                <w:spacing w:val="-6"/>
              </w:rPr>
              <w:t>东岳场镇污</w:t>
            </w:r>
            <w:r>
              <w:rPr>
                <w:spacing w:val="8"/>
              </w:rPr>
              <w:t xml:space="preserve"> </w:t>
            </w:r>
            <w:r>
              <w:rPr>
                <w:spacing w:val="-2"/>
              </w:rPr>
              <w:t>水处理厂处理</w:t>
            </w:r>
          </w:p>
        </w:tc>
        <w:tc>
          <w:tcPr>
            <w:tcW w:w="1658" w:type="dxa"/>
            <w:vMerge w:val="continue"/>
            <w:tcBorders>
              <w:top w:val="nil"/>
              <w:right w:val="single" w:color="000000" w:sz="6" w:space="0"/>
            </w:tcBorders>
            <w:vAlign w:val="top"/>
          </w:tcPr>
          <w:p w14:paraId="567B7A9C">
            <w:pPr>
              <w:rPr>
                <w:rFonts w:ascii="Arial"/>
                <w:sz w:val="21"/>
              </w:rPr>
            </w:pPr>
          </w:p>
        </w:tc>
      </w:tr>
    </w:tbl>
    <w:p w14:paraId="7022BC09">
      <w:pPr>
        <w:rPr>
          <w:rFonts w:ascii="Arial"/>
          <w:sz w:val="21"/>
        </w:rPr>
      </w:pPr>
    </w:p>
    <w:p w14:paraId="46B3E8C4">
      <w:pPr>
        <w:rPr>
          <w:rFonts w:ascii="Arial" w:hAnsi="Arial" w:eastAsia="Arial" w:cs="Arial"/>
          <w:sz w:val="21"/>
          <w:szCs w:val="21"/>
        </w:rPr>
        <w:sectPr>
          <w:footerReference r:id="rId75" w:type="default"/>
          <w:pgSz w:w="11907" w:h="16839"/>
          <w:pgMar w:top="1431" w:right="1483" w:bottom="1055" w:left="1484" w:header="0" w:footer="801" w:gutter="0"/>
          <w:cols w:space="720" w:num="1"/>
        </w:sectPr>
      </w:pPr>
    </w:p>
    <w:p w14:paraId="5EBBFA8D">
      <w:pPr>
        <w:spacing w:before="28"/>
      </w:pPr>
    </w:p>
    <w:tbl>
      <w:tblPr>
        <w:tblStyle w:val="5"/>
        <w:tblW w:w="892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9"/>
        <w:gridCol w:w="1338"/>
        <w:gridCol w:w="1126"/>
        <w:gridCol w:w="3822"/>
        <w:gridCol w:w="1658"/>
      </w:tblGrid>
      <w:tr w14:paraId="1F708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79" w:type="dxa"/>
            <w:vMerge w:val="restart"/>
            <w:tcBorders>
              <w:top w:val="single" w:color="000000" w:sz="6" w:space="0"/>
              <w:left w:val="single" w:color="000000" w:sz="6" w:space="0"/>
              <w:bottom w:val="nil"/>
            </w:tcBorders>
            <w:vAlign w:val="top"/>
          </w:tcPr>
          <w:p w14:paraId="46905195">
            <w:pPr>
              <w:spacing w:line="297" w:lineRule="auto"/>
              <w:rPr>
                <w:rFonts w:ascii="Arial"/>
                <w:sz w:val="21"/>
              </w:rPr>
            </w:pPr>
          </w:p>
          <w:p w14:paraId="4748816A">
            <w:pPr>
              <w:spacing w:line="297" w:lineRule="auto"/>
              <w:rPr>
                <w:rFonts w:ascii="Arial"/>
                <w:sz w:val="21"/>
              </w:rPr>
            </w:pPr>
          </w:p>
          <w:p w14:paraId="598E3F17">
            <w:pPr>
              <w:spacing w:line="297" w:lineRule="auto"/>
              <w:rPr>
                <w:rFonts w:ascii="Arial"/>
                <w:sz w:val="21"/>
              </w:rPr>
            </w:pPr>
          </w:p>
          <w:p w14:paraId="6A6C5D74">
            <w:pPr>
              <w:pStyle w:val="6"/>
              <w:spacing w:before="65" w:line="221" w:lineRule="auto"/>
              <w:ind w:left="191"/>
              <w:rPr>
                <w:sz w:val="20"/>
                <w:szCs w:val="20"/>
              </w:rPr>
            </w:pPr>
            <w:r>
              <w:rPr>
                <w:spacing w:val="-3"/>
                <w:sz w:val="20"/>
                <w:szCs w:val="20"/>
              </w:rPr>
              <w:t>声环境</w:t>
            </w:r>
          </w:p>
        </w:tc>
        <w:tc>
          <w:tcPr>
            <w:tcW w:w="1338" w:type="dxa"/>
            <w:vAlign w:val="top"/>
          </w:tcPr>
          <w:p w14:paraId="0F7C25B5">
            <w:pPr>
              <w:spacing w:line="270" w:lineRule="auto"/>
              <w:rPr>
                <w:rFonts w:ascii="Arial"/>
                <w:sz w:val="21"/>
              </w:rPr>
            </w:pPr>
          </w:p>
          <w:p w14:paraId="194CF5DB">
            <w:pPr>
              <w:pStyle w:val="6"/>
              <w:spacing w:before="65" w:line="221" w:lineRule="auto"/>
              <w:ind w:left="267"/>
              <w:rPr>
                <w:sz w:val="20"/>
                <w:szCs w:val="20"/>
              </w:rPr>
            </w:pPr>
            <w:r>
              <w:rPr>
                <w:spacing w:val="-2"/>
                <w:sz w:val="20"/>
                <w:szCs w:val="20"/>
              </w:rPr>
              <w:t>施工噪声</w:t>
            </w:r>
          </w:p>
        </w:tc>
        <w:tc>
          <w:tcPr>
            <w:tcW w:w="1126" w:type="dxa"/>
            <w:vAlign w:val="top"/>
          </w:tcPr>
          <w:p w14:paraId="5A2CF3C1">
            <w:pPr>
              <w:spacing w:line="270" w:lineRule="auto"/>
              <w:rPr>
                <w:rFonts w:ascii="Arial"/>
                <w:sz w:val="21"/>
              </w:rPr>
            </w:pPr>
          </w:p>
          <w:p w14:paraId="4289BB3D">
            <w:pPr>
              <w:pStyle w:val="6"/>
              <w:spacing w:before="65" w:line="221" w:lineRule="auto"/>
              <w:ind w:left="375"/>
              <w:rPr>
                <w:sz w:val="20"/>
                <w:szCs w:val="20"/>
              </w:rPr>
            </w:pPr>
            <w:r>
              <w:rPr>
                <w:spacing w:val="-5"/>
                <w:sz w:val="20"/>
                <w:szCs w:val="20"/>
              </w:rPr>
              <w:t>噪声</w:t>
            </w:r>
          </w:p>
        </w:tc>
        <w:tc>
          <w:tcPr>
            <w:tcW w:w="3822" w:type="dxa"/>
            <w:vAlign w:val="top"/>
          </w:tcPr>
          <w:p w14:paraId="7D1C148A">
            <w:pPr>
              <w:pStyle w:val="6"/>
              <w:spacing w:before="58"/>
              <w:ind w:left="40" w:right="12"/>
              <w:jc w:val="both"/>
              <w:rPr>
                <w:sz w:val="20"/>
                <w:szCs w:val="20"/>
              </w:rPr>
            </w:pPr>
            <w:r>
              <w:rPr>
                <w:spacing w:val="-3"/>
                <w:sz w:val="20"/>
                <w:szCs w:val="20"/>
              </w:rPr>
              <w:t>选用先进的、噪声较低的环保型设备；合理</w:t>
            </w:r>
            <w:r>
              <w:rPr>
                <w:spacing w:val="3"/>
                <w:sz w:val="20"/>
                <w:szCs w:val="20"/>
              </w:rPr>
              <w:t xml:space="preserve"> </w:t>
            </w:r>
            <w:r>
              <w:rPr>
                <w:spacing w:val="-2"/>
                <w:sz w:val="20"/>
                <w:szCs w:val="20"/>
              </w:rPr>
              <w:t>安排工期；文明施工；运输车辆减速行驶、</w:t>
            </w:r>
            <w:r>
              <w:rPr>
                <w:sz w:val="20"/>
                <w:szCs w:val="20"/>
              </w:rPr>
              <w:t xml:space="preserve"> </w:t>
            </w:r>
            <w:r>
              <w:rPr>
                <w:spacing w:val="-2"/>
                <w:sz w:val="20"/>
                <w:szCs w:val="20"/>
              </w:rPr>
              <w:t>禁止鸣笛</w:t>
            </w:r>
          </w:p>
        </w:tc>
        <w:tc>
          <w:tcPr>
            <w:tcW w:w="1658" w:type="dxa"/>
            <w:tcBorders>
              <w:right w:val="single" w:color="000000" w:sz="6" w:space="0"/>
            </w:tcBorders>
            <w:vAlign w:val="top"/>
          </w:tcPr>
          <w:p w14:paraId="08E6B931">
            <w:pPr>
              <w:pStyle w:val="6"/>
              <w:spacing w:before="58"/>
              <w:ind w:left="71" w:right="49" w:firstLine="13"/>
              <w:jc w:val="both"/>
              <w:rPr>
                <w:sz w:val="20"/>
                <w:szCs w:val="20"/>
              </w:rPr>
            </w:pPr>
            <w:r>
              <w:rPr>
                <w:spacing w:val="-12"/>
                <w:sz w:val="20"/>
                <w:szCs w:val="20"/>
              </w:rPr>
              <w:t>《建筑施工场界环</w:t>
            </w:r>
            <w:r>
              <w:rPr>
                <w:spacing w:val="2"/>
                <w:sz w:val="20"/>
                <w:szCs w:val="20"/>
              </w:rPr>
              <w:t xml:space="preserve"> </w:t>
            </w:r>
            <w:r>
              <w:rPr>
                <w:spacing w:val="-11"/>
                <w:sz w:val="20"/>
                <w:szCs w:val="20"/>
              </w:rPr>
              <w:t>境噪声排放限值》</w:t>
            </w:r>
            <w:r>
              <w:rPr>
                <w:sz w:val="20"/>
                <w:szCs w:val="20"/>
              </w:rPr>
              <w:t xml:space="preserve"> </w:t>
            </w:r>
            <w:r>
              <w:rPr>
                <w:spacing w:val="-9"/>
                <w:sz w:val="20"/>
                <w:szCs w:val="20"/>
              </w:rPr>
              <w:t>（</w:t>
            </w:r>
            <w:r>
              <w:rPr>
                <w:rFonts w:ascii="Times New Roman" w:hAnsi="Times New Roman" w:eastAsia="Times New Roman" w:cs="Times New Roman"/>
                <w:spacing w:val="-9"/>
                <w:sz w:val="20"/>
                <w:szCs w:val="20"/>
              </w:rPr>
              <w:t>GB12523-2011</w:t>
            </w:r>
            <w:r>
              <w:rPr>
                <w:spacing w:val="-9"/>
                <w:sz w:val="20"/>
                <w:szCs w:val="20"/>
              </w:rPr>
              <w:t>）</w:t>
            </w:r>
          </w:p>
        </w:tc>
      </w:tr>
      <w:tr w14:paraId="1208C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979" w:type="dxa"/>
            <w:vMerge w:val="continue"/>
            <w:tcBorders>
              <w:top w:val="nil"/>
              <w:left w:val="single" w:color="000000" w:sz="6" w:space="0"/>
              <w:bottom w:val="nil"/>
            </w:tcBorders>
            <w:vAlign w:val="top"/>
          </w:tcPr>
          <w:p w14:paraId="3CA6B110">
            <w:pPr>
              <w:rPr>
                <w:rFonts w:ascii="Arial"/>
                <w:sz w:val="21"/>
              </w:rPr>
            </w:pPr>
          </w:p>
        </w:tc>
        <w:tc>
          <w:tcPr>
            <w:tcW w:w="1338" w:type="dxa"/>
            <w:vAlign w:val="top"/>
          </w:tcPr>
          <w:p w14:paraId="5354CAAD">
            <w:pPr>
              <w:spacing w:line="267" w:lineRule="auto"/>
              <w:rPr>
                <w:rFonts w:ascii="Arial"/>
                <w:sz w:val="21"/>
              </w:rPr>
            </w:pPr>
          </w:p>
          <w:p w14:paraId="7564197D">
            <w:pPr>
              <w:pStyle w:val="6"/>
              <w:spacing w:before="65" w:line="220" w:lineRule="auto"/>
              <w:ind w:left="270"/>
              <w:rPr>
                <w:sz w:val="20"/>
                <w:szCs w:val="20"/>
              </w:rPr>
            </w:pPr>
            <w:r>
              <w:rPr>
                <w:spacing w:val="-2"/>
                <w:sz w:val="20"/>
                <w:szCs w:val="20"/>
              </w:rPr>
              <w:t>生产车间</w:t>
            </w:r>
          </w:p>
        </w:tc>
        <w:tc>
          <w:tcPr>
            <w:tcW w:w="1126" w:type="dxa"/>
            <w:vAlign w:val="top"/>
          </w:tcPr>
          <w:p w14:paraId="0049BA99">
            <w:pPr>
              <w:spacing w:line="267" w:lineRule="auto"/>
              <w:rPr>
                <w:rFonts w:ascii="Arial"/>
                <w:sz w:val="21"/>
              </w:rPr>
            </w:pPr>
          </w:p>
          <w:p w14:paraId="51E72C60">
            <w:pPr>
              <w:pStyle w:val="6"/>
              <w:spacing w:before="65" w:line="221" w:lineRule="auto"/>
              <w:ind w:left="168"/>
              <w:rPr>
                <w:sz w:val="20"/>
                <w:szCs w:val="20"/>
              </w:rPr>
            </w:pPr>
            <w:r>
              <w:rPr>
                <w:spacing w:val="-2"/>
                <w:sz w:val="20"/>
                <w:szCs w:val="20"/>
              </w:rPr>
              <w:t>设备噪声</w:t>
            </w:r>
          </w:p>
        </w:tc>
        <w:tc>
          <w:tcPr>
            <w:tcW w:w="3822" w:type="dxa"/>
            <w:vAlign w:val="top"/>
          </w:tcPr>
          <w:p w14:paraId="663FDF6C">
            <w:pPr>
              <w:pStyle w:val="6"/>
              <w:spacing w:before="194" w:line="261" w:lineRule="auto"/>
              <w:ind w:left="52" w:right="29" w:hanging="12"/>
              <w:rPr>
                <w:sz w:val="20"/>
                <w:szCs w:val="20"/>
              </w:rPr>
            </w:pPr>
            <w:r>
              <w:rPr>
                <w:spacing w:val="-3"/>
                <w:sz w:val="20"/>
                <w:szCs w:val="20"/>
              </w:rPr>
              <w:t>优选设备、车间封闭、设备基础减振、建筑</w:t>
            </w:r>
            <w:r>
              <w:rPr>
                <w:spacing w:val="2"/>
                <w:sz w:val="20"/>
                <w:szCs w:val="20"/>
              </w:rPr>
              <w:t xml:space="preserve"> </w:t>
            </w:r>
            <w:r>
              <w:rPr>
                <w:spacing w:val="-3"/>
                <w:sz w:val="20"/>
                <w:szCs w:val="20"/>
              </w:rPr>
              <w:t>隔声，加强维护管理</w:t>
            </w:r>
          </w:p>
        </w:tc>
        <w:tc>
          <w:tcPr>
            <w:tcW w:w="1658" w:type="dxa"/>
            <w:tcBorders>
              <w:right w:val="single" w:color="000000" w:sz="6" w:space="0"/>
            </w:tcBorders>
            <w:vAlign w:val="top"/>
          </w:tcPr>
          <w:p w14:paraId="13FF6AA3">
            <w:pPr>
              <w:pStyle w:val="6"/>
              <w:spacing w:before="55"/>
              <w:ind w:left="68" w:right="45" w:firstLine="16"/>
              <w:jc w:val="both"/>
              <w:rPr>
                <w:sz w:val="20"/>
                <w:szCs w:val="20"/>
              </w:rPr>
            </w:pPr>
            <w:r>
              <w:rPr>
                <w:spacing w:val="-12"/>
                <w:sz w:val="20"/>
                <w:szCs w:val="20"/>
              </w:rPr>
              <w:t>《工业企业厂界环</w:t>
            </w:r>
            <w:r>
              <w:rPr>
                <w:spacing w:val="2"/>
                <w:sz w:val="20"/>
                <w:szCs w:val="20"/>
              </w:rPr>
              <w:t xml:space="preserve"> </w:t>
            </w:r>
            <w:r>
              <w:rPr>
                <w:spacing w:val="-11"/>
                <w:sz w:val="20"/>
                <w:szCs w:val="20"/>
              </w:rPr>
              <w:t>境噪声排放标准》</w:t>
            </w:r>
            <w:r>
              <w:rPr>
                <w:spacing w:val="3"/>
                <w:sz w:val="20"/>
                <w:szCs w:val="20"/>
              </w:rPr>
              <w:t xml:space="preserve"> </w:t>
            </w:r>
            <w:r>
              <w:rPr>
                <w:spacing w:val="-8"/>
                <w:sz w:val="20"/>
                <w:szCs w:val="20"/>
              </w:rPr>
              <w:t>（</w:t>
            </w:r>
            <w:r>
              <w:rPr>
                <w:rFonts w:ascii="Times New Roman" w:hAnsi="Times New Roman" w:eastAsia="Times New Roman" w:cs="Times New Roman"/>
                <w:spacing w:val="-8"/>
                <w:sz w:val="20"/>
                <w:szCs w:val="20"/>
              </w:rPr>
              <w:t>GB12348-2008</w:t>
            </w:r>
            <w:r>
              <w:rPr>
                <w:spacing w:val="-8"/>
                <w:sz w:val="20"/>
                <w:szCs w:val="20"/>
              </w:rPr>
              <w:t>）</w:t>
            </w:r>
          </w:p>
        </w:tc>
      </w:tr>
      <w:tr w14:paraId="5F4EE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979" w:type="dxa"/>
            <w:vMerge w:val="continue"/>
            <w:tcBorders>
              <w:top w:val="nil"/>
              <w:left w:val="single" w:color="000000" w:sz="6" w:space="0"/>
            </w:tcBorders>
            <w:vAlign w:val="top"/>
          </w:tcPr>
          <w:p w14:paraId="1AD06B76">
            <w:pPr>
              <w:rPr>
                <w:rFonts w:ascii="Arial"/>
                <w:sz w:val="21"/>
              </w:rPr>
            </w:pPr>
          </w:p>
        </w:tc>
        <w:tc>
          <w:tcPr>
            <w:tcW w:w="1338" w:type="dxa"/>
            <w:vAlign w:val="top"/>
          </w:tcPr>
          <w:p w14:paraId="560B0236">
            <w:pPr>
              <w:pStyle w:val="6"/>
              <w:spacing w:before="109" w:line="220" w:lineRule="auto"/>
              <w:ind w:left="268"/>
              <w:rPr>
                <w:sz w:val="20"/>
                <w:szCs w:val="20"/>
              </w:rPr>
            </w:pPr>
            <w:r>
              <w:rPr>
                <w:spacing w:val="-2"/>
                <w:sz w:val="20"/>
                <w:szCs w:val="20"/>
              </w:rPr>
              <w:t>运输车辆</w:t>
            </w:r>
          </w:p>
        </w:tc>
        <w:tc>
          <w:tcPr>
            <w:tcW w:w="1126" w:type="dxa"/>
            <w:vAlign w:val="top"/>
          </w:tcPr>
          <w:p w14:paraId="7FCCF26B">
            <w:pPr>
              <w:pStyle w:val="6"/>
              <w:spacing w:before="109" w:line="221" w:lineRule="auto"/>
              <w:ind w:left="169"/>
              <w:rPr>
                <w:sz w:val="20"/>
                <w:szCs w:val="20"/>
              </w:rPr>
            </w:pPr>
            <w:r>
              <w:rPr>
                <w:spacing w:val="-2"/>
                <w:sz w:val="20"/>
                <w:szCs w:val="20"/>
              </w:rPr>
              <w:t>交通噪声</w:t>
            </w:r>
          </w:p>
        </w:tc>
        <w:tc>
          <w:tcPr>
            <w:tcW w:w="3822" w:type="dxa"/>
            <w:vAlign w:val="top"/>
          </w:tcPr>
          <w:p w14:paraId="1B40706D">
            <w:pPr>
              <w:pStyle w:val="6"/>
              <w:spacing w:before="109" w:line="220" w:lineRule="auto"/>
              <w:ind w:left="618"/>
              <w:rPr>
                <w:sz w:val="20"/>
                <w:szCs w:val="20"/>
              </w:rPr>
            </w:pPr>
            <w:r>
              <w:rPr>
                <w:spacing w:val="-1"/>
                <w:sz w:val="20"/>
                <w:szCs w:val="20"/>
              </w:rPr>
              <w:t>合理安排运输时间、控制车速</w:t>
            </w:r>
          </w:p>
        </w:tc>
        <w:tc>
          <w:tcPr>
            <w:tcW w:w="1658" w:type="dxa"/>
            <w:tcBorders>
              <w:right w:val="single" w:color="000000" w:sz="6" w:space="0"/>
            </w:tcBorders>
            <w:vAlign w:val="top"/>
          </w:tcPr>
          <w:p w14:paraId="39F7E7D9">
            <w:pPr>
              <w:spacing w:before="143" w:line="232" w:lineRule="auto"/>
              <w:ind w:left="801"/>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r>
      <w:tr w14:paraId="25145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979" w:type="dxa"/>
            <w:tcBorders>
              <w:left w:val="single" w:color="000000" w:sz="6" w:space="0"/>
            </w:tcBorders>
            <w:vAlign w:val="top"/>
          </w:tcPr>
          <w:p w14:paraId="28618BED">
            <w:pPr>
              <w:pStyle w:val="6"/>
              <w:spacing w:before="129" w:line="220" w:lineRule="auto"/>
              <w:ind w:left="110"/>
              <w:rPr>
                <w:sz w:val="20"/>
                <w:szCs w:val="20"/>
              </w:rPr>
            </w:pPr>
            <w:r>
              <w:rPr>
                <w:spacing w:val="-6"/>
                <w:sz w:val="20"/>
                <w:szCs w:val="20"/>
              </w:rPr>
              <w:t>电磁辐射</w:t>
            </w:r>
          </w:p>
        </w:tc>
        <w:tc>
          <w:tcPr>
            <w:tcW w:w="1338" w:type="dxa"/>
            <w:vAlign w:val="top"/>
          </w:tcPr>
          <w:p w14:paraId="5E37BBAE">
            <w:pPr>
              <w:spacing w:before="163" w:line="232" w:lineRule="auto"/>
              <w:ind w:left="634"/>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1126" w:type="dxa"/>
            <w:vAlign w:val="top"/>
          </w:tcPr>
          <w:p w14:paraId="4DA88264">
            <w:pPr>
              <w:spacing w:before="163" w:line="232" w:lineRule="auto"/>
              <w:ind w:left="530"/>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3822" w:type="dxa"/>
            <w:vAlign w:val="top"/>
          </w:tcPr>
          <w:p w14:paraId="1989CA5B">
            <w:pPr>
              <w:spacing w:before="163" w:line="232" w:lineRule="auto"/>
              <w:ind w:left="1883"/>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1658" w:type="dxa"/>
            <w:tcBorders>
              <w:right w:val="single" w:color="000000" w:sz="6" w:space="0"/>
            </w:tcBorders>
            <w:vAlign w:val="top"/>
          </w:tcPr>
          <w:p w14:paraId="0E6AFEDE">
            <w:pPr>
              <w:spacing w:before="163" w:line="232" w:lineRule="auto"/>
              <w:ind w:left="801"/>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r>
      <w:tr w14:paraId="5C632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4" w:hRule="atLeast"/>
        </w:trPr>
        <w:tc>
          <w:tcPr>
            <w:tcW w:w="979" w:type="dxa"/>
            <w:tcBorders>
              <w:left w:val="single" w:color="000000" w:sz="6" w:space="0"/>
            </w:tcBorders>
            <w:vAlign w:val="top"/>
          </w:tcPr>
          <w:p w14:paraId="2CE82395">
            <w:pPr>
              <w:spacing w:line="254" w:lineRule="auto"/>
              <w:rPr>
                <w:rFonts w:ascii="Arial"/>
                <w:sz w:val="21"/>
              </w:rPr>
            </w:pPr>
          </w:p>
          <w:p w14:paraId="4FB505A4">
            <w:pPr>
              <w:spacing w:line="255" w:lineRule="auto"/>
              <w:rPr>
                <w:rFonts w:ascii="Arial"/>
                <w:sz w:val="21"/>
              </w:rPr>
            </w:pPr>
          </w:p>
          <w:p w14:paraId="52772898">
            <w:pPr>
              <w:spacing w:line="255" w:lineRule="auto"/>
              <w:rPr>
                <w:rFonts w:ascii="Arial"/>
                <w:sz w:val="21"/>
              </w:rPr>
            </w:pPr>
          </w:p>
          <w:p w14:paraId="51C1461D">
            <w:pPr>
              <w:spacing w:line="255" w:lineRule="auto"/>
              <w:rPr>
                <w:rFonts w:ascii="Arial"/>
                <w:sz w:val="21"/>
              </w:rPr>
            </w:pPr>
          </w:p>
          <w:p w14:paraId="4DD0D7A1">
            <w:pPr>
              <w:spacing w:line="255" w:lineRule="auto"/>
              <w:rPr>
                <w:rFonts w:ascii="Arial"/>
                <w:sz w:val="21"/>
              </w:rPr>
            </w:pPr>
          </w:p>
          <w:p w14:paraId="661C01FF">
            <w:pPr>
              <w:spacing w:line="255" w:lineRule="auto"/>
              <w:rPr>
                <w:rFonts w:ascii="Arial"/>
                <w:sz w:val="21"/>
              </w:rPr>
            </w:pPr>
          </w:p>
          <w:p w14:paraId="74B7DF9B">
            <w:pPr>
              <w:spacing w:line="255" w:lineRule="auto"/>
              <w:rPr>
                <w:rFonts w:ascii="Arial"/>
                <w:sz w:val="21"/>
              </w:rPr>
            </w:pPr>
          </w:p>
          <w:p w14:paraId="25DE0AFD">
            <w:pPr>
              <w:spacing w:line="255" w:lineRule="auto"/>
              <w:rPr>
                <w:rFonts w:ascii="Arial"/>
                <w:sz w:val="21"/>
              </w:rPr>
            </w:pPr>
          </w:p>
          <w:p w14:paraId="56D95E68">
            <w:pPr>
              <w:spacing w:line="255" w:lineRule="auto"/>
              <w:rPr>
                <w:rFonts w:ascii="Arial"/>
                <w:sz w:val="21"/>
              </w:rPr>
            </w:pPr>
          </w:p>
          <w:p w14:paraId="2647FD2A">
            <w:pPr>
              <w:pStyle w:val="6"/>
              <w:spacing w:before="65" w:line="221" w:lineRule="auto"/>
              <w:ind w:left="104"/>
              <w:rPr>
                <w:sz w:val="20"/>
                <w:szCs w:val="20"/>
              </w:rPr>
            </w:pPr>
            <w:r>
              <w:rPr>
                <w:spacing w:val="-5"/>
                <w:sz w:val="20"/>
                <w:szCs w:val="20"/>
              </w:rPr>
              <w:t>固体废物</w:t>
            </w:r>
          </w:p>
        </w:tc>
        <w:tc>
          <w:tcPr>
            <w:tcW w:w="7944" w:type="dxa"/>
            <w:gridSpan w:val="4"/>
            <w:tcBorders>
              <w:right w:val="single" w:color="000000" w:sz="6" w:space="0"/>
            </w:tcBorders>
            <w:vAlign w:val="top"/>
          </w:tcPr>
          <w:p w14:paraId="0390613C">
            <w:pPr>
              <w:pStyle w:val="6"/>
              <w:spacing w:before="150" w:line="234" w:lineRule="auto"/>
              <w:ind w:left="468"/>
              <w:rPr>
                <w:sz w:val="20"/>
                <w:szCs w:val="20"/>
              </w:rPr>
            </w:pPr>
            <w:r>
              <w:rPr>
                <w:rFonts w:ascii="Times New Roman" w:hAnsi="Times New Roman" w:eastAsia="Times New Roman" w:cs="Times New Roman"/>
                <w:spacing w:val="-7"/>
                <w:sz w:val="20"/>
                <w:szCs w:val="20"/>
              </w:rPr>
              <w:t>1</w:t>
            </w:r>
            <w:r>
              <w:rPr>
                <w:spacing w:val="-7"/>
                <w:sz w:val="20"/>
                <w:szCs w:val="20"/>
              </w:rPr>
              <w:t>、施工期</w:t>
            </w:r>
          </w:p>
          <w:p w14:paraId="689D7266">
            <w:pPr>
              <w:pStyle w:val="6"/>
              <w:spacing w:before="146" w:line="369" w:lineRule="auto"/>
              <w:ind w:left="55" w:right="52" w:firstLine="397"/>
              <w:rPr>
                <w:sz w:val="20"/>
                <w:szCs w:val="20"/>
              </w:rPr>
            </w:pPr>
            <w:r>
              <w:rPr>
                <w:spacing w:val="1"/>
                <w:sz w:val="20"/>
                <w:szCs w:val="20"/>
              </w:rPr>
              <w:t>施工期固废可统一收集，有利用价值的固废及时送至附近废弃资</w:t>
            </w:r>
            <w:r>
              <w:rPr>
                <w:sz w:val="20"/>
                <w:szCs w:val="20"/>
              </w:rPr>
              <w:t xml:space="preserve">源回收站外售。生活 </w:t>
            </w:r>
            <w:r>
              <w:rPr>
                <w:spacing w:val="-1"/>
                <w:sz w:val="20"/>
                <w:szCs w:val="20"/>
              </w:rPr>
              <w:t>垃圾袋装收集后送至附近场镇生活垃圾收集点，由环卫部门负责清运处置。</w:t>
            </w:r>
          </w:p>
          <w:p w14:paraId="09966366">
            <w:pPr>
              <w:pStyle w:val="6"/>
              <w:spacing w:line="234" w:lineRule="auto"/>
              <w:ind w:left="449"/>
              <w:rPr>
                <w:sz w:val="20"/>
                <w:szCs w:val="20"/>
              </w:rPr>
            </w:pPr>
            <w:r>
              <w:rPr>
                <w:rFonts w:ascii="Times New Roman" w:hAnsi="Times New Roman" w:eastAsia="Times New Roman" w:cs="Times New Roman"/>
                <w:spacing w:val="-4"/>
                <w:sz w:val="20"/>
                <w:szCs w:val="20"/>
              </w:rPr>
              <w:t>2</w:t>
            </w:r>
            <w:r>
              <w:rPr>
                <w:spacing w:val="-4"/>
                <w:sz w:val="20"/>
                <w:szCs w:val="20"/>
              </w:rPr>
              <w:t>、营运期</w:t>
            </w:r>
          </w:p>
          <w:p w14:paraId="744B6CCA">
            <w:pPr>
              <w:pStyle w:val="6"/>
              <w:spacing w:before="146" w:line="369" w:lineRule="auto"/>
              <w:ind w:left="54" w:right="52" w:firstLine="402"/>
              <w:rPr>
                <w:sz w:val="20"/>
                <w:szCs w:val="20"/>
              </w:rPr>
            </w:pPr>
            <w:r>
              <w:rPr>
                <w:spacing w:val="1"/>
                <w:sz w:val="20"/>
                <w:szCs w:val="20"/>
              </w:rPr>
              <w:t>一般固废：主要包括人工分拣和磁选环节的废纸</w:t>
            </w:r>
            <w:r>
              <w:rPr>
                <w:sz w:val="20"/>
                <w:szCs w:val="20"/>
              </w:rPr>
              <w:t xml:space="preserve">板废塑料和废铁质杂物、除尘器的收 </w:t>
            </w:r>
            <w:r>
              <w:rPr>
                <w:spacing w:val="1"/>
                <w:sz w:val="20"/>
                <w:szCs w:val="20"/>
              </w:rPr>
              <w:t>尘灰、喷淋塔水槽清理的沉渣、热风炉的炉灰。废纸板</w:t>
            </w:r>
            <w:r>
              <w:rPr>
                <w:sz w:val="20"/>
                <w:szCs w:val="20"/>
              </w:rPr>
              <w:t xml:space="preserve">废塑料和废铁质杂物集中收集后， </w:t>
            </w:r>
            <w:r>
              <w:rPr>
                <w:spacing w:val="1"/>
                <w:sz w:val="20"/>
                <w:szCs w:val="20"/>
              </w:rPr>
              <w:t>外售至附近的废品回收站；喷淋塔清理的沉渣和收尘灰定期</w:t>
            </w:r>
            <w:r>
              <w:rPr>
                <w:sz w:val="20"/>
                <w:szCs w:val="20"/>
              </w:rPr>
              <w:t xml:space="preserve">清理后返回生产线做原料。热 </w:t>
            </w:r>
            <w:r>
              <w:rPr>
                <w:spacing w:val="-1"/>
                <w:sz w:val="20"/>
                <w:szCs w:val="20"/>
              </w:rPr>
              <w:t>风炉炉灰定期清理后，可作为农业肥料外运综合利用。</w:t>
            </w:r>
          </w:p>
          <w:p w14:paraId="69459EC3">
            <w:pPr>
              <w:pStyle w:val="6"/>
              <w:spacing w:before="2" w:line="364" w:lineRule="auto"/>
              <w:ind w:left="55" w:firstLine="400"/>
              <w:jc w:val="both"/>
              <w:rPr>
                <w:sz w:val="20"/>
                <w:szCs w:val="20"/>
              </w:rPr>
            </w:pPr>
            <w:r>
              <w:rPr>
                <w:spacing w:val="-8"/>
                <w:sz w:val="20"/>
                <w:szCs w:val="20"/>
              </w:rPr>
              <w:t>危险废物：主要为废矿物油和废矿物油桶，在车间内设危废暂存间</w:t>
            </w:r>
            <w:r>
              <w:rPr>
                <w:rFonts w:ascii="Times New Roman" w:hAnsi="Times New Roman" w:eastAsia="Times New Roman" w:cs="Times New Roman"/>
                <w:spacing w:val="-8"/>
                <w:sz w:val="20"/>
                <w:szCs w:val="20"/>
              </w:rPr>
              <w:t>1</w:t>
            </w:r>
            <w:r>
              <w:rPr>
                <w:spacing w:val="-8"/>
                <w:sz w:val="20"/>
                <w:szCs w:val="20"/>
              </w:rPr>
              <w:t>个</w:t>
            </w:r>
            <w:r>
              <w:rPr>
                <w:spacing w:val="-9"/>
                <w:sz w:val="20"/>
                <w:szCs w:val="20"/>
              </w:rPr>
              <w:t>，建筑面积约</w:t>
            </w:r>
            <w:r>
              <w:rPr>
                <w:rFonts w:ascii="Times New Roman" w:hAnsi="Times New Roman" w:eastAsia="Times New Roman" w:cs="Times New Roman"/>
                <w:spacing w:val="-9"/>
                <w:sz w:val="20"/>
                <w:szCs w:val="20"/>
              </w:rPr>
              <w:t>5m</w:t>
            </w:r>
            <w:r>
              <w:rPr>
                <w:rFonts w:ascii="Times New Roman" w:hAnsi="Times New Roman" w:eastAsia="Times New Roman" w:cs="Times New Roman"/>
                <w:spacing w:val="-9"/>
                <w:position w:val="6"/>
                <w:sz w:val="12"/>
                <w:szCs w:val="12"/>
              </w:rPr>
              <w:t>2</w:t>
            </w:r>
            <w:r>
              <w:rPr>
                <w:spacing w:val="-9"/>
                <w:sz w:val="20"/>
                <w:szCs w:val="20"/>
              </w:rPr>
              <w:t>，</w:t>
            </w:r>
            <w:r>
              <w:rPr>
                <w:sz w:val="20"/>
                <w:szCs w:val="20"/>
              </w:rPr>
              <w:t xml:space="preserve"> </w:t>
            </w:r>
            <w:r>
              <w:rPr>
                <w:spacing w:val="-1"/>
                <w:sz w:val="20"/>
                <w:szCs w:val="20"/>
              </w:rPr>
              <w:t>按照《危险废物贮存污染物控制标准》（</w:t>
            </w:r>
            <w:r>
              <w:rPr>
                <w:rFonts w:ascii="Times New Roman" w:hAnsi="Times New Roman" w:eastAsia="Times New Roman" w:cs="Times New Roman"/>
                <w:spacing w:val="-1"/>
                <w:sz w:val="20"/>
                <w:szCs w:val="20"/>
              </w:rPr>
              <w:t>GB</w:t>
            </w:r>
            <w:r>
              <w:rPr>
                <w:rFonts w:ascii="Times New Roman" w:hAnsi="Times New Roman" w:eastAsia="Times New Roman" w:cs="Times New Roman"/>
                <w:spacing w:val="23"/>
                <w:w w:val="101"/>
                <w:sz w:val="20"/>
                <w:szCs w:val="20"/>
              </w:rPr>
              <w:t xml:space="preserve"> </w:t>
            </w:r>
            <w:r>
              <w:rPr>
                <w:rFonts w:ascii="Times New Roman" w:hAnsi="Times New Roman" w:eastAsia="Times New Roman" w:cs="Times New Roman"/>
                <w:spacing w:val="-1"/>
                <w:sz w:val="20"/>
                <w:szCs w:val="20"/>
              </w:rPr>
              <w:t>185</w:t>
            </w:r>
            <w:r>
              <w:rPr>
                <w:rFonts w:ascii="Times New Roman" w:hAnsi="Times New Roman" w:eastAsia="Times New Roman" w:cs="Times New Roman"/>
                <w:spacing w:val="-2"/>
                <w:sz w:val="20"/>
                <w:szCs w:val="20"/>
              </w:rPr>
              <w:t>97-2023</w:t>
            </w:r>
            <w:r>
              <w:rPr>
                <w:spacing w:val="-2"/>
                <w:sz w:val="20"/>
                <w:szCs w:val="20"/>
              </w:rPr>
              <w:t>）要求，落实防风、防雨、防晒、</w:t>
            </w:r>
            <w:r>
              <w:rPr>
                <w:sz w:val="20"/>
                <w:szCs w:val="20"/>
              </w:rPr>
              <w:t xml:space="preserve"> </w:t>
            </w:r>
            <w:r>
              <w:rPr>
                <w:spacing w:val="5"/>
                <w:sz w:val="20"/>
                <w:szCs w:val="20"/>
              </w:rPr>
              <w:t>防渗、防漏、防腐等环境污染防治措施，并按《危险废物识别标志设置技术规范》</w:t>
            </w:r>
            <w:r>
              <w:rPr>
                <w:spacing w:val="47"/>
                <w:sz w:val="20"/>
                <w:szCs w:val="20"/>
              </w:rPr>
              <w:t xml:space="preserve"> </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HJ  1276-2022</w:t>
            </w:r>
            <w:r>
              <w:rPr>
                <w:rFonts w:hint="eastAsia" w:ascii="Times New Roman" w:hAnsi="Times New Roman" w:eastAsia="宋体" w:cs="Times New Roman"/>
                <w:sz w:val="20"/>
                <w:szCs w:val="20"/>
                <w:lang w:eastAsia="zh-CN"/>
              </w:rPr>
              <w:t>）</w:t>
            </w:r>
            <w:r>
              <w:rPr>
                <w:sz w:val="20"/>
                <w:szCs w:val="20"/>
              </w:rPr>
              <w:t>要求张贴标识标牌等，建立危废台</w:t>
            </w:r>
            <w:r>
              <w:rPr>
                <w:spacing w:val="-1"/>
                <w:sz w:val="20"/>
                <w:szCs w:val="20"/>
              </w:rPr>
              <w:t>账，委托有资质的单位回收处理。</w:t>
            </w:r>
          </w:p>
          <w:p w14:paraId="18F5395B">
            <w:pPr>
              <w:pStyle w:val="6"/>
              <w:spacing w:before="22" w:line="219" w:lineRule="auto"/>
              <w:ind w:left="454"/>
              <w:rPr>
                <w:sz w:val="20"/>
                <w:szCs w:val="20"/>
              </w:rPr>
            </w:pPr>
            <w:r>
              <w:rPr>
                <w:spacing w:val="-1"/>
                <w:sz w:val="20"/>
                <w:szCs w:val="20"/>
              </w:rPr>
              <w:t>生活垃圾：袋装收集后运至附近场镇生活垃圾集中收集点，由环卫负责清运。</w:t>
            </w:r>
          </w:p>
        </w:tc>
      </w:tr>
      <w:tr w14:paraId="050E2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5" w:hRule="atLeast"/>
        </w:trPr>
        <w:tc>
          <w:tcPr>
            <w:tcW w:w="979" w:type="dxa"/>
            <w:tcBorders>
              <w:left w:val="single" w:color="000000" w:sz="6" w:space="0"/>
            </w:tcBorders>
            <w:vAlign w:val="top"/>
          </w:tcPr>
          <w:p w14:paraId="4FB003C1">
            <w:pPr>
              <w:spacing w:line="368" w:lineRule="auto"/>
              <w:rPr>
                <w:rFonts w:ascii="Arial"/>
                <w:sz w:val="21"/>
              </w:rPr>
            </w:pPr>
          </w:p>
          <w:p w14:paraId="2918B104">
            <w:pPr>
              <w:pStyle w:val="6"/>
              <w:spacing w:before="65" w:line="221" w:lineRule="auto"/>
              <w:ind w:left="87"/>
              <w:rPr>
                <w:sz w:val="20"/>
                <w:szCs w:val="20"/>
              </w:rPr>
            </w:pPr>
            <w:r>
              <w:rPr>
                <w:spacing w:val="-2"/>
                <w:sz w:val="20"/>
                <w:szCs w:val="20"/>
              </w:rPr>
              <w:t>土壤及地</w:t>
            </w:r>
          </w:p>
          <w:p w14:paraId="6374214E">
            <w:pPr>
              <w:pStyle w:val="6"/>
              <w:spacing w:before="39" w:line="220" w:lineRule="auto"/>
              <w:ind w:left="93"/>
              <w:rPr>
                <w:sz w:val="20"/>
                <w:szCs w:val="20"/>
              </w:rPr>
            </w:pPr>
            <w:r>
              <w:rPr>
                <w:spacing w:val="-3"/>
                <w:sz w:val="20"/>
                <w:szCs w:val="20"/>
              </w:rPr>
              <w:t>下水污染</w:t>
            </w:r>
          </w:p>
          <w:p w14:paraId="606256D3">
            <w:pPr>
              <w:pStyle w:val="6"/>
              <w:spacing w:before="42" w:line="221" w:lineRule="auto"/>
              <w:ind w:left="99"/>
              <w:rPr>
                <w:sz w:val="20"/>
                <w:szCs w:val="20"/>
              </w:rPr>
            </w:pPr>
            <w:r>
              <w:rPr>
                <w:spacing w:val="-4"/>
                <w:sz w:val="20"/>
                <w:szCs w:val="20"/>
              </w:rPr>
              <w:t>防治措施</w:t>
            </w:r>
          </w:p>
        </w:tc>
        <w:tc>
          <w:tcPr>
            <w:tcW w:w="7944" w:type="dxa"/>
            <w:gridSpan w:val="4"/>
            <w:tcBorders>
              <w:right w:val="single" w:color="000000" w:sz="6" w:space="0"/>
            </w:tcBorders>
            <w:vAlign w:val="top"/>
          </w:tcPr>
          <w:p w14:paraId="18A03D70">
            <w:pPr>
              <w:pStyle w:val="6"/>
              <w:spacing w:before="151" w:line="333" w:lineRule="auto"/>
              <w:ind w:left="54" w:right="49" w:firstLine="402"/>
              <w:jc w:val="both"/>
              <w:rPr>
                <w:sz w:val="20"/>
                <w:szCs w:val="20"/>
              </w:rPr>
            </w:pPr>
            <w:r>
              <w:rPr>
                <w:spacing w:val="1"/>
                <w:sz w:val="20"/>
                <w:szCs w:val="20"/>
              </w:rPr>
              <w:t>项目厂区采取分区防渗措施，将危废间列入重点</w:t>
            </w:r>
            <w:r>
              <w:rPr>
                <w:sz w:val="20"/>
                <w:szCs w:val="20"/>
              </w:rPr>
              <w:t xml:space="preserve">防渗区，确保其防渗性能满足等效粘 </w:t>
            </w:r>
            <w:r>
              <w:rPr>
                <w:spacing w:val="-1"/>
                <w:sz w:val="20"/>
                <w:szCs w:val="20"/>
              </w:rPr>
              <w:t>土防渗层厚度</w:t>
            </w:r>
            <w:r>
              <w:rPr>
                <w:rFonts w:ascii="Times New Roman" w:hAnsi="Times New Roman" w:eastAsia="Times New Roman" w:cs="Times New Roman"/>
                <w:spacing w:val="-1"/>
                <w:sz w:val="20"/>
                <w:szCs w:val="20"/>
              </w:rPr>
              <w:t>≥6.0m</w:t>
            </w:r>
            <w:r>
              <w:rPr>
                <w:spacing w:val="-1"/>
                <w:sz w:val="20"/>
                <w:szCs w:val="20"/>
              </w:rPr>
              <w:t>，渗透系数</w:t>
            </w:r>
            <w:r>
              <w:rPr>
                <w:rFonts w:ascii="Times New Roman" w:hAnsi="Times New Roman" w:eastAsia="Times New Roman" w:cs="Times New Roman"/>
                <w:spacing w:val="-1"/>
                <w:sz w:val="20"/>
                <w:szCs w:val="20"/>
              </w:rPr>
              <w:t>≤1×10</w:t>
            </w:r>
            <w:r>
              <w:rPr>
                <w:rFonts w:hint="eastAsia" w:ascii="Times New Roman" w:hAnsi="Times New Roman" w:eastAsia="宋体" w:cs="Times New Roman"/>
                <w:spacing w:val="-1"/>
                <w:sz w:val="20"/>
                <w:szCs w:val="20"/>
                <w:lang w:eastAsia="zh-CN"/>
              </w:rPr>
              <w:t>～</w:t>
            </w:r>
            <w:r>
              <w:rPr>
                <w:rFonts w:ascii="Times New Roman" w:hAnsi="Times New Roman" w:eastAsia="Times New Roman" w:cs="Times New Roman"/>
                <w:spacing w:val="-1"/>
                <w:sz w:val="20"/>
                <w:szCs w:val="20"/>
              </w:rPr>
              <w:t>10cm/s</w:t>
            </w:r>
            <w:r>
              <w:rPr>
                <w:spacing w:val="-1"/>
                <w:sz w:val="20"/>
                <w:szCs w:val="20"/>
              </w:rPr>
              <w:t>的等效防渗层。生产车间为一般</w:t>
            </w:r>
            <w:r>
              <w:rPr>
                <w:spacing w:val="-2"/>
                <w:sz w:val="20"/>
                <w:szCs w:val="20"/>
              </w:rPr>
              <w:t>防渗区，租用</w:t>
            </w:r>
            <w:r>
              <w:rPr>
                <w:sz w:val="20"/>
                <w:szCs w:val="20"/>
              </w:rPr>
              <w:t xml:space="preserve"> </w:t>
            </w:r>
            <w:r>
              <w:rPr>
                <w:spacing w:val="1"/>
                <w:sz w:val="20"/>
                <w:szCs w:val="20"/>
              </w:rPr>
              <w:t>的车间地面已采取防渗措施，对车间内地面进行及时维护，</w:t>
            </w:r>
            <w:r>
              <w:rPr>
                <w:sz w:val="20"/>
                <w:szCs w:val="20"/>
              </w:rPr>
              <w:t xml:space="preserve">避免防渗层破坏，失去防渗效 </w:t>
            </w:r>
            <w:r>
              <w:rPr>
                <w:spacing w:val="-10"/>
                <w:sz w:val="20"/>
                <w:szCs w:val="20"/>
              </w:rPr>
              <w:t>果。</w:t>
            </w:r>
          </w:p>
        </w:tc>
      </w:tr>
      <w:tr w14:paraId="1F6816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979" w:type="dxa"/>
            <w:tcBorders>
              <w:left w:val="single" w:color="000000" w:sz="6" w:space="0"/>
            </w:tcBorders>
            <w:vAlign w:val="top"/>
          </w:tcPr>
          <w:p w14:paraId="4AB19E85">
            <w:pPr>
              <w:pStyle w:val="6"/>
              <w:spacing w:before="190" w:line="260" w:lineRule="auto"/>
              <w:ind w:left="286" w:right="88" w:hanging="198"/>
              <w:rPr>
                <w:sz w:val="20"/>
                <w:szCs w:val="20"/>
              </w:rPr>
            </w:pPr>
            <w:r>
              <w:rPr>
                <w:spacing w:val="-2"/>
                <w:sz w:val="20"/>
                <w:szCs w:val="20"/>
              </w:rPr>
              <w:t>生态保护</w:t>
            </w:r>
            <w:r>
              <w:rPr>
                <w:sz w:val="20"/>
                <w:szCs w:val="20"/>
              </w:rPr>
              <w:t xml:space="preserve"> </w:t>
            </w:r>
            <w:r>
              <w:rPr>
                <w:spacing w:val="-2"/>
                <w:sz w:val="20"/>
                <w:szCs w:val="20"/>
              </w:rPr>
              <w:t>措施</w:t>
            </w:r>
          </w:p>
        </w:tc>
        <w:tc>
          <w:tcPr>
            <w:tcW w:w="7944" w:type="dxa"/>
            <w:gridSpan w:val="4"/>
            <w:tcBorders>
              <w:right w:val="single" w:color="000000" w:sz="6" w:space="0"/>
            </w:tcBorders>
            <w:vAlign w:val="top"/>
          </w:tcPr>
          <w:p w14:paraId="0F0203FA">
            <w:pPr>
              <w:spacing w:line="262" w:lineRule="auto"/>
              <w:rPr>
                <w:rFonts w:ascii="Arial"/>
                <w:sz w:val="21"/>
              </w:rPr>
            </w:pPr>
          </w:p>
          <w:p w14:paraId="18DAB755">
            <w:pPr>
              <w:pStyle w:val="6"/>
              <w:spacing w:before="65" w:line="221" w:lineRule="auto"/>
              <w:ind w:left="55"/>
              <w:rPr>
                <w:sz w:val="20"/>
                <w:szCs w:val="20"/>
              </w:rPr>
            </w:pPr>
            <w:r>
              <w:rPr>
                <w:sz w:val="20"/>
                <w:szCs w:val="20"/>
              </w:rPr>
              <w:t>无</w:t>
            </w:r>
          </w:p>
        </w:tc>
      </w:tr>
      <w:tr w14:paraId="6716B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9" w:hRule="atLeast"/>
        </w:trPr>
        <w:tc>
          <w:tcPr>
            <w:tcW w:w="979" w:type="dxa"/>
            <w:tcBorders>
              <w:left w:val="single" w:color="000000" w:sz="6" w:space="0"/>
            </w:tcBorders>
            <w:vAlign w:val="top"/>
          </w:tcPr>
          <w:p w14:paraId="45BE9330">
            <w:pPr>
              <w:spacing w:line="260" w:lineRule="auto"/>
              <w:rPr>
                <w:rFonts w:ascii="Arial"/>
                <w:sz w:val="21"/>
              </w:rPr>
            </w:pPr>
          </w:p>
          <w:p w14:paraId="56895458">
            <w:pPr>
              <w:spacing w:line="260" w:lineRule="auto"/>
              <w:rPr>
                <w:rFonts w:ascii="Arial"/>
                <w:sz w:val="21"/>
              </w:rPr>
            </w:pPr>
          </w:p>
          <w:p w14:paraId="6E07C9DC">
            <w:pPr>
              <w:spacing w:line="260" w:lineRule="auto"/>
              <w:rPr>
                <w:rFonts w:ascii="Arial"/>
                <w:sz w:val="21"/>
              </w:rPr>
            </w:pPr>
          </w:p>
          <w:p w14:paraId="1AD8AE35">
            <w:pPr>
              <w:spacing w:line="261" w:lineRule="auto"/>
              <w:rPr>
                <w:rFonts w:ascii="Arial"/>
                <w:sz w:val="21"/>
              </w:rPr>
            </w:pPr>
          </w:p>
          <w:p w14:paraId="1524CB2B">
            <w:pPr>
              <w:spacing w:line="261" w:lineRule="auto"/>
              <w:rPr>
                <w:rFonts w:ascii="Arial"/>
                <w:sz w:val="21"/>
              </w:rPr>
            </w:pPr>
          </w:p>
          <w:p w14:paraId="1FEFDF8A">
            <w:pPr>
              <w:pStyle w:val="6"/>
              <w:spacing w:before="65" w:line="221" w:lineRule="auto"/>
              <w:ind w:left="119"/>
              <w:rPr>
                <w:sz w:val="20"/>
                <w:szCs w:val="20"/>
              </w:rPr>
            </w:pPr>
            <w:r>
              <w:rPr>
                <w:spacing w:val="-11"/>
                <w:sz w:val="20"/>
                <w:szCs w:val="20"/>
              </w:rPr>
              <w:t>环境风险</w:t>
            </w:r>
          </w:p>
          <w:p w14:paraId="7AA4378D">
            <w:pPr>
              <w:pStyle w:val="6"/>
              <w:spacing w:before="41" w:line="221" w:lineRule="auto"/>
              <w:ind w:left="131"/>
              <w:rPr>
                <w:sz w:val="20"/>
                <w:szCs w:val="20"/>
              </w:rPr>
            </w:pPr>
            <w:r>
              <w:rPr>
                <w:spacing w:val="-13"/>
                <w:sz w:val="20"/>
                <w:szCs w:val="20"/>
              </w:rPr>
              <w:t>防范措施</w:t>
            </w:r>
          </w:p>
        </w:tc>
        <w:tc>
          <w:tcPr>
            <w:tcW w:w="7944" w:type="dxa"/>
            <w:gridSpan w:val="4"/>
            <w:tcBorders>
              <w:right w:val="single" w:color="000000" w:sz="6" w:space="0"/>
            </w:tcBorders>
            <w:vAlign w:val="top"/>
          </w:tcPr>
          <w:p w14:paraId="7F46E655">
            <w:pPr>
              <w:pStyle w:val="6"/>
              <w:spacing w:before="149" w:line="340" w:lineRule="auto"/>
              <w:ind w:left="52" w:right="47" w:firstLine="399"/>
              <w:rPr>
                <w:sz w:val="20"/>
                <w:szCs w:val="20"/>
              </w:rPr>
            </w:pPr>
            <w:r>
              <w:rPr>
                <w:spacing w:val="1"/>
                <w:sz w:val="20"/>
                <w:szCs w:val="20"/>
              </w:rPr>
              <w:t>①对危废暂存间进行规范建设，采取防风、防雨、防渗、</w:t>
            </w:r>
            <w:r>
              <w:rPr>
                <w:sz w:val="20"/>
                <w:szCs w:val="20"/>
              </w:rPr>
              <w:t xml:space="preserve">防漏、防晒及防腐等环境污 </w:t>
            </w:r>
            <w:r>
              <w:rPr>
                <w:spacing w:val="1"/>
                <w:sz w:val="20"/>
                <w:szCs w:val="20"/>
              </w:rPr>
              <w:t>染防治措施，废矿物油容器周围应设防渗围堰，围堰高</w:t>
            </w:r>
            <w:r>
              <w:rPr>
                <w:sz w:val="20"/>
                <w:szCs w:val="20"/>
              </w:rPr>
              <w:t>度约</w:t>
            </w:r>
            <w:r>
              <w:rPr>
                <w:rFonts w:ascii="Times New Roman" w:hAnsi="Times New Roman" w:eastAsia="Times New Roman" w:cs="Times New Roman"/>
                <w:sz w:val="20"/>
                <w:szCs w:val="20"/>
              </w:rPr>
              <w:t>0.3m</w:t>
            </w:r>
            <w:r>
              <w:rPr>
                <w:sz w:val="20"/>
                <w:szCs w:val="20"/>
              </w:rPr>
              <w:t xml:space="preserve">。暂存间地面防渗层为至 </w:t>
            </w:r>
            <w:r>
              <w:rPr>
                <w:spacing w:val="1"/>
                <w:sz w:val="20"/>
                <w:szCs w:val="20"/>
              </w:rPr>
              <w:t>少</w:t>
            </w:r>
            <w:r>
              <w:rPr>
                <w:rFonts w:ascii="Times New Roman" w:hAnsi="Times New Roman" w:eastAsia="Times New Roman" w:cs="Times New Roman"/>
                <w:spacing w:val="1"/>
                <w:sz w:val="20"/>
                <w:szCs w:val="20"/>
              </w:rPr>
              <w:t>1</w:t>
            </w:r>
            <w:r>
              <w:rPr>
                <w:spacing w:val="1"/>
                <w:sz w:val="20"/>
                <w:szCs w:val="20"/>
              </w:rPr>
              <w:t>米厚粘土层</w:t>
            </w:r>
            <w:r>
              <w:rPr>
                <w:rFonts w:hint="eastAsia"/>
                <w:spacing w:val="1"/>
                <w:sz w:val="20"/>
                <w:szCs w:val="20"/>
                <w:lang w:eastAsia="zh-CN"/>
              </w:rPr>
              <w:t>（</w:t>
            </w:r>
            <w:r>
              <w:rPr>
                <w:spacing w:val="1"/>
                <w:sz w:val="20"/>
                <w:szCs w:val="20"/>
              </w:rPr>
              <w:t>渗透系数≤</w:t>
            </w:r>
            <w:r>
              <w:rPr>
                <w:rFonts w:ascii="Times New Roman" w:hAnsi="Times New Roman" w:eastAsia="Times New Roman" w:cs="Times New Roman"/>
                <w:spacing w:val="1"/>
                <w:sz w:val="20"/>
                <w:szCs w:val="20"/>
              </w:rPr>
              <w:t>10</w:t>
            </w:r>
            <w:r>
              <w:rPr>
                <w:rFonts w:hint="eastAsia" w:ascii="Times New Roman" w:hAnsi="Times New Roman" w:eastAsia="宋体" w:cs="Times New Roman"/>
                <w:spacing w:val="1"/>
                <w:sz w:val="20"/>
                <w:szCs w:val="20"/>
                <w:lang w:eastAsia="zh-CN"/>
              </w:rPr>
              <w:t>～</w:t>
            </w:r>
            <w:r>
              <w:rPr>
                <w:rFonts w:ascii="Times New Roman" w:hAnsi="Times New Roman" w:eastAsia="Times New Roman" w:cs="Times New Roman"/>
                <w:spacing w:val="1"/>
                <w:position w:val="6"/>
                <w:sz w:val="12"/>
                <w:szCs w:val="12"/>
              </w:rPr>
              <w:t>7</w:t>
            </w:r>
            <w:r>
              <w:rPr>
                <w:spacing w:val="1"/>
                <w:sz w:val="20"/>
                <w:szCs w:val="20"/>
              </w:rPr>
              <w:t>厘米</w:t>
            </w:r>
            <w:r>
              <w:rPr>
                <w:rFonts w:ascii="Times New Roman" w:hAnsi="Times New Roman" w:eastAsia="Times New Roman" w:cs="Times New Roman"/>
                <w:spacing w:val="1"/>
                <w:sz w:val="20"/>
                <w:szCs w:val="20"/>
              </w:rPr>
              <w:t>/</w:t>
            </w:r>
            <w:r>
              <w:rPr>
                <w:spacing w:val="1"/>
                <w:sz w:val="20"/>
                <w:szCs w:val="20"/>
              </w:rPr>
              <w:t>秒</w:t>
            </w:r>
            <w:r>
              <w:rPr>
                <w:rFonts w:hint="eastAsia"/>
                <w:spacing w:val="1"/>
                <w:sz w:val="20"/>
                <w:szCs w:val="20"/>
                <w:lang w:eastAsia="zh-CN"/>
              </w:rPr>
              <w:t>）</w:t>
            </w:r>
            <w:r>
              <w:rPr>
                <w:spacing w:val="1"/>
                <w:sz w:val="20"/>
                <w:szCs w:val="20"/>
              </w:rPr>
              <w:t>，或</w:t>
            </w:r>
            <w:r>
              <w:rPr>
                <w:rFonts w:ascii="Times New Roman" w:hAnsi="Times New Roman" w:eastAsia="Times New Roman" w:cs="Times New Roman"/>
                <w:spacing w:val="1"/>
                <w:sz w:val="20"/>
                <w:szCs w:val="20"/>
              </w:rPr>
              <w:t>2</w:t>
            </w:r>
            <w:r>
              <w:rPr>
                <w:spacing w:val="1"/>
                <w:sz w:val="20"/>
                <w:szCs w:val="20"/>
              </w:rPr>
              <w:t>毫米厚高密度聚乙烯，或至少</w:t>
            </w:r>
            <w:r>
              <w:rPr>
                <w:rFonts w:ascii="Times New Roman" w:hAnsi="Times New Roman" w:eastAsia="Times New Roman" w:cs="Times New Roman"/>
                <w:spacing w:val="1"/>
                <w:sz w:val="20"/>
                <w:szCs w:val="20"/>
              </w:rPr>
              <w:t>2</w:t>
            </w:r>
            <w:r>
              <w:rPr>
                <w:spacing w:val="1"/>
                <w:sz w:val="20"/>
                <w:szCs w:val="20"/>
              </w:rPr>
              <w:t>毫米厚的</w:t>
            </w:r>
            <w:r>
              <w:rPr>
                <w:rFonts w:hint="eastAsia"/>
                <w:spacing w:val="1"/>
                <w:sz w:val="20"/>
                <w:szCs w:val="20"/>
                <w:lang w:eastAsia="zh-CN"/>
              </w:rPr>
              <w:t>其他</w:t>
            </w:r>
            <w:r>
              <w:rPr>
                <w:sz w:val="20"/>
                <w:szCs w:val="20"/>
              </w:rPr>
              <w:t>人工材料，渗透系数≤</w:t>
            </w:r>
            <w:r>
              <w:rPr>
                <w:rFonts w:ascii="Times New Roman" w:hAnsi="Times New Roman" w:eastAsia="Times New Roman" w:cs="Times New Roman"/>
                <w:sz w:val="20"/>
                <w:szCs w:val="20"/>
              </w:rPr>
              <w:t>10</w:t>
            </w:r>
            <w:r>
              <w:rPr>
                <w:rFonts w:hint="eastAsia" w:ascii="Times New Roman" w:hAnsi="Times New Roman" w:eastAsia="宋体" w:cs="Times New Roman"/>
                <w:sz w:val="20"/>
                <w:szCs w:val="20"/>
                <w:lang w:eastAsia="zh-CN"/>
              </w:rPr>
              <w:t>～</w:t>
            </w:r>
            <w:r>
              <w:rPr>
                <w:rFonts w:ascii="Times New Roman" w:hAnsi="Times New Roman" w:eastAsia="Times New Roman" w:cs="Times New Roman"/>
                <w:position w:val="6"/>
                <w:sz w:val="12"/>
                <w:szCs w:val="12"/>
              </w:rPr>
              <w:t>10</w:t>
            </w:r>
            <w:r>
              <w:rPr>
                <w:sz w:val="20"/>
                <w:szCs w:val="20"/>
              </w:rPr>
              <w:t>厘米</w:t>
            </w:r>
            <w:r>
              <w:rPr>
                <w:rFonts w:ascii="Times New Roman" w:hAnsi="Times New Roman" w:eastAsia="Times New Roman" w:cs="Times New Roman"/>
                <w:sz w:val="20"/>
                <w:szCs w:val="20"/>
              </w:rPr>
              <w:t>/</w:t>
            </w:r>
            <w:r>
              <w:rPr>
                <w:sz w:val="20"/>
                <w:szCs w:val="20"/>
              </w:rPr>
              <w:t>秒。废矿物油等危险废物采用专用油桶暂存，储存间设置</w:t>
            </w:r>
            <w:r>
              <w:rPr>
                <w:spacing w:val="15"/>
                <w:sz w:val="20"/>
                <w:szCs w:val="20"/>
              </w:rPr>
              <w:t xml:space="preserve"> </w:t>
            </w:r>
            <w:r>
              <w:rPr>
                <w:spacing w:val="-2"/>
                <w:sz w:val="20"/>
                <w:szCs w:val="20"/>
              </w:rPr>
              <w:t>在密闭的房间内，储存容器下方配置防流失托盘。</w:t>
            </w:r>
          </w:p>
          <w:p w14:paraId="0625F343">
            <w:pPr>
              <w:pStyle w:val="6"/>
              <w:spacing w:before="159" w:line="320" w:lineRule="auto"/>
              <w:ind w:left="54" w:right="52" w:firstLine="397"/>
              <w:rPr>
                <w:sz w:val="20"/>
                <w:szCs w:val="20"/>
              </w:rPr>
            </w:pPr>
            <w:r>
              <w:rPr>
                <w:spacing w:val="1"/>
                <w:sz w:val="20"/>
                <w:szCs w:val="20"/>
              </w:rPr>
              <w:t>②危废暂存间等易燃物质区域配备一定数量的消防器材，预</w:t>
            </w:r>
            <w:r>
              <w:rPr>
                <w:sz w:val="20"/>
                <w:szCs w:val="20"/>
              </w:rPr>
              <w:t xml:space="preserve">防火灾事故发生。认真贯 </w:t>
            </w:r>
            <w:r>
              <w:rPr>
                <w:spacing w:val="1"/>
                <w:sz w:val="20"/>
                <w:szCs w:val="20"/>
              </w:rPr>
              <w:t>彻“安全第一，预防为主”的方针，安排专门的人员定期负</w:t>
            </w:r>
            <w:r>
              <w:rPr>
                <w:sz w:val="20"/>
                <w:szCs w:val="20"/>
              </w:rPr>
              <w:t xml:space="preserve">责检查。设置专人看管，防止 </w:t>
            </w:r>
            <w:r>
              <w:rPr>
                <w:spacing w:val="1"/>
                <w:sz w:val="20"/>
                <w:szCs w:val="20"/>
              </w:rPr>
              <w:t>危废流失进入外环境。暂存间设置警示标志，无关人员不得</w:t>
            </w:r>
            <w:r>
              <w:rPr>
                <w:sz w:val="20"/>
                <w:szCs w:val="20"/>
              </w:rPr>
              <w:t>入内，建立危废台账，加强危</w:t>
            </w:r>
          </w:p>
        </w:tc>
      </w:tr>
    </w:tbl>
    <w:p w14:paraId="431AAAD6">
      <w:pPr>
        <w:rPr>
          <w:rFonts w:ascii="Arial"/>
          <w:sz w:val="21"/>
        </w:rPr>
      </w:pPr>
    </w:p>
    <w:p w14:paraId="5F16E182">
      <w:pPr>
        <w:rPr>
          <w:rFonts w:ascii="Arial" w:hAnsi="Arial" w:eastAsia="Arial" w:cs="Arial"/>
          <w:sz w:val="21"/>
          <w:szCs w:val="21"/>
        </w:rPr>
        <w:sectPr>
          <w:footerReference r:id="rId76" w:type="default"/>
          <w:pgSz w:w="11907" w:h="16839"/>
          <w:pgMar w:top="1431" w:right="1483" w:bottom="1055" w:left="1484" w:header="0" w:footer="801" w:gutter="0"/>
          <w:cols w:space="720" w:num="1"/>
        </w:sectPr>
      </w:pPr>
    </w:p>
    <w:p w14:paraId="28EC6FBC">
      <w:pPr>
        <w:spacing w:before="28"/>
      </w:pPr>
    </w:p>
    <w:tbl>
      <w:tblPr>
        <w:tblStyle w:val="5"/>
        <w:tblW w:w="892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9"/>
        <w:gridCol w:w="7944"/>
      </w:tblGrid>
      <w:tr w14:paraId="72DBD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7" w:hRule="atLeast"/>
        </w:trPr>
        <w:tc>
          <w:tcPr>
            <w:tcW w:w="979" w:type="dxa"/>
            <w:tcBorders>
              <w:left w:val="single" w:color="000000" w:sz="6" w:space="0"/>
            </w:tcBorders>
            <w:vAlign w:val="top"/>
          </w:tcPr>
          <w:p w14:paraId="6846DDAB">
            <w:pPr>
              <w:rPr>
                <w:rFonts w:ascii="Arial"/>
                <w:sz w:val="21"/>
              </w:rPr>
            </w:pPr>
          </w:p>
        </w:tc>
        <w:tc>
          <w:tcPr>
            <w:tcW w:w="7944" w:type="dxa"/>
            <w:tcBorders>
              <w:right w:val="single" w:color="000000" w:sz="6" w:space="0"/>
            </w:tcBorders>
            <w:vAlign w:val="top"/>
          </w:tcPr>
          <w:p w14:paraId="179B7F88">
            <w:pPr>
              <w:pStyle w:val="6"/>
              <w:spacing w:before="151" w:line="370" w:lineRule="auto"/>
              <w:ind w:left="53" w:right="52" w:firstLine="11"/>
              <w:rPr>
                <w:sz w:val="20"/>
                <w:szCs w:val="20"/>
              </w:rPr>
            </w:pPr>
            <w:r>
              <w:rPr>
                <w:sz w:val="20"/>
                <w:szCs w:val="20"/>
              </w:rPr>
              <w:t>险废物管理。严格控制危险废物的储存量，达到一定量时立即通知资质单位转移处置，尽</w:t>
            </w:r>
            <w:r>
              <w:rPr>
                <w:spacing w:val="15"/>
                <w:sz w:val="20"/>
                <w:szCs w:val="20"/>
              </w:rPr>
              <w:t xml:space="preserve"> </w:t>
            </w:r>
            <w:r>
              <w:rPr>
                <w:spacing w:val="-1"/>
                <w:sz w:val="20"/>
                <w:szCs w:val="20"/>
              </w:rPr>
              <w:t>量避免长时间暂存。定期对厂区内的危废暂存间等进行检查。</w:t>
            </w:r>
          </w:p>
          <w:p w14:paraId="250C3333">
            <w:pPr>
              <w:pStyle w:val="6"/>
              <w:spacing w:before="1" w:line="339" w:lineRule="auto"/>
              <w:ind w:left="52" w:right="52" w:firstLine="398"/>
              <w:rPr>
                <w:sz w:val="20"/>
                <w:szCs w:val="20"/>
              </w:rPr>
            </w:pPr>
            <w:r>
              <w:rPr>
                <w:spacing w:val="1"/>
                <w:sz w:val="20"/>
                <w:szCs w:val="20"/>
              </w:rPr>
              <w:t>③危废暂存间外设置明显的标识、标牌，严禁烟火等。暂存</w:t>
            </w:r>
            <w:r>
              <w:rPr>
                <w:sz w:val="20"/>
                <w:szCs w:val="20"/>
              </w:rPr>
              <w:t xml:space="preserve">间内分类设置各类危废的 </w:t>
            </w:r>
            <w:r>
              <w:rPr>
                <w:spacing w:val="1"/>
                <w:sz w:val="20"/>
                <w:szCs w:val="20"/>
              </w:rPr>
              <w:t>储存区域，并设置明显标识。根据《</w:t>
            </w:r>
            <w:r>
              <w:rPr>
                <w:rFonts w:hint="eastAsia"/>
                <w:spacing w:val="1"/>
                <w:sz w:val="20"/>
                <w:szCs w:val="20"/>
                <w:lang w:eastAsia="zh-CN"/>
              </w:rPr>
              <w:t>中华人民共和国固体废物污染环境防治法》的</w:t>
            </w:r>
            <w:r>
              <w:rPr>
                <w:sz w:val="20"/>
                <w:szCs w:val="20"/>
              </w:rPr>
              <w:t xml:space="preserve">规定要求，产 </w:t>
            </w:r>
            <w:r>
              <w:rPr>
                <w:spacing w:val="1"/>
                <w:sz w:val="20"/>
                <w:szCs w:val="20"/>
              </w:rPr>
              <w:t>生的危险废物应严格按照《四川省环境保护厅关于进一步规范</w:t>
            </w:r>
            <w:r>
              <w:rPr>
                <w:sz w:val="20"/>
                <w:szCs w:val="20"/>
              </w:rPr>
              <w:t xml:space="preserve">危险废物省内转移工作的通 </w:t>
            </w:r>
            <w:r>
              <w:rPr>
                <w:spacing w:val="1"/>
                <w:sz w:val="20"/>
                <w:szCs w:val="20"/>
              </w:rPr>
              <w:t>知》（川环函〔</w:t>
            </w:r>
            <w:r>
              <w:rPr>
                <w:rFonts w:ascii="Times New Roman" w:hAnsi="Times New Roman" w:eastAsia="Times New Roman" w:cs="Times New Roman"/>
                <w:spacing w:val="1"/>
                <w:sz w:val="20"/>
                <w:szCs w:val="20"/>
              </w:rPr>
              <w:t>2017</w:t>
            </w:r>
            <w:r>
              <w:rPr>
                <w:spacing w:val="1"/>
                <w:sz w:val="20"/>
                <w:szCs w:val="20"/>
              </w:rPr>
              <w:t>〕</w:t>
            </w:r>
            <w:r>
              <w:rPr>
                <w:rFonts w:ascii="Times New Roman" w:hAnsi="Times New Roman" w:eastAsia="Times New Roman" w:cs="Times New Roman"/>
                <w:spacing w:val="1"/>
                <w:sz w:val="20"/>
                <w:szCs w:val="20"/>
              </w:rPr>
              <w:t xml:space="preserve">710  </w:t>
            </w:r>
            <w:r>
              <w:rPr>
                <w:spacing w:val="1"/>
                <w:sz w:val="20"/>
                <w:szCs w:val="20"/>
              </w:rPr>
              <w:t>号）危险废物处置之前，</w:t>
            </w:r>
            <w:r>
              <w:rPr>
                <w:sz w:val="20"/>
                <w:szCs w:val="20"/>
              </w:rPr>
              <w:t xml:space="preserve">厂内临时储存和运输也应按照危险废 </w:t>
            </w:r>
            <w:r>
              <w:rPr>
                <w:spacing w:val="-1"/>
                <w:sz w:val="20"/>
                <w:szCs w:val="20"/>
              </w:rPr>
              <w:t>物管理和处置相关要求进行。</w:t>
            </w:r>
          </w:p>
          <w:p w14:paraId="30905B23">
            <w:pPr>
              <w:pStyle w:val="6"/>
              <w:spacing w:before="161" w:line="295" w:lineRule="auto"/>
              <w:ind w:left="56" w:right="54" w:firstLine="395"/>
              <w:rPr>
                <w:sz w:val="20"/>
                <w:szCs w:val="20"/>
              </w:rPr>
            </w:pPr>
            <w:r>
              <w:rPr>
                <w:spacing w:val="1"/>
                <w:sz w:val="20"/>
                <w:szCs w:val="20"/>
              </w:rPr>
              <w:t>④做好车间通风和禁火工作，重点防火单元应禁止吸烟、使</w:t>
            </w:r>
            <w:r>
              <w:rPr>
                <w:sz w:val="20"/>
                <w:szCs w:val="20"/>
              </w:rPr>
              <w:t xml:space="preserve">用明火，同时应避免电路 </w:t>
            </w:r>
            <w:r>
              <w:rPr>
                <w:spacing w:val="-1"/>
                <w:sz w:val="20"/>
                <w:szCs w:val="20"/>
              </w:rPr>
              <w:t>短路引起火灾。若一旦发生事故，立即启动应急预案。</w:t>
            </w:r>
          </w:p>
          <w:p w14:paraId="105D2339">
            <w:pPr>
              <w:pStyle w:val="6"/>
              <w:spacing w:before="160" w:line="320" w:lineRule="auto"/>
              <w:ind w:left="52" w:firstLine="399"/>
              <w:rPr>
                <w:sz w:val="20"/>
                <w:szCs w:val="20"/>
              </w:rPr>
            </w:pPr>
            <w:r>
              <w:rPr>
                <w:spacing w:val="-3"/>
                <w:sz w:val="20"/>
                <w:szCs w:val="20"/>
              </w:rPr>
              <w:t>⑤建立防火</w:t>
            </w:r>
            <w:bookmarkStart w:id="0" w:name="_GoBack"/>
            <w:bookmarkEnd w:id="0"/>
            <w:r>
              <w:rPr>
                <w:spacing w:val="-3"/>
                <w:sz w:val="20"/>
                <w:szCs w:val="20"/>
              </w:rPr>
              <w:t>档案，确定消防安全重点部位，设置防火标志。同时加强管理，</w:t>
            </w:r>
            <w:r>
              <w:rPr>
                <w:spacing w:val="-4"/>
                <w:sz w:val="20"/>
                <w:szCs w:val="20"/>
              </w:rPr>
              <w:t>严禁烟火，</w:t>
            </w:r>
            <w:r>
              <w:rPr>
                <w:sz w:val="20"/>
                <w:szCs w:val="20"/>
              </w:rPr>
              <w:t xml:space="preserve"> </w:t>
            </w:r>
            <w:r>
              <w:rPr>
                <w:spacing w:val="1"/>
                <w:sz w:val="20"/>
                <w:szCs w:val="20"/>
              </w:rPr>
              <w:t>定期检查电路状况。配备充足的灭火设施。实行每日</w:t>
            </w:r>
            <w:r>
              <w:rPr>
                <w:sz w:val="20"/>
                <w:szCs w:val="20"/>
              </w:rPr>
              <w:t xml:space="preserve">防火巡查，并建立巡查记录。对职工 </w:t>
            </w:r>
            <w:r>
              <w:rPr>
                <w:spacing w:val="-3"/>
                <w:sz w:val="20"/>
                <w:szCs w:val="20"/>
              </w:rPr>
              <w:t>进行消防安全培训。</w:t>
            </w:r>
          </w:p>
          <w:p w14:paraId="4C96DD03">
            <w:pPr>
              <w:pStyle w:val="6"/>
              <w:spacing w:before="160" w:line="332" w:lineRule="auto"/>
              <w:ind w:left="53" w:right="52" w:firstLine="397"/>
              <w:rPr>
                <w:sz w:val="20"/>
                <w:szCs w:val="20"/>
              </w:rPr>
            </w:pPr>
            <w:r>
              <w:rPr>
                <w:spacing w:val="1"/>
                <w:sz w:val="20"/>
                <w:szCs w:val="20"/>
              </w:rPr>
              <w:t>⑥制定灭火和应急疏散方案，定期组织消防演练。执行有关</w:t>
            </w:r>
            <w:r>
              <w:rPr>
                <w:sz w:val="20"/>
                <w:szCs w:val="20"/>
              </w:rPr>
              <w:t xml:space="preserve">防火安全规定和文件，组 </w:t>
            </w:r>
            <w:r>
              <w:rPr>
                <w:spacing w:val="1"/>
                <w:sz w:val="20"/>
                <w:szCs w:val="20"/>
              </w:rPr>
              <w:t>织实施消防安全制度。制订岗位防火责任制和安全操作规程</w:t>
            </w:r>
            <w:r>
              <w:rPr>
                <w:sz w:val="20"/>
                <w:szCs w:val="20"/>
              </w:rPr>
              <w:t xml:space="preserve">，定期检查执行情况。保障电 </w:t>
            </w:r>
            <w:r>
              <w:rPr>
                <w:spacing w:val="1"/>
                <w:sz w:val="20"/>
                <w:szCs w:val="20"/>
              </w:rPr>
              <w:t>话等</w:t>
            </w:r>
            <w:r>
              <w:rPr>
                <w:rFonts w:hint="eastAsia"/>
                <w:spacing w:val="1"/>
                <w:sz w:val="20"/>
                <w:szCs w:val="20"/>
                <w:lang w:eastAsia="zh-CN"/>
              </w:rPr>
              <w:t>通信畅通</w:t>
            </w:r>
            <w:r>
              <w:rPr>
                <w:spacing w:val="1"/>
                <w:sz w:val="20"/>
                <w:szCs w:val="20"/>
              </w:rPr>
              <w:t>，配置火灾自动报警及联动控制系统，及早发</w:t>
            </w:r>
            <w:r>
              <w:rPr>
                <w:sz w:val="20"/>
                <w:szCs w:val="20"/>
              </w:rPr>
              <w:t xml:space="preserve">现火灾危险，将风险控制在最 </w:t>
            </w:r>
            <w:r>
              <w:rPr>
                <w:spacing w:val="-2"/>
                <w:sz w:val="20"/>
                <w:szCs w:val="20"/>
              </w:rPr>
              <w:t>小范围内。</w:t>
            </w:r>
          </w:p>
          <w:p w14:paraId="5D0CB52E">
            <w:pPr>
              <w:pStyle w:val="6"/>
              <w:spacing w:before="163" w:line="369" w:lineRule="auto"/>
              <w:ind w:left="55" w:right="52" w:firstLine="397"/>
              <w:jc w:val="both"/>
              <w:rPr>
                <w:rFonts w:hint="eastAsia" w:eastAsia="宋体"/>
                <w:sz w:val="20"/>
                <w:szCs w:val="20"/>
                <w:lang w:val="en-US" w:eastAsia="zh-CN"/>
              </w:rPr>
            </w:pPr>
            <w:r>
              <w:rPr>
                <w:spacing w:val="1"/>
                <w:sz w:val="20"/>
                <w:szCs w:val="20"/>
              </w:rPr>
              <w:t>应急措施迅速撤离火灾区域与消防灭火无关人员至安全区</w:t>
            </w:r>
            <w:r>
              <w:rPr>
                <w:sz w:val="20"/>
                <w:szCs w:val="20"/>
              </w:rPr>
              <w:t xml:space="preserve">。同时场内应急处理人员进 </w:t>
            </w:r>
            <w:r>
              <w:rPr>
                <w:spacing w:val="1"/>
                <w:sz w:val="20"/>
                <w:szCs w:val="20"/>
              </w:rPr>
              <w:t>行紧急处理，控制火势。与消防专业机构保持密切联系。</w:t>
            </w:r>
            <w:r>
              <w:rPr>
                <w:sz w:val="20"/>
                <w:szCs w:val="20"/>
              </w:rPr>
              <w:t xml:space="preserve">事故发生时立即向消防专业机构 </w:t>
            </w:r>
            <w:r>
              <w:rPr>
                <w:spacing w:val="-9"/>
                <w:sz w:val="20"/>
                <w:szCs w:val="20"/>
              </w:rPr>
              <w:t>求援。</w:t>
            </w:r>
            <w:r>
              <w:rPr>
                <w:rFonts w:hint="eastAsia"/>
                <w:spacing w:val="-9"/>
                <w:sz w:val="20"/>
                <w:szCs w:val="20"/>
                <w:lang w:val="en-US" w:eastAsia="zh-CN"/>
              </w:rPr>
              <w:t>0</w:t>
            </w:r>
          </w:p>
          <w:p w14:paraId="4A515D01">
            <w:pPr>
              <w:pStyle w:val="6"/>
              <w:spacing w:before="1" w:line="294" w:lineRule="auto"/>
              <w:ind w:left="58" w:right="54" w:firstLine="393"/>
              <w:rPr>
                <w:sz w:val="20"/>
                <w:szCs w:val="20"/>
              </w:rPr>
            </w:pPr>
            <w:r>
              <w:rPr>
                <w:spacing w:val="1"/>
                <w:sz w:val="20"/>
                <w:szCs w:val="20"/>
              </w:rPr>
              <w:t>⑦定期对除尘系统的各类设备进行保养、检查和维修，确保</w:t>
            </w:r>
            <w:r>
              <w:rPr>
                <w:sz w:val="20"/>
                <w:szCs w:val="20"/>
              </w:rPr>
              <w:t xml:space="preserve">集气系统和除尘系统的正 </w:t>
            </w:r>
            <w:r>
              <w:rPr>
                <w:spacing w:val="-1"/>
                <w:sz w:val="20"/>
                <w:szCs w:val="20"/>
              </w:rPr>
              <w:t>常运行，及时更换破损的除尘布袋，确保处理效率。</w:t>
            </w:r>
          </w:p>
          <w:p w14:paraId="6A8B644E">
            <w:pPr>
              <w:pStyle w:val="6"/>
              <w:spacing w:before="162" w:line="318" w:lineRule="auto"/>
              <w:ind w:left="54" w:right="49" w:firstLine="397"/>
              <w:rPr>
                <w:sz w:val="20"/>
                <w:szCs w:val="20"/>
              </w:rPr>
            </w:pPr>
            <w:r>
              <w:rPr>
                <w:spacing w:val="-2"/>
                <w:sz w:val="20"/>
                <w:szCs w:val="20"/>
              </w:rPr>
              <w:t>⑧按照《国家突发环境事件应急预案》（国办函〔</w:t>
            </w:r>
            <w:r>
              <w:rPr>
                <w:rFonts w:ascii="Times New Roman" w:hAnsi="Times New Roman" w:eastAsia="Times New Roman" w:cs="Times New Roman"/>
                <w:spacing w:val="-2"/>
                <w:sz w:val="20"/>
                <w:szCs w:val="20"/>
              </w:rPr>
              <w:t>2014</w:t>
            </w:r>
            <w:r>
              <w:rPr>
                <w:spacing w:val="-2"/>
                <w:sz w:val="20"/>
                <w:szCs w:val="20"/>
              </w:rPr>
              <w:t>〕</w:t>
            </w:r>
            <w:r>
              <w:rPr>
                <w:rFonts w:ascii="Times New Roman" w:hAnsi="Times New Roman" w:eastAsia="Times New Roman" w:cs="Times New Roman"/>
                <w:spacing w:val="-2"/>
                <w:sz w:val="20"/>
                <w:szCs w:val="20"/>
              </w:rPr>
              <w:t>119</w:t>
            </w:r>
            <w:r>
              <w:rPr>
                <w:spacing w:val="-2"/>
                <w:sz w:val="20"/>
                <w:szCs w:val="20"/>
              </w:rPr>
              <w:t>号）、地方和相关部门的</w:t>
            </w:r>
            <w:r>
              <w:rPr>
                <w:spacing w:val="14"/>
                <w:sz w:val="20"/>
                <w:szCs w:val="20"/>
              </w:rPr>
              <w:t xml:space="preserve"> </w:t>
            </w:r>
            <w:r>
              <w:rPr>
                <w:spacing w:val="1"/>
                <w:sz w:val="20"/>
                <w:szCs w:val="20"/>
              </w:rPr>
              <w:t>要求，制定符合项目实际需要的应急预案，并定期组织演练</w:t>
            </w:r>
            <w:r>
              <w:rPr>
                <w:sz w:val="20"/>
                <w:szCs w:val="20"/>
              </w:rPr>
              <w:t xml:space="preserve">，一旦发生事故，迅速采取有 </w:t>
            </w:r>
            <w:r>
              <w:rPr>
                <w:spacing w:val="-1"/>
                <w:sz w:val="20"/>
                <w:szCs w:val="20"/>
              </w:rPr>
              <w:t>效处理措施进行抢险修复，最大限度降低对周围环境和人民生命财产的危害。</w:t>
            </w:r>
          </w:p>
        </w:tc>
      </w:tr>
      <w:tr w14:paraId="11480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3" w:hRule="atLeast"/>
        </w:trPr>
        <w:tc>
          <w:tcPr>
            <w:tcW w:w="979" w:type="dxa"/>
            <w:tcBorders>
              <w:left w:val="single" w:color="000000" w:sz="6" w:space="0"/>
              <w:bottom w:val="single" w:color="000000" w:sz="6" w:space="0"/>
            </w:tcBorders>
            <w:vAlign w:val="top"/>
          </w:tcPr>
          <w:p w14:paraId="3A0797F7">
            <w:pPr>
              <w:spacing w:line="350" w:lineRule="auto"/>
              <w:rPr>
                <w:rFonts w:ascii="Arial"/>
                <w:sz w:val="21"/>
              </w:rPr>
            </w:pPr>
          </w:p>
          <w:p w14:paraId="2BEEDD26">
            <w:pPr>
              <w:pStyle w:val="6"/>
              <w:spacing w:before="65" w:line="221" w:lineRule="auto"/>
              <w:ind w:left="120"/>
              <w:rPr>
                <w:sz w:val="20"/>
                <w:szCs w:val="20"/>
              </w:rPr>
            </w:pPr>
            <w:r>
              <w:rPr>
                <w:spacing w:val="-11"/>
                <w:sz w:val="20"/>
                <w:szCs w:val="20"/>
              </w:rPr>
              <w:t>其他环境</w:t>
            </w:r>
          </w:p>
          <w:p w14:paraId="52B2B7A2">
            <w:pPr>
              <w:pStyle w:val="6"/>
              <w:spacing w:before="41" w:line="220" w:lineRule="auto"/>
              <w:ind w:left="124"/>
              <w:rPr>
                <w:sz w:val="20"/>
                <w:szCs w:val="20"/>
              </w:rPr>
            </w:pPr>
            <w:r>
              <w:rPr>
                <w:spacing w:val="-12"/>
                <w:sz w:val="20"/>
                <w:szCs w:val="20"/>
              </w:rPr>
              <w:t>管理要求</w:t>
            </w:r>
          </w:p>
        </w:tc>
        <w:tc>
          <w:tcPr>
            <w:tcW w:w="7944" w:type="dxa"/>
            <w:tcBorders>
              <w:bottom w:val="single" w:color="000000" w:sz="6" w:space="0"/>
              <w:right w:val="single" w:color="000000" w:sz="6" w:space="0"/>
            </w:tcBorders>
            <w:vAlign w:val="top"/>
          </w:tcPr>
          <w:p w14:paraId="47C21F21">
            <w:pPr>
              <w:spacing w:line="245" w:lineRule="auto"/>
              <w:rPr>
                <w:rFonts w:ascii="Arial"/>
                <w:sz w:val="21"/>
              </w:rPr>
            </w:pPr>
          </w:p>
          <w:p w14:paraId="5647E71B">
            <w:pPr>
              <w:spacing w:line="245" w:lineRule="auto"/>
              <w:rPr>
                <w:rFonts w:ascii="Arial"/>
                <w:sz w:val="21"/>
              </w:rPr>
            </w:pPr>
          </w:p>
          <w:p w14:paraId="6DE66276">
            <w:pPr>
              <w:pStyle w:val="6"/>
              <w:spacing w:before="65" w:line="221" w:lineRule="auto"/>
              <w:ind w:left="55"/>
              <w:rPr>
                <w:sz w:val="20"/>
                <w:szCs w:val="20"/>
              </w:rPr>
            </w:pPr>
            <w:r>
              <w:rPr>
                <w:sz w:val="20"/>
                <w:szCs w:val="20"/>
              </w:rPr>
              <w:t>无</w:t>
            </w:r>
          </w:p>
        </w:tc>
      </w:tr>
    </w:tbl>
    <w:p w14:paraId="05898F58">
      <w:pPr>
        <w:rPr>
          <w:rFonts w:ascii="Arial"/>
          <w:sz w:val="21"/>
        </w:rPr>
      </w:pPr>
    </w:p>
    <w:p w14:paraId="654FD20E">
      <w:pPr>
        <w:rPr>
          <w:rFonts w:ascii="Arial" w:hAnsi="Arial" w:eastAsia="Arial" w:cs="Arial"/>
          <w:sz w:val="21"/>
          <w:szCs w:val="21"/>
        </w:rPr>
        <w:sectPr>
          <w:footerReference r:id="rId77" w:type="default"/>
          <w:pgSz w:w="11907" w:h="16839"/>
          <w:pgMar w:top="1431" w:right="1483" w:bottom="1055" w:left="1484" w:header="0" w:footer="802" w:gutter="0"/>
          <w:cols w:space="720" w:num="1"/>
        </w:sectPr>
      </w:pPr>
    </w:p>
    <w:p w14:paraId="7C601374">
      <w:pPr>
        <w:spacing w:line="247" w:lineRule="auto"/>
        <w:rPr>
          <w:rFonts w:ascii="Arial"/>
          <w:sz w:val="21"/>
        </w:rPr>
      </w:pPr>
    </w:p>
    <w:p w14:paraId="406CF8E7">
      <w:pPr>
        <w:spacing w:line="248" w:lineRule="auto"/>
        <w:rPr>
          <w:rFonts w:ascii="Arial"/>
          <w:sz w:val="21"/>
        </w:rPr>
      </w:pPr>
    </w:p>
    <w:p w14:paraId="1C3B332E">
      <w:pPr>
        <w:spacing w:before="97" w:line="223" w:lineRule="auto"/>
        <w:ind w:left="3864" w:firstLine="1752" w:firstLineChars="600"/>
        <w:rPr>
          <w:rFonts w:ascii="黑体" w:hAnsi="黑体" w:eastAsia="黑体" w:cs="黑体"/>
          <w:spacing w:val="-4"/>
          <w:sz w:val="30"/>
          <w:szCs w:val="30"/>
        </w:rPr>
      </w:pPr>
    </w:p>
    <w:p w14:paraId="47AA5C85">
      <w:pPr>
        <w:spacing w:before="97" w:line="223" w:lineRule="auto"/>
        <w:ind w:left="3864" w:firstLine="1752" w:firstLineChars="600"/>
        <w:rPr>
          <w:rFonts w:ascii="黑体" w:hAnsi="黑体" w:eastAsia="黑体" w:cs="黑体"/>
          <w:spacing w:val="-4"/>
          <w:sz w:val="30"/>
          <w:szCs w:val="30"/>
        </w:rPr>
      </w:pPr>
    </w:p>
    <w:p w14:paraId="5FDC9B7C">
      <w:pPr>
        <w:spacing w:before="97" w:line="223" w:lineRule="auto"/>
        <w:ind w:firstLine="5548" w:firstLineChars="1900"/>
        <w:rPr>
          <w:rFonts w:ascii="黑体" w:hAnsi="黑体" w:eastAsia="黑体" w:cs="黑体"/>
          <w:sz w:val="30"/>
          <w:szCs w:val="30"/>
        </w:rPr>
      </w:pPr>
      <w:r>
        <w:rPr>
          <w:rFonts w:ascii="黑体" w:hAnsi="黑体" w:eastAsia="黑体" w:cs="黑体"/>
          <w:spacing w:val="-4"/>
          <w:sz w:val="30"/>
          <w:szCs w:val="30"/>
        </w:rPr>
        <w:t>六、结论</w:t>
      </w:r>
    </w:p>
    <w:tbl>
      <w:tblPr>
        <w:tblStyle w:val="5"/>
        <w:tblpPr w:leftFromText="180" w:rightFromText="180" w:vertAnchor="text" w:horzAnchor="page" w:tblpX="1627" w:tblpY="177"/>
        <w:tblOverlap w:val="never"/>
        <w:tblW w:w="8869"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869"/>
      </w:tblGrid>
      <w:tr w14:paraId="32DFB5B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000" w:hRule="atLeast"/>
        </w:trPr>
        <w:tc>
          <w:tcPr>
            <w:tcW w:w="8869" w:type="dxa"/>
            <w:vAlign w:val="top"/>
          </w:tcPr>
          <w:p w14:paraId="5A123542">
            <w:pPr>
              <w:spacing w:line="353" w:lineRule="auto"/>
              <w:rPr>
                <w:rFonts w:ascii="Arial"/>
                <w:sz w:val="21"/>
              </w:rPr>
            </w:pPr>
          </w:p>
          <w:p w14:paraId="48847F26">
            <w:pPr>
              <w:pStyle w:val="6"/>
              <w:spacing w:before="87" w:line="373" w:lineRule="auto"/>
              <w:ind w:left="112" w:right="58" w:firstLine="605"/>
              <w:jc w:val="both"/>
              <w:rPr>
                <w:sz w:val="27"/>
                <w:szCs w:val="27"/>
              </w:rPr>
            </w:pPr>
            <w:r>
              <w:rPr>
                <w:b/>
                <w:bCs/>
                <w:spacing w:val="28"/>
                <w:sz w:val="27"/>
                <w:szCs w:val="27"/>
              </w:rPr>
              <w:t>达州绿科新能源科技有限公司</w:t>
            </w:r>
            <w:r>
              <w:rPr>
                <w:rFonts w:ascii="Times New Roman" w:hAnsi="Times New Roman" w:eastAsia="Times New Roman" w:cs="Times New Roman"/>
                <w:b/>
                <w:bCs/>
                <w:spacing w:val="28"/>
                <w:sz w:val="27"/>
                <w:szCs w:val="27"/>
              </w:rPr>
              <w:t>“</w:t>
            </w:r>
            <w:r>
              <w:rPr>
                <w:b/>
                <w:bCs/>
                <w:spacing w:val="28"/>
                <w:sz w:val="27"/>
                <w:szCs w:val="27"/>
              </w:rPr>
              <w:t>绿科新能源生物质成型燃料生</w:t>
            </w:r>
            <w:r>
              <w:rPr>
                <w:spacing w:val="4"/>
                <w:sz w:val="27"/>
                <w:szCs w:val="27"/>
              </w:rPr>
              <w:t xml:space="preserve">  </w:t>
            </w:r>
            <w:r>
              <w:rPr>
                <w:b/>
                <w:bCs/>
                <w:spacing w:val="26"/>
                <w:sz w:val="27"/>
                <w:szCs w:val="27"/>
              </w:rPr>
              <w:t>产建设项目</w:t>
            </w:r>
            <w:r>
              <w:rPr>
                <w:rFonts w:ascii="Times New Roman" w:hAnsi="Times New Roman" w:eastAsia="Times New Roman" w:cs="Times New Roman"/>
                <w:b/>
                <w:bCs/>
                <w:spacing w:val="26"/>
                <w:sz w:val="27"/>
                <w:szCs w:val="27"/>
              </w:rPr>
              <w:t>”</w:t>
            </w:r>
            <w:r>
              <w:rPr>
                <w:b/>
                <w:bCs/>
                <w:spacing w:val="26"/>
                <w:sz w:val="27"/>
                <w:szCs w:val="27"/>
              </w:rPr>
              <w:t>符合国家产业政策和园区规划，</w:t>
            </w:r>
            <w:r>
              <w:rPr>
                <w:spacing w:val="-64"/>
                <w:sz w:val="27"/>
                <w:szCs w:val="27"/>
              </w:rPr>
              <w:t xml:space="preserve"> </w:t>
            </w:r>
            <w:r>
              <w:rPr>
                <w:b/>
                <w:bCs/>
                <w:spacing w:val="26"/>
                <w:sz w:val="27"/>
                <w:szCs w:val="27"/>
              </w:rPr>
              <w:t>周围无明显的环境制</w:t>
            </w:r>
            <w:r>
              <w:rPr>
                <w:sz w:val="27"/>
                <w:szCs w:val="27"/>
              </w:rPr>
              <w:t xml:space="preserve">  </w:t>
            </w:r>
            <w:r>
              <w:rPr>
                <w:b/>
                <w:bCs/>
                <w:spacing w:val="24"/>
                <w:sz w:val="27"/>
                <w:szCs w:val="27"/>
              </w:rPr>
              <w:t>约因素，项目平面布置合理可行。本项目拟采取的各项污染防治措</w:t>
            </w:r>
            <w:r>
              <w:rPr>
                <w:sz w:val="27"/>
                <w:szCs w:val="27"/>
              </w:rPr>
              <w:t xml:space="preserve">  </w:t>
            </w:r>
            <w:r>
              <w:rPr>
                <w:b/>
                <w:bCs/>
                <w:spacing w:val="24"/>
                <w:sz w:val="27"/>
                <w:szCs w:val="27"/>
              </w:rPr>
              <w:t>施经济技术可行、措施有效。建设单位只要严格落实本报告提出的</w:t>
            </w:r>
            <w:r>
              <w:rPr>
                <w:sz w:val="27"/>
                <w:szCs w:val="27"/>
              </w:rPr>
              <w:t xml:space="preserve">  </w:t>
            </w:r>
            <w:r>
              <w:rPr>
                <w:b/>
                <w:bCs/>
                <w:spacing w:val="24"/>
                <w:sz w:val="27"/>
                <w:szCs w:val="27"/>
              </w:rPr>
              <w:t>环保措施，</w:t>
            </w:r>
            <w:r>
              <w:rPr>
                <w:spacing w:val="-57"/>
                <w:sz w:val="27"/>
                <w:szCs w:val="27"/>
              </w:rPr>
              <w:t xml:space="preserve"> </w:t>
            </w:r>
            <w:r>
              <w:rPr>
                <w:b/>
                <w:bCs/>
                <w:spacing w:val="24"/>
                <w:sz w:val="27"/>
                <w:szCs w:val="27"/>
              </w:rPr>
              <w:t>能够最大限度地减轻项目建设对周围环境造</w:t>
            </w:r>
            <w:r>
              <w:rPr>
                <w:b/>
                <w:bCs/>
                <w:spacing w:val="23"/>
                <w:sz w:val="27"/>
                <w:szCs w:val="27"/>
              </w:rPr>
              <w:t>成的影响，</w:t>
            </w:r>
            <w:r>
              <w:rPr>
                <w:sz w:val="27"/>
                <w:szCs w:val="27"/>
              </w:rPr>
              <w:t xml:space="preserve"> </w:t>
            </w:r>
            <w:r>
              <w:rPr>
                <w:b/>
                <w:bCs/>
                <w:spacing w:val="24"/>
                <w:sz w:val="27"/>
                <w:szCs w:val="27"/>
              </w:rPr>
              <w:t>项目的环境影响为可接受程度，环境风险可控，污染物排放符合总</w:t>
            </w:r>
            <w:r>
              <w:rPr>
                <w:sz w:val="27"/>
                <w:szCs w:val="27"/>
              </w:rPr>
              <w:t xml:space="preserve">  </w:t>
            </w:r>
            <w:r>
              <w:rPr>
                <w:b/>
                <w:bCs/>
                <w:spacing w:val="19"/>
                <w:sz w:val="27"/>
                <w:szCs w:val="27"/>
              </w:rPr>
              <w:t>量控制要求。</w:t>
            </w:r>
          </w:p>
          <w:p w14:paraId="578203E5">
            <w:pPr>
              <w:pStyle w:val="6"/>
              <w:spacing w:line="225" w:lineRule="auto"/>
              <w:ind w:left="741"/>
              <w:rPr>
                <w:sz w:val="27"/>
                <w:szCs w:val="27"/>
              </w:rPr>
            </w:pPr>
            <w:r>
              <w:rPr>
                <w:b/>
                <w:bCs/>
                <w:spacing w:val="21"/>
                <w:sz w:val="27"/>
                <w:szCs w:val="27"/>
              </w:rPr>
              <w:t>因此，</w:t>
            </w:r>
            <w:r>
              <w:rPr>
                <w:spacing w:val="-60"/>
                <w:sz w:val="27"/>
                <w:szCs w:val="27"/>
              </w:rPr>
              <w:t xml:space="preserve"> </w:t>
            </w:r>
            <w:r>
              <w:rPr>
                <w:b/>
                <w:bCs/>
                <w:spacing w:val="21"/>
                <w:sz w:val="27"/>
                <w:szCs w:val="27"/>
              </w:rPr>
              <w:t>从环保角度论证，</w:t>
            </w:r>
            <w:r>
              <w:rPr>
                <w:spacing w:val="-67"/>
                <w:sz w:val="27"/>
                <w:szCs w:val="27"/>
              </w:rPr>
              <w:t xml:space="preserve"> </w:t>
            </w:r>
            <w:r>
              <w:rPr>
                <w:b/>
                <w:bCs/>
                <w:spacing w:val="21"/>
                <w:sz w:val="27"/>
                <w:szCs w:val="27"/>
              </w:rPr>
              <w:t>本项目在所选地址建设是可行的。</w:t>
            </w:r>
          </w:p>
        </w:tc>
      </w:tr>
    </w:tbl>
    <w:p w14:paraId="32EC9F51">
      <w:pPr>
        <w:spacing w:before="18"/>
      </w:pPr>
    </w:p>
    <w:p w14:paraId="658EE864">
      <w:pPr>
        <w:rPr>
          <w:rFonts w:ascii="Arial"/>
          <w:sz w:val="21"/>
        </w:rPr>
      </w:pPr>
    </w:p>
    <w:p w14:paraId="461A6775">
      <w:pPr>
        <w:rPr>
          <w:rFonts w:ascii="Arial"/>
          <w:sz w:val="21"/>
        </w:rPr>
      </w:pPr>
    </w:p>
    <w:p w14:paraId="5BA613AB">
      <w:pPr>
        <w:rPr>
          <w:rFonts w:ascii="Arial"/>
          <w:sz w:val="21"/>
        </w:rPr>
      </w:pPr>
    </w:p>
    <w:sectPr>
      <w:headerReference r:id="rId78" w:type="default"/>
      <w:footerReference r:id="rId79" w:type="default"/>
      <w:pgSz w:w="11909" w:h="16849"/>
      <w:pgMar w:top="1" w:right="0" w:bottom="1"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6"/>
    <w:family w:val="auto"/>
    <w:pitch w:val="default"/>
    <w:sig w:usb0="E00002FF" w:usb1="6AC7FDFB" w:usb2="08000012" w:usb3="00000000" w:csb0="4002009F" w:csb1="DFD70000"/>
  </w:font>
  <w:font w:name="Segoe UI Symbol">
    <w:panose1 w:val="020B0502040204020203"/>
    <w:charset w:val="00"/>
    <w:family w:val="auto"/>
    <w:pitch w:val="default"/>
    <w:sig w:usb0="800001E3" w:usb1="1200FFEF" w:usb2="00040000" w:usb3="04000000" w:csb0="00000001" w:csb1="4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AEFED">
    <w:pPr>
      <w:spacing w:line="239" w:lineRule="auto"/>
      <w:ind w:right="14"/>
      <w:jc w:val="right"/>
      <w:rPr>
        <w:rFonts w:ascii="Calibri" w:hAnsi="Calibri" w:eastAsia="Calibri" w:cs="Calibri"/>
        <w:sz w:val="20"/>
        <w:szCs w:val="20"/>
      </w:rPr>
    </w:pPr>
    <w:r>
      <w:rPr>
        <w:rFonts w:ascii="Calibri" w:hAnsi="Calibri" w:eastAsia="Calibri" w:cs="Calibri"/>
        <w:spacing w:val="-8"/>
        <w:sz w:val="20"/>
        <w:szCs w:val="20"/>
      </w:rPr>
      <w:t>-</w:t>
    </w:r>
    <w:r>
      <w:rPr>
        <w:rFonts w:ascii="Calibri" w:hAnsi="Calibri" w:eastAsia="Calibri" w:cs="Calibri"/>
        <w:spacing w:val="17"/>
        <w:sz w:val="20"/>
        <w:szCs w:val="20"/>
      </w:rPr>
      <w:t xml:space="preserve"> </w:t>
    </w:r>
    <w:r>
      <w:rPr>
        <w:rFonts w:ascii="Calibri" w:hAnsi="Calibri" w:eastAsia="Calibri" w:cs="Calibri"/>
        <w:spacing w:val="-8"/>
        <w:sz w:val="20"/>
        <w:szCs w:val="20"/>
      </w:rPr>
      <w:t>1</w:t>
    </w:r>
    <w:r>
      <w:rPr>
        <w:rFonts w:ascii="Calibri" w:hAnsi="Calibri" w:eastAsia="Calibri" w:cs="Calibri"/>
        <w:spacing w:val="7"/>
        <w:sz w:val="20"/>
        <w:szCs w:val="20"/>
      </w:rPr>
      <w:t xml:space="preserve"> </w:t>
    </w:r>
    <w:r>
      <w:rPr>
        <w:rFonts w:ascii="Calibri" w:hAnsi="Calibri" w:eastAsia="Calibri" w:cs="Calibri"/>
        <w:spacing w:val="-8"/>
        <w:sz w:val="20"/>
        <w:szCs w:val="20"/>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E654A">
    <w:pPr>
      <w:spacing w:line="238" w:lineRule="auto"/>
      <w:ind w:left="13109"/>
      <w:rPr>
        <w:rFonts w:ascii="Calibri" w:hAnsi="Calibri" w:eastAsia="Calibri" w:cs="Calibri"/>
        <w:sz w:val="20"/>
        <w:szCs w:val="20"/>
      </w:rPr>
    </w:pPr>
    <w:r>
      <w:rPr>
        <w:rFonts w:ascii="Calibri" w:hAnsi="Calibri" w:eastAsia="Calibri" w:cs="Calibri"/>
        <w:spacing w:val="-6"/>
        <w:sz w:val="20"/>
        <w:szCs w:val="20"/>
      </w:rPr>
      <w:t>-</w:t>
    </w:r>
    <w:r>
      <w:rPr>
        <w:rFonts w:ascii="Calibri" w:hAnsi="Calibri" w:eastAsia="Calibri" w:cs="Calibri"/>
        <w:spacing w:val="17"/>
        <w:sz w:val="20"/>
        <w:szCs w:val="20"/>
      </w:rPr>
      <w:t xml:space="preserve"> </w:t>
    </w:r>
    <w:r>
      <w:rPr>
        <w:rFonts w:ascii="Calibri" w:hAnsi="Calibri" w:eastAsia="Calibri" w:cs="Calibri"/>
        <w:spacing w:val="-6"/>
        <w:sz w:val="20"/>
        <w:szCs w:val="20"/>
      </w:rPr>
      <w:t>10</w:t>
    </w:r>
    <w:r>
      <w:rPr>
        <w:rFonts w:ascii="Calibri" w:hAnsi="Calibri" w:eastAsia="Calibri" w:cs="Calibri"/>
        <w:spacing w:val="6"/>
        <w:sz w:val="20"/>
        <w:szCs w:val="20"/>
      </w:rPr>
      <w:t xml:space="preserve"> </w:t>
    </w:r>
    <w:r>
      <w:rPr>
        <w:rFonts w:ascii="Calibri" w:hAnsi="Calibri" w:eastAsia="Calibri" w:cs="Calibri"/>
        <w:spacing w:val="-6"/>
        <w:sz w:val="20"/>
        <w:szCs w:val="20"/>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80A4C">
    <w:pPr>
      <w:spacing w:line="239" w:lineRule="auto"/>
      <w:ind w:left="13109"/>
      <w:rPr>
        <w:rFonts w:ascii="Calibri" w:hAnsi="Calibri" w:eastAsia="Calibri" w:cs="Calibri"/>
        <w:sz w:val="20"/>
        <w:szCs w:val="20"/>
      </w:rPr>
    </w:pPr>
    <w:r>
      <w:rPr>
        <w:rFonts w:ascii="Calibri" w:hAnsi="Calibri" w:eastAsia="Calibri" w:cs="Calibri"/>
        <w:spacing w:val="-6"/>
        <w:sz w:val="20"/>
        <w:szCs w:val="20"/>
      </w:rPr>
      <w:t>-</w:t>
    </w:r>
    <w:r>
      <w:rPr>
        <w:rFonts w:ascii="Calibri" w:hAnsi="Calibri" w:eastAsia="Calibri" w:cs="Calibri"/>
        <w:spacing w:val="17"/>
        <w:sz w:val="20"/>
        <w:szCs w:val="20"/>
      </w:rPr>
      <w:t xml:space="preserve"> </w:t>
    </w:r>
    <w:r>
      <w:rPr>
        <w:rFonts w:ascii="Calibri" w:hAnsi="Calibri" w:eastAsia="Calibri" w:cs="Calibri"/>
        <w:spacing w:val="-6"/>
        <w:sz w:val="20"/>
        <w:szCs w:val="20"/>
      </w:rPr>
      <w:t>11</w:t>
    </w:r>
    <w:r>
      <w:rPr>
        <w:rFonts w:ascii="Calibri" w:hAnsi="Calibri" w:eastAsia="Calibri" w:cs="Calibri"/>
        <w:spacing w:val="6"/>
        <w:sz w:val="20"/>
        <w:szCs w:val="20"/>
      </w:rPr>
      <w:t xml:space="preserve"> </w:t>
    </w:r>
    <w:r>
      <w:rPr>
        <w:rFonts w:ascii="Calibri" w:hAnsi="Calibri" w:eastAsia="Calibri" w:cs="Calibri"/>
        <w:spacing w:val="-6"/>
        <w:sz w:val="20"/>
        <w:szCs w:val="20"/>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266B2">
    <w:pPr>
      <w:spacing w:line="239" w:lineRule="auto"/>
      <w:ind w:left="13109"/>
      <w:rPr>
        <w:rFonts w:ascii="Calibri" w:hAnsi="Calibri" w:eastAsia="Calibri" w:cs="Calibri"/>
        <w:sz w:val="20"/>
        <w:szCs w:val="20"/>
      </w:rPr>
    </w:pPr>
    <w:r>
      <w:rPr>
        <w:rFonts w:ascii="Calibri" w:hAnsi="Calibri" w:eastAsia="Calibri" w:cs="Calibri"/>
        <w:spacing w:val="-6"/>
        <w:sz w:val="20"/>
        <w:szCs w:val="20"/>
      </w:rPr>
      <w:t>-</w:t>
    </w:r>
    <w:r>
      <w:rPr>
        <w:rFonts w:ascii="Calibri" w:hAnsi="Calibri" w:eastAsia="Calibri" w:cs="Calibri"/>
        <w:spacing w:val="17"/>
        <w:sz w:val="20"/>
        <w:szCs w:val="20"/>
      </w:rPr>
      <w:t xml:space="preserve"> </w:t>
    </w:r>
    <w:r>
      <w:rPr>
        <w:rFonts w:ascii="Calibri" w:hAnsi="Calibri" w:eastAsia="Calibri" w:cs="Calibri"/>
        <w:spacing w:val="-6"/>
        <w:sz w:val="20"/>
        <w:szCs w:val="20"/>
      </w:rPr>
      <w:t>12</w:t>
    </w:r>
    <w:r>
      <w:rPr>
        <w:rFonts w:ascii="Calibri" w:hAnsi="Calibri" w:eastAsia="Calibri" w:cs="Calibri"/>
        <w:spacing w:val="6"/>
        <w:sz w:val="20"/>
        <w:szCs w:val="20"/>
      </w:rPr>
      <w:t xml:space="preserve"> </w:t>
    </w:r>
    <w:r>
      <w:rPr>
        <w:rFonts w:ascii="Calibri" w:hAnsi="Calibri" w:eastAsia="Calibri" w:cs="Calibri"/>
        <w:spacing w:val="-6"/>
        <w:sz w:val="20"/>
        <w:szCs w:val="20"/>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C1231">
    <w:pPr>
      <w:spacing w:line="238" w:lineRule="auto"/>
      <w:ind w:left="13109"/>
      <w:rPr>
        <w:rFonts w:ascii="Calibri" w:hAnsi="Calibri" w:eastAsia="Calibri" w:cs="Calibri"/>
        <w:sz w:val="20"/>
        <w:szCs w:val="20"/>
      </w:rPr>
    </w:pPr>
    <w:r>
      <w:rPr>
        <w:rFonts w:ascii="Calibri" w:hAnsi="Calibri" w:eastAsia="Calibri" w:cs="Calibri"/>
        <w:spacing w:val="-6"/>
        <w:sz w:val="20"/>
        <w:szCs w:val="20"/>
      </w:rPr>
      <w:t>-</w:t>
    </w:r>
    <w:r>
      <w:rPr>
        <w:rFonts w:ascii="Calibri" w:hAnsi="Calibri" w:eastAsia="Calibri" w:cs="Calibri"/>
        <w:spacing w:val="17"/>
        <w:sz w:val="20"/>
        <w:szCs w:val="20"/>
      </w:rPr>
      <w:t xml:space="preserve"> </w:t>
    </w:r>
    <w:r>
      <w:rPr>
        <w:rFonts w:ascii="Calibri" w:hAnsi="Calibri" w:eastAsia="Calibri" w:cs="Calibri"/>
        <w:spacing w:val="-6"/>
        <w:sz w:val="20"/>
        <w:szCs w:val="20"/>
      </w:rPr>
      <w:t>13</w:t>
    </w:r>
    <w:r>
      <w:rPr>
        <w:rFonts w:ascii="Calibri" w:hAnsi="Calibri" w:eastAsia="Calibri" w:cs="Calibri"/>
        <w:spacing w:val="6"/>
        <w:sz w:val="20"/>
        <w:szCs w:val="20"/>
      </w:rPr>
      <w:t xml:space="preserve"> </w:t>
    </w:r>
    <w:r>
      <w:rPr>
        <w:rFonts w:ascii="Calibri" w:hAnsi="Calibri" w:eastAsia="Calibri" w:cs="Calibri"/>
        <w:spacing w:val="-6"/>
        <w:sz w:val="20"/>
        <w:szCs w:val="20"/>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3D899">
    <w:pPr>
      <w:spacing w:line="239" w:lineRule="auto"/>
      <w:ind w:left="13109"/>
      <w:rPr>
        <w:rFonts w:ascii="Calibri" w:hAnsi="Calibri" w:eastAsia="Calibri" w:cs="Calibri"/>
        <w:sz w:val="20"/>
        <w:szCs w:val="20"/>
      </w:rPr>
    </w:pPr>
    <w:r>
      <w:rPr>
        <w:rFonts w:ascii="Calibri" w:hAnsi="Calibri" w:eastAsia="Calibri" w:cs="Calibri"/>
        <w:spacing w:val="-6"/>
        <w:sz w:val="20"/>
        <w:szCs w:val="20"/>
      </w:rPr>
      <w:t>-</w:t>
    </w:r>
    <w:r>
      <w:rPr>
        <w:rFonts w:ascii="Calibri" w:hAnsi="Calibri" w:eastAsia="Calibri" w:cs="Calibri"/>
        <w:spacing w:val="17"/>
        <w:sz w:val="20"/>
        <w:szCs w:val="20"/>
      </w:rPr>
      <w:t xml:space="preserve"> </w:t>
    </w:r>
    <w:r>
      <w:rPr>
        <w:rFonts w:ascii="Calibri" w:hAnsi="Calibri" w:eastAsia="Calibri" w:cs="Calibri"/>
        <w:spacing w:val="-6"/>
        <w:sz w:val="20"/>
        <w:szCs w:val="20"/>
      </w:rPr>
      <w:t>14</w:t>
    </w:r>
    <w:r>
      <w:rPr>
        <w:rFonts w:ascii="Calibri" w:hAnsi="Calibri" w:eastAsia="Calibri" w:cs="Calibri"/>
        <w:spacing w:val="6"/>
        <w:sz w:val="20"/>
        <w:szCs w:val="20"/>
      </w:rPr>
      <w:t xml:space="preserve"> </w:t>
    </w:r>
    <w:r>
      <w:rPr>
        <w:rFonts w:ascii="Calibri" w:hAnsi="Calibri" w:eastAsia="Calibri" w:cs="Calibri"/>
        <w:spacing w:val="-6"/>
        <w:sz w:val="20"/>
        <w:szCs w:val="20"/>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CDC62">
    <w:pPr>
      <w:spacing w:line="238" w:lineRule="auto"/>
      <w:ind w:left="13109"/>
      <w:rPr>
        <w:rFonts w:ascii="Calibri" w:hAnsi="Calibri" w:eastAsia="Calibri" w:cs="Calibri"/>
        <w:sz w:val="20"/>
        <w:szCs w:val="20"/>
      </w:rPr>
    </w:pPr>
    <w:r>
      <w:rPr>
        <w:rFonts w:ascii="Calibri" w:hAnsi="Calibri" w:eastAsia="Calibri" w:cs="Calibri"/>
        <w:spacing w:val="-6"/>
        <w:sz w:val="20"/>
        <w:szCs w:val="20"/>
      </w:rPr>
      <w:t>-</w:t>
    </w:r>
    <w:r>
      <w:rPr>
        <w:rFonts w:ascii="Calibri" w:hAnsi="Calibri" w:eastAsia="Calibri" w:cs="Calibri"/>
        <w:spacing w:val="17"/>
        <w:sz w:val="20"/>
        <w:szCs w:val="20"/>
      </w:rPr>
      <w:t xml:space="preserve"> </w:t>
    </w:r>
    <w:r>
      <w:rPr>
        <w:rFonts w:ascii="Calibri" w:hAnsi="Calibri" w:eastAsia="Calibri" w:cs="Calibri"/>
        <w:spacing w:val="-6"/>
        <w:sz w:val="20"/>
        <w:szCs w:val="20"/>
      </w:rPr>
      <w:t>15</w:t>
    </w:r>
    <w:r>
      <w:rPr>
        <w:rFonts w:ascii="Calibri" w:hAnsi="Calibri" w:eastAsia="Calibri" w:cs="Calibri"/>
        <w:spacing w:val="6"/>
        <w:sz w:val="20"/>
        <w:szCs w:val="20"/>
      </w:rPr>
      <w:t xml:space="preserve"> </w:t>
    </w:r>
    <w:r>
      <w:rPr>
        <w:rFonts w:ascii="Calibri" w:hAnsi="Calibri" w:eastAsia="Calibri" w:cs="Calibri"/>
        <w:spacing w:val="-6"/>
        <w:sz w:val="20"/>
        <w:szCs w:val="20"/>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BB735">
    <w:pPr>
      <w:spacing w:line="238" w:lineRule="auto"/>
      <w:ind w:left="13109"/>
      <w:rPr>
        <w:rFonts w:ascii="Calibri" w:hAnsi="Calibri" w:eastAsia="Calibri" w:cs="Calibri"/>
        <w:sz w:val="20"/>
        <w:szCs w:val="20"/>
      </w:rPr>
    </w:pPr>
    <w:r>
      <w:rPr>
        <w:rFonts w:ascii="Calibri" w:hAnsi="Calibri" w:eastAsia="Calibri" w:cs="Calibri"/>
        <w:spacing w:val="-6"/>
        <w:sz w:val="20"/>
        <w:szCs w:val="20"/>
      </w:rPr>
      <w:t>-</w:t>
    </w:r>
    <w:r>
      <w:rPr>
        <w:rFonts w:ascii="Calibri" w:hAnsi="Calibri" w:eastAsia="Calibri" w:cs="Calibri"/>
        <w:spacing w:val="17"/>
        <w:sz w:val="20"/>
        <w:szCs w:val="20"/>
      </w:rPr>
      <w:t xml:space="preserve"> </w:t>
    </w:r>
    <w:r>
      <w:rPr>
        <w:rFonts w:ascii="Calibri" w:hAnsi="Calibri" w:eastAsia="Calibri" w:cs="Calibri"/>
        <w:spacing w:val="-6"/>
        <w:sz w:val="20"/>
        <w:szCs w:val="20"/>
      </w:rPr>
      <w:t>16</w:t>
    </w:r>
    <w:r>
      <w:rPr>
        <w:rFonts w:ascii="Calibri" w:hAnsi="Calibri" w:eastAsia="Calibri" w:cs="Calibri"/>
        <w:spacing w:val="6"/>
        <w:sz w:val="20"/>
        <w:szCs w:val="20"/>
      </w:rPr>
      <w:t xml:space="preserve"> </w:t>
    </w:r>
    <w:r>
      <w:rPr>
        <w:rFonts w:ascii="Calibri" w:hAnsi="Calibri" w:eastAsia="Calibri" w:cs="Calibri"/>
        <w:spacing w:val="-6"/>
        <w:sz w:val="20"/>
        <w:szCs w:val="20"/>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B80DD">
    <w:pPr>
      <w:spacing w:line="239" w:lineRule="auto"/>
      <w:ind w:left="13109"/>
      <w:rPr>
        <w:rFonts w:ascii="Calibri" w:hAnsi="Calibri" w:eastAsia="Calibri" w:cs="Calibri"/>
        <w:sz w:val="20"/>
        <w:szCs w:val="20"/>
      </w:rPr>
    </w:pPr>
    <w:r>
      <w:rPr>
        <w:rFonts w:ascii="Calibri" w:hAnsi="Calibri" w:eastAsia="Calibri" w:cs="Calibri"/>
        <w:spacing w:val="-6"/>
        <w:sz w:val="20"/>
        <w:szCs w:val="20"/>
      </w:rPr>
      <w:t>-</w:t>
    </w:r>
    <w:r>
      <w:rPr>
        <w:rFonts w:ascii="Calibri" w:hAnsi="Calibri" w:eastAsia="Calibri" w:cs="Calibri"/>
        <w:spacing w:val="17"/>
        <w:sz w:val="20"/>
        <w:szCs w:val="20"/>
      </w:rPr>
      <w:t xml:space="preserve"> </w:t>
    </w:r>
    <w:r>
      <w:rPr>
        <w:rFonts w:ascii="Calibri" w:hAnsi="Calibri" w:eastAsia="Calibri" w:cs="Calibri"/>
        <w:spacing w:val="-6"/>
        <w:sz w:val="20"/>
        <w:szCs w:val="20"/>
      </w:rPr>
      <w:t>17</w:t>
    </w:r>
    <w:r>
      <w:rPr>
        <w:rFonts w:ascii="Calibri" w:hAnsi="Calibri" w:eastAsia="Calibri" w:cs="Calibri"/>
        <w:spacing w:val="6"/>
        <w:sz w:val="20"/>
        <w:szCs w:val="20"/>
      </w:rPr>
      <w:t xml:space="preserve"> </w:t>
    </w:r>
    <w:r>
      <w:rPr>
        <w:rFonts w:ascii="Calibri" w:hAnsi="Calibri" w:eastAsia="Calibri" w:cs="Calibri"/>
        <w:spacing w:val="-6"/>
        <w:sz w:val="20"/>
        <w:szCs w:val="20"/>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C3D17">
    <w:pPr>
      <w:spacing w:line="238" w:lineRule="auto"/>
      <w:ind w:left="13109"/>
      <w:rPr>
        <w:rFonts w:ascii="Calibri" w:hAnsi="Calibri" w:eastAsia="Calibri" w:cs="Calibri"/>
        <w:sz w:val="20"/>
        <w:szCs w:val="20"/>
      </w:rPr>
    </w:pPr>
    <w:r>
      <w:rPr>
        <w:rFonts w:ascii="Calibri" w:hAnsi="Calibri" w:eastAsia="Calibri" w:cs="Calibri"/>
        <w:spacing w:val="-6"/>
        <w:sz w:val="20"/>
        <w:szCs w:val="20"/>
      </w:rPr>
      <w:t>-</w:t>
    </w:r>
    <w:r>
      <w:rPr>
        <w:rFonts w:ascii="Calibri" w:hAnsi="Calibri" w:eastAsia="Calibri" w:cs="Calibri"/>
        <w:spacing w:val="17"/>
        <w:sz w:val="20"/>
        <w:szCs w:val="20"/>
      </w:rPr>
      <w:t xml:space="preserve"> </w:t>
    </w:r>
    <w:r>
      <w:rPr>
        <w:rFonts w:ascii="Calibri" w:hAnsi="Calibri" w:eastAsia="Calibri" w:cs="Calibri"/>
        <w:spacing w:val="-6"/>
        <w:sz w:val="20"/>
        <w:szCs w:val="20"/>
      </w:rPr>
      <w:t>18</w:t>
    </w:r>
    <w:r>
      <w:rPr>
        <w:rFonts w:ascii="Calibri" w:hAnsi="Calibri" w:eastAsia="Calibri" w:cs="Calibri"/>
        <w:spacing w:val="6"/>
        <w:sz w:val="20"/>
        <w:szCs w:val="20"/>
      </w:rPr>
      <w:t xml:space="preserve"> </w:t>
    </w:r>
    <w:r>
      <w:rPr>
        <w:rFonts w:ascii="Calibri" w:hAnsi="Calibri" w:eastAsia="Calibri" w:cs="Calibri"/>
        <w:spacing w:val="-6"/>
        <w:sz w:val="20"/>
        <w:szCs w:val="20"/>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F3D29">
    <w:pPr>
      <w:spacing w:line="238" w:lineRule="auto"/>
      <w:ind w:left="13109"/>
      <w:rPr>
        <w:rFonts w:ascii="Calibri" w:hAnsi="Calibri" w:eastAsia="Calibri" w:cs="Calibri"/>
        <w:sz w:val="20"/>
        <w:szCs w:val="20"/>
      </w:rPr>
    </w:pPr>
    <w:r>
      <w:rPr>
        <w:rFonts w:ascii="Calibri" w:hAnsi="Calibri" w:eastAsia="Calibri" w:cs="Calibri"/>
        <w:spacing w:val="-6"/>
        <w:sz w:val="20"/>
        <w:szCs w:val="20"/>
      </w:rPr>
      <w:t>-</w:t>
    </w:r>
    <w:r>
      <w:rPr>
        <w:rFonts w:ascii="Calibri" w:hAnsi="Calibri" w:eastAsia="Calibri" w:cs="Calibri"/>
        <w:spacing w:val="17"/>
        <w:sz w:val="20"/>
        <w:szCs w:val="20"/>
      </w:rPr>
      <w:t xml:space="preserve"> </w:t>
    </w:r>
    <w:r>
      <w:rPr>
        <w:rFonts w:ascii="Calibri" w:hAnsi="Calibri" w:eastAsia="Calibri" w:cs="Calibri"/>
        <w:spacing w:val="-6"/>
        <w:sz w:val="20"/>
        <w:szCs w:val="20"/>
      </w:rPr>
      <w:t>19</w:t>
    </w:r>
    <w:r>
      <w:rPr>
        <w:rFonts w:ascii="Calibri" w:hAnsi="Calibri" w:eastAsia="Calibri" w:cs="Calibri"/>
        <w:spacing w:val="6"/>
        <w:sz w:val="20"/>
        <w:szCs w:val="20"/>
      </w:rPr>
      <w:t xml:space="preserve"> </w:t>
    </w:r>
    <w:r>
      <w:rPr>
        <w:rFonts w:ascii="Calibri" w:hAnsi="Calibri" w:eastAsia="Calibri" w:cs="Calibri"/>
        <w:spacing w:val="-6"/>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7FC10">
    <w:pPr>
      <w:spacing w:line="239" w:lineRule="auto"/>
      <w:ind w:right="14"/>
      <w:jc w:val="right"/>
      <w:rPr>
        <w:rFonts w:ascii="Calibri" w:hAnsi="Calibri" w:eastAsia="Calibri" w:cs="Calibri"/>
        <w:sz w:val="20"/>
        <w:szCs w:val="20"/>
      </w:rPr>
    </w:pPr>
    <w:r>
      <w:rPr>
        <w:rFonts w:ascii="Calibri" w:hAnsi="Calibri" w:eastAsia="Calibri" w:cs="Calibri"/>
        <w:spacing w:val="-6"/>
        <w:sz w:val="20"/>
        <w:szCs w:val="20"/>
      </w:rPr>
      <w:t>-</w:t>
    </w:r>
    <w:r>
      <w:rPr>
        <w:rFonts w:ascii="Calibri" w:hAnsi="Calibri" w:eastAsia="Calibri" w:cs="Calibri"/>
        <w:spacing w:val="11"/>
        <w:w w:val="101"/>
        <w:sz w:val="20"/>
        <w:szCs w:val="20"/>
      </w:rPr>
      <w:t xml:space="preserve"> </w:t>
    </w:r>
    <w:r>
      <w:rPr>
        <w:rFonts w:ascii="Calibri" w:hAnsi="Calibri" w:eastAsia="Calibri" w:cs="Calibri"/>
        <w:spacing w:val="-6"/>
        <w:sz w:val="20"/>
        <w:szCs w:val="20"/>
      </w:rPr>
      <w:t>2</w:t>
    </w:r>
    <w:r>
      <w:rPr>
        <w:rFonts w:ascii="Calibri" w:hAnsi="Calibri" w:eastAsia="Calibri" w:cs="Calibri"/>
        <w:spacing w:val="7"/>
        <w:sz w:val="20"/>
        <w:szCs w:val="20"/>
      </w:rPr>
      <w:t xml:space="preserve"> </w:t>
    </w:r>
    <w:r>
      <w:rPr>
        <w:rFonts w:ascii="Calibri" w:hAnsi="Calibri" w:eastAsia="Calibri" w:cs="Calibri"/>
        <w:spacing w:val="-6"/>
        <w:sz w:val="20"/>
        <w:szCs w:val="20"/>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09065">
    <w:pPr>
      <w:spacing w:line="238" w:lineRule="auto"/>
      <w:ind w:left="13109"/>
      <w:rPr>
        <w:rFonts w:ascii="Calibri" w:hAnsi="Calibri" w:eastAsia="Calibri" w:cs="Calibri"/>
        <w:sz w:val="20"/>
        <w:szCs w:val="20"/>
      </w:rPr>
    </w:pPr>
    <w:r>
      <w:rPr>
        <w:rFonts w:ascii="Calibri" w:hAnsi="Calibri" w:eastAsia="Calibri" w:cs="Calibri"/>
        <w:spacing w:val="-5"/>
        <w:sz w:val="20"/>
        <w:szCs w:val="20"/>
      </w:rPr>
      <w:t>-</w:t>
    </w:r>
    <w:r>
      <w:rPr>
        <w:rFonts w:ascii="Calibri" w:hAnsi="Calibri" w:eastAsia="Calibri" w:cs="Calibri"/>
        <w:spacing w:val="13"/>
        <w:sz w:val="20"/>
        <w:szCs w:val="20"/>
      </w:rPr>
      <w:t xml:space="preserve"> </w:t>
    </w:r>
    <w:r>
      <w:rPr>
        <w:rFonts w:ascii="Calibri" w:hAnsi="Calibri" w:eastAsia="Calibri" w:cs="Calibri"/>
        <w:spacing w:val="-5"/>
        <w:sz w:val="20"/>
        <w:szCs w:val="20"/>
      </w:rPr>
      <w:t>20</w:t>
    </w:r>
    <w:r>
      <w:rPr>
        <w:rFonts w:ascii="Calibri" w:hAnsi="Calibri" w:eastAsia="Calibri" w:cs="Calibri"/>
        <w:spacing w:val="6"/>
        <w:sz w:val="20"/>
        <w:szCs w:val="20"/>
      </w:rPr>
      <w:t xml:space="preserve"> </w:t>
    </w:r>
    <w:r>
      <w:rPr>
        <w:rFonts w:ascii="Calibri" w:hAnsi="Calibri" w:eastAsia="Calibri" w:cs="Calibri"/>
        <w:spacing w:val="-5"/>
        <w:sz w:val="20"/>
        <w:szCs w:val="20"/>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FC698">
    <w:pPr>
      <w:spacing w:line="239" w:lineRule="auto"/>
      <w:ind w:right="23"/>
      <w:jc w:val="right"/>
      <w:rPr>
        <w:rFonts w:ascii="Calibri" w:hAnsi="Calibri" w:eastAsia="Calibri" w:cs="Calibri"/>
        <w:sz w:val="20"/>
        <w:szCs w:val="20"/>
      </w:rPr>
    </w:pPr>
    <w:r>
      <w:rPr>
        <w:rFonts w:ascii="Calibri" w:hAnsi="Calibri" w:eastAsia="Calibri" w:cs="Calibri"/>
        <w:spacing w:val="-5"/>
        <w:sz w:val="20"/>
        <w:szCs w:val="20"/>
      </w:rPr>
      <w:t>-</w:t>
    </w:r>
    <w:r>
      <w:rPr>
        <w:rFonts w:ascii="Calibri" w:hAnsi="Calibri" w:eastAsia="Calibri" w:cs="Calibri"/>
        <w:spacing w:val="13"/>
        <w:sz w:val="20"/>
        <w:szCs w:val="20"/>
      </w:rPr>
      <w:t xml:space="preserve"> </w:t>
    </w:r>
    <w:r>
      <w:rPr>
        <w:rFonts w:ascii="Calibri" w:hAnsi="Calibri" w:eastAsia="Calibri" w:cs="Calibri"/>
        <w:spacing w:val="-5"/>
        <w:sz w:val="20"/>
        <w:szCs w:val="20"/>
      </w:rPr>
      <w:t>21</w:t>
    </w:r>
    <w:r>
      <w:rPr>
        <w:rFonts w:ascii="Calibri" w:hAnsi="Calibri" w:eastAsia="Calibri" w:cs="Calibri"/>
        <w:spacing w:val="6"/>
        <w:sz w:val="20"/>
        <w:szCs w:val="20"/>
      </w:rPr>
      <w:t xml:space="preserve"> </w:t>
    </w:r>
    <w:r>
      <w:rPr>
        <w:rFonts w:ascii="Calibri" w:hAnsi="Calibri" w:eastAsia="Calibri" w:cs="Calibri"/>
        <w:spacing w:val="-5"/>
        <w:sz w:val="20"/>
        <w:szCs w:val="20"/>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4B5E9">
    <w:pPr>
      <w:spacing w:line="239" w:lineRule="auto"/>
      <w:ind w:right="23"/>
      <w:jc w:val="right"/>
      <w:rPr>
        <w:rFonts w:ascii="Calibri" w:hAnsi="Calibri" w:eastAsia="Calibri" w:cs="Calibri"/>
        <w:sz w:val="20"/>
        <w:szCs w:val="20"/>
      </w:rPr>
    </w:pPr>
    <w:r>
      <w:rPr>
        <w:rFonts w:ascii="Calibri" w:hAnsi="Calibri" w:eastAsia="Calibri" w:cs="Calibri"/>
        <w:spacing w:val="-5"/>
        <w:sz w:val="20"/>
        <w:szCs w:val="20"/>
      </w:rPr>
      <w:t>-</w:t>
    </w:r>
    <w:r>
      <w:rPr>
        <w:rFonts w:ascii="Calibri" w:hAnsi="Calibri" w:eastAsia="Calibri" w:cs="Calibri"/>
        <w:spacing w:val="13"/>
        <w:sz w:val="20"/>
        <w:szCs w:val="20"/>
      </w:rPr>
      <w:t xml:space="preserve"> </w:t>
    </w:r>
    <w:r>
      <w:rPr>
        <w:rFonts w:ascii="Calibri" w:hAnsi="Calibri" w:eastAsia="Calibri" w:cs="Calibri"/>
        <w:spacing w:val="-5"/>
        <w:sz w:val="20"/>
        <w:szCs w:val="20"/>
      </w:rPr>
      <w:t>22</w:t>
    </w:r>
    <w:r>
      <w:rPr>
        <w:rFonts w:ascii="Calibri" w:hAnsi="Calibri" w:eastAsia="Calibri" w:cs="Calibri"/>
        <w:spacing w:val="6"/>
        <w:sz w:val="20"/>
        <w:szCs w:val="20"/>
      </w:rPr>
      <w:t xml:space="preserve"> </w:t>
    </w:r>
    <w:r>
      <w:rPr>
        <w:rFonts w:ascii="Calibri" w:hAnsi="Calibri" w:eastAsia="Calibri" w:cs="Calibri"/>
        <w:spacing w:val="-5"/>
        <w:sz w:val="20"/>
        <w:szCs w:val="20"/>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D128A">
    <w:pPr>
      <w:spacing w:line="238" w:lineRule="auto"/>
      <w:ind w:right="23"/>
      <w:jc w:val="right"/>
      <w:rPr>
        <w:rFonts w:ascii="Calibri" w:hAnsi="Calibri" w:eastAsia="Calibri" w:cs="Calibri"/>
        <w:sz w:val="20"/>
        <w:szCs w:val="20"/>
      </w:rPr>
    </w:pPr>
    <w:r>
      <w:rPr>
        <w:rFonts w:ascii="Calibri" w:hAnsi="Calibri" w:eastAsia="Calibri" w:cs="Calibri"/>
        <w:spacing w:val="-5"/>
        <w:sz w:val="20"/>
        <w:szCs w:val="20"/>
      </w:rPr>
      <w:t>-</w:t>
    </w:r>
    <w:r>
      <w:rPr>
        <w:rFonts w:ascii="Calibri" w:hAnsi="Calibri" w:eastAsia="Calibri" w:cs="Calibri"/>
        <w:spacing w:val="13"/>
        <w:sz w:val="20"/>
        <w:szCs w:val="20"/>
      </w:rPr>
      <w:t xml:space="preserve"> </w:t>
    </w:r>
    <w:r>
      <w:rPr>
        <w:rFonts w:ascii="Calibri" w:hAnsi="Calibri" w:eastAsia="Calibri" w:cs="Calibri"/>
        <w:spacing w:val="-5"/>
        <w:sz w:val="20"/>
        <w:szCs w:val="20"/>
      </w:rPr>
      <w:t>23</w:t>
    </w:r>
    <w:r>
      <w:rPr>
        <w:rFonts w:ascii="Calibri" w:hAnsi="Calibri" w:eastAsia="Calibri" w:cs="Calibri"/>
        <w:spacing w:val="6"/>
        <w:sz w:val="20"/>
        <w:szCs w:val="20"/>
      </w:rPr>
      <w:t xml:space="preserve"> </w:t>
    </w:r>
    <w:r>
      <w:rPr>
        <w:rFonts w:ascii="Calibri" w:hAnsi="Calibri" w:eastAsia="Calibri" w:cs="Calibri"/>
        <w:spacing w:val="-5"/>
        <w:sz w:val="20"/>
        <w:szCs w:val="20"/>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5502A">
    <w:pPr>
      <w:spacing w:line="239" w:lineRule="auto"/>
      <w:ind w:right="23"/>
      <w:jc w:val="right"/>
      <w:rPr>
        <w:rFonts w:ascii="Calibri" w:hAnsi="Calibri" w:eastAsia="Calibri" w:cs="Calibri"/>
        <w:sz w:val="20"/>
        <w:szCs w:val="20"/>
      </w:rPr>
    </w:pPr>
    <w:r>
      <w:rPr>
        <w:rFonts w:ascii="Calibri" w:hAnsi="Calibri" w:eastAsia="Calibri" w:cs="Calibri"/>
        <w:spacing w:val="-5"/>
        <w:sz w:val="20"/>
        <w:szCs w:val="20"/>
      </w:rPr>
      <w:t>-</w:t>
    </w:r>
    <w:r>
      <w:rPr>
        <w:rFonts w:ascii="Calibri" w:hAnsi="Calibri" w:eastAsia="Calibri" w:cs="Calibri"/>
        <w:spacing w:val="13"/>
        <w:sz w:val="20"/>
        <w:szCs w:val="20"/>
      </w:rPr>
      <w:t xml:space="preserve"> </w:t>
    </w:r>
    <w:r>
      <w:rPr>
        <w:rFonts w:ascii="Calibri" w:hAnsi="Calibri" w:eastAsia="Calibri" w:cs="Calibri"/>
        <w:spacing w:val="-5"/>
        <w:sz w:val="20"/>
        <w:szCs w:val="20"/>
      </w:rPr>
      <w:t>24</w:t>
    </w:r>
    <w:r>
      <w:rPr>
        <w:rFonts w:ascii="Calibri" w:hAnsi="Calibri" w:eastAsia="Calibri" w:cs="Calibri"/>
        <w:spacing w:val="6"/>
        <w:sz w:val="20"/>
        <w:szCs w:val="20"/>
      </w:rPr>
      <w:t xml:space="preserve"> </w:t>
    </w:r>
    <w:r>
      <w:rPr>
        <w:rFonts w:ascii="Calibri" w:hAnsi="Calibri" w:eastAsia="Calibri" w:cs="Calibri"/>
        <w:spacing w:val="-5"/>
        <w:sz w:val="20"/>
        <w:szCs w:val="20"/>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285E5">
    <w:pPr>
      <w:spacing w:line="238" w:lineRule="auto"/>
      <w:ind w:right="23"/>
      <w:jc w:val="right"/>
      <w:rPr>
        <w:rFonts w:ascii="Calibri" w:hAnsi="Calibri" w:eastAsia="Calibri" w:cs="Calibri"/>
        <w:sz w:val="20"/>
        <w:szCs w:val="20"/>
      </w:rPr>
    </w:pPr>
    <w:r>
      <w:rPr>
        <w:rFonts w:ascii="Calibri" w:hAnsi="Calibri" w:eastAsia="Calibri" w:cs="Calibri"/>
        <w:spacing w:val="-5"/>
        <w:sz w:val="20"/>
        <w:szCs w:val="20"/>
      </w:rPr>
      <w:t>-</w:t>
    </w:r>
    <w:r>
      <w:rPr>
        <w:rFonts w:ascii="Calibri" w:hAnsi="Calibri" w:eastAsia="Calibri" w:cs="Calibri"/>
        <w:spacing w:val="13"/>
        <w:sz w:val="20"/>
        <w:szCs w:val="20"/>
      </w:rPr>
      <w:t xml:space="preserve"> </w:t>
    </w:r>
    <w:r>
      <w:rPr>
        <w:rFonts w:ascii="Calibri" w:hAnsi="Calibri" w:eastAsia="Calibri" w:cs="Calibri"/>
        <w:spacing w:val="-5"/>
        <w:sz w:val="20"/>
        <w:szCs w:val="20"/>
      </w:rPr>
      <w:t>25</w:t>
    </w:r>
    <w:r>
      <w:rPr>
        <w:rFonts w:ascii="Calibri" w:hAnsi="Calibri" w:eastAsia="Calibri" w:cs="Calibri"/>
        <w:spacing w:val="6"/>
        <w:sz w:val="20"/>
        <w:szCs w:val="20"/>
      </w:rPr>
      <w:t xml:space="preserve"> </w:t>
    </w:r>
    <w:r>
      <w:rPr>
        <w:rFonts w:ascii="Calibri" w:hAnsi="Calibri" w:eastAsia="Calibri" w:cs="Calibri"/>
        <w:spacing w:val="-5"/>
        <w:sz w:val="20"/>
        <w:szCs w:val="20"/>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5D140">
    <w:pPr>
      <w:spacing w:line="238" w:lineRule="auto"/>
      <w:ind w:right="23"/>
      <w:jc w:val="right"/>
      <w:rPr>
        <w:rFonts w:ascii="Calibri" w:hAnsi="Calibri" w:eastAsia="Calibri" w:cs="Calibri"/>
        <w:sz w:val="20"/>
        <w:szCs w:val="20"/>
      </w:rPr>
    </w:pPr>
    <w:r>
      <w:rPr>
        <w:rFonts w:ascii="Calibri" w:hAnsi="Calibri" w:eastAsia="Calibri" w:cs="Calibri"/>
        <w:spacing w:val="-5"/>
        <w:sz w:val="20"/>
        <w:szCs w:val="20"/>
      </w:rPr>
      <w:t>-</w:t>
    </w:r>
    <w:r>
      <w:rPr>
        <w:rFonts w:ascii="Calibri" w:hAnsi="Calibri" w:eastAsia="Calibri" w:cs="Calibri"/>
        <w:spacing w:val="13"/>
        <w:sz w:val="20"/>
        <w:szCs w:val="20"/>
      </w:rPr>
      <w:t xml:space="preserve"> </w:t>
    </w:r>
    <w:r>
      <w:rPr>
        <w:rFonts w:ascii="Calibri" w:hAnsi="Calibri" w:eastAsia="Calibri" w:cs="Calibri"/>
        <w:spacing w:val="-5"/>
        <w:sz w:val="20"/>
        <w:szCs w:val="20"/>
      </w:rPr>
      <w:t>26</w:t>
    </w:r>
    <w:r>
      <w:rPr>
        <w:rFonts w:ascii="Calibri" w:hAnsi="Calibri" w:eastAsia="Calibri" w:cs="Calibri"/>
        <w:spacing w:val="6"/>
        <w:sz w:val="20"/>
        <w:szCs w:val="20"/>
      </w:rPr>
      <w:t xml:space="preserve"> </w:t>
    </w:r>
    <w:r>
      <w:rPr>
        <w:rFonts w:ascii="Calibri" w:hAnsi="Calibri" w:eastAsia="Calibri" w:cs="Calibri"/>
        <w:spacing w:val="-5"/>
        <w:sz w:val="20"/>
        <w:szCs w:val="20"/>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1686A">
    <w:pPr>
      <w:spacing w:line="239" w:lineRule="auto"/>
      <w:ind w:right="23"/>
      <w:jc w:val="right"/>
      <w:rPr>
        <w:rFonts w:ascii="Calibri" w:hAnsi="Calibri" w:eastAsia="Calibri" w:cs="Calibri"/>
        <w:sz w:val="20"/>
        <w:szCs w:val="20"/>
      </w:rPr>
    </w:pPr>
    <w:r>
      <w:rPr>
        <w:rFonts w:ascii="Calibri" w:hAnsi="Calibri" w:eastAsia="Calibri" w:cs="Calibri"/>
        <w:spacing w:val="-5"/>
        <w:sz w:val="20"/>
        <w:szCs w:val="20"/>
      </w:rPr>
      <w:t>-</w:t>
    </w:r>
    <w:r>
      <w:rPr>
        <w:rFonts w:ascii="Calibri" w:hAnsi="Calibri" w:eastAsia="Calibri" w:cs="Calibri"/>
        <w:spacing w:val="13"/>
        <w:sz w:val="20"/>
        <w:szCs w:val="20"/>
      </w:rPr>
      <w:t xml:space="preserve"> </w:t>
    </w:r>
    <w:r>
      <w:rPr>
        <w:rFonts w:ascii="Calibri" w:hAnsi="Calibri" w:eastAsia="Calibri" w:cs="Calibri"/>
        <w:spacing w:val="-5"/>
        <w:sz w:val="20"/>
        <w:szCs w:val="20"/>
      </w:rPr>
      <w:t>27</w:t>
    </w:r>
    <w:r>
      <w:rPr>
        <w:rFonts w:ascii="Calibri" w:hAnsi="Calibri" w:eastAsia="Calibri" w:cs="Calibri"/>
        <w:spacing w:val="6"/>
        <w:sz w:val="20"/>
        <w:szCs w:val="20"/>
      </w:rPr>
      <w:t xml:space="preserve"> </w:t>
    </w:r>
    <w:r>
      <w:rPr>
        <w:rFonts w:ascii="Calibri" w:hAnsi="Calibri" w:eastAsia="Calibri" w:cs="Calibri"/>
        <w:spacing w:val="-5"/>
        <w:sz w:val="20"/>
        <w:szCs w:val="20"/>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5CC31">
    <w:pPr>
      <w:spacing w:line="238" w:lineRule="auto"/>
      <w:ind w:right="23"/>
      <w:jc w:val="right"/>
      <w:rPr>
        <w:rFonts w:ascii="Calibri" w:hAnsi="Calibri" w:eastAsia="Calibri" w:cs="Calibri"/>
        <w:sz w:val="20"/>
        <w:szCs w:val="20"/>
      </w:rPr>
    </w:pPr>
    <w:r>
      <w:rPr>
        <w:rFonts w:ascii="Calibri" w:hAnsi="Calibri" w:eastAsia="Calibri" w:cs="Calibri"/>
        <w:spacing w:val="-5"/>
        <w:sz w:val="20"/>
        <w:szCs w:val="20"/>
      </w:rPr>
      <w:t>-</w:t>
    </w:r>
    <w:r>
      <w:rPr>
        <w:rFonts w:ascii="Calibri" w:hAnsi="Calibri" w:eastAsia="Calibri" w:cs="Calibri"/>
        <w:spacing w:val="13"/>
        <w:sz w:val="20"/>
        <w:szCs w:val="20"/>
      </w:rPr>
      <w:t xml:space="preserve"> </w:t>
    </w:r>
    <w:r>
      <w:rPr>
        <w:rFonts w:ascii="Calibri" w:hAnsi="Calibri" w:eastAsia="Calibri" w:cs="Calibri"/>
        <w:spacing w:val="-5"/>
        <w:sz w:val="20"/>
        <w:szCs w:val="20"/>
      </w:rPr>
      <w:t>28</w:t>
    </w:r>
    <w:r>
      <w:rPr>
        <w:rFonts w:ascii="Calibri" w:hAnsi="Calibri" w:eastAsia="Calibri" w:cs="Calibri"/>
        <w:spacing w:val="6"/>
        <w:sz w:val="20"/>
        <w:szCs w:val="20"/>
      </w:rPr>
      <w:t xml:space="preserve"> </w:t>
    </w:r>
    <w:r>
      <w:rPr>
        <w:rFonts w:ascii="Calibri" w:hAnsi="Calibri" w:eastAsia="Calibri" w:cs="Calibri"/>
        <w:spacing w:val="-5"/>
        <w:sz w:val="20"/>
        <w:szCs w:val="20"/>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B12D2">
    <w:pPr>
      <w:spacing w:line="238" w:lineRule="auto"/>
      <w:ind w:right="23"/>
      <w:jc w:val="right"/>
      <w:rPr>
        <w:rFonts w:ascii="Calibri" w:hAnsi="Calibri" w:eastAsia="Calibri" w:cs="Calibri"/>
        <w:sz w:val="20"/>
        <w:szCs w:val="20"/>
      </w:rPr>
    </w:pPr>
    <w:r>
      <w:rPr>
        <w:rFonts w:ascii="Calibri" w:hAnsi="Calibri" w:eastAsia="Calibri" w:cs="Calibri"/>
        <w:spacing w:val="-5"/>
        <w:sz w:val="20"/>
        <w:szCs w:val="20"/>
      </w:rPr>
      <w:t>-</w:t>
    </w:r>
    <w:r>
      <w:rPr>
        <w:rFonts w:ascii="Calibri" w:hAnsi="Calibri" w:eastAsia="Calibri" w:cs="Calibri"/>
        <w:spacing w:val="13"/>
        <w:sz w:val="20"/>
        <w:szCs w:val="20"/>
      </w:rPr>
      <w:t xml:space="preserve"> </w:t>
    </w:r>
    <w:r>
      <w:rPr>
        <w:rFonts w:ascii="Calibri" w:hAnsi="Calibri" w:eastAsia="Calibri" w:cs="Calibri"/>
        <w:spacing w:val="-5"/>
        <w:sz w:val="20"/>
        <w:szCs w:val="20"/>
      </w:rPr>
      <w:t>29</w:t>
    </w:r>
    <w:r>
      <w:rPr>
        <w:rFonts w:ascii="Calibri" w:hAnsi="Calibri" w:eastAsia="Calibri" w:cs="Calibri"/>
        <w:spacing w:val="6"/>
        <w:sz w:val="20"/>
        <w:szCs w:val="20"/>
      </w:rPr>
      <w:t xml:space="preserve"> </w:t>
    </w:r>
    <w:r>
      <w:rPr>
        <w:rFonts w:ascii="Calibri" w:hAnsi="Calibri" w:eastAsia="Calibri" w:cs="Calibri"/>
        <w:spacing w:val="-5"/>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40ED8">
    <w:pPr>
      <w:spacing w:line="238" w:lineRule="auto"/>
      <w:ind w:right="14"/>
      <w:jc w:val="right"/>
      <w:rPr>
        <w:rFonts w:ascii="Calibri" w:hAnsi="Calibri" w:eastAsia="Calibri" w:cs="Calibri"/>
        <w:sz w:val="20"/>
        <w:szCs w:val="20"/>
      </w:rPr>
    </w:pPr>
    <w:r>
      <w:rPr>
        <w:rFonts w:ascii="Calibri" w:hAnsi="Calibri" w:eastAsia="Calibri" w:cs="Calibri"/>
        <w:spacing w:val="-6"/>
        <w:sz w:val="20"/>
        <w:szCs w:val="20"/>
      </w:rPr>
      <w:t>-</w:t>
    </w:r>
    <w:r>
      <w:rPr>
        <w:rFonts w:ascii="Calibri" w:hAnsi="Calibri" w:eastAsia="Calibri" w:cs="Calibri"/>
        <w:spacing w:val="10"/>
        <w:sz w:val="20"/>
        <w:szCs w:val="20"/>
      </w:rPr>
      <w:t xml:space="preserve"> </w:t>
    </w:r>
    <w:r>
      <w:rPr>
        <w:rFonts w:ascii="Calibri" w:hAnsi="Calibri" w:eastAsia="Calibri" w:cs="Calibri"/>
        <w:spacing w:val="-6"/>
        <w:sz w:val="20"/>
        <w:szCs w:val="20"/>
      </w:rPr>
      <w:t>3</w:t>
    </w:r>
    <w:r>
      <w:rPr>
        <w:rFonts w:ascii="Calibri" w:hAnsi="Calibri" w:eastAsia="Calibri" w:cs="Calibri"/>
        <w:spacing w:val="8"/>
        <w:sz w:val="20"/>
        <w:szCs w:val="20"/>
      </w:rPr>
      <w:t xml:space="preserve"> </w:t>
    </w:r>
    <w:r>
      <w:rPr>
        <w:rFonts w:ascii="Calibri" w:hAnsi="Calibri" w:eastAsia="Calibri" w:cs="Calibri"/>
        <w:spacing w:val="-6"/>
        <w:sz w:val="20"/>
        <w:szCs w:val="20"/>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05E54">
    <w:pPr>
      <w:spacing w:line="238" w:lineRule="auto"/>
      <w:ind w:right="23"/>
      <w:jc w:val="right"/>
      <w:rPr>
        <w:rFonts w:ascii="Calibri" w:hAnsi="Calibri" w:eastAsia="Calibri" w:cs="Calibri"/>
        <w:sz w:val="20"/>
        <w:szCs w:val="20"/>
      </w:rPr>
    </w:pPr>
    <w:r>
      <w:rPr>
        <w:rFonts w:ascii="Calibri" w:hAnsi="Calibri" w:eastAsia="Calibri" w:cs="Calibri"/>
        <w:spacing w:val="-5"/>
        <w:sz w:val="20"/>
        <w:szCs w:val="20"/>
      </w:rPr>
      <w:t>-</w:t>
    </w:r>
    <w:r>
      <w:rPr>
        <w:rFonts w:ascii="Calibri" w:hAnsi="Calibri" w:eastAsia="Calibri" w:cs="Calibri"/>
        <w:spacing w:val="13"/>
        <w:sz w:val="20"/>
        <w:szCs w:val="20"/>
      </w:rPr>
      <w:t xml:space="preserve"> </w:t>
    </w:r>
    <w:r>
      <w:rPr>
        <w:rFonts w:ascii="Calibri" w:hAnsi="Calibri" w:eastAsia="Calibri" w:cs="Calibri"/>
        <w:spacing w:val="-5"/>
        <w:sz w:val="20"/>
        <w:szCs w:val="20"/>
      </w:rPr>
      <w:t>30</w:t>
    </w:r>
    <w:r>
      <w:rPr>
        <w:rFonts w:ascii="Calibri" w:hAnsi="Calibri" w:eastAsia="Calibri" w:cs="Calibri"/>
        <w:spacing w:val="6"/>
        <w:sz w:val="20"/>
        <w:szCs w:val="20"/>
      </w:rPr>
      <w:t xml:space="preserve"> </w:t>
    </w:r>
    <w:r>
      <w:rPr>
        <w:rFonts w:ascii="Calibri" w:hAnsi="Calibri" w:eastAsia="Calibri" w:cs="Calibri"/>
        <w:spacing w:val="-5"/>
        <w:sz w:val="20"/>
        <w:szCs w:val="20"/>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FCFA7">
    <w:pPr>
      <w:spacing w:line="238" w:lineRule="auto"/>
      <w:ind w:right="23"/>
      <w:jc w:val="right"/>
      <w:rPr>
        <w:rFonts w:ascii="Calibri" w:hAnsi="Calibri" w:eastAsia="Calibri" w:cs="Calibri"/>
        <w:sz w:val="20"/>
        <w:szCs w:val="20"/>
      </w:rPr>
    </w:pPr>
    <w:r>
      <w:rPr>
        <w:rFonts w:ascii="Calibri" w:hAnsi="Calibri" w:eastAsia="Calibri" w:cs="Calibri"/>
        <w:spacing w:val="-5"/>
        <w:sz w:val="20"/>
        <w:szCs w:val="20"/>
      </w:rPr>
      <w:t>-</w:t>
    </w:r>
    <w:r>
      <w:rPr>
        <w:rFonts w:ascii="Calibri" w:hAnsi="Calibri" w:eastAsia="Calibri" w:cs="Calibri"/>
        <w:spacing w:val="13"/>
        <w:sz w:val="20"/>
        <w:szCs w:val="20"/>
      </w:rPr>
      <w:t xml:space="preserve"> </w:t>
    </w:r>
    <w:r>
      <w:rPr>
        <w:rFonts w:ascii="Calibri" w:hAnsi="Calibri" w:eastAsia="Calibri" w:cs="Calibri"/>
        <w:spacing w:val="-5"/>
        <w:sz w:val="20"/>
        <w:szCs w:val="20"/>
      </w:rPr>
      <w:t>31</w:t>
    </w:r>
    <w:r>
      <w:rPr>
        <w:rFonts w:ascii="Calibri" w:hAnsi="Calibri" w:eastAsia="Calibri" w:cs="Calibri"/>
        <w:spacing w:val="6"/>
        <w:sz w:val="20"/>
        <w:szCs w:val="20"/>
      </w:rPr>
      <w:t xml:space="preserve"> </w:t>
    </w:r>
    <w:r>
      <w:rPr>
        <w:rFonts w:ascii="Calibri" w:hAnsi="Calibri" w:eastAsia="Calibri" w:cs="Calibri"/>
        <w:spacing w:val="-5"/>
        <w:sz w:val="20"/>
        <w:szCs w:val="20"/>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910F2">
    <w:pPr>
      <w:spacing w:line="238" w:lineRule="auto"/>
      <w:ind w:right="23"/>
      <w:jc w:val="right"/>
      <w:rPr>
        <w:rFonts w:ascii="Calibri" w:hAnsi="Calibri" w:eastAsia="Calibri" w:cs="Calibri"/>
        <w:sz w:val="20"/>
        <w:szCs w:val="20"/>
      </w:rPr>
    </w:pPr>
    <w:r>
      <w:rPr>
        <w:rFonts w:ascii="Calibri" w:hAnsi="Calibri" w:eastAsia="Calibri" w:cs="Calibri"/>
        <w:spacing w:val="-5"/>
        <w:sz w:val="20"/>
        <w:szCs w:val="20"/>
      </w:rPr>
      <w:t>-</w:t>
    </w:r>
    <w:r>
      <w:rPr>
        <w:rFonts w:ascii="Calibri" w:hAnsi="Calibri" w:eastAsia="Calibri" w:cs="Calibri"/>
        <w:spacing w:val="13"/>
        <w:sz w:val="20"/>
        <w:szCs w:val="20"/>
      </w:rPr>
      <w:t xml:space="preserve"> </w:t>
    </w:r>
    <w:r>
      <w:rPr>
        <w:rFonts w:ascii="Calibri" w:hAnsi="Calibri" w:eastAsia="Calibri" w:cs="Calibri"/>
        <w:spacing w:val="-5"/>
        <w:sz w:val="20"/>
        <w:szCs w:val="20"/>
      </w:rPr>
      <w:t>32</w:t>
    </w:r>
    <w:r>
      <w:rPr>
        <w:rFonts w:ascii="Calibri" w:hAnsi="Calibri" w:eastAsia="Calibri" w:cs="Calibri"/>
        <w:spacing w:val="6"/>
        <w:sz w:val="20"/>
        <w:szCs w:val="20"/>
      </w:rPr>
      <w:t xml:space="preserve"> </w:t>
    </w:r>
    <w:r>
      <w:rPr>
        <w:rFonts w:ascii="Calibri" w:hAnsi="Calibri" w:eastAsia="Calibri" w:cs="Calibri"/>
        <w:spacing w:val="-5"/>
        <w:sz w:val="20"/>
        <w:szCs w:val="20"/>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04451">
    <w:pPr>
      <w:spacing w:line="238" w:lineRule="auto"/>
      <w:ind w:right="23"/>
      <w:jc w:val="right"/>
      <w:rPr>
        <w:rFonts w:ascii="Calibri" w:hAnsi="Calibri" w:eastAsia="Calibri" w:cs="Calibri"/>
        <w:sz w:val="20"/>
        <w:szCs w:val="20"/>
      </w:rPr>
    </w:pPr>
    <w:r>
      <w:rPr>
        <w:rFonts w:ascii="Calibri" w:hAnsi="Calibri" w:eastAsia="Calibri" w:cs="Calibri"/>
        <w:spacing w:val="-5"/>
        <w:sz w:val="20"/>
        <w:szCs w:val="20"/>
      </w:rPr>
      <w:t>-</w:t>
    </w:r>
    <w:r>
      <w:rPr>
        <w:rFonts w:ascii="Calibri" w:hAnsi="Calibri" w:eastAsia="Calibri" w:cs="Calibri"/>
        <w:spacing w:val="13"/>
        <w:sz w:val="20"/>
        <w:szCs w:val="20"/>
      </w:rPr>
      <w:t xml:space="preserve"> </w:t>
    </w:r>
    <w:r>
      <w:rPr>
        <w:rFonts w:ascii="Calibri" w:hAnsi="Calibri" w:eastAsia="Calibri" w:cs="Calibri"/>
        <w:spacing w:val="-5"/>
        <w:sz w:val="20"/>
        <w:szCs w:val="20"/>
      </w:rPr>
      <w:t>33</w:t>
    </w:r>
    <w:r>
      <w:rPr>
        <w:rFonts w:ascii="Calibri" w:hAnsi="Calibri" w:eastAsia="Calibri" w:cs="Calibri"/>
        <w:spacing w:val="6"/>
        <w:sz w:val="20"/>
        <w:szCs w:val="20"/>
      </w:rPr>
      <w:t xml:space="preserve"> </w:t>
    </w:r>
    <w:r>
      <w:rPr>
        <w:rFonts w:ascii="Calibri" w:hAnsi="Calibri" w:eastAsia="Calibri" w:cs="Calibri"/>
        <w:spacing w:val="-5"/>
        <w:sz w:val="20"/>
        <w:szCs w:val="20"/>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3CE40">
    <w:pPr>
      <w:spacing w:line="238" w:lineRule="auto"/>
      <w:ind w:left="8516"/>
      <w:rPr>
        <w:rFonts w:ascii="Calibri" w:hAnsi="Calibri" w:eastAsia="Calibri" w:cs="Calibri"/>
        <w:sz w:val="20"/>
        <w:szCs w:val="20"/>
      </w:rPr>
    </w:pPr>
    <w:r>
      <w:rPr>
        <w:rFonts w:ascii="Calibri" w:hAnsi="Calibri" w:eastAsia="Calibri" w:cs="Calibri"/>
        <w:spacing w:val="-5"/>
        <w:sz w:val="20"/>
        <w:szCs w:val="20"/>
      </w:rPr>
      <w:t>-</w:t>
    </w:r>
    <w:r>
      <w:rPr>
        <w:rFonts w:ascii="Calibri" w:hAnsi="Calibri" w:eastAsia="Calibri" w:cs="Calibri"/>
        <w:spacing w:val="13"/>
        <w:sz w:val="20"/>
        <w:szCs w:val="20"/>
      </w:rPr>
      <w:t xml:space="preserve"> </w:t>
    </w:r>
    <w:r>
      <w:rPr>
        <w:rFonts w:ascii="Calibri" w:hAnsi="Calibri" w:eastAsia="Calibri" w:cs="Calibri"/>
        <w:spacing w:val="-5"/>
        <w:sz w:val="20"/>
        <w:szCs w:val="20"/>
      </w:rPr>
      <w:t>34</w:t>
    </w:r>
    <w:r>
      <w:rPr>
        <w:rFonts w:ascii="Calibri" w:hAnsi="Calibri" w:eastAsia="Calibri" w:cs="Calibri"/>
        <w:spacing w:val="6"/>
        <w:sz w:val="20"/>
        <w:szCs w:val="20"/>
      </w:rPr>
      <w:t xml:space="preserve"> </w:t>
    </w:r>
    <w:r>
      <w:rPr>
        <w:rFonts w:ascii="Calibri" w:hAnsi="Calibri" w:eastAsia="Calibri" w:cs="Calibri"/>
        <w:spacing w:val="-5"/>
        <w:sz w:val="20"/>
        <w:szCs w:val="20"/>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C2E88">
    <w:pPr>
      <w:spacing w:line="238" w:lineRule="auto"/>
      <w:ind w:left="8516"/>
      <w:rPr>
        <w:rFonts w:ascii="Calibri" w:hAnsi="Calibri" w:eastAsia="Calibri" w:cs="Calibri"/>
        <w:sz w:val="20"/>
        <w:szCs w:val="20"/>
      </w:rPr>
    </w:pPr>
    <w:r>
      <w:rPr>
        <w:rFonts w:ascii="Calibri" w:hAnsi="Calibri" w:eastAsia="Calibri" w:cs="Calibri"/>
        <w:spacing w:val="-5"/>
        <w:sz w:val="20"/>
        <w:szCs w:val="20"/>
      </w:rPr>
      <w:t>-</w:t>
    </w:r>
    <w:r>
      <w:rPr>
        <w:rFonts w:ascii="Calibri" w:hAnsi="Calibri" w:eastAsia="Calibri" w:cs="Calibri"/>
        <w:spacing w:val="13"/>
        <w:sz w:val="20"/>
        <w:szCs w:val="20"/>
      </w:rPr>
      <w:t xml:space="preserve"> </w:t>
    </w:r>
    <w:r>
      <w:rPr>
        <w:rFonts w:ascii="Calibri" w:hAnsi="Calibri" w:eastAsia="Calibri" w:cs="Calibri"/>
        <w:spacing w:val="-5"/>
        <w:sz w:val="20"/>
        <w:szCs w:val="20"/>
      </w:rPr>
      <w:t>35</w:t>
    </w:r>
    <w:r>
      <w:rPr>
        <w:rFonts w:ascii="Calibri" w:hAnsi="Calibri" w:eastAsia="Calibri" w:cs="Calibri"/>
        <w:spacing w:val="6"/>
        <w:sz w:val="20"/>
        <w:szCs w:val="20"/>
      </w:rPr>
      <w:t xml:space="preserve"> </w:t>
    </w:r>
    <w:r>
      <w:rPr>
        <w:rFonts w:ascii="Calibri" w:hAnsi="Calibri" w:eastAsia="Calibri" w:cs="Calibri"/>
        <w:spacing w:val="-5"/>
        <w:sz w:val="20"/>
        <w:szCs w:val="20"/>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F0422">
    <w:pPr>
      <w:spacing w:line="238" w:lineRule="auto"/>
      <w:ind w:left="8516"/>
      <w:rPr>
        <w:rFonts w:ascii="Calibri" w:hAnsi="Calibri" w:eastAsia="Calibri" w:cs="Calibri"/>
        <w:sz w:val="20"/>
        <w:szCs w:val="20"/>
      </w:rPr>
    </w:pPr>
    <w:r>
      <w:rPr>
        <w:rFonts w:ascii="Calibri" w:hAnsi="Calibri" w:eastAsia="Calibri" w:cs="Calibri"/>
        <w:spacing w:val="-5"/>
        <w:sz w:val="20"/>
        <w:szCs w:val="20"/>
      </w:rPr>
      <w:t>-</w:t>
    </w:r>
    <w:r>
      <w:rPr>
        <w:rFonts w:ascii="Calibri" w:hAnsi="Calibri" w:eastAsia="Calibri" w:cs="Calibri"/>
        <w:spacing w:val="13"/>
        <w:sz w:val="20"/>
        <w:szCs w:val="20"/>
      </w:rPr>
      <w:t xml:space="preserve"> </w:t>
    </w:r>
    <w:r>
      <w:rPr>
        <w:rFonts w:ascii="Calibri" w:hAnsi="Calibri" w:eastAsia="Calibri" w:cs="Calibri"/>
        <w:spacing w:val="-5"/>
        <w:sz w:val="20"/>
        <w:szCs w:val="20"/>
      </w:rPr>
      <w:t>36</w:t>
    </w:r>
    <w:r>
      <w:rPr>
        <w:rFonts w:ascii="Calibri" w:hAnsi="Calibri" w:eastAsia="Calibri" w:cs="Calibri"/>
        <w:spacing w:val="6"/>
        <w:sz w:val="20"/>
        <w:szCs w:val="20"/>
      </w:rPr>
      <w:t xml:space="preserve"> </w:t>
    </w:r>
    <w:r>
      <w:rPr>
        <w:rFonts w:ascii="Calibri" w:hAnsi="Calibri" w:eastAsia="Calibri" w:cs="Calibri"/>
        <w:spacing w:val="-5"/>
        <w:sz w:val="20"/>
        <w:szCs w:val="20"/>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3625E">
    <w:pPr>
      <w:spacing w:line="238" w:lineRule="auto"/>
      <w:ind w:left="8516"/>
      <w:rPr>
        <w:rFonts w:ascii="Calibri" w:hAnsi="Calibri" w:eastAsia="Calibri" w:cs="Calibri"/>
        <w:sz w:val="20"/>
        <w:szCs w:val="20"/>
      </w:rPr>
    </w:pPr>
    <w:r>
      <w:rPr>
        <w:rFonts w:ascii="Calibri" w:hAnsi="Calibri" w:eastAsia="Calibri" w:cs="Calibri"/>
        <w:spacing w:val="-5"/>
        <w:sz w:val="20"/>
        <w:szCs w:val="20"/>
      </w:rPr>
      <w:t>-</w:t>
    </w:r>
    <w:r>
      <w:rPr>
        <w:rFonts w:ascii="Calibri" w:hAnsi="Calibri" w:eastAsia="Calibri" w:cs="Calibri"/>
        <w:spacing w:val="13"/>
        <w:sz w:val="20"/>
        <w:szCs w:val="20"/>
      </w:rPr>
      <w:t xml:space="preserve"> </w:t>
    </w:r>
    <w:r>
      <w:rPr>
        <w:rFonts w:ascii="Calibri" w:hAnsi="Calibri" w:eastAsia="Calibri" w:cs="Calibri"/>
        <w:spacing w:val="-5"/>
        <w:sz w:val="20"/>
        <w:szCs w:val="20"/>
      </w:rPr>
      <w:t>37</w:t>
    </w:r>
    <w:r>
      <w:rPr>
        <w:rFonts w:ascii="Calibri" w:hAnsi="Calibri" w:eastAsia="Calibri" w:cs="Calibri"/>
        <w:spacing w:val="6"/>
        <w:sz w:val="20"/>
        <w:szCs w:val="20"/>
      </w:rPr>
      <w:t xml:space="preserve"> </w:t>
    </w:r>
    <w:r>
      <w:rPr>
        <w:rFonts w:ascii="Calibri" w:hAnsi="Calibri" w:eastAsia="Calibri" w:cs="Calibri"/>
        <w:spacing w:val="-5"/>
        <w:sz w:val="20"/>
        <w:szCs w:val="20"/>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908AF">
    <w:pPr>
      <w:spacing w:line="238" w:lineRule="auto"/>
      <w:ind w:left="8516"/>
      <w:rPr>
        <w:rFonts w:ascii="Calibri" w:hAnsi="Calibri" w:eastAsia="Calibri" w:cs="Calibri"/>
        <w:sz w:val="20"/>
        <w:szCs w:val="20"/>
      </w:rPr>
    </w:pPr>
    <w:r>
      <w:rPr>
        <w:rFonts w:ascii="Calibri" w:hAnsi="Calibri" w:eastAsia="Calibri" w:cs="Calibri"/>
        <w:spacing w:val="-5"/>
        <w:sz w:val="20"/>
        <w:szCs w:val="20"/>
      </w:rPr>
      <w:t>-</w:t>
    </w:r>
    <w:r>
      <w:rPr>
        <w:rFonts w:ascii="Calibri" w:hAnsi="Calibri" w:eastAsia="Calibri" w:cs="Calibri"/>
        <w:spacing w:val="13"/>
        <w:sz w:val="20"/>
        <w:szCs w:val="20"/>
      </w:rPr>
      <w:t xml:space="preserve"> </w:t>
    </w:r>
    <w:r>
      <w:rPr>
        <w:rFonts w:ascii="Calibri" w:hAnsi="Calibri" w:eastAsia="Calibri" w:cs="Calibri"/>
        <w:spacing w:val="-5"/>
        <w:sz w:val="20"/>
        <w:szCs w:val="20"/>
      </w:rPr>
      <w:t>38</w:t>
    </w:r>
    <w:r>
      <w:rPr>
        <w:rFonts w:ascii="Calibri" w:hAnsi="Calibri" w:eastAsia="Calibri" w:cs="Calibri"/>
        <w:spacing w:val="6"/>
        <w:sz w:val="20"/>
        <w:szCs w:val="20"/>
      </w:rPr>
      <w:t xml:space="preserve"> </w:t>
    </w:r>
    <w:r>
      <w:rPr>
        <w:rFonts w:ascii="Calibri" w:hAnsi="Calibri" w:eastAsia="Calibri" w:cs="Calibri"/>
        <w:spacing w:val="-5"/>
        <w:sz w:val="20"/>
        <w:szCs w:val="20"/>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50BA1">
    <w:pPr>
      <w:spacing w:line="238" w:lineRule="auto"/>
      <w:ind w:left="8516"/>
      <w:rPr>
        <w:rFonts w:ascii="Calibri" w:hAnsi="Calibri" w:eastAsia="Calibri" w:cs="Calibri"/>
        <w:sz w:val="20"/>
        <w:szCs w:val="20"/>
      </w:rPr>
    </w:pPr>
    <w:r>
      <w:rPr>
        <w:rFonts w:ascii="Calibri" w:hAnsi="Calibri" w:eastAsia="Calibri" w:cs="Calibri"/>
        <w:spacing w:val="-5"/>
        <w:sz w:val="20"/>
        <w:szCs w:val="20"/>
      </w:rPr>
      <w:t>-</w:t>
    </w:r>
    <w:r>
      <w:rPr>
        <w:rFonts w:ascii="Calibri" w:hAnsi="Calibri" w:eastAsia="Calibri" w:cs="Calibri"/>
        <w:spacing w:val="13"/>
        <w:sz w:val="20"/>
        <w:szCs w:val="20"/>
      </w:rPr>
      <w:t xml:space="preserve"> </w:t>
    </w:r>
    <w:r>
      <w:rPr>
        <w:rFonts w:ascii="Calibri" w:hAnsi="Calibri" w:eastAsia="Calibri" w:cs="Calibri"/>
        <w:spacing w:val="-5"/>
        <w:sz w:val="20"/>
        <w:szCs w:val="20"/>
      </w:rPr>
      <w:t>39</w:t>
    </w:r>
    <w:r>
      <w:rPr>
        <w:rFonts w:ascii="Calibri" w:hAnsi="Calibri" w:eastAsia="Calibri" w:cs="Calibri"/>
        <w:spacing w:val="6"/>
        <w:sz w:val="20"/>
        <w:szCs w:val="20"/>
      </w:rPr>
      <w:t xml:space="preserve"> </w:t>
    </w:r>
    <w:r>
      <w:rPr>
        <w:rFonts w:ascii="Calibri" w:hAnsi="Calibri" w:eastAsia="Calibri" w:cs="Calibri"/>
        <w:spacing w:val="-5"/>
        <w:sz w:val="20"/>
        <w:szCs w:val="20"/>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EF7AA">
    <w:pPr>
      <w:spacing w:line="239" w:lineRule="auto"/>
      <w:ind w:right="14"/>
      <w:jc w:val="right"/>
      <w:rPr>
        <w:rFonts w:ascii="Calibri" w:hAnsi="Calibri" w:eastAsia="Calibri" w:cs="Calibri"/>
        <w:sz w:val="20"/>
        <w:szCs w:val="20"/>
      </w:rPr>
    </w:pPr>
    <w:r>
      <w:rPr>
        <w:rFonts w:ascii="Calibri" w:hAnsi="Calibri" w:eastAsia="Calibri" w:cs="Calibri"/>
        <w:spacing w:val="-4"/>
        <w:sz w:val="20"/>
        <w:szCs w:val="20"/>
      </w:rPr>
      <w:t>-</w:t>
    </w:r>
    <w:r>
      <w:rPr>
        <w:rFonts w:ascii="Calibri" w:hAnsi="Calibri" w:eastAsia="Calibri" w:cs="Calibri"/>
        <w:spacing w:val="4"/>
        <w:sz w:val="20"/>
        <w:szCs w:val="20"/>
      </w:rPr>
      <w:t xml:space="preserve"> </w:t>
    </w:r>
    <w:r>
      <w:rPr>
        <w:rFonts w:ascii="Calibri" w:hAnsi="Calibri" w:eastAsia="Calibri" w:cs="Calibri"/>
        <w:spacing w:val="-4"/>
        <w:sz w:val="20"/>
        <w:szCs w:val="20"/>
      </w:rPr>
      <w:t>4</w:t>
    </w:r>
    <w:r>
      <w:rPr>
        <w:rFonts w:ascii="Calibri" w:hAnsi="Calibri" w:eastAsia="Calibri" w:cs="Calibri"/>
        <w:spacing w:val="8"/>
        <w:sz w:val="20"/>
        <w:szCs w:val="20"/>
      </w:rPr>
      <w:t xml:space="preserve"> </w:t>
    </w:r>
    <w:r>
      <w:rPr>
        <w:rFonts w:ascii="Calibri" w:hAnsi="Calibri" w:eastAsia="Calibri" w:cs="Calibri"/>
        <w:spacing w:val="-4"/>
        <w:sz w:val="20"/>
        <w:szCs w:val="20"/>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2CA34">
    <w:pPr>
      <w:spacing w:line="238" w:lineRule="auto"/>
      <w:ind w:left="8516"/>
      <w:rPr>
        <w:rFonts w:ascii="Calibri" w:hAnsi="Calibri" w:eastAsia="Calibri" w:cs="Calibri"/>
        <w:sz w:val="20"/>
        <w:szCs w:val="20"/>
      </w:rPr>
    </w:pPr>
    <w:r>
      <w:rPr>
        <w:rFonts w:ascii="Calibri" w:hAnsi="Calibri" w:eastAsia="Calibri" w:cs="Calibri"/>
        <w:spacing w:val="-3"/>
        <w:sz w:val="20"/>
        <w:szCs w:val="20"/>
      </w:rPr>
      <w:t>-</w:t>
    </w:r>
    <w:r>
      <w:rPr>
        <w:rFonts w:ascii="Calibri" w:hAnsi="Calibri" w:eastAsia="Calibri" w:cs="Calibri"/>
        <w:spacing w:val="5"/>
        <w:sz w:val="20"/>
        <w:szCs w:val="20"/>
      </w:rPr>
      <w:t xml:space="preserve"> </w:t>
    </w:r>
    <w:r>
      <w:rPr>
        <w:rFonts w:ascii="Calibri" w:hAnsi="Calibri" w:eastAsia="Calibri" w:cs="Calibri"/>
        <w:spacing w:val="-3"/>
        <w:sz w:val="20"/>
        <w:szCs w:val="20"/>
      </w:rPr>
      <w:t>40</w:t>
    </w:r>
    <w:r>
      <w:rPr>
        <w:rFonts w:ascii="Calibri" w:hAnsi="Calibri" w:eastAsia="Calibri" w:cs="Calibri"/>
        <w:spacing w:val="6"/>
        <w:sz w:val="20"/>
        <w:szCs w:val="20"/>
      </w:rPr>
      <w:t xml:space="preserve"> </w:t>
    </w:r>
    <w:r>
      <w:rPr>
        <w:rFonts w:ascii="Calibri" w:hAnsi="Calibri" w:eastAsia="Calibri" w:cs="Calibri"/>
        <w:spacing w:val="-3"/>
        <w:sz w:val="20"/>
        <w:szCs w:val="20"/>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3C722">
    <w:pPr>
      <w:spacing w:line="239" w:lineRule="auto"/>
      <w:ind w:left="8516"/>
      <w:rPr>
        <w:rFonts w:ascii="Calibri" w:hAnsi="Calibri" w:eastAsia="Calibri" w:cs="Calibri"/>
        <w:sz w:val="20"/>
        <w:szCs w:val="20"/>
      </w:rPr>
    </w:pPr>
    <w:r>
      <w:rPr>
        <w:rFonts w:ascii="Calibri" w:hAnsi="Calibri" w:eastAsia="Calibri" w:cs="Calibri"/>
        <w:spacing w:val="-3"/>
        <w:sz w:val="20"/>
        <w:szCs w:val="20"/>
      </w:rPr>
      <w:t>-</w:t>
    </w:r>
    <w:r>
      <w:rPr>
        <w:rFonts w:ascii="Calibri" w:hAnsi="Calibri" w:eastAsia="Calibri" w:cs="Calibri"/>
        <w:spacing w:val="5"/>
        <w:sz w:val="20"/>
        <w:szCs w:val="20"/>
      </w:rPr>
      <w:t xml:space="preserve"> </w:t>
    </w:r>
    <w:r>
      <w:rPr>
        <w:rFonts w:ascii="Calibri" w:hAnsi="Calibri" w:eastAsia="Calibri" w:cs="Calibri"/>
        <w:spacing w:val="-3"/>
        <w:sz w:val="20"/>
        <w:szCs w:val="20"/>
      </w:rPr>
      <w:t>41</w:t>
    </w:r>
    <w:r>
      <w:rPr>
        <w:rFonts w:ascii="Calibri" w:hAnsi="Calibri" w:eastAsia="Calibri" w:cs="Calibri"/>
        <w:spacing w:val="6"/>
        <w:sz w:val="20"/>
        <w:szCs w:val="20"/>
      </w:rPr>
      <w:t xml:space="preserve"> </w:t>
    </w:r>
    <w:r>
      <w:rPr>
        <w:rFonts w:ascii="Calibri" w:hAnsi="Calibri" w:eastAsia="Calibri" w:cs="Calibri"/>
        <w:spacing w:val="-3"/>
        <w:sz w:val="20"/>
        <w:szCs w:val="20"/>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84A03">
    <w:pPr>
      <w:spacing w:line="239" w:lineRule="auto"/>
      <w:ind w:left="8516"/>
      <w:rPr>
        <w:rFonts w:ascii="Calibri" w:hAnsi="Calibri" w:eastAsia="Calibri" w:cs="Calibri"/>
        <w:sz w:val="20"/>
        <w:szCs w:val="20"/>
      </w:rPr>
    </w:pPr>
    <w:r>
      <w:rPr>
        <w:rFonts w:ascii="Calibri" w:hAnsi="Calibri" w:eastAsia="Calibri" w:cs="Calibri"/>
        <w:spacing w:val="-3"/>
        <w:sz w:val="20"/>
        <w:szCs w:val="20"/>
      </w:rPr>
      <w:t>-</w:t>
    </w:r>
    <w:r>
      <w:rPr>
        <w:rFonts w:ascii="Calibri" w:hAnsi="Calibri" w:eastAsia="Calibri" w:cs="Calibri"/>
        <w:spacing w:val="5"/>
        <w:sz w:val="20"/>
        <w:szCs w:val="20"/>
      </w:rPr>
      <w:t xml:space="preserve"> </w:t>
    </w:r>
    <w:r>
      <w:rPr>
        <w:rFonts w:ascii="Calibri" w:hAnsi="Calibri" w:eastAsia="Calibri" w:cs="Calibri"/>
        <w:spacing w:val="-3"/>
        <w:sz w:val="20"/>
        <w:szCs w:val="20"/>
      </w:rPr>
      <w:t>42</w:t>
    </w:r>
    <w:r>
      <w:rPr>
        <w:rFonts w:ascii="Calibri" w:hAnsi="Calibri" w:eastAsia="Calibri" w:cs="Calibri"/>
        <w:spacing w:val="6"/>
        <w:sz w:val="20"/>
        <w:szCs w:val="20"/>
      </w:rPr>
      <w:t xml:space="preserve"> </w:t>
    </w:r>
    <w:r>
      <w:rPr>
        <w:rFonts w:ascii="Calibri" w:hAnsi="Calibri" w:eastAsia="Calibri" w:cs="Calibri"/>
        <w:spacing w:val="-3"/>
        <w:sz w:val="20"/>
        <w:szCs w:val="20"/>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A7B57">
    <w:pPr>
      <w:spacing w:line="238" w:lineRule="auto"/>
      <w:ind w:left="8516"/>
      <w:rPr>
        <w:rFonts w:ascii="Calibri" w:hAnsi="Calibri" w:eastAsia="Calibri" w:cs="Calibri"/>
        <w:sz w:val="20"/>
        <w:szCs w:val="20"/>
      </w:rPr>
    </w:pPr>
    <w:r>
      <w:rPr>
        <w:rFonts w:ascii="Calibri" w:hAnsi="Calibri" w:eastAsia="Calibri" w:cs="Calibri"/>
        <w:spacing w:val="-3"/>
        <w:sz w:val="20"/>
        <w:szCs w:val="20"/>
      </w:rPr>
      <w:t>-</w:t>
    </w:r>
    <w:r>
      <w:rPr>
        <w:rFonts w:ascii="Calibri" w:hAnsi="Calibri" w:eastAsia="Calibri" w:cs="Calibri"/>
        <w:spacing w:val="5"/>
        <w:sz w:val="20"/>
        <w:szCs w:val="20"/>
      </w:rPr>
      <w:t xml:space="preserve"> </w:t>
    </w:r>
    <w:r>
      <w:rPr>
        <w:rFonts w:ascii="Calibri" w:hAnsi="Calibri" w:eastAsia="Calibri" w:cs="Calibri"/>
        <w:spacing w:val="-3"/>
        <w:sz w:val="20"/>
        <w:szCs w:val="20"/>
      </w:rPr>
      <w:t>43</w:t>
    </w:r>
    <w:r>
      <w:rPr>
        <w:rFonts w:ascii="Calibri" w:hAnsi="Calibri" w:eastAsia="Calibri" w:cs="Calibri"/>
        <w:spacing w:val="6"/>
        <w:sz w:val="20"/>
        <w:szCs w:val="20"/>
      </w:rPr>
      <w:t xml:space="preserve"> </w:t>
    </w:r>
    <w:r>
      <w:rPr>
        <w:rFonts w:ascii="Calibri" w:hAnsi="Calibri" w:eastAsia="Calibri" w:cs="Calibri"/>
        <w:spacing w:val="-3"/>
        <w:sz w:val="20"/>
        <w:szCs w:val="20"/>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B4E05">
    <w:pPr>
      <w:spacing w:line="239" w:lineRule="auto"/>
      <w:ind w:left="8516"/>
      <w:rPr>
        <w:rFonts w:ascii="Calibri" w:hAnsi="Calibri" w:eastAsia="Calibri" w:cs="Calibri"/>
        <w:sz w:val="20"/>
        <w:szCs w:val="20"/>
      </w:rPr>
    </w:pPr>
    <w:r>
      <w:rPr>
        <w:rFonts w:ascii="Calibri" w:hAnsi="Calibri" w:eastAsia="Calibri" w:cs="Calibri"/>
        <w:spacing w:val="-3"/>
        <w:sz w:val="20"/>
        <w:szCs w:val="20"/>
      </w:rPr>
      <w:t>-</w:t>
    </w:r>
    <w:r>
      <w:rPr>
        <w:rFonts w:ascii="Calibri" w:hAnsi="Calibri" w:eastAsia="Calibri" w:cs="Calibri"/>
        <w:spacing w:val="5"/>
        <w:sz w:val="20"/>
        <w:szCs w:val="20"/>
      </w:rPr>
      <w:t xml:space="preserve"> </w:t>
    </w:r>
    <w:r>
      <w:rPr>
        <w:rFonts w:ascii="Calibri" w:hAnsi="Calibri" w:eastAsia="Calibri" w:cs="Calibri"/>
        <w:spacing w:val="-3"/>
        <w:sz w:val="20"/>
        <w:szCs w:val="20"/>
      </w:rPr>
      <w:t>44</w:t>
    </w:r>
    <w:r>
      <w:rPr>
        <w:rFonts w:ascii="Calibri" w:hAnsi="Calibri" w:eastAsia="Calibri" w:cs="Calibri"/>
        <w:spacing w:val="6"/>
        <w:sz w:val="20"/>
        <w:szCs w:val="20"/>
      </w:rPr>
      <w:t xml:space="preserve"> </w:t>
    </w:r>
    <w:r>
      <w:rPr>
        <w:rFonts w:ascii="Calibri" w:hAnsi="Calibri" w:eastAsia="Calibri" w:cs="Calibri"/>
        <w:spacing w:val="-3"/>
        <w:sz w:val="20"/>
        <w:szCs w:val="20"/>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E097D">
    <w:pPr>
      <w:spacing w:line="238" w:lineRule="auto"/>
      <w:ind w:left="8520"/>
      <w:rPr>
        <w:rFonts w:ascii="Calibri" w:hAnsi="Calibri" w:eastAsia="Calibri" w:cs="Calibri"/>
        <w:sz w:val="20"/>
        <w:szCs w:val="20"/>
      </w:rPr>
    </w:pPr>
    <w:r>
      <w:rPr>
        <w:rFonts w:ascii="Calibri" w:hAnsi="Calibri" w:eastAsia="Calibri" w:cs="Calibri"/>
        <w:spacing w:val="-3"/>
        <w:sz w:val="20"/>
        <w:szCs w:val="20"/>
      </w:rPr>
      <w:t>-</w:t>
    </w:r>
    <w:r>
      <w:rPr>
        <w:rFonts w:ascii="Calibri" w:hAnsi="Calibri" w:eastAsia="Calibri" w:cs="Calibri"/>
        <w:spacing w:val="5"/>
        <w:sz w:val="20"/>
        <w:szCs w:val="20"/>
      </w:rPr>
      <w:t xml:space="preserve"> </w:t>
    </w:r>
    <w:r>
      <w:rPr>
        <w:rFonts w:ascii="Calibri" w:hAnsi="Calibri" w:eastAsia="Calibri" w:cs="Calibri"/>
        <w:spacing w:val="-3"/>
        <w:sz w:val="20"/>
        <w:szCs w:val="20"/>
      </w:rPr>
      <w:t>45</w:t>
    </w:r>
    <w:r>
      <w:rPr>
        <w:rFonts w:ascii="Calibri" w:hAnsi="Calibri" w:eastAsia="Calibri" w:cs="Calibri"/>
        <w:spacing w:val="6"/>
        <w:sz w:val="20"/>
        <w:szCs w:val="20"/>
      </w:rPr>
      <w:t xml:space="preserve"> </w:t>
    </w:r>
    <w:r>
      <w:rPr>
        <w:rFonts w:ascii="Calibri" w:hAnsi="Calibri" w:eastAsia="Calibri" w:cs="Calibri"/>
        <w:spacing w:val="-3"/>
        <w:sz w:val="20"/>
        <w:szCs w:val="20"/>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FCABA">
    <w:pPr>
      <w:spacing w:line="238" w:lineRule="auto"/>
      <w:ind w:left="8520"/>
      <w:rPr>
        <w:rFonts w:ascii="Calibri" w:hAnsi="Calibri" w:eastAsia="Calibri" w:cs="Calibri"/>
        <w:sz w:val="20"/>
        <w:szCs w:val="20"/>
      </w:rPr>
    </w:pPr>
    <w:r>
      <w:rPr>
        <w:rFonts w:ascii="Calibri" w:hAnsi="Calibri" w:eastAsia="Calibri" w:cs="Calibri"/>
        <w:spacing w:val="-3"/>
        <w:sz w:val="20"/>
        <w:szCs w:val="20"/>
      </w:rPr>
      <w:t>-</w:t>
    </w:r>
    <w:r>
      <w:rPr>
        <w:rFonts w:ascii="Calibri" w:hAnsi="Calibri" w:eastAsia="Calibri" w:cs="Calibri"/>
        <w:spacing w:val="5"/>
        <w:sz w:val="20"/>
        <w:szCs w:val="20"/>
      </w:rPr>
      <w:t xml:space="preserve"> </w:t>
    </w:r>
    <w:r>
      <w:rPr>
        <w:rFonts w:ascii="Calibri" w:hAnsi="Calibri" w:eastAsia="Calibri" w:cs="Calibri"/>
        <w:spacing w:val="-3"/>
        <w:sz w:val="20"/>
        <w:szCs w:val="20"/>
      </w:rPr>
      <w:t>46</w:t>
    </w:r>
    <w:r>
      <w:rPr>
        <w:rFonts w:ascii="Calibri" w:hAnsi="Calibri" w:eastAsia="Calibri" w:cs="Calibri"/>
        <w:spacing w:val="6"/>
        <w:sz w:val="20"/>
        <w:szCs w:val="20"/>
      </w:rPr>
      <w:t xml:space="preserve"> </w:t>
    </w:r>
    <w:r>
      <w:rPr>
        <w:rFonts w:ascii="Calibri" w:hAnsi="Calibri" w:eastAsia="Calibri" w:cs="Calibri"/>
        <w:spacing w:val="-3"/>
        <w:sz w:val="20"/>
        <w:szCs w:val="20"/>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97A87">
    <w:pPr>
      <w:spacing w:line="239" w:lineRule="auto"/>
      <w:ind w:left="8520"/>
      <w:rPr>
        <w:rFonts w:ascii="Calibri" w:hAnsi="Calibri" w:eastAsia="Calibri" w:cs="Calibri"/>
        <w:sz w:val="20"/>
        <w:szCs w:val="20"/>
      </w:rPr>
    </w:pPr>
    <w:r>
      <w:rPr>
        <w:rFonts w:ascii="Calibri" w:hAnsi="Calibri" w:eastAsia="Calibri" w:cs="Calibri"/>
        <w:spacing w:val="-3"/>
        <w:sz w:val="20"/>
        <w:szCs w:val="20"/>
      </w:rPr>
      <w:t>-</w:t>
    </w:r>
    <w:r>
      <w:rPr>
        <w:rFonts w:ascii="Calibri" w:hAnsi="Calibri" w:eastAsia="Calibri" w:cs="Calibri"/>
        <w:spacing w:val="5"/>
        <w:sz w:val="20"/>
        <w:szCs w:val="20"/>
      </w:rPr>
      <w:t xml:space="preserve"> </w:t>
    </w:r>
    <w:r>
      <w:rPr>
        <w:rFonts w:ascii="Calibri" w:hAnsi="Calibri" w:eastAsia="Calibri" w:cs="Calibri"/>
        <w:spacing w:val="-3"/>
        <w:sz w:val="20"/>
        <w:szCs w:val="20"/>
      </w:rPr>
      <w:t>47</w:t>
    </w:r>
    <w:r>
      <w:rPr>
        <w:rFonts w:ascii="Calibri" w:hAnsi="Calibri" w:eastAsia="Calibri" w:cs="Calibri"/>
        <w:spacing w:val="6"/>
        <w:sz w:val="20"/>
        <w:szCs w:val="20"/>
      </w:rPr>
      <w:t xml:space="preserve"> </w:t>
    </w:r>
    <w:r>
      <w:rPr>
        <w:rFonts w:ascii="Calibri" w:hAnsi="Calibri" w:eastAsia="Calibri" w:cs="Calibri"/>
        <w:spacing w:val="-3"/>
        <w:sz w:val="20"/>
        <w:szCs w:val="20"/>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9FB5E">
    <w:pPr>
      <w:spacing w:line="238" w:lineRule="auto"/>
      <w:ind w:left="8520"/>
      <w:rPr>
        <w:rFonts w:ascii="Calibri" w:hAnsi="Calibri" w:eastAsia="Calibri" w:cs="Calibri"/>
        <w:sz w:val="20"/>
        <w:szCs w:val="20"/>
      </w:rPr>
    </w:pPr>
    <w:r>
      <w:rPr>
        <w:rFonts w:ascii="Calibri" w:hAnsi="Calibri" w:eastAsia="Calibri" w:cs="Calibri"/>
        <w:spacing w:val="-3"/>
        <w:sz w:val="20"/>
        <w:szCs w:val="20"/>
      </w:rPr>
      <w:t>-</w:t>
    </w:r>
    <w:r>
      <w:rPr>
        <w:rFonts w:ascii="Calibri" w:hAnsi="Calibri" w:eastAsia="Calibri" w:cs="Calibri"/>
        <w:spacing w:val="5"/>
        <w:sz w:val="20"/>
        <w:szCs w:val="20"/>
      </w:rPr>
      <w:t xml:space="preserve"> </w:t>
    </w:r>
    <w:r>
      <w:rPr>
        <w:rFonts w:ascii="Calibri" w:hAnsi="Calibri" w:eastAsia="Calibri" w:cs="Calibri"/>
        <w:spacing w:val="-3"/>
        <w:sz w:val="20"/>
        <w:szCs w:val="20"/>
      </w:rPr>
      <w:t>48</w:t>
    </w:r>
    <w:r>
      <w:rPr>
        <w:rFonts w:ascii="Calibri" w:hAnsi="Calibri" w:eastAsia="Calibri" w:cs="Calibri"/>
        <w:spacing w:val="6"/>
        <w:sz w:val="20"/>
        <w:szCs w:val="20"/>
      </w:rPr>
      <w:t xml:space="preserve"> </w:t>
    </w:r>
    <w:r>
      <w:rPr>
        <w:rFonts w:ascii="Calibri" w:hAnsi="Calibri" w:eastAsia="Calibri" w:cs="Calibri"/>
        <w:spacing w:val="-3"/>
        <w:sz w:val="20"/>
        <w:szCs w:val="20"/>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92617">
    <w:pPr>
      <w:spacing w:line="238" w:lineRule="auto"/>
      <w:ind w:left="8520"/>
      <w:rPr>
        <w:rFonts w:ascii="Calibri" w:hAnsi="Calibri" w:eastAsia="Calibri" w:cs="Calibri"/>
        <w:sz w:val="20"/>
        <w:szCs w:val="20"/>
      </w:rPr>
    </w:pPr>
    <w:r>
      <w:rPr>
        <w:rFonts w:ascii="Calibri" w:hAnsi="Calibri" w:eastAsia="Calibri" w:cs="Calibri"/>
        <w:spacing w:val="-3"/>
        <w:sz w:val="20"/>
        <w:szCs w:val="20"/>
      </w:rPr>
      <w:t>-</w:t>
    </w:r>
    <w:r>
      <w:rPr>
        <w:rFonts w:ascii="Calibri" w:hAnsi="Calibri" w:eastAsia="Calibri" w:cs="Calibri"/>
        <w:spacing w:val="5"/>
        <w:sz w:val="20"/>
        <w:szCs w:val="20"/>
      </w:rPr>
      <w:t xml:space="preserve"> </w:t>
    </w:r>
    <w:r>
      <w:rPr>
        <w:rFonts w:ascii="Calibri" w:hAnsi="Calibri" w:eastAsia="Calibri" w:cs="Calibri"/>
        <w:spacing w:val="-3"/>
        <w:sz w:val="20"/>
        <w:szCs w:val="20"/>
      </w:rPr>
      <w:t>49</w:t>
    </w:r>
    <w:r>
      <w:rPr>
        <w:rFonts w:ascii="Calibri" w:hAnsi="Calibri" w:eastAsia="Calibri" w:cs="Calibri"/>
        <w:spacing w:val="6"/>
        <w:sz w:val="20"/>
        <w:szCs w:val="20"/>
      </w:rPr>
      <w:t xml:space="preserve"> </w:t>
    </w:r>
    <w:r>
      <w:rPr>
        <w:rFonts w:ascii="Calibri" w:hAnsi="Calibri" w:eastAsia="Calibri" w:cs="Calibri"/>
        <w:spacing w:val="-3"/>
        <w:sz w:val="20"/>
        <w:szCs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A77E3">
    <w:pPr>
      <w:spacing w:line="238" w:lineRule="auto"/>
      <w:ind w:right="14"/>
      <w:jc w:val="right"/>
      <w:rPr>
        <w:rFonts w:ascii="Calibri" w:hAnsi="Calibri" w:eastAsia="Calibri" w:cs="Calibri"/>
        <w:sz w:val="20"/>
        <w:szCs w:val="20"/>
      </w:rPr>
    </w:pPr>
    <w:r>
      <w:rPr>
        <w:rFonts w:ascii="Calibri" w:hAnsi="Calibri" w:eastAsia="Calibri" w:cs="Calibri"/>
        <w:spacing w:val="-6"/>
        <w:sz w:val="20"/>
        <w:szCs w:val="20"/>
      </w:rPr>
      <w:t>-</w:t>
    </w:r>
    <w:r>
      <w:rPr>
        <w:rFonts w:ascii="Calibri" w:hAnsi="Calibri" w:eastAsia="Calibri" w:cs="Calibri"/>
        <w:spacing w:val="10"/>
        <w:sz w:val="20"/>
        <w:szCs w:val="20"/>
      </w:rPr>
      <w:t xml:space="preserve"> </w:t>
    </w:r>
    <w:r>
      <w:rPr>
        <w:rFonts w:ascii="Calibri" w:hAnsi="Calibri" w:eastAsia="Calibri" w:cs="Calibri"/>
        <w:spacing w:val="-6"/>
        <w:sz w:val="20"/>
        <w:szCs w:val="20"/>
      </w:rPr>
      <w:t>5</w:t>
    </w:r>
    <w:r>
      <w:rPr>
        <w:rFonts w:ascii="Calibri" w:hAnsi="Calibri" w:eastAsia="Calibri" w:cs="Calibri"/>
        <w:spacing w:val="8"/>
        <w:sz w:val="20"/>
        <w:szCs w:val="20"/>
      </w:rPr>
      <w:t xml:space="preserve"> </w:t>
    </w:r>
    <w:r>
      <w:rPr>
        <w:rFonts w:ascii="Calibri" w:hAnsi="Calibri" w:eastAsia="Calibri" w:cs="Calibri"/>
        <w:spacing w:val="-6"/>
        <w:sz w:val="20"/>
        <w:szCs w:val="20"/>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C0045">
    <w:pPr>
      <w:spacing w:line="238" w:lineRule="auto"/>
      <w:ind w:right="32"/>
      <w:jc w:val="right"/>
      <w:rPr>
        <w:rFonts w:ascii="Calibri" w:hAnsi="Calibri" w:eastAsia="Calibri" w:cs="Calibri"/>
        <w:sz w:val="20"/>
        <w:szCs w:val="20"/>
      </w:rPr>
    </w:pPr>
    <w:r>
      <w:rPr>
        <w:rFonts w:ascii="Calibri" w:hAnsi="Calibri" w:eastAsia="Calibri" w:cs="Calibri"/>
        <w:spacing w:val="-5"/>
        <w:sz w:val="20"/>
        <w:szCs w:val="20"/>
      </w:rPr>
      <w:t>-</w:t>
    </w:r>
    <w:r>
      <w:rPr>
        <w:rFonts w:ascii="Calibri" w:hAnsi="Calibri" w:eastAsia="Calibri" w:cs="Calibri"/>
        <w:spacing w:val="13"/>
        <w:sz w:val="20"/>
        <w:szCs w:val="20"/>
      </w:rPr>
      <w:t xml:space="preserve"> </w:t>
    </w:r>
    <w:r>
      <w:rPr>
        <w:rFonts w:ascii="Calibri" w:hAnsi="Calibri" w:eastAsia="Calibri" w:cs="Calibri"/>
        <w:spacing w:val="-5"/>
        <w:sz w:val="20"/>
        <w:szCs w:val="20"/>
      </w:rPr>
      <w:t>50</w:t>
    </w:r>
    <w:r>
      <w:rPr>
        <w:rFonts w:ascii="Calibri" w:hAnsi="Calibri" w:eastAsia="Calibri" w:cs="Calibri"/>
        <w:spacing w:val="6"/>
        <w:sz w:val="20"/>
        <w:szCs w:val="20"/>
      </w:rPr>
      <w:t xml:space="preserve"> </w:t>
    </w:r>
    <w:r>
      <w:rPr>
        <w:rFonts w:ascii="Calibri" w:hAnsi="Calibri" w:eastAsia="Calibri" w:cs="Calibri"/>
        <w:spacing w:val="-5"/>
        <w:sz w:val="20"/>
        <w:szCs w:val="20"/>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11F6F">
    <w:pPr>
      <w:spacing w:line="238" w:lineRule="auto"/>
      <w:ind w:right="32"/>
      <w:jc w:val="right"/>
      <w:rPr>
        <w:rFonts w:ascii="Calibri" w:hAnsi="Calibri" w:eastAsia="Calibri" w:cs="Calibri"/>
        <w:sz w:val="20"/>
        <w:szCs w:val="20"/>
      </w:rPr>
    </w:pPr>
    <w:r>
      <w:rPr>
        <w:rFonts w:ascii="Calibri" w:hAnsi="Calibri" w:eastAsia="Calibri" w:cs="Calibri"/>
        <w:spacing w:val="-5"/>
        <w:sz w:val="20"/>
        <w:szCs w:val="20"/>
      </w:rPr>
      <w:t>-</w:t>
    </w:r>
    <w:r>
      <w:rPr>
        <w:rFonts w:ascii="Calibri" w:hAnsi="Calibri" w:eastAsia="Calibri" w:cs="Calibri"/>
        <w:spacing w:val="13"/>
        <w:sz w:val="20"/>
        <w:szCs w:val="20"/>
      </w:rPr>
      <w:t xml:space="preserve"> </w:t>
    </w:r>
    <w:r>
      <w:rPr>
        <w:rFonts w:ascii="Calibri" w:hAnsi="Calibri" w:eastAsia="Calibri" w:cs="Calibri"/>
        <w:spacing w:val="-5"/>
        <w:sz w:val="20"/>
        <w:szCs w:val="20"/>
      </w:rPr>
      <w:t>51</w:t>
    </w:r>
    <w:r>
      <w:rPr>
        <w:rFonts w:ascii="Calibri" w:hAnsi="Calibri" w:eastAsia="Calibri" w:cs="Calibri"/>
        <w:spacing w:val="6"/>
        <w:sz w:val="20"/>
        <w:szCs w:val="20"/>
      </w:rPr>
      <w:t xml:space="preserve"> </w:t>
    </w:r>
    <w:r>
      <w:rPr>
        <w:rFonts w:ascii="Calibri" w:hAnsi="Calibri" w:eastAsia="Calibri" w:cs="Calibri"/>
        <w:spacing w:val="-5"/>
        <w:sz w:val="20"/>
        <w:szCs w:val="20"/>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6A12B">
    <w:pPr>
      <w:spacing w:line="238" w:lineRule="auto"/>
      <w:ind w:right="32"/>
      <w:jc w:val="right"/>
      <w:rPr>
        <w:rFonts w:ascii="Calibri" w:hAnsi="Calibri" w:eastAsia="Calibri" w:cs="Calibri"/>
        <w:sz w:val="20"/>
        <w:szCs w:val="20"/>
      </w:rPr>
    </w:pPr>
    <w:r>
      <w:rPr>
        <w:rFonts w:ascii="Calibri" w:hAnsi="Calibri" w:eastAsia="Calibri" w:cs="Calibri"/>
        <w:spacing w:val="-5"/>
        <w:sz w:val="20"/>
        <w:szCs w:val="20"/>
      </w:rPr>
      <w:t>-</w:t>
    </w:r>
    <w:r>
      <w:rPr>
        <w:rFonts w:ascii="Calibri" w:hAnsi="Calibri" w:eastAsia="Calibri" w:cs="Calibri"/>
        <w:spacing w:val="13"/>
        <w:sz w:val="20"/>
        <w:szCs w:val="20"/>
      </w:rPr>
      <w:t xml:space="preserve"> </w:t>
    </w:r>
    <w:r>
      <w:rPr>
        <w:rFonts w:ascii="Calibri" w:hAnsi="Calibri" w:eastAsia="Calibri" w:cs="Calibri"/>
        <w:spacing w:val="-5"/>
        <w:sz w:val="20"/>
        <w:szCs w:val="20"/>
      </w:rPr>
      <w:t>52</w:t>
    </w:r>
    <w:r>
      <w:rPr>
        <w:rFonts w:ascii="Calibri" w:hAnsi="Calibri" w:eastAsia="Calibri" w:cs="Calibri"/>
        <w:spacing w:val="6"/>
        <w:sz w:val="20"/>
        <w:szCs w:val="20"/>
      </w:rPr>
      <w:t xml:space="preserve"> </w:t>
    </w:r>
    <w:r>
      <w:rPr>
        <w:rFonts w:ascii="Calibri" w:hAnsi="Calibri" w:eastAsia="Calibri" w:cs="Calibri"/>
        <w:spacing w:val="-5"/>
        <w:sz w:val="20"/>
        <w:szCs w:val="20"/>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13C55">
    <w:pPr>
      <w:spacing w:line="238" w:lineRule="auto"/>
      <w:ind w:right="32"/>
      <w:jc w:val="right"/>
      <w:rPr>
        <w:rFonts w:ascii="Calibri" w:hAnsi="Calibri" w:eastAsia="Calibri" w:cs="Calibri"/>
        <w:sz w:val="20"/>
        <w:szCs w:val="20"/>
      </w:rPr>
    </w:pPr>
    <w:r>
      <w:rPr>
        <w:rFonts w:ascii="Calibri" w:hAnsi="Calibri" w:eastAsia="Calibri" w:cs="Calibri"/>
        <w:spacing w:val="-5"/>
        <w:sz w:val="20"/>
        <w:szCs w:val="20"/>
      </w:rPr>
      <w:t>-</w:t>
    </w:r>
    <w:r>
      <w:rPr>
        <w:rFonts w:ascii="Calibri" w:hAnsi="Calibri" w:eastAsia="Calibri" w:cs="Calibri"/>
        <w:spacing w:val="13"/>
        <w:sz w:val="20"/>
        <w:szCs w:val="20"/>
      </w:rPr>
      <w:t xml:space="preserve"> </w:t>
    </w:r>
    <w:r>
      <w:rPr>
        <w:rFonts w:ascii="Calibri" w:hAnsi="Calibri" w:eastAsia="Calibri" w:cs="Calibri"/>
        <w:spacing w:val="-5"/>
        <w:sz w:val="20"/>
        <w:szCs w:val="20"/>
      </w:rPr>
      <w:t>53</w:t>
    </w:r>
    <w:r>
      <w:rPr>
        <w:rFonts w:ascii="Calibri" w:hAnsi="Calibri" w:eastAsia="Calibri" w:cs="Calibri"/>
        <w:spacing w:val="6"/>
        <w:sz w:val="20"/>
        <w:szCs w:val="20"/>
      </w:rPr>
      <w:t xml:space="preserve"> </w:t>
    </w:r>
    <w:r>
      <w:rPr>
        <w:rFonts w:ascii="Calibri" w:hAnsi="Calibri" w:eastAsia="Calibri" w:cs="Calibri"/>
        <w:spacing w:val="-5"/>
        <w:sz w:val="20"/>
        <w:szCs w:val="20"/>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4B3EB">
    <w:pPr>
      <w:spacing w:line="238" w:lineRule="auto"/>
      <w:ind w:right="32"/>
      <w:jc w:val="right"/>
      <w:rPr>
        <w:rFonts w:ascii="Calibri" w:hAnsi="Calibri" w:eastAsia="Calibri" w:cs="Calibri"/>
        <w:sz w:val="20"/>
        <w:szCs w:val="20"/>
      </w:rPr>
    </w:pPr>
    <w:r>
      <w:rPr>
        <w:rFonts w:ascii="Calibri" w:hAnsi="Calibri" w:eastAsia="Calibri" w:cs="Calibri"/>
        <w:spacing w:val="-5"/>
        <w:sz w:val="20"/>
        <w:szCs w:val="20"/>
      </w:rPr>
      <w:t>-</w:t>
    </w:r>
    <w:r>
      <w:rPr>
        <w:rFonts w:ascii="Calibri" w:hAnsi="Calibri" w:eastAsia="Calibri" w:cs="Calibri"/>
        <w:spacing w:val="13"/>
        <w:sz w:val="20"/>
        <w:szCs w:val="20"/>
      </w:rPr>
      <w:t xml:space="preserve"> </w:t>
    </w:r>
    <w:r>
      <w:rPr>
        <w:rFonts w:ascii="Calibri" w:hAnsi="Calibri" w:eastAsia="Calibri" w:cs="Calibri"/>
        <w:spacing w:val="-5"/>
        <w:sz w:val="20"/>
        <w:szCs w:val="20"/>
      </w:rPr>
      <w:t>54</w:t>
    </w:r>
    <w:r>
      <w:rPr>
        <w:rFonts w:ascii="Calibri" w:hAnsi="Calibri" w:eastAsia="Calibri" w:cs="Calibri"/>
        <w:spacing w:val="6"/>
        <w:sz w:val="20"/>
        <w:szCs w:val="20"/>
      </w:rPr>
      <w:t xml:space="preserve"> </w:t>
    </w:r>
    <w:r>
      <w:rPr>
        <w:rFonts w:ascii="Calibri" w:hAnsi="Calibri" w:eastAsia="Calibri" w:cs="Calibri"/>
        <w:spacing w:val="-5"/>
        <w:sz w:val="20"/>
        <w:szCs w:val="20"/>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64FCD">
    <w:pPr>
      <w:spacing w:line="238" w:lineRule="auto"/>
      <w:ind w:right="32"/>
      <w:jc w:val="right"/>
      <w:rPr>
        <w:rFonts w:ascii="Calibri" w:hAnsi="Calibri" w:eastAsia="Calibri" w:cs="Calibri"/>
        <w:sz w:val="20"/>
        <w:szCs w:val="20"/>
      </w:rPr>
    </w:pPr>
    <w:r>
      <w:rPr>
        <w:rFonts w:ascii="Calibri" w:hAnsi="Calibri" w:eastAsia="Calibri" w:cs="Calibri"/>
        <w:spacing w:val="-5"/>
        <w:sz w:val="20"/>
        <w:szCs w:val="20"/>
      </w:rPr>
      <w:t>-</w:t>
    </w:r>
    <w:r>
      <w:rPr>
        <w:rFonts w:ascii="Calibri" w:hAnsi="Calibri" w:eastAsia="Calibri" w:cs="Calibri"/>
        <w:spacing w:val="13"/>
        <w:sz w:val="20"/>
        <w:szCs w:val="20"/>
      </w:rPr>
      <w:t xml:space="preserve"> </w:t>
    </w:r>
    <w:r>
      <w:rPr>
        <w:rFonts w:ascii="Calibri" w:hAnsi="Calibri" w:eastAsia="Calibri" w:cs="Calibri"/>
        <w:spacing w:val="-5"/>
        <w:sz w:val="20"/>
        <w:szCs w:val="20"/>
      </w:rPr>
      <w:t>55</w:t>
    </w:r>
    <w:r>
      <w:rPr>
        <w:rFonts w:ascii="Calibri" w:hAnsi="Calibri" w:eastAsia="Calibri" w:cs="Calibri"/>
        <w:spacing w:val="6"/>
        <w:sz w:val="20"/>
        <w:szCs w:val="20"/>
      </w:rPr>
      <w:t xml:space="preserve"> </w:t>
    </w:r>
    <w:r>
      <w:rPr>
        <w:rFonts w:ascii="Calibri" w:hAnsi="Calibri" w:eastAsia="Calibri" w:cs="Calibri"/>
        <w:spacing w:val="-5"/>
        <w:sz w:val="20"/>
        <w:szCs w:val="20"/>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163E2">
    <w:pPr>
      <w:spacing w:line="238" w:lineRule="auto"/>
      <w:ind w:right="32"/>
      <w:jc w:val="right"/>
      <w:rPr>
        <w:rFonts w:ascii="Calibri" w:hAnsi="Calibri" w:eastAsia="Calibri" w:cs="Calibri"/>
        <w:sz w:val="20"/>
        <w:szCs w:val="20"/>
      </w:rPr>
    </w:pPr>
    <w:r>
      <w:rPr>
        <w:rFonts w:ascii="Calibri" w:hAnsi="Calibri" w:eastAsia="Calibri" w:cs="Calibri"/>
        <w:spacing w:val="-5"/>
        <w:sz w:val="20"/>
        <w:szCs w:val="20"/>
      </w:rPr>
      <w:t>-</w:t>
    </w:r>
    <w:r>
      <w:rPr>
        <w:rFonts w:ascii="Calibri" w:hAnsi="Calibri" w:eastAsia="Calibri" w:cs="Calibri"/>
        <w:spacing w:val="13"/>
        <w:sz w:val="20"/>
        <w:szCs w:val="20"/>
      </w:rPr>
      <w:t xml:space="preserve"> </w:t>
    </w:r>
    <w:r>
      <w:rPr>
        <w:rFonts w:ascii="Calibri" w:hAnsi="Calibri" w:eastAsia="Calibri" w:cs="Calibri"/>
        <w:spacing w:val="-5"/>
        <w:sz w:val="20"/>
        <w:szCs w:val="20"/>
      </w:rPr>
      <w:t>56</w:t>
    </w:r>
    <w:r>
      <w:rPr>
        <w:rFonts w:ascii="Calibri" w:hAnsi="Calibri" w:eastAsia="Calibri" w:cs="Calibri"/>
        <w:spacing w:val="6"/>
        <w:sz w:val="20"/>
        <w:szCs w:val="20"/>
      </w:rPr>
      <w:t xml:space="preserve"> </w:t>
    </w:r>
    <w:r>
      <w:rPr>
        <w:rFonts w:ascii="Calibri" w:hAnsi="Calibri" w:eastAsia="Calibri" w:cs="Calibri"/>
        <w:spacing w:val="-5"/>
        <w:sz w:val="20"/>
        <w:szCs w:val="20"/>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C32E2">
    <w:pPr>
      <w:spacing w:line="238" w:lineRule="auto"/>
      <w:ind w:right="32"/>
      <w:jc w:val="right"/>
      <w:rPr>
        <w:rFonts w:ascii="Calibri" w:hAnsi="Calibri" w:eastAsia="Calibri" w:cs="Calibri"/>
        <w:sz w:val="20"/>
        <w:szCs w:val="20"/>
      </w:rPr>
    </w:pPr>
    <w:r>
      <w:rPr>
        <w:rFonts w:ascii="Calibri" w:hAnsi="Calibri" w:eastAsia="Calibri" w:cs="Calibri"/>
        <w:spacing w:val="-5"/>
        <w:sz w:val="20"/>
        <w:szCs w:val="20"/>
      </w:rPr>
      <w:t>-</w:t>
    </w:r>
    <w:r>
      <w:rPr>
        <w:rFonts w:ascii="Calibri" w:hAnsi="Calibri" w:eastAsia="Calibri" w:cs="Calibri"/>
        <w:spacing w:val="13"/>
        <w:sz w:val="20"/>
        <w:szCs w:val="20"/>
      </w:rPr>
      <w:t xml:space="preserve"> </w:t>
    </w:r>
    <w:r>
      <w:rPr>
        <w:rFonts w:ascii="Calibri" w:hAnsi="Calibri" w:eastAsia="Calibri" w:cs="Calibri"/>
        <w:spacing w:val="-5"/>
        <w:sz w:val="20"/>
        <w:szCs w:val="20"/>
      </w:rPr>
      <w:t>57</w:t>
    </w:r>
    <w:r>
      <w:rPr>
        <w:rFonts w:ascii="Calibri" w:hAnsi="Calibri" w:eastAsia="Calibri" w:cs="Calibri"/>
        <w:spacing w:val="6"/>
        <w:sz w:val="20"/>
        <w:szCs w:val="20"/>
      </w:rPr>
      <w:t xml:space="preserve"> </w:t>
    </w:r>
    <w:r>
      <w:rPr>
        <w:rFonts w:ascii="Calibri" w:hAnsi="Calibri" w:eastAsia="Calibri" w:cs="Calibri"/>
        <w:spacing w:val="-5"/>
        <w:sz w:val="20"/>
        <w:szCs w:val="20"/>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21740">
    <w:pPr>
      <w:spacing w:line="238" w:lineRule="auto"/>
      <w:ind w:right="32"/>
      <w:jc w:val="right"/>
      <w:rPr>
        <w:rFonts w:ascii="Calibri" w:hAnsi="Calibri" w:eastAsia="Calibri" w:cs="Calibri"/>
        <w:sz w:val="20"/>
        <w:szCs w:val="20"/>
      </w:rPr>
    </w:pPr>
    <w:r>
      <w:rPr>
        <w:rFonts w:ascii="Calibri" w:hAnsi="Calibri" w:eastAsia="Calibri" w:cs="Calibri"/>
        <w:spacing w:val="-5"/>
        <w:sz w:val="20"/>
        <w:szCs w:val="20"/>
      </w:rPr>
      <w:t>-</w:t>
    </w:r>
    <w:r>
      <w:rPr>
        <w:rFonts w:ascii="Calibri" w:hAnsi="Calibri" w:eastAsia="Calibri" w:cs="Calibri"/>
        <w:spacing w:val="13"/>
        <w:sz w:val="20"/>
        <w:szCs w:val="20"/>
      </w:rPr>
      <w:t xml:space="preserve"> </w:t>
    </w:r>
    <w:r>
      <w:rPr>
        <w:rFonts w:ascii="Calibri" w:hAnsi="Calibri" w:eastAsia="Calibri" w:cs="Calibri"/>
        <w:spacing w:val="-5"/>
        <w:sz w:val="20"/>
        <w:szCs w:val="20"/>
      </w:rPr>
      <w:t>58</w:t>
    </w:r>
    <w:r>
      <w:rPr>
        <w:rFonts w:ascii="Calibri" w:hAnsi="Calibri" w:eastAsia="Calibri" w:cs="Calibri"/>
        <w:spacing w:val="6"/>
        <w:sz w:val="20"/>
        <w:szCs w:val="20"/>
      </w:rPr>
      <w:t xml:space="preserve"> </w:t>
    </w:r>
    <w:r>
      <w:rPr>
        <w:rFonts w:ascii="Calibri" w:hAnsi="Calibri" w:eastAsia="Calibri" w:cs="Calibri"/>
        <w:spacing w:val="-5"/>
        <w:sz w:val="20"/>
        <w:szCs w:val="20"/>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82F7F">
    <w:pPr>
      <w:spacing w:line="238" w:lineRule="auto"/>
      <w:ind w:right="32"/>
      <w:jc w:val="right"/>
      <w:rPr>
        <w:rFonts w:ascii="Calibri" w:hAnsi="Calibri" w:eastAsia="Calibri" w:cs="Calibri"/>
        <w:sz w:val="20"/>
        <w:szCs w:val="20"/>
      </w:rPr>
    </w:pPr>
    <w:r>
      <w:rPr>
        <w:rFonts w:ascii="Calibri" w:hAnsi="Calibri" w:eastAsia="Calibri" w:cs="Calibri"/>
        <w:spacing w:val="-5"/>
        <w:sz w:val="20"/>
        <w:szCs w:val="20"/>
      </w:rPr>
      <w:t>-</w:t>
    </w:r>
    <w:r>
      <w:rPr>
        <w:rFonts w:ascii="Calibri" w:hAnsi="Calibri" w:eastAsia="Calibri" w:cs="Calibri"/>
        <w:spacing w:val="13"/>
        <w:sz w:val="20"/>
        <w:szCs w:val="20"/>
      </w:rPr>
      <w:t xml:space="preserve"> </w:t>
    </w:r>
    <w:r>
      <w:rPr>
        <w:rFonts w:ascii="Calibri" w:hAnsi="Calibri" w:eastAsia="Calibri" w:cs="Calibri"/>
        <w:spacing w:val="-5"/>
        <w:sz w:val="20"/>
        <w:szCs w:val="20"/>
      </w:rPr>
      <w:t>59</w:t>
    </w:r>
    <w:r>
      <w:rPr>
        <w:rFonts w:ascii="Calibri" w:hAnsi="Calibri" w:eastAsia="Calibri" w:cs="Calibri"/>
        <w:spacing w:val="6"/>
        <w:sz w:val="20"/>
        <w:szCs w:val="20"/>
      </w:rPr>
      <w:t xml:space="preserve"> </w:t>
    </w:r>
    <w:r>
      <w:rPr>
        <w:rFonts w:ascii="Calibri" w:hAnsi="Calibri" w:eastAsia="Calibri" w:cs="Calibri"/>
        <w:spacing w:val="-5"/>
        <w:sz w:val="20"/>
        <w:szCs w:val="2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16718">
    <w:pPr>
      <w:spacing w:line="238" w:lineRule="auto"/>
      <w:ind w:right="14"/>
      <w:jc w:val="right"/>
      <w:rPr>
        <w:rFonts w:ascii="Calibri" w:hAnsi="Calibri" w:eastAsia="Calibri" w:cs="Calibri"/>
        <w:sz w:val="20"/>
        <w:szCs w:val="20"/>
      </w:rPr>
    </w:pPr>
    <w:r>
      <w:rPr>
        <w:rFonts w:ascii="Calibri" w:hAnsi="Calibri" w:eastAsia="Calibri" w:cs="Calibri"/>
        <w:spacing w:val="-6"/>
        <w:sz w:val="20"/>
        <w:szCs w:val="20"/>
      </w:rPr>
      <w:t>-</w:t>
    </w:r>
    <w:r>
      <w:rPr>
        <w:rFonts w:ascii="Calibri" w:hAnsi="Calibri" w:eastAsia="Calibri" w:cs="Calibri"/>
        <w:spacing w:val="10"/>
        <w:sz w:val="20"/>
        <w:szCs w:val="20"/>
      </w:rPr>
      <w:t xml:space="preserve"> </w:t>
    </w:r>
    <w:r>
      <w:rPr>
        <w:rFonts w:ascii="Calibri" w:hAnsi="Calibri" w:eastAsia="Calibri" w:cs="Calibri"/>
        <w:spacing w:val="-6"/>
        <w:sz w:val="20"/>
        <w:szCs w:val="20"/>
      </w:rPr>
      <w:t>6</w:t>
    </w:r>
    <w:r>
      <w:rPr>
        <w:rFonts w:ascii="Calibri" w:hAnsi="Calibri" w:eastAsia="Calibri" w:cs="Calibri"/>
        <w:spacing w:val="8"/>
        <w:sz w:val="20"/>
        <w:szCs w:val="20"/>
      </w:rPr>
      <w:t xml:space="preserve"> </w:t>
    </w:r>
    <w:r>
      <w:rPr>
        <w:rFonts w:ascii="Calibri" w:hAnsi="Calibri" w:eastAsia="Calibri" w:cs="Calibri"/>
        <w:spacing w:val="-6"/>
        <w:sz w:val="20"/>
        <w:szCs w:val="20"/>
      </w:rPr>
      <w:t>-</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D0876">
    <w:pPr>
      <w:spacing w:line="238" w:lineRule="auto"/>
      <w:ind w:right="32"/>
      <w:jc w:val="right"/>
      <w:rPr>
        <w:rFonts w:ascii="Calibri" w:hAnsi="Calibri" w:eastAsia="Calibri" w:cs="Calibri"/>
        <w:sz w:val="20"/>
        <w:szCs w:val="20"/>
      </w:rPr>
    </w:pPr>
    <w:r>
      <w:rPr>
        <w:rFonts w:ascii="Calibri" w:hAnsi="Calibri" w:eastAsia="Calibri" w:cs="Calibri"/>
        <w:spacing w:val="-5"/>
        <w:sz w:val="20"/>
        <w:szCs w:val="20"/>
      </w:rPr>
      <w:t>-</w:t>
    </w:r>
    <w:r>
      <w:rPr>
        <w:rFonts w:ascii="Calibri" w:hAnsi="Calibri" w:eastAsia="Calibri" w:cs="Calibri"/>
        <w:spacing w:val="13"/>
        <w:sz w:val="20"/>
        <w:szCs w:val="20"/>
      </w:rPr>
      <w:t xml:space="preserve"> </w:t>
    </w:r>
    <w:r>
      <w:rPr>
        <w:rFonts w:ascii="Calibri" w:hAnsi="Calibri" w:eastAsia="Calibri" w:cs="Calibri"/>
        <w:spacing w:val="-5"/>
        <w:sz w:val="20"/>
        <w:szCs w:val="20"/>
      </w:rPr>
      <w:t>60</w:t>
    </w:r>
    <w:r>
      <w:rPr>
        <w:rFonts w:ascii="Calibri" w:hAnsi="Calibri" w:eastAsia="Calibri" w:cs="Calibri"/>
        <w:spacing w:val="6"/>
        <w:sz w:val="20"/>
        <w:szCs w:val="20"/>
      </w:rPr>
      <w:t xml:space="preserve"> </w:t>
    </w:r>
    <w:r>
      <w:rPr>
        <w:rFonts w:ascii="Calibri" w:hAnsi="Calibri" w:eastAsia="Calibri" w:cs="Calibri"/>
        <w:spacing w:val="-5"/>
        <w:sz w:val="20"/>
        <w:szCs w:val="20"/>
      </w:rPr>
      <w: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5DF4B">
    <w:pPr>
      <w:spacing w:line="238" w:lineRule="auto"/>
      <w:ind w:right="32"/>
      <w:jc w:val="right"/>
      <w:rPr>
        <w:rFonts w:ascii="Calibri" w:hAnsi="Calibri" w:eastAsia="Calibri" w:cs="Calibri"/>
        <w:sz w:val="20"/>
        <w:szCs w:val="20"/>
      </w:rPr>
    </w:pPr>
    <w:r>
      <w:rPr>
        <w:rFonts w:ascii="Calibri" w:hAnsi="Calibri" w:eastAsia="Calibri" w:cs="Calibri"/>
        <w:spacing w:val="-5"/>
        <w:sz w:val="20"/>
        <w:szCs w:val="20"/>
      </w:rPr>
      <w:t>-</w:t>
    </w:r>
    <w:r>
      <w:rPr>
        <w:rFonts w:ascii="Calibri" w:hAnsi="Calibri" w:eastAsia="Calibri" w:cs="Calibri"/>
        <w:spacing w:val="13"/>
        <w:sz w:val="20"/>
        <w:szCs w:val="20"/>
      </w:rPr>
      <w:t xml:space="preserve"> </w:t>
    </w:r>
    <w:r>
      <w:rPr>
        <w:rFonts w:ascii="Calibri" w:hAnsi="Calibri" w:eastAsia="Calibri" w:cs="Calibri"/>
        <w:spacing w:val="-5"/>
        <w:sz w:val="20"/>
        <w:szCs w:val="20"/>
      </w:rPr>
      <w:t>61</w:t>
    </w:r>
    <w:r>
      <w:rPr>
        <w:rFonts w:ascii="Calibri" w:hAnsi="Calibri" w:eastAsia="Calibri" w:cs="Calibri"/>
        <w:spacing w:val="6"/>
        <w:sz w:val="20"/>
        <w:szCs w:val="20"/>
      </w:rPr>
      <w:t xml:space="preserve"> </w:t>
    </w:r>
    <w:r>
      <w:rPr>
        <w:rFonts w:ascii="Calibri" w:hAnsi="Calibri" w:eastAsia="Calibri" w:cs="Calibri"/>
        <w:spacing w:val="-5"/>
        <w:sz w:val="20"/>
        <w:szCs w:val="20"/>
      </w:rPr>
      <w:t>-</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CE00C">
    <w:pPr>
      <w:spacing w:line="238" w:lineRule="auto"/>
      <w:ind w:right="32"/>
      <w:jc w:val="right"/>
      <w:rPr>
        <w:rFonts w:ascii="Calibri" w:hAnsi="Calibri" w:eastAsia="Calibri" w:cs="Calibri"/>
        <w:sz w:val="20"/>
        <w:szCs w:val="20"/>
      </w:rPr>
    </w:pPr>
    <w:r>
      <w:rPr>
        <w:rFonts w:ascii="Calibri" w:hAnsi="Calibri" w:eastAsia="Calibri" w:cs="Calibri"/>
        <w:spacing w:val="-5"/>
        <w:sz w:val="20"/>
        <w:szCs w:val="20"/>
      </w:rPr>
      <w:t>-</w:t>
    </w:r>
    <w:r>
      <w:rPr>
        <w:rFonts w:ascii="Calibri" w:hAnsi="Calibri" w:eastAsia="Calibri" w:cs="Calibri"/>
        <w:spacing w:val="13"/>
        <w:sz w:val="20"/>
        <w:szCs w:val="20"/>
      </w:rPr>
      <w:t xml:space="preserve"> </w:t>
    </w:r>
    <w:r>
      <w:rPr>
        <w:rFonts w:ascii="Calibri" w:hAnsi="Calibri" w:eastAsia="Calibri" w:cs="Calibri"/>
        <w:spacing w:val="-5"/>
        <w:sz w:val="20"/>
        <w:szCs w:val="20"/>
      </w:rPr>
      <w:t>62</w:t>
    </w:r>
    <w:r>
      <w:rPr>
        <w:rFonts w:ascii="Calibri" w:hAnsi="Calibri" w:eastAsia="Calibri" w:cs="Calibri"/>
        <w:spacing w:val="6"/>
        <w:sz w:val="20"/>
        <w:szCs w:val="20"/>
      </w:rPr>
      <w:t xml:space="preserve"> </w:t>
    </w:r>
    <w:r>
      <w:rPr>
        <w:rFonts w:ascii="Calibri" w:hAnsi="Calibri" w:eastAsia="Calibri" w:cs="Calibri"/>
        <w:spacing w:val="-5"/>
        <w:sz w:val="20"/>
        <w:szCs w:val="20"/>
      </w:rPr>
      <w:t>-</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87C7D">
    <w:pPr>
      <w:spacing w:line="238" w:lineRule="auto"/>
      <w:ind w:right="32"/>
      <w:jc w:val="right"/>
      <w:rPr>
        <w:rFonts w:ascii="Calibri" w:hAnsi="Calibri" w:eastAsia="Calibri" w:cs="Calibri"/>
        <w:sz w:val="20"/>
        <w:szCs w:val="20"/>
      </w:rPr>
    </w:pPr>
    <w:r>
      <w:rPr>
        <w:rFonts w:ascii="Calibri" w:hAnsi="Calibri" w:eastAsia="Calibri" w:cs="Calibri"/>
        <w:spacing w:val="-5"/>
        <w:sz w:val="20"/>
        <w:szCs w:val="20"/>
      </w:rPr>
      <w:t>-</w:t>
    </w:r>
    <w:r>
      <w:rPr>
        <w:rFonts w:ascii="Calibri" w:hAnsi="Calibri" w:eastAsia="Calibri" w:cs="Calibri"/>
        <w:spacing w:val="13"/>
        <w:sz w:val="20"/>
        <w:szCs w:val="20"/>
      </w:rPr>
      <w:t xml:space="preserve"> </w:t>
    </w:r>
    <w:r>
      <w:rPr>
        <w:rFonts w:ascii="Calibri" w:hAnsi="Calibri" w:eastAsia="Calibri" w:cs="Calibri"/>
        <w:spacing w:val="-5"/>
        <w:sz w:val="20"/>
        <w:szCs w:val="20"/>
      </w:rPr>
      <w:t>63</w:t>
    </w:r>
    <w:r>
      <w:rPr>
        <w:rFonts w:ascii="Calibri" w:hAnsi="Calibri" w:eastAsia="Calibri" w:cs="Calibri"/>
        <w:spacing w:val="6"/>
        <w:sz w:val="20"/>
        <w:szCs w:val="20"/>
      </w:rPr>
      <w:t xml:space="preserve"> </w:t>
    </w:r>
    <w:r>
      <w:rPr>
        <w:rFonts w:ascii="Calibri" w:hAnsi="Calibri" w:eastAsia="Calibri" w:cs="Calibri"/>
        <w:spacing w:val="-5"/>
        <w:sz w:val="20"/>
        <w:szCs w:val="20"/>
      </w:rPr>
      <w:t>-</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89202">
    <w:pPr>
      <w:spacing w:line="238" w:lineRule="auto"/>
      <w:ind w:right="32"/>
      <w:jc w:val="right"/>
      <w:rPr>
        <w:rFonts w:ascii="Calibri" w:hAnsi="Calibri" w:eastAsia="Calibri" w:cs="Calibri"/>
        <w:sz w:val="20"/>
        <w:szCs w:val="20"/>
      </w:rPr>
    </w:pPr>
    <w:r>
      <w:rPr>
        <w:rFonts w:ascii="Calibri" w:hAnsi="Calibri" w:eastAsia="Calibri" w:cs="Calibri"/>
        <w:spacing w:val="-5"/>
        <w:sz w:val="20"/>
        <w:szCs w:val="20"/>
      </w:rPr>
      <w:t>-</w:t>
    </w:r>
    <w:r>
      <w:rPr>
        <w:rFonts w:ascii="Calibri" w:hAnsi="Calibri" w:eastAsia="Calibri" w:cs="Calibri"/>
        <w:spacing w:val="13"/>
        <w:sz w:val="20"/>
        <w:szCs w:val="20"/>
      </w:rPr>
      <w:t xml:space="preserve"> </w:t>
    </w:r>
    <w:r>
      <w:rPr>
        <w:rFonts w:ascii="Calibri" w:hAnsi="Calibri" w:eastAsia="Calibri" w:cs="Calibri"/>
        <w:spacing w:val="-5"/>
        <w:sz w:val="20"/>
        <w:szCs w:val="20"/>
      </w:rPr>
      <w:t>64</w:t>
    </w:r>
    <w:r>
      <w:rPr>
        <w:rFonts w:ascii="Calibri" w:hAnsi="Calibri" w:eastAsia="Calibri" w:cs="Calibri"/>
        <w:spacing w:val="6"/>
        <w:sz w:val="20"/>
        <w:szCs w:val="20"/>
      </w:rPr>
      <w:t xml:space="preserve"> </w:t>
    </w:r>
    <w:r>
      <w:rPr>
        <w:rFonts w:ascii="Calibri" w:hAnsi="Calibri" w:eastAsia="Calibri" w:cs="Calibri"/>
        <w:spacing w:val="-5"/>
        <w:sz w:val="20"/>
        <w:szCs w:val="20"/>
      </w:rPr>
      <w:t>-</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278CA">
    <w:pPr>
      <w:spacing w:line="238" w:lineRule="auto"/>
      <w:ind w:right="32"/>
      <w:jc w:val="right"/>
      <w:rPr>
        <w:rFonts w:ascii="Calibri" w:hAnsi="Calibri" w:eastAsia="Calibri" w:cs="Calibri"/>
        <w:sz w:val="20"/>
        <w:szCs w:val="20"/>
      </w:rPr>
    </w:pPr>
    <w:r>
      <w:rPr>
        <w:rFonts w:ascii="Calibri" w:hAnsi="Calibri" w:eastAsia="Calibri" w:cs="Calibri"/>
        <w:spacing w:val="-5"/>
        <w:sz w:val="20"/>
        <w:szCs w:val="20"/>
      </w:rPr>
      <w:t>-</w:t>
    </w:r>
    <w:r>
      <w:rPr>
        <w:rFonts w:ascii="Calibri" w:hAnsi="Calibri" w:eastAsia="Calibri" w:cs="Calibri"/>
        <w:spacing w:val="13"/>
        <w:sz w:val="20"/>
        <w:szCs w:val="20"/>
      </w:rPr>
      <w:t xml:space="preserve"> </w:t>
    </w:r>
    <w:r>
      <w:rPr>
        <w:rFonts w:ascii="Calibri" w:hAnsi="Calibri" w:eastAsia="Calibri" w:cs="Calibri"/>
        <w:spacing w:val="-5"/>
        <w:sz w:val="20"/>
        <w:szCs w:val="20"/>
      </w:rPr>
      <w:t>65</w:t>
    </w:r>
    <w:r>
      <w:rPr>
        <w:rFonts w:ascii="Calibri" w:hAnsi="Calibri" w:eastAsia="Calibri" w:cs="Calibri"/>
        <w:spacing w:val="6"/>
        <w:sz w:val="20"/>
        <w:szCs w:val="20"/>
      </w:rPr>
      <w:t xml:space="preserve"> </w:t>
    </w:r>
    <w:r>
      <w:rPr>
        <w:rFonts w:ascii="Calibri" w:hAnsi="Calibri" w:eastAsia="Calibri" w:cs="Calibri"/>
        <w:spacing w:val="-5"/>
        <w:sz w:val="20"/>
        <w:szCs w:val="20"/>
      </w:rPr>
      <w:t>-</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74EB2">
    <w:pPr>
      <w:spacing w:line="238" w:lineRule="auto"/>
      <w:ind w:right="32"/>
      <w:jc w:val="right"/>
      <w:rPr>
        <w:rFonts w:ascii="Calibri" w:hAnsi="Calibri" w:eastAsia="Calibri" w:cs="Calibri"/>
        <w:sz w:val="20"/>
        <w:szCs w:val="20"/>
      </w:rPr>
    </w:pPr>
    <w:r>
      <w:rPr>
        <w:rFonts w:ascii="Calibri" w:hAnsi="Calibri" w:eastAsia="Calibri" w:cs="Calibri"/>
        <w:spacing w:val="-5"/>
        <w:sz w:val="20"/>
        <w:szCs w:val="20"/>
      </w:rPr>
      <w:t>-</w:t>
    </w:r>
    <w:r>
      <w:rPr>
        <w:rFonts w:ascii="Calibri" w:hAnsi="Calibri" w:eastAsia="Calibri" w:cs="Calibri"/>
        <w:spacing w:val="13"/>
        <w:sz w:val="20"/>
        <w:szCs w:val="20"/>
      </w:rPr>
      <w:t xml:space="preserve"> </w:t>
    </w:r>
    <w:r>
      <w:rPr>
        <w:rFonts w:ascii="Calibri" w:hAnsi="Calibri" w:eastAsia="Calibri" w:cs="Calibri"/>
        <w:spacing w:val="-5"/>
        <w:sz w:val="20"/>
        <w:szCs w:val="20"/>
      </w:rPr>
      <w:t>66</w:t>
    </w:r>
    <w:r>
      <w:rPr>
        <w:rFonts w:ascii="Calibri" w:hAnsi="Calibri" w:eastAsia="Calibri" w:cs="Calibri"/>
        <w:spacing w:val="6"/>
        <w:sz w:val="20"/>
        <w:szCs w:val="20"/>
      </w:rPr>
      <w:t xml:space="preserve"> </w:t>
    </w:r>
    <w:r>
      <w:rPr>
        <w:rFonts w:ascii="Calibri" w:hAnsi="Calibri" w:eastAsia="Calibri" w:cs="Calibri"/>
        <w:spacing w:val="-5"/>
        <w:sz w:val="20"/>
        <w:szCs w:val="20"/>
      </w:rPr>
      <w:t>-</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028E5">
    <w:pPr>
      <w:spacing w:line="238" w:lineRule="auto"/>
      <w:ind w:right="32"/>
      <w:jc w:val="right"/>
      <w:rPr>
        <w:rFonts w:ascii="Calibri" w:hAnsi="Calibri" w:eastAsia="Calibri" w:cs="Calibri"/>
        <w:sz w:val="20"/>
        <w:szCs w:val="20"/>
      </w:rPr>
    </w:pPr>
    <w:r>
      <w:rPr>
        <w:rFonts w:ascii="Calibri" w:hAnsi="Calibri" w:eastAsia="Calibri" w:cs="Calibri"/>
        <w:spacing w:val="-5"/>
        <w:sz w:val="20"/>
        <w:szCs w:val="20"/>
      </w:rPr>
      <w:t>-</w:t>
    </w:r>
    <w:r>
      <w:rPr>
        <w:rFonts w:ascii="Calibri" w:hAnsi="Calibri" w:eastAsia="Calibri" w:cs="Calibri"/>
        <w:spacing w:val="13"/>
        <w:sz w:val="20"/>
        <w:szCs w:val="20"/>
      </w:rPr>
      <w:t xml:space="preserve"> </w:t>
    </w:r>
    <w:r>
      <w:rPr>
        <w:rFonts w:ascii="Calibri" w:hAnsi="Calibri" w:eastAsia="Calibri" w:cs="Calibri"/>
        <w:spacing w:val="-5"/>
        <w:sz w:val="20"/>
        <w:szCs w:val="20"/>
      </w:rPr>
      <w:t>67</w:t>
    </w:r>
    <w:r>
      <w:rPr>
        <w:rFonts w:ascii="Calibri" w:hAnsi="Calibri" w:eastAsia="Calibri" w:cs="Calibri"/>
        <w:spacing w:val="6"/>
        <w:sz w:val="20"/>
        <w:szCs w:val="20"/>
      </w:rPr>
      <w:t xml:space="preserve"> </w:t>
    </w:r>
    <w:r>
      <w:rPr>
        <w:rFonts w:ascii="Calibri" w:hAnsi="Calibri" w:eastAsia="Calibri" w:cs="Calibri"/>
        <w:spacing w:val="-5"/>
        <w:sz w:val="20"/>
        <w:szCs w:val="20"/>
      </w:rPr>
      <w:t>-</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00EF4">
    <w:pPr>
      <w:spacing w:line="238" w:lineRule="auto"/>
      <w:ind w:right="32"/>
      <w:jc w:val="right"/>
      <w:rPr>
        <w:rFonts w:ascii="Calibri" w:hAnsi="Calibri" w:eastAsia="Calibri" w:cs="Calibri"/>
        <w:sz w:val="20"/>
        <w:szCs w:val="20"/>
      </w:rPr>
    </w:pPr>
    <w:r>
      <w:rPr>
        <w:rFonts w:ascii="Calibri" w:hAnsi="Calibri" w:eastAsia="Calibri" w:cs="Calibri"/>
        <w:spacing w:val="-5"/>
        <w:sz w:val="20"/>
        <w:szCs w:val="20"/>
      </w:rPr>
      <w:t>-</w:t>
    </w:r>
    <w:r>
      <w:rPr>
        <w:rFonts w:ascii="Calibri" w:hAnsi="Calibri" w:eastAsia="Calibri" w:cs="Calibri"/>
        <w:spacing w:val="13"/>
        <w:sz w:val="20"/>
        <w:szCs w:val="20"/>
      </w:rPr>
      <w:t xml:space="preserve"> </w:t>
    </w:r>
    <w:r>
      <w:rPr>
        <w:rFonts w:ascii="Calibri" w:hAnsi="Calibri" w:eastAsia="Calibri" w:cs="Calibri"/>
        <w:spacing w:val="-5"/>
        <w:sz w:val="20"/>
        <w:szCs w:val="20"/>
      </w:rPr>
      <w:t>68</w:t>
    </w:r>
    <w:r>
      <w:rPr>
        <w:rFonts w:ascii="Calibri" w:hAnsi="Calibri" w:eastAsia="Calibri" w:cs="Calibri"/>
        <w:spacing w:val="6"/>
        <w:sz w:val="20"/>
        <w:szCs w:val="20"/>
      </w:rPr>
      <w:t xml:space="preserve"> </w:t>
    </w:r>
    <w:r>
      <w:rPr>
        <w:rFonts w:ascii="Calibri" w:hAnsi="Calibri" w:eastAsia="Calibri" w:cs="Calibri"/>
        <w:spacing w:val="-5"/>
        <w:sz w:val="20"/>
        <w:szCs w:val="20"/>
      </w:rPr>
      <w:t>-</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C4223">
    <w:pPr>
      <w:spacing w:line="238" w:lineRule="auto"/>
      <w:ind w:right="32"/>
      <w:jc w:val="right"/>
      <w:rPr>
        <w:rFonts w:ascii="Calibri" w:hAnsi="Calibri" w:eastAsia="Calibri" w:cs="Calibri"/>
        <w:sz w:val="20"/>
        <w:szCs w:val="20"/>
      </w:rPr>
    </w:pPr>
    <w:r>
      <w:rPr>
        <w:rFonts w:ascii="Calibri" w:hAnsi="Calibri" w:eastAsia="Calibri" w:cs="Calibri"/>
        <w:spacing w:val="-5"/>
        <w:sz w:val="20"/>
        <w:szCs w:val="20"/>
      </w:rPr>
      <w:t>-</w:t>
    </w:r>
    <w:r>
      <w:rPr>
        <w:rFonts w:ascii="Calibri" w:hAnsi="Calibri" w:eastAsia="Calibri" w:cs="Calibri"/>
        <w:spacing w:val="13"/>
        <w:sz w:val="20"/>
        <w:szCs w:val="20"/>
      </w:rPr>
      <w:t xml:space="preserve"> </w:t>
    </w:r>
    <w:r>
      <w:rPr>
        <w:rFonts w:ascii="Calibri" w:hAnsi="Calibri" w:eastAsia="Calibri" w:cs="Calibri"/>
        <w:spacing w:val="-5"/>
        <w:sz w:val="20"/>
        <w:szCs w:val="20"/>
      </w:rPr>
      <w:t>69</w:t>
    </w:r>
    <w:r>
      <w:rPr>
        <w:rFonts w:ascii="Calibri" w:hAnsi="Calibri" w:eastAsia="Calibri" w:cs="Calibri"/>
        <w:spacing w:val="6"/>
        <w:sz w:val="20"/>
        <w:szCs w:val="20"/>
      </w:rPr>
      <w:t xml:space="preserve"> </w:t>
    </w:r>
    <w:r>
      <w:rPr>
        <w:rFonts w:ascii="Calibri" w:hAnsi="Calibri" w:eastAsia="Calibri" w:cs="Calibri"/>
        <w:spacing w:val="-5"/>
        <w:sz w:val="20"/>
        <w:szCs w:val="20"/>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6FCD1">
    <w:pPr>
      <w:spacing w:line="239" w:lineRule="auto"/>
      <w:ind w:right="14"/>
      <w:jc w:val="right"/>
      <w:rPr>
        <w:rFonts w:ascii="Calibri" w:hAnsi="Calibri" w:eastAsia="Calibri" w:cs="Calibri"/>
        <w:sz w:val="20"/>
        <w:szCs w:val="20"/>
      </w:rPr>
    </w:pPr>
    <w:r>
      <w:rPr>
        <w:rFonts w:ascii="Calibri" w:hAnsi="Calibri" w:eastAsia="Calibri" w:cs="Calibri"/>
        <w:spacing w:val="-6"/>
        <w:sz w:val="20"/>
        <w:szCs w:val="20"/>
      </w:rPr>
      <w:t>-</w:t>
    </w:r>
    <w:r>
      <w:rPr>
        <w:rFonts w:ascii="Calibri" w:hAnsi="Calibri" w:eastAsia="Calibri" w:cs="Calibri"/>
        <w:spacing w:val="10"/>
        <w:sz w:val="20"/>
        <w:szCs w:val="20"/>
      </w:rPr>
      <w:t xml:space="preserve"> </w:t>
    </w:r>
    <w:r>
      <w:rPr>
        <w:rFonts w:ascii="Calibri" w:hAnsi="Calibri" w:eastAsia="Calibri" w:cs="Calibri"/>
        <w:spacing w:val="-6"/>
        <w:sz w:val="20"/>
        <w:szCs w:val="20"/>
      </w:rPr>
      <w:t>7</w:t>
    </w:r>
    <w:r>
      <w:rPr>
        <w:rFonts w:ascii="Calibri" w:hAnsi="Calibri" w:eastAsia="Calibri" w:cs="Calibri"/>
        <w:spacing w:val="8"/>
        <w:sz w:val="20"/>
        <w:szCs w:val="20"/>
      </w:rPr>
      <w:t xml:space="preserve"> </w:t>
    </w:r>
    <w:r>
      <w:rPr>
        <w:rFonts w:ascii="Calibri" w:hAnsi="Calibri" w:eastAsia="Calibri" w:cs="Calibri"/>
        <w:spacing w:val="-6"/>
        <w:sz w:val="20"/>
        <w:szCs w:val="20"/>
      </w:rPr>
      <w:t>-</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0CC74">
    <w:pPr>
      <w:spacing w:line="238" w:lineRule="auto"/>
      <w:ind w:right="32"/>
      <w:jc w:val="right"/>
      <w:rPr>
        <w:rFonts w:ascii="Calibri" w:hAnsi="Calibri" w:eastAsia="Calibri" w:cs="Calibri"/>
        <w:sz w:val="20"/>
        <w:szCs w:val="20"/>
      </w:rPr>
    </w:pPr>
    <w:r>
      <w:rPr>
        <w:rFonts w:ascii="Calibri" w:hAnsi="Calibri" w:eastAsia="Calibri" w:cs="Calibri"/>
        <w:spacing w:val="-4"/>
        <w:sz w:val="20"/>
        <w:szCs w:val="20"/>
      </w:rPr>
      <w:t>-</w:t>
    </w:r>
    <w:r>
      <w:rPr>
        <w:rFonts w:ascii="Calibri" w:hAnsi="Calibri" w:eastAsia="Calibri" w:cs="Calibri"/>
        <w:spacing w:val="9"/>
        <w:sz w:val="20"/>
        <w:szCs w:val="20"/>
      </w:rPr>
      <w:t xml:space="preserve"> </w:t>
    </w:r>
    <w:r>
      <w:rPr>
        <w:rFonts w:ascii="Calibri" w:hAnsi="Calibri" w:eastAsia="Calibri" w:cs="Calibri"/>
        <w:spacing w:val="-4"/>
        <w:sz w:val="20"/>
        <w:szCs w:val="20"/>
      </w:rPr>
      <w:t>70</w:t>
    </w:r>
    <w:r>
      <w:rPr>
        <w:rFonts w:ascii="Calibri" w:hAnsi="Calibri" w:eastAsia="Calibri" w:cs="Calibri"/>
        <w:spacing w:val="6"/>
        <w:sz w:val="20"/>
        <w:szCs w:val="20"/>
      </w:rPr>
      <w:t xml:space="preserve"> </w:t>
    </w:r>
    <w:r>
      <w:rPr>
        <w:rFonts w:ascii="Calibri" w:hAnsi="Calibri" w:eastAsia="Calibri" w:cs="Calibri"/>
        <w:spacing w:val="-4"/>
        <w:sz w:val="20"/>
        <w:szCs w:val="20"/>
      </w:rPr>
      <w:t>-</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A9FFB">
    <w:pPr>
      <w:spacing w:line="239" w:lineRule="auto"/>
      <w:ind w:left="8483"/>
      <w:rPr>
        <w:rFonts w:ascii="Calibri" w:hAnsi="Calibri" w:eastAsia="Calibri" w:cs="Calibri"/>
        <w:sz w:val="20"/>
        <w:szCs w:val="20"/>
      </w:rPr>
    </w:pPr>
    <w:r>
      <w:rPr>
        <w:rFonts w:ascii="Calibri" w:hAnsi="Calibri" w:eastAsia="Calibri" w:cs="Calibri"/>
        <w:spacing w:val="-4"/>
        <w:sz w:val="20"/>
        <w:szCs w:val="20"/>
      </w:rPr>
      <w:t>-</w:t>
    </w:r>
    <w:r>
      <w:rPr>
        <w:rFonts w:ascii="Calibri" w:hAnsi="Calibri" w:eastAsia="Calibri" w:cs="Calibri"/>
        <w:spacing w:val="9"/>
        <w:sz w:val="20"/>
        <w:szCs w:val="20"/>
      </w:rPr>
      <w:t xml:space="preserve"> </w:t>
    </w:r>
    <w:r>
      <w:rPr>
        <w:rFonts w:ascii="Calibri" w:hAnsi="Calibri" w:eastAsia="Calibri" w:cs="Calibri"/>
        <w:spacing w:val="-4"/>
        <w:sz w:val="20"/>
        <w:szCs w:val="20"/>
      </w:rPr>
      <w:t>71</w:t>
    </w:r>
    <w:r>
      <w:rPr>
        <w:rFonts w:ascii="Calibri" w:hAnsi="Calibri" w:eastAsia="Calibri" w:cs="Calibri"/>
        <w:spacing w:val="6"/>
        <w:sz w:val="20"/>
        <w:szCs w:val="20"/>
      </w:rPr>
      <w:t xml:space="preserve"> </w:t>
    </w:r>
    <w:r>
      <w:rPr>
        <w:rFonts w:ascii="Calibri" w:hAnsi="Calibri" w:eastAsia="Calibri" w:cs="Calibri"/>
        <w:spacing w:val="-4"/>
        <w:sz w:val="20"/>
        <w:szCs w:val="20"/>
      </w:rPr>
      <w:t>-</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E77A0">
    <w:pPr>
      <w:spacing w:line="239" w:lineRule="auto"/>
      <w:ind w:left="8483"/>
      <w:rPr>
        <w:rFonts w:ascii="Calibri" w:hAnsi="Calibri" w:eastAsia="Calibri" w:cs="Calibri"/>
        <w:sz w:val="20"/>
        <w:szCs w:val="20"/>
      </w:rPr>
    </w:pPr>
    <w:r>
      <w:rPr>
        <w:rFonts w:ascii="Calibri" w:hAnsi="Calibri" w:eastAsia="Calibri" w:cs="Calibri"/>
        <w:spacing w:val="-4"/>
        <w:sz w:val="20"/>
        <w:szCs w:val="20"/>
      </w:rPr>
      <w:t>-</w:t>
    </w:r>
    <w:r>
      <w:rPr>
        <w:rFonts w:ascii="Calibri" w:hAnsi="Calibri" w:eastAsia="Calibri" w:cs="Calibri"/>
        <w:spacing w:val="9"/>
        <w:sz w:val="20"/>
        <w:szCs w:val="20"/>
      </w:rPr>
      <w:t xml:space="preserve"> </w:t>
    </w:r>
    <w:r>
      <w:rPr>
        <w:rFonts w:ascii="Calibri" w:hAnsi="Calibri" w:eastAsia="Calibri" w:cs="Calibri"/>
        <w:spacing w:val="-4"/>
        <w:sz w:val="20"/>
        <w:szCs w:val="20"/>
      </w:rPr>
      <w:t>72</w:t>
    </w:r>
    <w:r>
      <w:rPr>
        <w:rFonts w:ascii="Calibri" w:hAnsi="Calibri" w:eastAsia="Calibri" w:cs="Calibri"/>
        <w:spacing w:val="6"/>
        <w:sz w:val="20"/>
        <w:szCs w:val="20"/>
      </w:rPr>
      <w:t xml:space="preserve"> </w:t>
    </w:r>
    <w:r>
      <w:rPr>
        <w:rFonts w:ascii="Calibri" w:hAnsi="Calibri" w:eastAsia="Calibri" w:cs="Calibri"/>
        <w:spacing w:val="-4"/>
        <w:sz w:val="20"/>
        <w:szCs w:val="20"/>
      </w:rPr>
      <w:t>-</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15477">
    <w:pPr>
      <w:spacing w:line="238" w:lineRule="auto"/>
      <w:ind w:left="8483"/>
      <w:rPr>
        <w:rFonts w:ascii="Calibri" w:hAnsi="Calibri" w:eastAsia="Calibri" w:cs="Calibri"/>
        <w:sz w:val="20"/>
        <w:szCs w:val="20"/>
      </w:rPr>
    </w:pPr>
    <w:r>
      <w:rPr>
        <w:rFonts w:ascii="Calibri" w:hAnsi="Calibri" w:eastAsia="Calibri" w:cs="Calibri"/>
        <w:spacing w:val="-4"/>
        <w:sz w:val="20"/>
        <w:szCs w:val="20"/>
      </w:rPr>
      <w:t>-</w:t>
    </w:r>
    <w:r>
      <w:rPr>
        <w:rFonts w:ascii="Calibri" w:hAnsi="Calibri" w:eastAsia="Calibri" w:cs="Calibri"/>
        <w:spacing w:val="9"/>
        <w:sz w:val="20"/>
        <w:szCs w:val="20"/>
      </w:rPr>
      <w:t xml:space="preserve"> </w:t>
    </w:r>
    <w:r>
      <w:rPr>
        <w:rFonts w:ascii="Calibri" w:hAnsi="Calibri" w:eastAsia="Calibri" w:cs="Calibri"/>
        <w:spacing w:val="-4"/>
        <w:sz w:val="20"/>
        <w:szCs w:val="20"/>
      </w:rPr>
      <w:t>73</w:t>
    </w:r>
    <w:r>
      <w:rPr>
        <w:rFonts w:ascii="Calibri" w:hAnsi="Calibri" w:eastAsia="Calibri" w:cs="Calibri"/>
        <w:spacing w:val="6"/>
        <w:sz w:val="20"/>
        <w:szCs w:val="20"/>
      </w:rPr>
      <w:t xml:space="preserve"> </w:t>
    </w:r>
    <w:r>
      <w:rPr>
        <w:rFonts w:ascii="Calibri" w:hAnsi="Calibri" w:eastAsia="Calibri" w:cs="Calibri"/>
        <w:spacing w:val="-4"/>
        <w:sz w:val="20"/>
        <w:szCs w:val="20"/>
      </w:rPr>
      <w:t>-</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0C42D">
    <w:pPr>
      <w:spacing w:line="14" w:lineRule="auto"/>
      <w:rPr>
        <w:rFonts w:ascii="Arial"/>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4050D">
    <w:pPr>
      <w:spacing w:line="238" w:lineRule="auto"/>
      <w:ind w:left="13210"/>
      <w:rPr>
        <w:rFonts w:ascii="Calibri" w:hAnsi="Calibri" w:eastAsia="Calibri" w:cs="Calibri"/>
        <w:sz w:val="20"/>
        <w:szCs w:val="20"/>
      </w:rPr>
    </w:pPr>
    <w:r>
      <w:rPr>
        <w:rFonts w:ascii="Calibri" w:hAnsi="Calibri" w:eastAsia="Calibri" w:cs="Calibri"/>
        <w:spacing w:val="-5"/>
        <w:sz w:val="20"/>
        <w:szCs w:val="20"/>
      </w:rPr>
      <w:t>-</w:t>
    </w:r>
    <w:r>
      <w:rPr>
        <w:rFonts w:ascii="Calibri" w:hAnsi="Calibri" w:eastAsia="Calibri" w:cs="Calibri"/>
        <w:spacing w:val="8"/>
        <w:sz w:val="20"/>
        <w:szCs w:val="20"/>
      </w:rPr>
      <w:t xml:space="preserve"> </w:t>
    </w:r>
    <w:r>
      <w:rPr>
        <w:rFonts w:ascii="Calibri" w:hAnsi="Calibri" w:eastAsia="Calibri" w:cs="Calibri"/>
        <w:spacing w:val="-5"/>
        <w:sz w:val="20"/>
        <w:szCs w:val="20"/>
      </w:rPr>
      <w:t>8</w:t>
    </w:r>
    <w:r>
      <w:rPr>
        <w:rFonts w:ascii="Calibri" w:hAnsi="Calibri" w:eastAsia="Calibri" w:cs="Calibri"/>
        <w:spacing w:val="7"/>
        <w:sz w:val="20"/>
        <w:szCs w:val="20"/>
      </w:rPr>
      <w:t xml:space="preserve"> </w:t>
    </w:r>
    <w:r>
      <w:rPr>
        <w:rFonts w:ascii="Calibri" w:hAnsi="Calibri" w:eastAsia="Calibri" w:cs="Calibri"/>
        <w:spacing w:val="-5"/>
        <w:sz w:val="20"/>
        <w:szCs w:val="20"/>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EB16E">
    <w:pPr>
      <w:spacing w:line="238" w:lineRule="auto"/>
      <w:ind w:left="13210"/>
      <w:rPr>
        <w:rFonts w:ascii="Calibri" w:hAnsi="Calibri" w:eastAsia="Calibri" w:cs="Calibri"/>
        <w:sz w:val="20"/>
        <w:szCs w:val="20"/>
      </w:rPr>
    </w:pPr>
    <w:r>
      <w:rPr>
        <w:rFonts w:ascii="Calibri" w:hAnsi="Calibri" w:eastAsia="Calibri" w:cs="Calibri"/>
        <w:spacing w:val="-5"/>
        <w:sz w:val="20"/>
        <w:szCs w:val="20"/>
      </w:rPr>
      <w:t>-</w:t>
    </w:r>
    <w:r>
      <w:rPr>
        <w:rFonts w:ascii="Calibri" w:hAnsi="Calibri" w:eastAsia="Calibri" w:cs="Calibri"/>
        <w:spacing w:val="8"/>
        <w:sz w:val="20"/>
        <w:szCs w:val="20"/>
      </w:rPr>
      <w:t xml:space="preserve"> </w:t>
    </w:r>
    <w:r>
      <w:rPr>
        <w:rFonts w:ascii="Calibri" w:hAnsi="Calibri" w:eastAsia="Calibri" w:cs="Calibri"/>
        <w:spacing w:val="-5"/>
        <w:sz w:val="20"/>
        <w:szCs w:val="20"/>
      </w:rPr>
      <w:t>9</w:t>
    </w:r>
    <w:r>
      <w:rPr>
        <w:rFonts w:ascii="Calibri" w:hAnsi="Calibri" w:eastAsia="Calibri" w:cs="Calibri"/>
        <w:spacing w:val="7"/>
        <w:sz w:val="20"/>
        <w:szCs w:val="20"/>
      </w:rPr>
      <w:t xml:space="preserve"> </w:t>
    </w:r>
    <w:r>
      <w:rPr>
        <w:rFonts w:ascii="Calibri" w:hAnsi="Calibri" w:eastAsia="Calibri" w:cs="Calibri"/>
        <w:spacing w:val="-5"/>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7A8EA">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8D21E41"/>
    <w:rsid w:val="30DA7426"/>
    <w:rsid w:val="458A4C60"/>
    <w:rsid w:val="49A90533"/>
    <w:rsid w:val="56C63E25"/>
    <w:rsid w:val="7AF964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7"/>
      <w:szCs w:val="27"/>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2" Type="http://schemas.openxmlformats.org/officeDocument/2006/relationships/fontTable" Target="fontTable.xml"/><Relationship Id="rId91" Type="http://schemas.openxmlformats.org/officeDocument/2006/relationships/customXml" Target="../customXml/item1.xml"/><Relationship Id="rId90" Type="http://schemas.openxmlformats.org/officeDocument/2006/relationships/image" Target="media/image10.jpeg"/><Relationship Id="rId9" Type="http://schemas.openxmlformats.org/officeDocument/2006/relationships/footer" Target="footer5.xml"/><Relationship Id="rId89" Type="http://schemas.openxmlformats.org/officeDocument/2006/relationships/image" Target="media/image9.jpeg"/><Relationship Id="rId88" Type="http://schemas.openxmlformats.org/officeDocument/2006/relationships/image" Target="media/image8.png"/><Relationship Id="rId87" Type="http://schemas.openxmlformats.org/officeDocument/2006/relationships/image" Target="media/image7.png"/><Relationship Id="rId86" Type="http://schemas.openxmlformats.org/officeDocument/2006/relationships/image" Target="media/image6.png"/><Relationship Id="rId85" Type="http://schemas.openxmlformats.org/officeDocument/2006/relationships/image" Target="media/image5.png"/><Relationship Id="rId84" Type="http://schemas.openxmlformats.org/officeDocument/2006/relationships/image" Target="media/image4.jpeg"/><Relationship Id="rId83" Type="http://schemas.openxmlformats.org/officeDocument/2006/relationships/image" Target="media/image3.jpeg"/><Relationship Id="rId82" Type="http://schemas.openxmlformats.org/officeDocument/2006/relationships/image" Target="media/image2.jpeg"/><Relationship Id="rId81" Type="http://schemas.openxmlformats.org/officeDocument/2006/relationships/image" Target="media/image1.jpeg"/><Relationship Id="rId80" Type="http://schemas.openxmlformats.org/officeDocument/2006/relationships/theme" Target="theme/theme1.xml"/><Relationship Id="rId8" Type="http://schemas.openxmlformats.org/officeDocument/2006/relationships/footer" Target="footer4.xml"/><Relationship Id="rId79" Type="http://schemas.openxmlformats.org/officeDocument/2006/relationships/footer" Target="footer74.xml"/><Relationship Id="rId78" Type="http://schemas.openxmlformats.org/officeDocument/2006/relationships/header" Target="header1.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6"/>
    <customShpInfo spid="_x0000_s1029"/>
    <customShpInfo spid="_x0000_s1031"/>
    <customShpInfo spid="_x0000_s1032"/>
    <customShpInfo spid="_x0000_s1030"/>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80</Pages>
  <Words>3273</Words>
  <Characters>3524</Characters>
  <TotalTime>42</TotalTime>
  <ScaleCrop>false</ScaleCrop>
  <LinksUpToDate>false</LinksUpToDate>
  <CharactersWithSpaces>3795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2025-07-14T17:05:00Z</dcterms:created>
  <dc:creator>Administrator</dc:creator>
  <cp:lastModifiedBy>idiot</cp:lastModifiedBy>
  <dcterms:modified xsi:type="dcterms:W3CDTF">2025-07-15T02:06:59Z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2025-07-15T09:11:15Z</vt:filetime>
  </property>
  <property fmtid="{D5CDD505-2E9C-101B-9397-08002B2CF9AE}" pid="4" name="KSOTemplateDocerSaveRecord">
    <vt:lpwstr>eyJoZGlkIjoiMmUzY2E4Mzg5YmZjMzcxNGU1NzY5YmQ2NDA1YTE1MzIiLCJ1c2VySWQiOiIzODQ4MjU3MTkifQ==</vt:lpwstr>
  </property>
  <property fmtid="{D5CDD505-2E9C-101B-9397-08002B2CF9AE}" pid="5" name="KSOProductBuildVer">
    <vt:lpwstr>2052-12.1.0.21915</vt:lpwstr>
  </property>
  <property fmtid="{D5CDD505-2E9C-101B-9397-08002B2CF9AE}" pid="6" name="ICV">
    <vt:lpwstr>B973D9A8006B415E818ED947889D74E6_12</vt:lpwstr>
  </property>
</Properties>
</file>