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A1EB55">
      <w:pPr>
        <w:spacing w:line="360" w:lineRule="auto"/>
        <w:jc w:val="center"/>
        <w:rPr>
          <w:rFonts w:hint="default" w:ascii="Times New Roman" w:hAnsi="Times New Roman" w:eastAsia="方正小标宋_GBK" w:cs="Times New Roman"/>
          <w:color w:val="auto"/>
          <w:sz w:val="72"/>
          <w:szCs w:val="72"/>
          <w:highlight w:val="none"/>
        </w:rPr>
      </w:pPr>
    </w:p>
    <w:p w14:paraId="286258EA">
      <w:pPr>
        <w:spacing w:line="360" w:lineRule="auto"/>
        <w:jc w:val="center"/>
        <w:rPr>
          <w:rFonts w:hint="default" w:ascii="Times New Roman" w:hAnsi="Times New Roman" w:eastAsia="方正小标宋_GBK" w:cs="Times New Roman"/>
          <w:color w:val="auto"/>
          <w:sz w:val="72"/>
          <w:szCs w:val="72"/>
          <w:highlight w:val="none"/>
        </w:rPr>
      </w:pPr>
    </w:p>
    <w:p w14:paraId="3FD7CE25">
      <w:pPr>
        <w:spacing w:line="360" w:lineRule="auto"/>
        <w:jc w:val="center"/>
        <w:rPr>
          <w:rFonts w:hint="default" w:ascii="Times New Roman" w:hAnsi="Times New Roman" w:eastAsia="方正小标宋_GBK" w:cs="Times New Roman"/>
          <w:color w:val="auto"/>
          <w:sz w:val="72"/>
          <w:szCs w:val="72"/>
          <w:highlight w:val="none"/>
        </w:rPr>
      </w:pPr>
      <w:r>
        <w:rPr>
          <w:rFonts w:hint="default" w:ascii="Times New Roman" w:hAnsi="Times New Roman" w:eastAsia="方正小标宋_GBK" w:cs="Times New Roman"/>
          <w:color w:val="auto"/>
          <w:sz w:val="72"/>
          <w:szCs w:val="72"/>
          <w:highlight w:val="none"/>
        </w:rPr>
        <w:t>建设项目环境影响报告表</w:t>
      </w:r>
    </w:p>
    <w:p w14:paraId="55C1FD2F">
      <w:pPr>
        <w:jc w:val="center"/>
        <w:rPr>
          <w:rFonts w:hint="default" w:ascii="Times New Roman" w:hAnsi="Times New Roman" w:eastAsia="楷体" w:cs="Times New Roman"/>
          <w:color w:val="auto"/>
          <w:sz w:val="48"/>
          <w:szCs w:val="48"/>
          <w:highlight w:val="none"/>
          <w:lang w:eastAsia="zh-CN"/>
        </w:rPr>
      </w:pPr>
      <w:r>
        <w:rPr>
          <w:rFonts w:hint="default" w:ascii="Times New Roman" w:hAnsi="Times New Roman" w:eastAsia="楷体" w:cs="Times New Roman"/>
          <w:color w:val="auto"/>
          <w:sz w:val="48"/>
          <w:szCs w:val="48"/>
          <w:highlight w:val="none"/>
          <w:lang w:eastAsia="zh-CN"/>
        </w:rPr>
        <w:t>（</w:t>
      </w:r>
      <w:r>
        <w:rPr>
          <w:rFonts w:hint="default" w:ascii="Times New Roman" w:hAnsi="Times New Roman" w:eastAsia="楷体" w:cs="Times New Roman"/>
          <w:color w:val="auto"/>
          <w:sz w:val="48"/>
          <w:szCs w:val="48"/>
          <w:highlight w:val="none"/>
        </w:rPr>
        <w:t>污染影响类</w:t>
      </w:r>
      <w:r>
        <w:rPr>
          <w:rFonts w:hint="default" w:ascii="Times New Roman" w:hAnsi="Times New Roman" w:eastAsia="楷体" w:cs="Times New Roman"/>
          <w:color w:val="auto"/>
          <w:sz w:val="48"/>
          <w:szCs w:val="48"/>
          <w:highlight w:val="none"/>
          <w:lang w:eastAsia="zh-CN"/>
        </w:rPr>
        <w:t>）</w:t>
      </w:r>
    </w:p>
    <w:p w14:paraId="41D33AFF">
      <w:pPr>
        <w:spacing w:line="360" w:lineRule="auto"/>
        <w:jc w:val="center"/>
        <w:rPr>
          <w:rFonts w:hint="eastAsia" w:ascii="仿宋" w:hAnsi="仿宋" w:eastAsia="仿宋" w:cs="Times New Roman"/>
          <w:b/>
          <w:color w:val="auto"/>
          <w:sz w:val="36"/>
          <w:szCs w:val="36"/>
          <w:highlight w:val="none"/>
          <w:lang w:eastAsia="zh-CN"/>
        </w:rPr>
      </w:pPr>
      <w:r>
        <w:rPr>
          <w:rFonts w:hint="eastAsia" w:ascii="仿宋" w:hAnsi="仿宋" w:eastAsia="仿宋" w:cs="Times New Roman"/>
          <w:b/>
          <w:color w:val="auto"/>
          <w:sz w:val="36"/>
          <w:szCs w:val="36"/>
          <w:highlight w:val="none"/>
          <w:lang w:eastAsia="zh-CN"/>
        </w:rPr>
        <w:t>（</w:t>
      </w:r>
      <w:r>
        <w:rPr>
          <w:rFonts w:hint="eastAsia" w:ascii="仿宋" w:hAnsi="仿宋" w:eastAsia="仿宋" w:cs="Times New Roman"/>
          <w:b/>
          <w:color w:val="auto"/>
          <w:sz w:val="36"/>
          <w:szCs w:val="36"/>
          <w:highlight w:val="none"/>
          <w:lang w:val="en-US" w:eastAsia="zh-CN"/>
        </w:rPr>
        <w:t>公示本</w:t>
      </w:r>
      <w:r>
        <w:rPr>
          <w:rFonts w:hint="eastAsia" w:ascii="仿宋" w:hAnsi="仿宋" w:eastAsia="仿宋" w:cs="Times New Roman"/>
          <w:b/>
          <w:color w:val="auto"/>
          <w:sz w:val="36"/>
          <w:szCs w:val="36"/>
          <w:highlight w:val="none"/>
          <w:lang w:eastAsia="zh-CN"/>
        </w:rPr>
        <w:t>）</w:t>
      </w:r>
    </w:p>
    <w:p w14:paraId="6C252FB5">
      <w:pPr>
        <w:spacing w:line="360" w:lineRule="auto"/>
        <w:rPr>
          <w:rFonts w:hint="default" w:ascii="Times New Roman" w:hAnsi="Times New Roman" w:eastAsia="仿宋" w:cs="Times New Roman"/>
          <w:b/>
          <w:color w:val="auto"/>
          <w:sz w:val="36"/>
          <w:szCs w:val="36"/>
          <w:highlight w:val="none"/>
        </w:rPr>
      </w:pPr>
    </w:p>
    <w:p w14:paraId="638885AD">
      <w:pPr>
        <w:spacing w:line="360" w:lineRule="auto"/>
        <w:rPr>
          <w:rFonts w:hint="default" w:ascii="Times New Roman" w:hAnsi="Times New Roman" w:eastAsia="仿宋" w:cs="Times New Roman"/>
          <w:b/>
          <w:color w:val="auto"/>
          <w:sz w:val="36"/>
          <w:szCs w:val="36"/>
          <w:highlight w:val="none"/>
        </w:rPr>
      </w:pPr>
    </w:p>
    <w:p w14:paraId="41E276EC">
      <w:pPr>
        <w:spacing w:line="360" w:lineRule="auto"/>
        <w:rPr>
          <w:rFonts w:hint="default" w:ascii="Times New Roman" w:hAnsi="Times New Roman" w:eastAsia="仿宋" w:cs="Times New Roman"/>
          <w:b/>
          <w:color w:val="auto"/>
          <w:sz w:val="36"/>
          <w:szCs w:val="36"/>
          <w:highlight w:val="none"/>
        </w:rPr>
      </w:pPr>
    </w:p>
    <w:p w14:paraId="44249E6E">
      <w:pPr>
        <w:spacing w:line="360" w:lineRule="auto"/>
        <w:rPr>
          <w:rFonts w:hint="default" w:ascii="Times New Roman" w:hAnsi="Times New Roman" w:eastAsia="仿宋" w:cs="Times New Roman"/>
          <w:b/>
          <w:color w:val="auto"/>
          <w:sz w:val="36"/>
          <w:szCs w:val="36"/>
          <w:highlight w:val="none"/>
        </w:rPr>
      </w:pPr>
    </w:p>
    <w:p w14:paraId="3FA727E4">
      <w:pPr>
        <w:spacing w:line="360" w:lineRule="auto"/>
        <w:rPr>
          <w:rFonts w:hint="default" w:ascii="Times New Roman" w:hAnsi="Times New Roman" w:eastAsia="仿宋" w:cs="Times New Roman"/>
          <w:b/>
          <w:color w:val="auto"/>
          <w:sz w:val="36"/>
          <w:szCs w:val="36"/>
          <w:highlight w:val="none"/>
        </w:rPr>
      </w:pPr>
    </w:p>
    <w:p w14:paraId="242EECEB">
      <w:pPr>
        <w:spacing w:line="360" w:lineRule="auto"/>
        <w:ind w:left="3240" w:leftChars="150" w:hanging="2880" w:hangingChars="800"/>
        <w:jc w:val="both"/>
        <w:rPr>
          <w:rFonts w:hint="default" w:ascii="Times New Roman" w:hAnsi="Times New Roman" w:eastAsia="仿宋" w:cs="Times New Roman"/>
          <w:color w:val="auto"/>
          <w:sz w:val="36"/>
          <w:szCs w:val="36"/>
          <w:highlight w:val="none"/>
          <w:u w:val="single"/>
          <w:lang w:val="en-US"/>
        </w:rPr>
      </w:pPr>
      <w:r>
        <w:rPr>
          <w:rFonts w:hint="default" w:ascii="Times New Roman" w:hAnsi="Times New Roman" w:eastAsia="仿宋" w:cs="Times New Roman"/>
          <w:color w:val="auto"/>
          <w:sz w:val="36"/>
          <w:szCs w:val="36"/>
          <w:highlight w:val="none"/>
        </w:rPr>
        <w:t>项目名称：</w:t>
      </w:r>
      <w:r>
        <w:rPr>
          <w:rFonts w:hint="eastAsia" w:eastAsia="仿宋" w:cs="Times New Roman"/>
          <w:color w:val="auto"/>
          <w:sz w:val="36"/>
          <w:szCs w:val="36"/>
          <w:highlight w:val="none"/>
          <w:u w:val="single"/>
          <w:lang w:val="en-US" w:eastAsia="zh-CN"/>
        </w:rPr>
        <w:t xml:space="preserve"> </w:t>
      </w:r>
      <w:r>
        <w:rPr>
          <w:rFonts w:hint="eastAsia" w:ascii="Times New Roman" w:hAnsi="Times New Roman" w:eastAsia="仿宋" w:cs="Times New Roman"/>
          <w:color w:val="auto"/>
          <w:sz w:val="36"/>
          <w:szCs w:val="36"/>
          <w:highlight w:val="none"/>
          <w:u w:val="single"/>
        </w:rPr>
        <w:t>通川东岳收费站出口（北）加油加气站项</w:t>
      </w:r>
      <w:r>
        <w:rPr>
          <w:rFonts w:hint="eastAsia" w:ascii="Times New Roman" w:hAnsi="Times New Roman" w:eastAsia="仿宋" w:cs="Times New Roman"/>
          <w:color w:val="auto"/>
          <w:sz w:val="36"/>
          <w:szCs w:val="36"/>
          <w:highlight w:val="none"/>
          <w:u w:val="single"/>
          <w:lang w:val="en-US" w:eastAsia="zh-CN"/>
        </w:rPr>
        <w:t xml:space="preserve">目 </w:t>
      </w:r>
    </w:p>
    <w:p w14:paraId="100E668A">
      <w:pPr>
        <w:spacing w:line="360" w:lineRule="auto"/>
        <w:ind w:left="3600" w:leftChars="150" w:hanging="3240" w:hangingChars="900"/>
        <w:jc w:val="both"/>
        <w:rPr>
          <w:rFonts w:hint="default" w:ascii="Times New Roman" w:hAnsi="Times New Roman" w:eastAsia="仿宋" w:cs="Times New Roman"/>
          <w:color w:val="auto"/>
          <w:sz w:val="36"/>
          <w:szCs w:val="36"/>
          <w:highlight w:val="none"/>
          <w:u w:val="single"/>
          <w:lang w:eastAsia="zh-CN"/>
        </w:rPr>
      </w:pPr>
      <w:r>
        <w:rPr>
          <w:rFonts w:hint="default" w:ascii="Times New Roman" w:hAnsi="Times New Roman" w:eastAsia="仿宋" w:cs="Times New Roman"/>
          <w:color w:val="auto"/>
          <w:sz w:val="36"/>
          <w:szCs w:val="36"/>
          <w:highlight w:val="none"/>
        </w:rPr>
        <w:t>建设单位</w:t>
      </w:r>
      <w:r>
        <w:rPr>
          <w:rFonts w:hint="default" w:ascii="Times New Roman" w:hAnsi="Times New Roman" w:eastAsia="仿宋" w:cs="Times New Roman"/>
          <w:color w:val="auto"/>
          <w:sz w:val="36"/>
          <w:szCs w:val="36"/>
          <w:highlight w:val="none"/>
          <w:lang w:eastAsia="zh-CN"/>
        </w:rPr>
        <w:t>（</w:t>
      </w:r>
      <w:r>
        <w:rPr>
          <w:rFonts w:hint="default" w:ascii="Times New Roman" w:hAnsi="Times New Roman" w:eastAsia="仿宋" w:cs="Times New Roman"/>
          <w:color w:val="auto"/>
          <w:sz w:val="36"/>
          <w:szCs w:val="36"/>
          <w:highlight w:val="none"/>
        </w:rPr>
        <w:t>盖章</w:t>
      </w:r>
      <w:r>
        <w:rPr>
          <w:rFonts w:hint="default" w:ascii="Times New Roman" w:hAnsi="Times New Roman" w:eastAsia="仿宋" w:cs="Times New Roman"/>
          <w:color w:val="auto"/>
          <w:sz w:val="36"/>
          <w:szCs w:val="36"/>
          <w:highlight w:val="none"/>
          <w:lang w:eastAsia="zh-CN"/>
        </w:rPr>
        <w:t>）</w:t>
      </w:r>
      <w:r>
        <w:rPr>
          <w:rFonts w:hint="default" w:ascii="Times New Roman" w:hAnsi="Times New Roman" w:eastAsia="仿宋" w:cs="Times New Roman"/>
          <w:color w:val="auto"/>
          <w:sz w:val="36"/>
          <w:szCs w:val="36"/>
          <w:highlight w:val="none"/>
        </w:rPr>
        <w:t>：</w:t>
      </w:r>
      <w:r>
        <w:rPr>
          <w:rFonts w:hint="eastAsia" w:ascii="Times New Roman" w:hAnsi="Times New Roman" w:eastAsia="仿宋" w:cs="Times New Roman"/>
          <w:color w:val="auto"/>
          <w:sz w:val="36"/>
          <w:szCs w:val="36"/>
          <w:highlight w:val="none"/>
          <w:u w:val="single"/>
        </w:rPr>
        <w:t xml:space="preserve"> </w:t>
      </w:r>
      <w:r>
        <w:rPr>
          <w:rFonts w:ascii="Times New Roman" w:hAnsi="Times New Roman" w:eastAsia="仿宋" w:cs="Times New Roman"/>
          <w:color w:val="auto"/>
          <w:sz w:val="36"/>
          <w:szCs w:val="36"/>
          <w:highlight w:val="none"/>
          <w:u w:val="single"/>
        </w:rPr>
        <w:t xml:space="preserve">  </w:t>
      </w:r>
      <w:r>
        <w:rPr>
          <w:rFonts w:hint="eastAsia" w:ascii="Times New Roman" w:hAnsi="Times New Roman" w:eastAsia="仿宋" w:cs="Times New Roman"/>
          <w:color w:val="auto"/>
          <w:sz w:val="36"/>
          <w:szCs w:val="36"/>
          <w:highlight w:val="none"/>
          <w:u w:val="single"/>
        </w:rPr>
        <w:t xml:space="preserve">达州市通融九州能源有限公司 </w:t>
      </w:r>
      <w:r>
        <w:rPr>
          <w:rFonts w:hint="eastAsia" w:ascii="Times New Roman" w:hAnsi="Times New Roman" w:eastAsia="仿宋" w:cs="Times New Roman"/>
          <w:color w:val="auto"/>
          <w:sz w:val="36"/>
          <w:szCs w:val="36"/>
          <w:highlight w:val="none"/>
          <w:u w:val="single"/>
          <w:lang w:val="en-US" w:eastAsia="zh-CN"/>
        </w:rPr>
        <w:t xml:space="preserve">  </w:t>
      </w:r>
    </w:p>
    <w:p w14:paraId="5770FF4C">
      <w:pPr>
        <w:spacing w:line="360" w:lineRule="auto"/>
        <w:ind w:firstLine="360" w:firstLineChars="100"/>
        <w:jc w:val="both"/>
        <w:rPr>
          <w:rFonts w:hint="default" w:ascii="Times New Roman" w:hAnsi="Times New Roman" w:eastAsia="仿宋" w:cs="Times New Roman"/>
          <w:color w:val="auto"/>
          <w:sz w:val="36"/>
          <w:szCs w:val="36"/>
          <w:highlight w:val="none"/>
          <w:lang w:val="en-US" w:eastAsia="zh-CN"/>
        </w:rPr>
      </w:pPr>
      <w:r>
        <w:rPr>
          <w:rFonts w:hint="default" w:ascii="Times New Roman" w:hAnsi="Times New Roman" w:eastAsia="仿宋" w:cs="Times New Roman"/>
          <w:color w:val="auto"/>
          <w:sz w:val="36"/>
          <w:szCs w:val="36"/>
          <w:highlight w:val="none"/>
        </w:rPr>
        <w:t>编制日期：</w:t>
      </w:r>
      <w:r>
        <w:rPr>
          <w:rFonts w:hint="default" w:ascii="Times New Roman" w:hAnsi="Times New Roman" w:eastAsia="仿宋" w:cs="Times New Roman"/>
          <w:color w:val="auto"/>
          <w:sz w:val="36"/>
          <w:szCs w:val="36"/>
          <w:highlight w:val="none"/>
          <w:u w:val="single"/>
        </w:rPr>
        <w:t xml:space="preserve">              </w:t>
      </w:r>
      <w:r>
        <w:rPr>
          <w:rFonts w:hint="eastAsia"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rPr>
        <w:t>202</w:t>
      </w:r>
      <w:r>
        <w:rPr>
          <w:rFonts w:hint="eastAsia" w:eastAsia="仿宋" w:cs="Times New Roman"/>
          <w:color w:val="auto"/>
          <w:sz w:val="36"/>
          <w:szCs w:val="36"/>
          <w:highlight w:val="none"/>
          <w:u w:val="single"/>
          <w:lang w:val="en-US" w:eastAsia="zh-CN"/>
        </w:rPr>
        <w:t>5</w:t>
      </w:r>
      <w:r>
        <w:rPr>
          <w:rFonts w:hint="default" w:ascii="Times New Roman" w:hAnsi="Times New Roman" w:eastAsia="仿宋" w:cs="Times New Roman"/>
          <w:color w:val="auto"/>
          <w:sz w:val="36"/>
          <w:szCs w:val="36"/>
          <w:highlight w:val="none"/>
          <w:u w:val="single"/>
        </w:rPr>
        <w:t>年</w:t>
      </w:r>
      <w:r>
        <w:rPr>
          <w:rFonts w:hint="eastAsia" w:eastAsia="仿宋" w:cs="Times New Roman"/>
          <w:color w:val="auto"/>
          <w:sz w:val="36"/>
          <w:szCs w:val="36"/>
          <w:highlight w:val="none"/>
          <w:u w:val="single"/>
          <w:lang w:val="en-US" w:eastAsia="zh-CN"/>
        </w:rPr>
        <w:t>6</w:t>
      </w:r>
      <w:r>
        <w:rPr>
          <w:rFonts w:hint="default" w:ascii="Times New Roman" w:hAnsi="Times New Roman" w:eastAsia="仿宋" w:cs="Times New Roman"/>
          <w:color w:val="auto"/>
          <w:sz w:val="36"/>
          <w:szCs w:val="36"/>
          <w:highlight w:val="none"/>
          <w:u w:val="single"/>
        </w:rPr>
        <w:t>月</w:t>
      </w:r>
      <w:r>
        <w:rPr>
          <w:rFonts w:hint="eastAsia"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rPr>
        <w:t xml:space="preserve">       </w:t>
      </w:r>
      <w:r>
        <w:rPr>
          <w:rFonts w:hint="default" w:ascii="Times New Roman" w:hAnsi="Times New Roman" w:eastAsia="仿宋" w:cs="Times New Roman"/>
          <w:color w:val="auto"/>
          <w:sz w:val="36"/>
          <w:szCs w:val="36"/>
          <w:highlight w:val="none"/>
          <w:u w:val="single"/>
          <w:lang w:val="en-US" w:eastAsia="zh-CN"/>
        </w:rPr>
        <w:t xml:space="preserve">  </w:t>
      </w:r>
    </w:p>
    <w:p w14:paraId="4678B0AD">
      <w:pPr>
        <w:spacing w:line="360" w:lineRule="auto"/>
        <w:rPr>
          <w:rFonts w:hint="default" w:ascii="Times New Roman" w:hAnsi="Times New Roman" w:eastAsia="仿宋" w:cs="Times New Roman"/>
          <w:color w:val="auto"/>
          <w:sz w:val="36"/>
          <w:szCs w:val="36"/>
          <w:highlight w:val="none"/>
        </w:rPr>
      </w:pPr>
    </w:p>
    <w:p w14:paraId="18E7D67D">
      <w:pPr>
        <w:spacing w:line="360" w:lineRule="auto"/>
        <w:rPr>
          <w:rFonts w:hint="default" w:ascii="Times New Roman" w:hAnsi="Times New Roman" w:eastAsia="仿宋" w:cs="Times New Roman"/>
          <w:color w:val="auto"/>
          <w:sz w:val="36"/>
          <w:szCs w:val="36"/>
          <w:highlight w:val="none"/>
        </w:rPr>
      </w:pPr>
    </w:p>
    <w:p w14:paraId="13E60CE1">
      <w:pPr>
        <w:spacing w:line="360" w:lineRule="auto"/>
        <w:rPr>
          <w:rFonts w:hint="default" w:ascii="Times New Roman" w:hAnsi="Times New Roman" w:eastAsia="仿宋" w:cs="Times New Roman"/>
          <w:color w:val="auto"/>
          <w:sz w:val="36"/>
          <w:szCs w:val="36"/>
          <w:highlight w:val="none"/>
        </w:rPr>
      </w:pPr>
    </w:p>
    <w:p w14:paraId="4408F93D">
      <w:pPr>
        <w:pStyle w:val="10"/>
        <w:rPr>
          <w:rFonts w:hint="default" w:ascii="Times New Roman" w:hAnsi="Times New Roman" w:eastAsia="仿宋" w:cs="Times New Roman"/>
          <w:color w:val="auto"/>
          <w:sz w:val="36"/>
          <w:szCs w:val="36"/>
          <w:highlight w:val="none"/>
        </w:rPr>
      </w:pPr>
    </w:p>
    <w:p w14:paraId="29D00224">
      <w:pPr>
        <w:rPr>
          <w:rFonts w:hint="default"/>
          <w:color w:val="auto"/>
          <w:highlight w:val="none"/>
        </w:rPr>
      </w:pPr>
    </w:p>
    <w:p w14:paraId="1B2801A5">
      <w:pPr>
        <w:spacing w:line="360" w:lineRule="auto"/>
        <w:rPr>
          <w:rFonts w:hint="default" w:ascii="Times New Roman" w:hAnsi="Times New Roman" w:eastAsia="仿宋" w:cs="Times New Roman"/>
          <w:color w:val="auto"/>
          <w:sz w:val="36"/>
          <w:szCs w:val="36"/>
          <w:highlight w:val="none"/>
        </w:rPr>
      </w:pPr>
    </w:p>
    <w:p w14:paraId="703DA75C">
      <w:pPr>
        <w:spacing w:line="360" w:lineRule="auto"/>
        <w:jc w:val="center"/>
        <w:rPr>
          <w:rFonts w:hint="default" w:ascii="Times New Roman" w:hAnsi="Times New Roman" w:eastAsia="楷体" w:cs="Times New Roman"/>
          <w:color w:val="auto"/>
          <w:sz w:val="36"/>
          <w:szCs w:val="36"/>
          <w:highlight w:val="none"/>
        </w:rPr>
      </w:pPr>
      <w:r>
        <w:rPr>
          <w:rFonts w:hint="default" w:ascii="Times New Roman" w:hAnsi="Times New Roman" w:eastAsia="楷体" w:cs="Times New Roman"/>
          <w:color w:val="auto"/>
          <w:sz w:val="36"/>
          <w:szCs w:val="36"/>
          <w:highlight w:val="none"/>
        </w:rPr>
        <w:t>中华人民共和国生态环境部制</w:t>
      </w:r>
    </w:p>
    <w:p w14:paraId="4EFD16D0">
      <w:pPr>
        <w:spacing w:line="360" w:lineRule="auto"/>
        <w:rPr>
          <w:rFonts w:hint="default" w:ascii="Times New Roman" w:hAnsi="Times New Roman" w:cs="Times New Roman"/>
          <w:color w:val="auto"/>
          <w:sz w:val="28"/>
          <w:szCs w:val="28"/>
          <w:highlight w:val="none"/>
        </w:rPr>
      </w:pPr>
    </w:p>
    <w:p w14:paraId="0BEB6AB0">
      <w:pPr>
        <w:spacing w:line="360" w:lineRule="auto"/>
        <w:rPr>
          <w:rFonts w:hint="default" w:ascii="Times New Roman" w:hAnsi="Times New Roman" w:cs="Times New Roman"/>
          <w:b/>
          <w:color w:val="auto"/>
          <w:sz w:val="28"/>
          <w:szCs w:val="28"/>
          <w:highlight w:val="none"/>
        </w:rPr>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pPr>
    </w:p>
    <w:p w14:paraId="2AD2F616">
      <w:pPr>
        <w:pStyle w:val="11"/>
        <w:spacing w:after="0" w:line="360" w:lineRule="auto"/>
        <w:jc w:val="center"/>
        <w:outlineLvl w:val="0"/>
        <w:rPr>
          <w:rFonts w:eastAsia="黑体"/>
          <w:color w:val="auto"/>
          <w:sz w:val="30"/>
          <w:szCs w:val="30"/>
          <w:highlight w:val="none"/>
        </w:rPr>
      </w:pPr>
      <w:r>
        <w:rPr>
          <w:rFonts w:eastAsia="黑体"/>
          <w:color w:val="auto"/>
          <w:sz w:val="30"/>
          <w:szCs w:val="30"/>
          <w:highlight w:val="none"/>
        </w:rPr>
        <w:t>一、建设项目基本情况</w:t>
      </w:r>
    </w:p>
    <w:tbl>
      <w:tblPr>
        <w:tblStyle w:val="24"/>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821"/>
        <w:gridCol w:w="2114"/>
        <w:gridCol w:w="2145"/>
        <w:gridCol w:w="3092"/>
      </w:tblGrid>
      <w:tr w14:paraId="1A54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30" w:type="pct"/>
            <w:gridSpan w:val="2"/>
            <w:vAlign w:val="center"/>
          </w:tcPr>
          <w:p w14:paraId="2DCAC79B">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建设项目名称</w:t>
            </w:r>
          </w:p>
        </w:tc>
        <w:tc>
          <w:tcPr>
            <w:tcW w:w="3769" w:type="pct"/>
            <w:gridSpan w:val="3"/>
            <w:vAlign w:val="center"/>
          </w:tcPr>
          <w:p w14:paraId="3D03606A">
            <w:pPr>
              <w:pStyle w:val="11"/>
              <w:keepNext w:val="0"/>
              <w:keepLines w:val="0"/>
              <w:suppressLineNumbers w:val="0"/>
              <w:spacing w:before="0" w:beforeAutospacing="0" w:after="0" w:afterAutospacing="0" w:line="360" w:lineRule="auto"/>
              <w:ind w:left="0" w:right="0"/>
              <w:jc w:val="center"/>
              <w:rPr>
                <w:rFonts w:hint="default"/>
                <w:color w:val="auto"/>
                <w:sz w:val="24"/>
                <w:szCs w:val="36"/>
                <w:highlight w:val="none"/>
              </w:rPr>
            </w:pPr>
            <w:r>
              <w:rPr>
                <w:rFonts w:hint="default"/>
                <w:color w:val="auto"/>
                <w:sz w:val="24"/>
                <w:szCs w:val="36"/>
                <w:highlight w:val="none"/>
              </w:rPr>
              <w:t>通川东岳收费站出口（北）加油加气站项目</w:t>
            </w:r>
          </w:p>
        </w:tc>
      </w:tr>
      <w:tr w14:paraId="6B2D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30" w:type="pct"/>
            <w:gridSpan w:val="2"/>
            <w:vAlign w:val="center"/>
          </w:tcPr>
          <w:p w14:paraId="52952E5C">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项目代码</w:t>
            </w:r>
          </w:p>
        </w:tc>
        <w:tc>
          <w:tcPr>
            <w:tcW w:w="3769" w:type="pct"/>
            <w:gridSpan w:val="3"/>
            <w:vAlign w:val="center"/>
          </w:tcPr>
          <w:p w14:paraId="194DB321">
            <w:pPr>
              <w:pStyle w:val="11"/>
              <w:keepNext w:val="0"/>
              <w:keepLines w:val="0"/>
              <w:suppressLineNumbers w:val="0"/>
              <w:spacing w:before="0" w:beforeAutospacing="0" w:after="0" w:afterAutospacing="0" w:line="360" w:lineRule="auto"/>
              <w:ind w:left="0" w:right="0"/>
              <w:jc w:val="center"/>
              <w:rPr>
                <w:rFonts w:hint="eastAsia" w:eastAsia="宋体"/>
                <w:color w:val="auto"/>
                <w:sz w:val="24"/>
                <w:szCs w:val="36"/>
                <w:highlight w:val="none"/>
                <w:lang w:eastAsia="zh-CN"/>
              </w:rPr>
            </w:pPr>
            <w:r>
              <w:rPr>
                <w:rFonts w:hint="eastAsia"/>
                <w:b w:val="0"/>
                <w:bCs w:val="0"/>
                <w:color w:val="auto"/>
                <w:sz w:val="24"/>
                <w:highlight w:val="none"/>
                <w:lang w:val="en-US" w:eastAsia="zh-CN"/>
              </w:rPr>
              <w:t>2407-511702-04-01-441657</w:t>
            </w:r>
          </w:p>
        </w:tc>
      </w:tr>
      <w:tr w14:paraId="4DEA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0" w:type="pct"/>
            <w:gridSpan w:val="2"/>
            <w:vAlign w:val="center"/>
          </w:tcPr>
          <w:p w14:paraId="1C2A21D2">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建设单位联系人</w:t>
            </w:r>
          </w:p>
        </w:tc>
        <w:tc>
          <w:tcPr>
            <w:tcW w:w="1084" w:type="pct"/>
            <w:vAlign w:val="center"/>
          </w:tcPr>
          <w:p w14:paraId="33D7A1EB">
            <w:pPr>
              <w:keepNext w:val="0"/>
              <w:keepLines w:val="0"/>
              <w:suppressLineNumbers w:val="0"/>
              <w:spacing w:before="0" w:beforeAutospacing="0" w:after="0" w:afterAutospacing="0" w:line="360" w:lineRule="auto"/>
              <w:ind w:left="0" w:right="0"/>
              <w:jc w:val="center"/>
              <w:rPr>
                <w:rFonts w:hint="default" w:eastAsia="宋体"/>
                <w:color w:val="auto"/>
                <w:kern w:val="0"/>
                <w:sz w:val="24"/>
                <w:szCs w:val="24"/>
                <w:highlight w:val="none"/>
                <w:lang w:val="en-US" w:eastAsia="zh-CN"/>
              </w:rPr>
            </w:pPr>
            <w:r>
              <w:rPr>
                <w:rFonts w:hint="eastAsia"/>
                <w:color w:val="auto"/>
                <w:kern w:val="0"/>
                <w:sz w:val="24"/>
                <w:szCs w:val="24"/>
                <w:highlight w:val="none"/>
                <w:lang w:val="en-US" w:eastAsia="zh-CN"/>
              </w:rPr>
              <w:t>王*平</w:t>
            </w:r>
          </w:p>
        </w:tc>
        <w:tc>
          <w:tcPr>
            <w:tcW w:w="1100" w:type="pct"/>
            <w:vAlign w:val="center"/>
          </w:tcPr>
          <w:p w14:paraId="6540706E">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联系方式</w:t>
            </w:r>
          </w:p>
        </w:tc>
        <w:tc>
          <w:tcPr>
            <w:tcW w:w="1585" w:type="pct"/>
            <w:vAlign w:val="center"/>
          </w:tcPr>
          <w:p w14:paraId="0F094155">
            <w:pPr>
              <w:keepNext w:val="0"/>
              <w:keepLines w:val="0"/>
              <w:suppressLineNumbers w:val="0"/>
              <w:spacing w:before="0" w:beforeAutospacing="0" w:after="0" w:afterAutospacing="0" w:line="360" w:lineRule="auto"/>
              <w:ind w:left="0" w:right="0"/>
              <w:jc w:val="center"/>
              <w:rPr>
                <w:rFonts w:hint="default" w:eastAsia="宋体"/>
                <w:color w:val="auto"/>
                <w:kern w:val="0"/>
                <w:sz w:val="24"/>
                <w:szCs w:val="24"/>
                <w:highlight w:val="none"/>
                <w:lang w:val="en-US" w:eastAsia="zh-CN"/>
              </w:rPr>
            </w:pPr>
            <w:r>
              <w:rPr>
                <w:rFonts w:hint="eastAsia"/>
                <w:b w:val="0"/>
                <w:bCs w:val="0"/>
                <w:color w:val="auto"/>
                <w:sz w:val="24"/>
                <w:highlight w:val="none"/>
              </w:rPr>
              <w:t>182</w:t>
            </w:r>
            <w:r>
              <w:rPr>
                <w:rFonts w:hint="eastAsia"/>
                <w:b w:val="0"/>
                <w:bCs w:val="0"/>
                <w:color w:val="auto"/>
                <w:sz w:val="24"/>
                <w:highlight w:val="none"/>
                <w:lang w:val="en-US" w:eastAsia="zh-CN"/>
              </w:rPr>
              <w:t>****</w:t>
            </w:r>
            <w:r>
              <w:rPr>
                <w:rFonts w:hint="eastAsia"/>
                <w:b w:val="0"/>
                <w:bCs w:val="0"/>
                <w:color w:val="auto"/>
                <w:sz w:val="24"/>
                <w:highlight w:val="none"/>
              </w:rPr>
              <w:t>6773</w:t>
            </w:r>
          </w:p>
        </w:tc>
      </w:tr>
      <w:tr w14:paraId="1973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0" w:type="pct"/>
            <w:gridSpan w:val="2"/>
            <w:vAlign w:val="center"/>
          </w:tcPr>
          <w:p w14:paraId="6E91C9AE">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建设地点</w:t>
            </w:r>
          </w:p>
        </w:tc>
        <w:tc>
          <w:tcPr>
            <w:tcW w:w="3769" w:type="pct"/>
            <w:gridSpan w:val="3"/>
            <w:vAlign w:val="center"/>
          </w:tcPr>
          <w:p w14:paraId="0F1231BD">
            <w:pPr>
              <w:keepNext w:val="0"/>
              <w:keepLines w:val="0"/>
              <w:suppressLineNumbers w:val="0"/>
              <w:spacing w:before="0" w:beforeAutospacing="0" w:after="0" w:afterAutospacing="0" w:line="360" w:lineRule="auto"/>
              <w:ind w:left="0" w:right="0"/>
              <w:jc w:val="center"/>
              <w:rPr>
                <w:rFonts w:hint="default" w:eastAsia="宋体"/>
                <w:color w:val="auto"/>
                <w:kern w:val="0"/>
                <w:sz w:val="24"/>
                <w:szCs w:val="24"/>
                <w:highlight w:val="none"/>
                <w:lang w:val="en-US" w:eastAsia="zh-CN"/>
              </w:rPr>
            </w:pPr>
            <w:r>
              <w:rPr>
                <w:rFonts w:hint="default" w:eastAsia="宋体" w:cs="Times New Roman"/>
                <w:color w:val="auto"/>
                <w:sz w:val="24"/>
                <w:szCs w:val="24"/>
                <w:highlight w:val="none"/>
                <w:lang w:val="en-US" w:eastAsia="zh-CN"/>
              </w:rPr>
              <w:t>四川省达州市</w:t>
            </w:r>
            <w:r>
              <w:rPr>
                <w:rFonts w:hint="eastAsia" w:eastAsia="宋体" w:cs="Times New Roman"/>
                <w:color w:val="auto"/>
                <w:sz w:val="24"/>
                <w:szCs w:val="24"/>
                <w:highlight w:val="none"/>
                <w:lang w:val="en-US" w:eastAsia="zh-CN"/>
              </w:rPr>
              <w:t>通川区东岳收费站出口</w:t>
            </w:r>
          </w:p>
        </w:tc>
      </w:tr>
      <w:tr w14:paraId="12BB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14:paraId="41C68A01">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地理坐标</w:t>
            </w:r>
          </w:p>
        </w:tc>
        <w:tc>
          <w:tcPr>
            <w:tcW w:w="3769" w:type="pct"/>
            <w:gridSpan w:val="3"/>
            <w:vAlign w:val="center"/>
          </w:tcPr>
          <w:p w14:paraId="31A6D369">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ascii="Times New Roman" w:hAnsi="Times New Roman" w:cs="Times New Roman"/>
                <w:color w:val="auto"/>
                <w:sz w:val="24"/>
                <w:szCs w:val="24"/>
                <w:highlight w:val="none"/>
              </w:rPr>
              <w:t>107°30′18.14</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31°20′32.52</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tc>
      </w:tr>
      <w:tr w14:paraId="27C8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14:paraId="7642851F">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国民经济行业类别</w:t>
            </w:r>
          </w:p>
        </w:tc>
        <w:tc>
          <w:tcPr>
            <w:tcW w:w="2114" w:type="dxa"/>
            <w:vAlign w:val="center"/>
          </w:tcPr>
          <w:p w14:paraId="6143E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F5265机动车燃油零售</w:t>
            </w:r>
          </w:p>
          <w:p w14:paraId="2AC4C7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eastAsia="宋体"/>
                <w:color w:val="auto"/>
                <w:kern w:val="0"/>
                <w:sz w:val="24"/>
                <w:szCs w:val="24"/>
                <w:highlight w:val="none"/>
                <w:lang w:eastAsia="zh-CN"/>
              </w:rPr>
            </w:pPr>
            <w:r>
              <w:rPr>
                <w:rFonts w:hint="default" w:ascii="Times New Roman" w:hAnsi="Times New Roman" w:eastAsia="宋体" w:cs="Times New Roman"/>
                <w:color w:val="auto"/>
                <w:sz w:val="24"/>
                <w:szCs w:val="24"/>
                <w:highlight w:val="none"/>
                <w:lang w:val="en-US" w:eastAsia="zh-CN"/>
              </w:rPr>
              <w:t>F5266机动</w:t>
            </w:r>
            <w:bookmarkStart w:id="1" w:name="_GoBack"/>
            <w:bookmarkEnd w:id="1"/>
            <w:r>
              <w:rPr>
                <w:rFonts w:hint="default" w:ascii="Times New Roman" w:hAnsi="Times New Roman" w:eastAsia="宋体" w:cs="Times New Roman"/>
                <w:color w:val="auto"/>
                <w:sz w:val="24"/>
                <w:szCs w:val="24"/>
                <w:highlight w:val="none"/>
                <w:lang w:val="en-US" w:eastAsia="zh-CN"/>
              </w:rPr>
              <w:t>车燃气零售</w:t>
            </w:r>
          </w:p>
        </w:tc>
        <w:tc>
          <w:tcPr>
            <w:tcW w:w="2145" w:type="dxa"/>
            <w:vAlign w:val="center"/>
          </w:tcPr>
          <w:p w14:paraId="14F0DC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23E851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auto"/>
                <w:kern w:val="0"/>
                <w:sz w:val="24"/>
                <w:szCs w:val="24"/>
                <w:highlight w:val="none"/>
              </w:rPr>
            </w:pPr>
            <w:r>
              <w:rPr>
                <w:rFonts w:hint="default" w:ascii="Times New Roman" w:hAnsi="Times New Roman" w:eastAsia="宋体" w:cs="Times New Roman"/>
                <w:color w:val="auto"/>
                <w:sz w:val="24"/>
                <w:szCs w:val="24"/>
                <w:highlight w:val="none"/>
              </w:rPr>
              <w:t>行业类别</w:t>
            </w:r>
          </w:p>
        </w:tc>
        <w:tc>
          <w:tcPr>
            <w:tcW w:w="3090" w:type="dxa"/>
            <w:vAlign w:val="center"/>
          </w:tcPr>
          <w:p w14:paraId="400D4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auto"/>
                <w:kern w:val="0"/>
                <w:sz w:val="24"/>
                <w:szCs w:val="24"/>
                <w:highlight w:val="none"/>
                <w:lang w:val="en-US"/>
              </w:rPr>
            </w:pPr>
            <w:r>
              <w:rPr>
                <w:rFonts w:hint="default"/>
                <w:color w:val="auto"/>
                <w:kern w:val="0"/>
                <w:sz w:val="24"/>
                <w:szCs w:val="24"/>
                <w:highlight w:val="none"/>
                <w:lang w:val="en-US"/>
              </w:rPr>
              <w:t>五十、社会事业与服务业-119加油、加气站-城市建成区新建、扩建加油站；涉及环境敏感区的</w:t>
            </w:r>
          </w:p>
        </w:tc>
      </w:tr>
      <w:tr w14:paraId="241B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14:paraId="6FBAF58E">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建设性质</w:t>
            </w:r>
          </w:p>
        </w:tc>
        <w:tc>
          <w:tcPr>
            <w:tcW w:w="2114" w:type="dxa"/>
            <w:vAlign w:val="center"/>
          </w:tcPr>
          <w:p w14:paraId="4AF155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w:t>
            </w:r>
          </w:p>
          <w:p w14:paraId="0CC743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14:paraId="5356E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14:paraId="72396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kern w:val="0"/>
                <w:sz w:val="24"/>
                <w:szCs w:val="36"/>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2145" w:type="dxa"/>
            <w:vAlign w:val="center"/>
          </w:tcPr>
          <w:p w14:paraId="52DF16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4A2D5D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kern w:val="0"/>
                <w:sz w:val="24"/>
                <w:szCs w:val="36"/>
                <w:highlight w:val="none"/>
              </w:rPr>
            </w:pPr>
            <w:r>
              <w:rPr>
                <w:rFonts w:hint="default" w:ascii="Times New Roman" w:hAnsi="Times New Roman" w:eastAsia="宋体" w:cs="Times New Roman"/>
                <w:color w:val="auto"/>
                <w:sz w:val="24"/>
                <w:szCs w:val="24"/>
                <w:highlight w:val="none"/>
              </w:rPr>
              <w:t>申报情形</w:t>
            </w:r>
          </w:p>
        </w:tc>
        <w:tc>
          <w:tcPr>
            <w:tcW w:w="3090" w:type="dxa"/>
            <w:vAlign w:val="center"/>
          </w:tcPr>
          <w:p w14:paraId="7DF4B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首次申报项目</w:t>
            </w:r>
          </w:p>
          <w:p w14:paraId="13EB4A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14:paraId="14446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超五年重新审核项目</w:t>
            </w:r>
          </w:p>
          <w:p w14:paraId="6C0E55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color w:val="auto"/>
                <w:kern w:val="0"/>
                <w:sz w:val="24"/>
                <w:szCs w:val="36"/>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14:paraId="0497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14:paraId="442A5B3C">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项目审批（核准/备案）部门（选填）</w:t>
            </w:r>
          </w:p>
        </w:tc>
        <w:tc>
          <w:tcPr>
            <w:tcW w:w="1084" w:type="pct"/>
            <w:vAlign w:val="center"/>
          </w:tcPr>
          <w:p w14:paraId="729C9AE1">
            <w:pPr>
              <w:pStyle w:val="11"/>
              <w:keepNext w:val="0"/>
              <w:keepLines w:val="0"/>
              <w:suppressLineNumbers w:val="0"/>
              <w:spacing w:before="0" w:beforeAutospacing="0" w:after="0" w:afterAutospacing="0" w:line="360" w:lineRule="auto"/>
              <w:ind w:left="0" w:right="0"/>
              <w:jc w:val="center"/>
              <w:rPr>
                <w:rFonts w:hint="default" w:eastAsia="宋体"/>
                <w:color w:val="auto"/>
                <w:sz w:val="24"/>
                <w:szCs w:val="36"/>
                <w:highlight w:val="none"/>
                <w:lang w:val="en-US" w:eastAsia="zh-CN"/>
              </w:rPr>
            </w:pPr>
            <w:r>
              <w:rPr>
                <w:rFonts w:hint="eastAsia"/>
                <w:b w:val="0"/>
                <w:bCs w:val="0"/>
                <w:color w:val="auto"/>
                <w:sz w:val="24"/>
                <w:highlight w:val="none"/>
              </w:rPr>
              <w:t>通川区</w:t>
            </w:r>
            <w:r>
              <w:rPr>
                <w:rFonts w:hint="default"/>
                <w:b w:val="0"/>
                <w:bCs w:val="0"/>
                <w:color w:val="auto"/>
                <w:sz w:val="24"/>
                <w:highlight w:val="none"/>
              </w:rPr>
              <w:t>发展和改革局</w:t>
            </w:r>
          </w:p>
        </w:tc>
        <w:tc>
          <w:tcPr>
            <w:tcW w:w="1100" w:type="pct"/>
            <w:vAlign w:val="center"/>
          </w:tcPr>
          <w:p w14:paraId="0AA8AE45">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项目审批（核准/</w:t>
            </w:r>
          </w:p>
          <w:p w14:paraId="0AC32BFC">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备案）文号（选填）</w:t>
            </w:r>
          </w:p>
        </w:tc>
        <w:tc>
          <w:tcPr>
            <w:tcW w:w="1585" w:type="pct"/>
            <w:vAlign w:val="center"/>
          </w:tcPr>
          <w:p w14:paraId="16C33AFB">
            <w:pPr>
              <w:keepNext w:val="0"/>
              <w:keepLines w:val="0"/>
              <w:suppressLineNumbers w:val="0"/>
              <w:spacing w:before="0" w:beforeAutospacing="0" w:after="0" w:afterAutospacing="0" w:line="360" w:lineRule="auto"/>
              <w:ind w:left="0" w:right="0"/>
              <w:jc w:val="center"/>
              <w:rPr>
                <w:rFonts w:hint="eastAsia" w:eastAsia="宋体"/>
                <w:color w:val="auto"/>
                <w:kern w:val="0"/>
                <w:sz w:val="24"/>
                <w:szCs w:val="24"/>
                <w:highlight w:val="none"/>
                <w:lang w:eastAsia="zh-CN"/>
              </w:rPr>
            </w:pPr>
            <w:r>
              <w:rPr>
                <w:rFonts w:hint="eastAsia"/>
                <w:color w:val="auto"/>
                <w:kern w:val="0"/>
                <w:sz w:val="24"/>
                <w:szCs w:val="24"/>
                <w:highlight w:val="none"/>
                <w:lang w:val="en-US" w:eastAsia="zh-CN"/>
              </w:rPr>
              <w:t>/</w:t>
            </w:r>
          </w:p>
        </w:tc>
      </w:tr>
      <w:tr w14:paraId="1FE9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14:paraId="7941FF3B">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总投资（万元）</w:t>
            </w:r>
          </w:p>
        </w:tc>
        <w:tc>
          <w:tcPr>
            <w:tcW w:w="2114" w:type="dxa"/>
            <w:vAlign w:val="center"/>
          </w:tcPr>
          <w:p w14:paraId="3695B9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auto"/>
                <w:sz w:val="24"/>
                <w:szCs w:val="36"/>
                <w:highlight w:val="none"/>
                <w:lang w:val="en-US"/>
              </w:rPr>
            </w:pPr>
            <w:r>
              <w:rPr>
                <w:rFonts w:hint="default"/>
                <w:b w:val="0"/>
                <w:bCs w:val="0"/>
                <w:color w:val="auto"/>
                <w:sz w:val="24"/>
                <w:highlight w:val="none"/>
                <w:lang w:val="en-US" w:eastAsia="zh-CN"/>
              </w:rPr>
              <w:t>16340</w:t>
            </w:r>
          </w:p>
        </w:tc>
        <w:tc>
          <w:tcPr>
            <w:tcW w:w="2145" w:type="dxa"/>
            <w:vAlign w:val="center"/>
          </w:tcPr>
          <w:p w14:paraId="76E95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p>
          <w:p w14:paraId="18906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auto"/>
                <w:kern w:val="0"/>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万元</w:t>
            </w:r>
            <w:r>
              <w:rPr>
                <w:rFonts w:hint="default" w:ascii="Times New Roman" w:hAnsi="Times New Roman" w:eastAsia="宋体" w:cs="Times New Roman"/>
                <w:color w:val="auto"/>
                <w:sz w:val="24"/>
                <w:szCs w:val="24"/>
                <w:highlight w:val="none"/>
                <w:lang w:eastAsia="zh-CN"/>
              </w:rPr>
              <w:t>）</w:t>
            </w:r>
          </w:p>
        </w:tc>
        <w:tc>
          <w:tcPr>
            <w:tcW w:w="3090" w:type="dxa"/>
            <w:vAlign w:val="center"/>
          </w:tcPr>
          <w:p w14:paraId="74CD9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eastAsia="宋体"/>
                <w:color w:val="auto"/>
                <w:sz w:val="24"/>
                <w:szCs w:val="36"/>
                <w:highlight w:val="none"/>
                <w:lang w:val="en-US" w:eastAsia="zh-CN"/>
              </w:rPr>
            </w:pPr>
            <w:r>
              <w:rPr>
                <w:rFonts w:hint="eastAsia"/>
                <w:color w:val="auto"/>
                <w:sz w:val="24"/>
                <w:szCs w:val="36"/>
                <w:highlight w:val="none"/>
                <w:lang w:val="en-US" w:eastAsia="zh-CN"/>
              </w:rPr>
              <w:t>107.2</w:t>
            </w:r>
          </w:p>
        </w:tc>
      </w:tr>
      <w:tr w14:paraId="49EC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14:paraId="711819A8">
            <w:pPr>
              <w:keepNext w:val="0"/>
              <w:keepLines w:val="0"/>
              <w:suppressLineNumbers w:val="0"/>
              <w:spacing w:before="0" w:beforeAutospacing="0" w:after="0" w:afterAutospacing="0" w:line="360" w:lineRule="auto"/>
              <w:ind w:left="0" w:right="0"/>
              <w:rPr>
                <w:rFonts w:hint="default"/>
                <w:color w:val="auto"/>
                <w:kern w:val="0"/>
                <w:sz w:val="24"/>
                <w:szCs w:val="24"/>
                <w:highlight w:val="none"/>
              </w:rPr>
            </w:pPr>
            <w:r>
              <w:rPr>
                <w:rFonts w:hint="default"/>
                <w:color w:val="auto"/>
                <w:kern w:val="0"/>
                <w:sz w:val="24"/>
                <w:szCs w:val="24"/>
                <w:highlight w:val="none"/>
              </w:rPr>
              <w:t>环保投资占比（%）</w:t>
            </w:r>
          </w:p>
        </w:tc>
        <w:tc>
          <w:tcPr>
            <w:tcW w:w="2114" w:type="dxa"/>
            <w:vAlign w:val="center"/>
          </w:tcPr>
          <w:p w14:paraId="412EB0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eastAsia="宋体"/>
                <w:color w:val="auto"/>
                <w:sz w:val="24"/>
                <w:szCs w:val="36"/>
                <w:highlight w:val="none"/>
                <w:lang w:val="en-US" w:eastAsia="zh-CN"/>
              </w:rPr>
            </w:pPr>
            <w:r>
              <w:rPr>
                <w:rFonts w:hint="eastAsia" w:cs="Times New Roman"/>
                <w:color w:val="auto"/>
                <w:sz w:val="24"/>
                <w:highlight w:val="none"/>
                <w:lang w:val="en-US" w:eastAsia="zh-CN"/>
              </w:rPr>
              <w:t>0.66</w:t>
            </w:r>
          </w:p>
        </w:tc>
        <w:tc>
          <w:tcPr>
            <w:tcW w:w="2145" w:type="dxa"/>
            <w:vAlign w:val="center"/>
          </w:tcPr>
          <w:p w14:paraId="2C369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auto"/>
                <w:kern w:val="0"/>
                <w:sz w:val="24"/>
                <w:szCs w:val="24"/>
                <w:highlight w:val="none"/>
              </w:rPr>
            </w:pPr>
            <w:r>
              <w:rPr>
                <w:rFonts w:hint="default" w:ascii="Times New Roman" w:hAnsi="Times New Roman" w:eastAsia="宋体" w:cs="Times New Roman"/>
                <w:color w:val="auto"/>
                <w:sz w:val="24"/>
                <w:szCs w:val="24"/>
                <w:highlight w:val="none"/>
              </w:rPr>
              <w:t>施工工期</w:t>
            </w:r>
          </w:p>
        </w:tc>
        <w:tc>
          <w:tcPr>
            <w:tcW w:w="3090" w:type="dxa"/>
            <w:vAlign w:val="center"/>
          </w:tcPr>
          <w:p w14:paraId="2EB00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auto"/>
                <w:sz w:val="24"/>
                <w:szCs w:val="36"/>
                <w:highlight w:val="none"/>
              </w:rPr>
            </w:pPr>
            <w:r>
              <w:rPr>
                <w:rFonts w:hint="eastAsia" w:cs="Times New Roman"/>
                <w:color w:val="auto"/>
                <w:sz w:val="24"/>
                <w:szCs w:val="24"/>
                <w:highlight w:val="none"/>
                <w:lang w:val="en-US" w:eastAsia="zh-CN"/>
              </w:rPr>
              <w:t>14</w:t>
            </w:r>
            <w:r>
              <w:rPr>
                <w:rFonts w:hint="eastAsia" w:eastAsia="宋体" w:cs="Times New Roman"/>
                <w:color w:val="auto"/>
                <w:sz w:val="24"/>
                <w:szCs w:val="24"/>
                <w:highlight w:val="none"/>
                <w:lang w:val="en-US" w:eastAsia="zh-CN"/>
              </w:rPr>
              <w:t>个月</w:t>
            </w:r>
          </w:p>
        </w:tc>
      </w:tr>
      <w:tr w14:paraId="4DD1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14:paraId="60301F32">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是否开工建设</w:t>
            </w:r>
          </w:p>
        </w:tc>
        <w:tc>
          <w:tcPr>
            <w:tcW w:w="2114" w:type="dxa"/>
            <w:vAlign w:val="center"/>
          </w:tcPr>
          <w:p w14:paraId="34288B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14:paraId="3432FC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eastAsia="宋体"/>
                <w:color w:val="auto"/>
                <w:sz w:val="24"/>
                <w:szCs w:val="36"/>
                <w:highlight w:val="none"/>
                <w:lang w:val="en-US" w:eastAsia="zh-CN"/>
              </w:rPr>
            </w:pPr>
            <w:r>
              <w:rPr>
                <w:rFonts w:hint="default" w:ascii="Times New Roman" w:hAnsi="Times New Roman" w:eastAsia="宋体" w:cs="Times New Roman"/>
                <w:color w:val="auto"/>
                <w:sz w:val="24"/>
                <w:szCs w:val="24"/>
                <w:highlight w:val="none"/>
                <w:lang w:eastAsia="zh-CN"/>
              </w:rPr>
              <w:sym w:font="Wingdings 2" w:char="00A3"/>
            </w:r>
            <w:r>
              <w:rPr>
                <w:rFonts w:hint="default" w:ascii="Times New Roman" w:hAnsi="Times New Roman" w:eastAsia="宋体" w:cs="Times New Roman"/>
                <w:color w:val="auto"/>
                <w:sz w:val="24"/>
                <w:szCs w:val="24"/>
                <w:highlight w:val="none"/>
              </w:rPr>
              <w:t>是：</w:t>
            </w:r>
            <w:r>
              <w:rPr>
                <w:rFonts w:hint="default" w:cs="Times New Roman"/>
                <w:color w:val="auto"/>
                <w:sz w:val="24"/>
                <w:szCs w:val="24"/>
                <w:highlight w:val="none"/>
                <w:u w:val="single"/>
              </w:rPr>
              <w:t xml:space="preserve">       </w:t>
            </w:r>
          </w:p>
        </w:tc>
        <w:tc>
          <w:tcPr>
            <w:tcW w:w="2145" w:type="dxa"/>
            <w:vAlign w:val="center"/>
          </w:tcPr>
          <w:p w14:paraId="3E44F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用地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用海</w:t>
            </w:r>
            <w:r>
              <w:rPr>
                <w:rFonts w:hint="default" w:ascii="Times New Roman" w:hAnsi="Times New Roman" w:eastAsia="宋体" w:cs="Times New Roman"/>
                <w:color w:val="auto"/>
                <w:sz w:val="24"/>
                <w:szCs w:val="24"/>
                <w:highlight w:val="none"/>
                <w:lang w:eastAsia="zh-CN"/>
              </w:rPr>
              <w:t>）</w:t>
            </w:r>
          </w:p>
          <w:p w14:paraId="4D06F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auto"/>
                <w:kern w:val="0"/>
                <w:sz w:val="24"/>
                <w:szCs w:val="24"/>
                <w:highlight w:val="none"/>
              </w:rPr>
            </w:pPr>
            <w:r>
              <w:rPr>
                <w:rFonts w:hint="default" w:ascii="Times New Roman" w:hAnsi="Times New Roman" w:eastAsia="宋体" w:cs="Times New Roman"/>
                <w:color w:val="auto"/>
                <w:sz w:val="24"/>
                <w:szCs w:val="24"/>
                <w:highlight w:val="none"/>
              </w:rPr>
              <w:t>面积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lang w:eastAsia="zh-CN"/>
              </w:rPr>
              <w:t>）</w:t>
            </w:r>
          </w:p>
        </w:tc>
        <w:tc>
          <w:tcPr>
            <w:tcW w:w="3090" w:type="dxa"/>
            <w:vAlign w:val="center"/>
          </w:tcPr>
          <w:p w14:paraId="127633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color w:val="auto"/>
                <w:sz w:val="24"/>
                <w:szCs w:val="36"/>
                <w:highlight w:val="none"/>
                <w:lang w:val="en-US"/>
              </w:rPr>
            </w:pPr>
            <w:r>
              <w:rPr>
                <w:rFonts w:hint="eastAsia" w:cs="Times New Roman"/>
                <w:color w:val="auto"/>
                <w:sz w:val="24"/>
                <w:szCs w:val="24"/>
                <w:highlight w:val="none"/>
                <w:lang w:val="en-US" w:eastAsia="zh-CN"/>
              </w:rPr>
              <w:t>12009.27</w:t>
            </w:r>
          </w:p>
        </w:tc>
      </w:tr>
      <w:tr w14:paraId="2C28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14:paraId="1EE35311">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专项评价设置情况</w:t>
            </w:r>
          </w:p>
        </w:tc>
        <w:tc>
          <w:tcPr>
            <w:tcW w:w="3769" w:type="pct"/>
            <w:gridSpan w:val="3"/>
          </w:tcPr>
          <w:p w14:paraId="70162236">
            <w:pPr>
              <w:pStyle w:val="11"/>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黑体" w:cs="Times New Roman"/>
                <w:b/>
                <w:bCs/>
                <w:color w:val="auto"/>
                <w:kern w:val="0"/>
                <w:sz w:val="20"/>
                <w:szCs w:val="20"/>
                <w:highlight w:val="none"/>
                <w:lang w:val="en-US" w:eastAsia="zh-CN" w:bidi="ar-SA"/>
              </w:rPr>
            </w:pPr>
            <w:r>
              <w:rPr>
                <w:rFonts w:hint="eastAsia"/>
                <w:color w:val="auto"/>
                <w:sz w:val="24"/>
                <w:szCs w:val="36"/>
                <w:highlight w:val="none"/>
              </w:rPr>
              <w:t>本项目专项评价设置情况见下表。</w:t>
            </w:r>
          </w:p>
          <w:p w14:paraId="5918CC2A">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表1-1 本项目专项评价设置情况</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3061"/>
              <w:gridCol w:w="2247"/>
              <w:gridCol w:w="679"/>
            </w:tblGrid>
            <w:tr w14:paraId="7AEC9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96" w:type="dxa"/>
                  <w:tcBorders>
                    <w:tl2br w:val="nil"/>
                    <w:tr2bl w:val="nil"/>
                  </w:tcBorders>
                  <w:vAlign w:val="center"/>
                </w:tcPr>
                <w:p w14:paraId="1C708A82">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eastAsia"/>
                      <w:b/>
                      <w:bCs/>
                      <w:color w:val="auto"/>
                      <w:sz w:val="21"/>
                      <w:szCs w:val="21"/>
                      <w:highlight w:val="none"/>
                    </w:rPr>
                    <w:t>专项</w:t>
                  </w:r>
                  <w:r>
                    <w:rPr>
                      <w:rFonts w:hint="default"/>
                      <w:b/>
                      <w:bCs/>
                      <w:color w:val="auto"/>
                      <w:sz w:val="21"/>
                      <w:szCs w:val="21"/>
                      <w:highlight w:val="none"/>
                    </w:rPr>
                    <w:t>评价的类别</w:t>
                  </w:r>
                </w:p>
              </w:tc>
              <w:tc>
                <w:tcPr>
                  <w:tcW w:w="3210" w:type="dxa"/>
                  <w:tcBorders>
                    <w:tl2br w:val="nil"/>
                    <w:tr2bl w:val="nil"/>
                  </w:tcBorders>
                  <w:vAlign w:val="center"/>
                </w:tcPr>
                <w:p w14:paraId="6D83FE91">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eastAsia"/>
                      <w:b/>
                      <w:bCs/>
                      <w:color w:val="auto"/>
                      <w:sz w:val="21"/>
                      <w:szCs w:val="21"/>
                      <w:highlight w:val="none"/>
                    </w:rPr>
                    <w:t>设置原则</w:t>
                  </w:r>
                </w:p>
              </w:tc>
              <w:tc>
                <w:tcPr>
                  <w:tcW w:w="2355" w:type="dxa"/>
                  <w:tcBorders>
                    <w:tl2br w:val="nil"/>
                    <w:tr2bl w:val="nil"/>
                  </w:tcBorders>
                  <w:vAlign w:val="center"/>
                </w:tcPr>
                <w:p w14:paraId="25223979">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eastAsia"/>
                      <w:b/>
                      <w:bCs/>
                      <w:color w:val="auto"/>
                      <w:sz w:val="21"/>
                      <w:szCs w:val="21"/>
                      <w:highlight w:val="none"/>
                    </w:rPr>
                    <w:t>本项目</w:t>
                  </w:r>
                </w:p>
              </w:tc>
              <w:tc>
                <w:tcPr>
                  <w:tcW w:w="696" w:type="dxa"/>
                  <w:tcBorders>
                    <w:tl2br w:val="nil"/>
                    <w:tr2bl w:val="nil"/>
                  </w:tcBorders>
                  <w:vAlign w:val="center"/>
                </w:tcPr>
                <w:p w14:paraId="5A9160F3">
                  <w:pPr>
                    <w:keepNext w:val="0"/>
                    <w:keepLines w:val="0"/>
                    <w:suppressLineNumbers w:val="0"/>
                    <w:spacing w:before="0" w:beforeAutospacing="0" w:after="0" w:afterAutospacing="0"/>
                    <w:ind w:left="0" w:right="0"/>
                    <w:jc w:val="cente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是否设置</w:t>
                  </w:r>
                </w:p>
              </w:tc>
            </w:tr>
            <w:tr w14:paraId="11D9D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196" w:type="dxa"/>
                  <w:tcBorders>
                    <w:tl2br w:val="nil"/>
                    <w:tr2bl w:val="nil"/>
                  </w:tcBorders>
                  <w:vAlign w:val="center"/>
                </w:tcPr>
                <w:p w14:paraId="443A8CC0">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大气</w:t>
                  </w:r>
                </w:p>
              </w:tc>
              <w:tc>
                <w:tcPr>
                  <w:tcW w:w="3210" w:type="dxa"/>
                  <w:tcBorders>
                    <w:tl2br w:val="nil"/>
                    <w:tr2bl w:val="nil"/>
                  </w:tcBorders>
                  <w:vAlign w:val="center"/>
                </w:tcPr>
                <w:p w14:paraId="2C1CE96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排放</w:t>
                  </w:r>
                  <w:r>
                    <w:rPr>
                      <w:rFonts w:hint="default"/>
                      <w:color w:val="auto"/>
                      <w:sz w:val="21"/>
                      <w:szCs w:val="21"/>
                      <w:highlight w:val="none"/>
                    </w:rPr>
                    <w:t>废气含</w:t>
                  </w:r>
                  <w:r>
                    <w:rPr>
                      <w:rFonts w:hint="eastAsia"/>
                      <w:color w:val="auto"/>
                      <w:sz w:val="21"/>
                      <w:szCs w:val="21"/>
                      <w:highlight w:val="none"/>
                    </w:rPr>
                    <w:t>有毒有害</w:t>
                  </w:r>
                  <w:r>
                    <w:rPr>
                      <w:rFonts w:hint="default"/>
                      <w:color w:val="auto"/>
                      <w:sz w:val="21"/>
                      <w:szCs w:val="21"/>
                      <w:highlight w:val="none"/>
                    </w:rPr>
                    <w:t>污染物</w:t>
                  </w:r>
                  <w:r>
                    <w:rPr>
                      <w:rFonts w:hint="eastAsia"/>
                      <w:color w:val="auto"/>
                      <w:sz w:val="21"/>
                      <w:szCs w:val="21"/>
                      <w:highlight w:val="none"/>
                      <w:vertAlign w:val="superscript"/>
                    </w:rPr>
                    <w:t>1</w:t>
                  </w:r>
                  <w:r>
                    <w:rPr>
                      <w:rFonts w:hint="default"/>
                      <w:color w:val="auto"/>
                      <w:sz w:val="21"/>
                      <w:szCs w:val="21"/>
                      <w:highlight w:val="none"/>
                    </w:rPr>
                    <w:t>、二噁英、苯并</w:t>
                  </w:r>
                  <w:r>
                    <w:rPr>
                      <w:rFonts w:hint="eastAsia"/>
                      <w:color w:val="auto"/>
                      <w:sz w:val="21"/>
                      <w:szCs w:val="21"/>
                      <w:highlight w:val="none"/>
                    </w:rPr>
                    <w:t>〔</w:t>
                  </w:r>
                  <w:r>
                    <w:rPr>
                      <w:rFonts w:hint="default"/>
                      <w:color w:val="auto"/>
                      <w:sz w:val="21"/>
                      <w:szCs w:val="21"/>
                      <w:highlight w:val="none"/>
                    </w:rPr>
                    <w:t>a</w:t>
                  </w:r>
                  <w:r>
                    <w:rPr>
                      <w:rFonts w:hint="eastAsia"/>
                      <w:color w:val="auto"/>
                      <w:sz w:val="21"/>
                      <w:szCs w:val="21"/>
                      <w:highlight w:val="none"/>
                    </w:rPr>
                    <w:t>〕</w:t>
                  </w:r>
                  <w:r>
                    <w:rPr>
                      <w:rFonts w:hint="default"/>
                      <w:color w:val="auto"/>
                      <w:sz w:val="21"/>
                      <w:szCs w:val="21"/>
                      <w:highlight w:val="none"/>
                    </w:rPr>
                    <w:t>芘</w:t>
                  </w:r>
                  <w:r>
                    <w:rPr>
                      <w:rFonts w:hint="eastAsia"/>
                      <w:color w:val="auto"/>
                      <w:sz w:val="21"/>
                      <w:szCs w:val="21"/>
                      <w:highlight w:val="none"/>
                    </w:rPr>
                    <w:t>、氰化物</w:t>
                  </w:r>
                  <w:r>
                    <w:rPr>
                      <w:rFonts w:hint="default"/>
                      <w:color w:val="auto"/>
                      <w:sz w:val="21"/>
                      <w:szCs w:val="21"/>
                      <w:highlight w:val="none"/>
                    </w:rPr>
                    <w:t>、氯气且厂界外</w:t>
                  </w:r>
                  <w:r>
                    <w:rPr>
                      <w:rFonts w:hint="eastAsia"/>
                      <w:color w:val="auto"/>
                      <w:sz w:val="21"/>
                      <w:szCs w:val="21"/>
                      <w:highlight w:val="none"/>
                    </w:rPr>
                    <w:t>500米</w:t>
                  </w:r>
                  <w:r>
                    <w:rPr>
                      <w:rFonts w:hint="default"/>
                      <w:color w:val="auto"/>
                      <w:sz w:val="21"/>
                      <w:szCs w:val="21"/>
                      <w:highlight w:val="none"/>
                    </w:rPr>
                    <w:t>范围内</w:t>
                  </w:r>
                  <w:r>
                    <w:rPr>
                      <w:rFonts w:hint="eastAsia"/>
                      <w:color w:val="auto"/>
                      <w:sz w:val="21"/>
                      <w:szCs w:val="21"/>
                      <w:highlight w:val="none"/>
                    </w:rPr>
                    <w:t>有</w:t>
                  </w:r>
                  <w:r>
                    <w:rPr>
                      <w:rFonts w:hint="default"/>
                      <w:color w:val="auto"/>
                      <w:sz w:val="21"/>
                      <w:szCs w:val="21"/>
                      <w:highlight w:val="none"/>
                    </w:rPr>
                    <w:t>环境空气保护目标</w:t>
                  </w:r>
                  <w:r>
                    <w:rPr>
                      <w:rFonts w:hint="eastAsia"/>
                      <w:color w:val="auto"/>
                      <w:sz w:val="21"/>
                      <w:szCs w:val="21"/>
                      <w:highlight w:val="none"/>
                      <w:vertAlign w:val="superscript"/>
                    </w:rPr>
                    <w:t>2</w:t>
                  </w:r>
                  <w:r>
                    <w:rPr>
                      <w:rFonts w:hint="default"/>
                      <w:color w:val="auto"/>
                      <w:sz w:val="21"/>
                      <w:szCs w:val="21"/>
                      <w:highlight w:val="none"/>
                    </w:rPr>
                    <w:t>的建设项目</w:t>
                  </w:r>
                </w:p>
              </w:tc>
              <w:tc>
                <w:tcPr>
                  <w:tcW w:w="2355" w:type="dxa"/>
                  <w:tcBorders>
                    <w:tl2br w:val="nil"/>
                    <w:tr2bl w:val="nil"/>
                  </w:tcBorders>
                  <w:vAlign w:val="center"/>
                </w:tcPr>
                <w:p w14:paraId="08C2CE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本项目无上述废气排放</w:t>
                  </w:r>
                </w:p>
              </w:tc>
              <w:tc>
                <w:tcPr>
                  <w:tcW w:w="696" w:type="dxa"/>
                  <w:tcBorders>
                    <w:tl2br w:val="nil"/>
                    <w:tr2bl w:val="nil"/>
                  </w:tcBorders>
                  <w:vAlign w:val="center"/>
                </w:tcPr>
                <w:p w14:paraId="59D2959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4AAA3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1196" w:type="dxa"/>
                  <w:tcBorders>
                    <w:tl2br w:val="nil"/>
                    <w:tr2bl w:val="nil"/>
                  </w:tcBorders>
                  <w:vAlign w:val="center"/>
                </w:tcPr>
                <w:p w14:paraId="568CFE6C">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地表水</w:t>
                  </w:r>
                </w:p>
              </w:tc>
              <w:tc>
                <w:tcPr>
                  <w:tcW w:w="3210" w:type="dxa"/>
                  <w:tcBorders>
                    <w:tl2br w:val="nil"/>
                    <w:tr2bl w:val="nil"/>
                  </w:tcBorders>
                  <w:vAlign w:val="center"/>
                </w:tcPr>
                <w:p w14:paraId="26D3597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新增工业</w:t>
                  </w:r>
                  <w:r>
                    <w:rPr>
                      <w:rFonts w:hint="default"/>
                      <w:color w:val="auto"/>
                      <w:sz w:val="21"/>
                      <w:szCs w:val="21"/>
                      <w:highlight w:val="none"/>
                    </w:rPr>
                    <w:t>废水直</w:t>
                  </w:r>
                  <w:r>
                    <w:rPr>
                      <w:rFonts w:hint="eastAsia"/>
                      <w:color w:val="auto"/>
                      <w:sz w:val="21"/>
                      <w:szCs w:val="21"/>
                      <w:highlight w:val="none"/>
                    </w:rPr>
                    <w:t>排</w:t>
                  </w:r>
                  <w:r>
                    <w:rPr>
                      <w:rFonts w:hint="default"/>
                      <w:color w:val="auto"/>
                      <w:sz w:val="21"/>
                      <w:szCs w:val="21"/>
                      <w:highlight w:val="none"/>
                    </w:rPr>
                    <w:t>建设项目（</w:t>
                  </w:r>
                  <w:r>
                    <w:rPr>
                      <w:rFonts w:hint="eastAsia"/>
                      <w:color w:val="auto"/>
                      <w:sz w:val="21"/>
                      <w:szCs w:val="21"/>
                      <w:highlight w:val="none"/>
                    </w:rPr>
                    <w:t>槽罐车</w:t>
                  </w:r>
                  <w:r>
                    <w:rPr>
                      <w:rFonts w:hint="default"/>
                      <w:color w:val="auto"/>
                      <w:sz w:val="21"/>
                      <w:szCs w:val="21"/>
                      <w:highlight w:val="none"/>
                    </w:rPr>
                    <w:t>外送污水处理厂的除外）</w:t>
                  </w:r>
                  <w:r>
                    <w:rPr>
                      <w:rFonts w:hint="eastAsia"/>
                      <w:color w:val="auto"/>
                      <w:sz w:val="21"/>
                      <w:szCs w:val="21"/>
                      <w:highlight w:val="none"/>
                    </w:rPr>
                    <w:t>；</w:t>
                  </w:r>
                  <w:r>
                    <w:rPr>
                      <w:rFonts w:hint="default"/>
                      <w:color w:val="auto"/>
                      <w:sz w:val="21"/>
                      <w:szCs w:val="21"/>
                      <w:highlight w:val="none"/>
                    </w:rPr>
                    <w:t>新增废水直排的污水集中处理厂</w:t>
                  </w:r>
                </w:p>
              </w:tc>
              <w:tc>
                <w:tcPr>
                  <w:tcW w:w="2355" w:type="dxa"/>
                  <w:tcBorders>
                    <w:tl2br w:val="nil"/>
                    <w:tr2bl w:val="nil"/>
                  </w:tcBorders>
                  <w:vAlign w:val="center"/>
                </w:tcPr>
                <w:p w14:paraId="4C035C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本项目未新增工业废水直排</w:t>
                  </w:r>
                </w:p>
              </w:tc>
              <w:tc>
                <w:tcPr>
                  <w:tcW w:w="696" w:type="dxa"/>
                  <w:tcBorders>
                    <w:tl2br w:val="nil"/>
                    <w:tr2bl w:val="nil"/>
                  </w:tcBorders>
                  <w:vAlign w:val="center"/>
                </w:tcPr>
                <w:p w14:paraId="5638F8E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否</w:t>
                  </w:r>
                </w:p>
              </w:tc>
            </w:tr>
            <w:tr w14:paraId="19D1D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196" w:type="dxa"/>
                  <w:tcBorders>
                    <w:tl2br w:val="nil"/>
                    <w:tr2bl w:val="nil"/>
                  </w:tcBorders>
                  <w:vAlign w:val="center"/>
                </w:tcPr>
                <w:p w14:paraId="2397B5B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环境</w:t>
                  </w:r>
                  <w:r>
                    <w:rPr>
                      <w:rFonts w:hint="default"/>
                      <w:color w:val="auto"/>
                      <w:sz w:val="21"/>
                      <w:szCs w:val="21"/>
                      <w:highlight w:val="none"/>
                    </w:rPr>
                    <w:t>风险</w:t>
                  </w:r>
                </w:p>
              </w:tc>
              <w:tc>
                <w:tcPr>
                  <w:tcW w:w="3210" w:type="dxa"/>
                  <w:tcBorders>
                    <w:tl2br w:val="nil"/>
                    <w:tr2bl w:val="nil"/>
                  </w:tcBorders>
                  <w:vAlign w:val="center"/>
                </w:tcPr>
                <w:p w14:paraId="5BCC4FB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有毒有害</w:t>
                  </w:r>
                  <w:r>
                    <w:rPr>
                      <w:rFonts w:hint="default"/>
                      <w:color w:val="auto"/>
                      <w:sz w:val="21"/>
                      <w:szCs w:val="21"/>
                      <w:highlight w:val="none"/>
                    </w:rPr>
                    <w:t>和易燃易爆危险物质存储量超过临界值的建设项目</w:t>
                  </w:r>
                </w:p>
              </w:tc>
              <w:tc>
                <w:tcPr>
                  <w:tcW w:w="2355" w:type="dxa"/>
                  <w:tcBorders>
                    <w:tl2br w:val="nil"/>
                    <w:tr2bl w:val="nil"/>
                  </w:tcBorders>
                  <w:vAlign w:val="center"/>
                </w:tcPr>
                <w:p w14:paraId="4A42DB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本项目汽油、柴油存储量未超过临界值，LNG存储量超过临界值</w:t>
                  </w:r>
                </w:p>
              </w:tc>
              <w:tc>
                <w:tcPr>
                  <w:tcW w:w="696" w:type="dxa"/>
                  <w:tcBorders>
                    <w:tl2br w:val="nil"/>
                    <w:tr2bl w:val="nil"/>
                  </w:tcBorders>
                  <w:vAlign w:val="center"/>
                </w:tcPr>
                <w:p w14:paraId="0128D0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是</w:t>
                  </w:r>
                </w:p>
              </w:tc>
            </w:tr>
            <w:tr w14:paraId="35927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1196" w:type="dxa"/>
                  <w:tcBorders>
                    <w:tl2br w:val="nil"/>
                    <w:tr2bl w:val="nil"/>
                  </w:tcBorders>
                  <w:vAlign w:val="center"/>
                </w:tcPr>
                <w:p w14:paraId="19F7694F">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生态</w:t>
                  </w:r>
                </w:p>
              </w:tc>
              <w:tc>
                <w:tcPr>
                  <w:tcW w:w="3210" w:type="dxa"/>
                  <w:tcBorders>
                    <w:tl2br w:val="nil"/>
                    <w:tr2bl w:val="nil"/>
                  </w:tcBorders>
                  <w:vAlign w:val="center"/>
                </w:tcPr>
                <w:p w14:paraId="1CC625D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取水口</w:t>
                  </w:r>
                  <w:r>
                    <w:rPr>
                      <w:rFonts w:hint="default"/>
                      <w:color w:val="auto"/>
                      <w:sz w:val="21"/>
                      <w:szCs w:val="21"/>
                      <w:highlight w:val="none"/>
                    </w:rPr>
                    <w:t>下游</w:t>
                  </w:r>
                  <w:r>
                    <w:rPr>
                      <w:rFonts w:hint="eastAsia"/>
                      <w:color w:val="auto"/>
                      <w:sz w:val="21"/>
                      <w:szCs w:val="21"/>
                      <w:highlight w:val="none"/>
                    </w:rPr>
                    <w:t>500米</w:t>
                  </w:r>
                  <w:r>
                    <w:rPr>
                      <w:rFonts w:hint="default"/>
                      <w:color w:val="auto"/>
                      <w:sz w:val="21"/>
                      <w:szCs w:val="21"/>
                      <w:highlight w:val="none"/>
                    </w:rPr>
                    <w:t>范围内有重要水生生物的自然产卵场、索饵场、越冬场和洄游通道的新增河道取水的污染类建设项目</w:t>
                  </w:r>
                </w:p>
              </w:tc>
              <w:tc>
                <w:tcPr>
                  <w:tcW w:w="2355" w:type="dxa"/>
                  <w:tcBorders>
                    <w:tl2br w:val="nil"/>
                    <w:tr2bl w:val="nil"/>
                  </w:tcBorders>
                  <w:vAlign w:val="center"/>
                </w:tcPr>
                <w:p w14:paraId="616FC0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本项目不涉及</w:t>
                  </w:r>
                </w:p>
              </w:tc>
              <w:tc>
                <w:tcPr>
                  <w:tcW w:w="696" w:type="dxa"/>
                  <w:tcBorders>
                    <w:tl2br w:val="nil"/>
                    <w:tr2bl w:val="nil"/>
                  </w:tcBorders>
                  <w:vAlign w:val="center"/>
                </w:tcPr>
                <w:p w14:paraId="4D1CBC0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35A5D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196" w:type="dxa"/>
                  <w:tcBorders>
                    <w:tl2br w:val="nil"/>
                    <w:tr2bl w:val="nil"/>
                  </w:tcBorders>
                  <w:vAlign w:val="center"/>
                </w:tcPr>
                <w:p w14:paraId="42F97DCD">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海洋</w:t>
                  </w:r>
                </w:p>
              </w:tc>
              <w:tc>
                <w:tcPr>
                  <w:tcW w:w="3210" w:type="dxa"/>
                  <w:tcBorders>
                    <w:tl2br w:val="nil"/>
                    <w:tr2bl w:val="nil"/>
                  </w:tcBorders>
                  <w:vAlign w:val="center"/>
                </w:tcPr>
                <w:p w14:paraId="35D2346C">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直接</w:t>
                  </w:r>
                  <w:r>
                    <w:rPr>
                      <w:rFonts w:hint="default"/>
                      <w:color w:val="auto"/>
                      <w:sz w:val="21"/>
                      <w:szCs w:val="21"/>
                      <w:highlight w:val="none"/>
                    </w:rPr>
                    <w:t>向海排放污染物的海洋工程建设项目</w:t>
                  </w:r>
                </w:p>
              </w:tc>
              <w:tc>
                <w:tcPr>
                  <w:tcW w:w="2355" w:type="dxa"/>
                  <w:tcBorders>
                    <w:tl2br w:val="nil"/>
                    <w:tr2bl w:val="nil"/>
                  </w:tcBorders>
                  <w:vAlign w:val="center"/>
                </w:tcPr>
                <w:p w14:paraId="5EF310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本</w:t>
                  </w:r>
                  <w:r>
                    <w:rPr>
                      <w:rFonts w:hint="default" w:ascii="Times New Roman" w:hAnsi="Times New Roman" w:eastAsia="宋体" w:cs="Times New Roman"/>
                      <w:color w:val="auto"/>
                      <w:sz w:val="21"/>
                      <w:szCs w:val="21"/>
                      <w:highlight w:val="none"/>
                    </w:rPr>
                    <w:t>项目不涉及</w:t>
                  </w:r>
                </w:p>
              </w:tc>
              <w:tc>
                <w:tcPr>
                  <w:tcW w:w="696" w:type="dxa"/>
                  <w:tcBorders>
                    <w:tl2br w:val="nil"/>
                    <w:tr2bl w:val="nil"/>
                  </w:tcBorders>
                  <w:vAlign w:val="center"/>
                </w:tcPr>
                <w:p w14:paraId="06889EB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0E21F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7457" w:type="dxa"/>
                  <w:gridSpan w:val="4"/>
                  <w:tcBorders>
                    <w:tl2br w:val="nil"/>
                    <w:tr2bl w:val="nil"/>
                  </w:tcBorders>
                  <w:vAlign w:val="center"/>
                </w:tcPr>
                <w:p w14:paraId="53BB134B">
                  <w:pPr>
                    <w:keepNext w:val="0"/>
                    <w:keepLines w:val="0"/>
                    <w:suppressLineNumbers w:val="0"/>
                    <w:spacing w:before="0" w:beforeAutospacing="0" w:after="0" w:afterAutospacing="0"/>
                    <w:ind w:left="0" w:right="0"/>
                    <w:rPr>
                      <w:rFonts w:hint="default"/>
                      <w:color w:val="auto"/>
                      <w:sz w:val="21"/>
                      <w:szCs w:val="21"/>
                      <w:highlight w:val="none"/>
                    </w:rPr>
                  </w:pPr>
                  <w:r>
                    <w:rPr>
                      <w:rFonts w:hint="eastAsia"/>
                      <w:color w:val="auto"/>
                      <w:sz w:val="21"/>
                      <w:szCs w:val="21"/>
                      <w:highlight w:val="none"/>
                    </w:rPr>
                    <w:t>注</w:t>
                  </w:r>
                  <w:r>
                    <w:rPr>
                      <w:rFonts w:hint="default"/>
                      <w:color w:val="auto"/>
                      <w:sz w:val="21"/>
                      <w:szCs w:val="21"/>
                      <w:highlight w:val="none"/>
                    </w:rPr>
                    <w:t>：</w:t>
                  </w:r>
                </w:p>
                <w:p w14:paraId="2226B6D5">
                  <w:pPr>
                    <w:keepNext w:val="0"/>
                    <w:keepLines w:val="0"/>
                    <w:suppressLineNumbers w:val="0"/>
                    <w:spacing w:before="0" w:beforeAutospacing="0" w:after="0" w:afterAutospacing="0"/>
                    <w:ind w:left="0" w:right="0"/>
                    <w:rPr>
                      <w:rFonts w:hint="default"/>
                      <w:color w:val="auto"/>
                      <w:sz w:val="21"/>
                      <w:szCs w:val="21"/>
                      <w:highlight w:val="none"/>
                    </w:rPr>
                  </w:pPr>
                  <w:r>
                    <w:rPr>
                      <w:rFonts w:hint="eastAsia"/>
                      <w:color w:val="auto"/>
                      <w:sz w:val="21"/>
                      <w:szCs w:val="21"/>
                      <w:highlight w:val="none"/>
                    </w:rPr>
                    <w:t>1.废气中有毒有害污染物指纳入《有毒有害大气污染物名录》的污染物（不包括无排放标准的污染物）。</w:t>
                  </w:r>
                </w:p>
                <w:p w14:paraId="7FD3C543">
                  <w:pPr>
                    <w:keepNext w:val="0"/>
                    <w:keepLines w:val="0"/>
                    <w:suppressLineNumbers w:val="0"/>
                    <w:spacing w:before="0" w:beforeAutospacing="0" w:after="0" w:afterAutospacing="0"/>
                    <w:ind w:left="0" w:right="0"/>
                    <w:rPr>
                      <w:rFonts w:hint="default"/>
                      <w:color w:val="auto"/>
                      <w:sz w:val="21"/>
                      <w:szCs w:val="21"/>
                      <w:highlight w:val="none"/>
                    </w:rPr>
                  </w:pPr>
                  <w:r>
                    <w:rPr>
                      <w:rFonts w:hint="eastAsia"/>
                      <w:color w:val="auto"/>
                      <w:sz w:val="21"/>
                      <w:szCs w:val="21"/>
                      <w:highlight w:val="none"/>
                    </w:rPr>
                    <w:t>2.环境空气保护目标指自然保护区、风景名胜区、居住区、文化区和农村地区中人群较集中的区域。</w:t>
                  </w:r>
                </w:p>
                <w:p w14:paraId="12FD6197">
                  <w:pPr>
                    <w:keepNext w:val="0"/>
                    <w:keepLines w:val="0"/>
                    <w:suppressLineNumbers w:val="0"/>
                    <w:spacing w:before="0" w:beforeAutospacing="0" w:after="0" w:afterAutospacing="0"/>
                    <w:ind w:left="0" w:right="0"/>
                    <w:rPr>
                      <w:rFonts w:hint="eastAsia"/>
                      <w:color w:val="auto"/>
                      <w:sz w:val="21"/>
                      <w:szCs w:val="21"/>
                      <w:highlight w:val="none"/>
                    </w:rPr>
                  </w:pPr>
                  <w:r>
                    <w:rPr>
                      <w:rFonts w:hint="eastAsia"/>
                      <w:color w:val="auto"/>
                      <w:sz w:val="21"/>
                      <w:szCs w:val="21"/>
                      <w:highlight w:val="none"/>
                    </w:rPr>
                    <w:t>3.临界量及其计算方法可参考《建设项目环境风险评价技术导则》（HJ 169）附录B、附录C。</w:t>
                  </w:r>
                </w:p>
              </w:tc>
            </w:tr>
          </w:tbl>
          <w:p w14:paraId="349F3AA2">
            <w:pPr>
              <w:pStyle w:val="11"/>
              <w:keepNext w:val="0"/>
              <w:keepLines w:val="0"/>
              <w:suppressLineNumbers w:val="0"/>
              <w:spacing w:before="0" w:beforeAutospacing="0" w:after="0" w:afterAutospacing="0" w:line="360" w:lineRule="auto"/>
              <w:ind w:left="0" w:right="0" w:firstLine="480" w:firstLineChars="200"/>
              <w:rPr>
                <w:rFonts w:hint="default" w:eastAsia="黑体"/>
                <w:color w:val="auto"/>
                <w:sz w:val="24"/>
                <w:szCs w:val="36"/>
                <w:highlight w:val="none"/>
              </w:rPr>
            </w:pPr>
            <w:r>
              <w:rPr>
                <w:rFonts w:hint="eastAsia"/>
                <w:color w:val="auto"/>
                <w:sz w:val="24"/>
                <w:highlight w:val="none"/>
                <w:lang w:bidi="en-US"/>
              </w:rPr>
              <w:t>由上表可知</w:t>
            </w:r>
            <w:r>
              <w:rPr>
                <w:rFonts w:hint="default"/>
                <w:color w:val="auto"/>
                <w:sz w:val="24"/>
                <w:highlight w:val="none"/>
                <w:lang w:bidi="en-US"/>
              </w:rPr>
              <w:t>，</w:t>
            </w:r>
            <w:r>
              <w:rPr>
                <w:rFonts w:hint="eastAsia"/>
                <w:color w:val="auto"/>
                <w:sz w:val="24"/>
                <w:highlight w:val="none"/>
                <w:lang w:bidi="en-US"/>
              </w:rPr>
              <w:t>本项目需</w:t>
            </w:r>
            <w:r>
              <w:rPr>
                <w:rFonts w:hint="default"/>
                <w:color w:val="auto"/>
                <w:sz w:val="24"/>
                <w:highlight w:val="none"/>
                <w:lang w:bidi="en-US"/>
              </w:rPr>
              <w:t>设置</w:t>
            </w:r>
            <w:r>
              <w:rPr>
                <w:rFonts w:hint="eastAsia"/>
                <w:color w:val="auto"/>
                <w:sz w:val="24"/>
                <w:highlight w:val="none"/>
                <w:lang w:val="en-US" w:eastAsia="zh-CN" w:bidi="en-US"/>
              </w:rPr>
              <w:t>环境风险</w:t>
            </w:r>
            <w:r>
              <w:rPr>
                <w:rFonts w:hint="eastAsia"/>
                <w:color w:val="auto"/>
                <w:sz w:val="24"/>
                <w:highlight w:val="none"/>
                <w:lang w:bidi="en-US"/>
              </w:rPr>
              <w:t>专项</w:t>
            </w:r>
            <w:r>
              <w:rPr>
                <w:rFonts w:hint="eastAsia"/>
                <w:color w:val="auto"/>
                <w:sz w:val="24"/>
                <w:highlight w:val="none"/>
                <w:lang w:val="en-US" w:eastAsia="zh-CN" w:bidi="en-US"/>
              </w:rPr>
              <w:t>三级</w:t>
            </w:r>
            <w:r>
              <w:rPr>
                <w:rFonts w:hint="default"/>
                <w:color w:val="auto"/>
                <w:sz w:val="24"/>
                <w:highlight w:val="none"/>
                <w:lang w:bidi="en-US"/>
              </w:rPr>
              <w:t>评价。</w:t>
            </w:r>
          </w:p>
        </w:tc>
      </w:tr>
      <w:tr w14:paraId="2C8B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14:paraId="09A4E054">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规划情况</w:t>
            </w:r>
          </w:p>
        </w:tc>
        <w:tc>
          <w:tcPr>
            <w:tcW w:w="7673" w:type="dxa"/>
            <w:gridSpan w:val="3"/>
            <w:vAlign w:val="center"/>
          </w:tcPr>
          <w:p w14:paraId="7B7A1E4A">
            <w:pPr>
              <w:keepNext w:val="0"/>
              <w:keepLines w:val="0"/>
              <w:suppressLineNumbers w:val="0"/>
              <w:spacing w:before="0" w:beforeAutospacing="0" w:after="0" w:afterAutospacing="0" w:line="360" w:lineRule="auto"/>
              <w:ind w:left="0" w:right="0" w:firstLine="480" w:firstLineChars="200"/>
              <w:rPr>
                <w:rFonts w:hint="eastAsia" w:eastAsia="宋体"/>
                <w:color w:val="auto"/>
                <w:kern w:val="0"/>
                <w:sz w:val="24"/>
                <w:szCs w:val="24"/>
                <w:highlight w:val="none"/>
                <w:lang w:eastAsia="zh-CN"/>
              </w:rPr>
            </w:pPr>
            <w:r>
              <w:rPr>
                <w:rFonts w:hint="eastAsia" w:eastAsia="宋体"/>
                <w:color w:val="auto"/>
                <w:kern w:val="0"/>
                <w:sz w:val="24"/>
                <w:szCs w:val="24"/>
                <w:highlight w:val="none"/>
                <w:lang w:eastAsia="zh-CN"/>
              </w:rPr>
              <w:t>规划名称：《达州市城市总体规划（2011—2030）》</w:t>
            </w:r>
          </w:p>
          <w:p w14:paraId="1ECD824F">
            <w:pPr>
              <w:keepNext w:val="0"/>
              <w:keepLines w:val="0"/>
              <w:suppressLineNumbers w:val="0"/>
              <w:spacing w:before="0" w:beforeAutospacing="0" w:after="0" w:afterAutospacing="0" w:line="360" w:lineRule="auto"/>
              <w:ind w:left="0" w:right="0" w:firstLine="480" w:firstLineChars="200"/>
              <w:rPr>
                <w:rFonts w:hint="eastAsia" w:eastAsia="宋体"/>
                <w:color w:val="auto"/>
                <w:kern w:val="0"/>
                <w:sz w:val="24"/>
                <w:szCs w:val="24"/>
                <w:highlight w:val="none"/>
                <w:lang w:eastAsia="zh-CN"/>
              </w:rPr>
            </w:pPr>
            <w:r>
              <w:rPr>
                <w:rFonts w:hint="eastAsia" w:eastAsia="宋体"/>
                <w:color w:val="auto"/>
                <w:kern w:val="0"/>
                <w:sz w:val="24"/>
                <w:szCs w:val="24"/>
                <w:highlight w:val="none"/>
                <w:lang w:eastAsia="zh-CN"/>
              </w:rPr>
              <w:t>审批机关：四川省人民政府</w:t>
            </w:r>
          </w:p>
          <w:p w14:paraId="0C264217">
            <w:pPr>
              <w:keepNext w:val="0"/>
              <w:keepLines w:val="0"/>
              <w:suppressLineNumbers w:val="0"/>
              <w:spacing w:before="0" w:beforeAutospacing="0" w:after="0" w:afterAutospacing="0" w:line="360" w:lineRule="auto"/>
              <w:ind w:left="0" w:right="0" w:firstLine="480" w:firstLineChars="200"/>
              <w:rPr>
                <w:rFonts w:hint="eastAsia" w:eastAsia="宋体"/>
                <w:color w:val="auto"/>
                <w:kern w:val="0"/>
                <w:sz w:val="24"/>
                <w:szCs w:val="24"/>
                <w:highlight w:val="none"/>
                <w:lang w:eastAsia="zh-CN"/>
              </w:rPr>
            </w:pPr>
            <w:r>
              <w:rPr>
                <w:rFonts w:hint="eastAsia" w:eastAsia="宋体"/>
                <w:color w:val="auto"/>
                <w:kern w:val="0"/>
                <w:sz w:val="24"/>
                <w:szCs w:val="24"/>
                <w:highlight w:val="none"/>
                <w:lang w:eastAsia="zh-CN"/>
              </w:rPr>
              <w:t>审批文号：川府函〔2012〕233号</w:t>
            </w:r>
          </w:p>
        </w:tc>
      </w:tr>
      <w:tr w14:paraId="55AC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230" w:type="pct"/>
            <w:gridSpan w:val="2"/>
            <w:vAlign w:val="center"/>
          </w:tcPr>
          <w:p w14:paraId="345DAE57">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规划环境影响</w:t>
            </w:r>
          </w:p>
          <w:p w14:paraId="2FCCF98B">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评价情况</w:t>
            </w:r>
          </w:p>
        </w:tc>
        <w:tc>
          <w:tcPr>
            <w:tcW w:w="7673" w:type="dxa"/>
            <w:gridSpan w:val="3"/>
            <w:vAlign w:val="center"/>
          </w:tcPr>
          <w:p w14:paraId="78E6B1CC">
            <w:pPr>
              <w:keepNext w:val="0"/>
              <w:keepLines w:val="0"/>
              <w:suppressLineNumbers w:val="0"/>
              <w:spacing w:before="0" w:beforeAutospacing="0" w:after="0" w:afterAutospacing="0" w:line="360" w:lineRule="auto"/>
              <w:ind w:left="0" w:right="0" w:firstLine="480" w:firstLineChars="200"/>
              <w:rPr>
                <w:rFonts w:hint="default"/>
                <w:color w:val="auto"/>
                <w:kern w:val="0"/>
                <w:sz w:val="24"/>
                <w:szCs w:val="24"/>
                <w:highlight w:val="none"/>
              </w:rPr>
            </w:pPr>
            <w:r>
              <w:rPr>
                <w:rFonts w:hint="default"/>
                <w:color w:val="auto"/>
                <w:highlight w:val="none"/>
              </w:rPr>
              <w:t>无</w:t>
            </w:r>
          </w:p>
        </w:tc>
      </w:tr>
      <w:tr w14:paraId="6E8A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0" w:type="pct"/>
            <w:gridSpan w:val="2"/>
            <w:vAlign w:val="center"/>
          </w:tcPr>
          <w:p w14:paraId="7A616C17">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规划及规划环境</w:t>
            </w:r>
          </w:p>
          <w:p w14:paraId="295B40F0">
            <w:pPr>
              <w:keepNext w:val="0"/>
              <w:keepLines w:val="0"/>
              <w:suppressLineNumbers w:val="0"/>
              <w:spacing w:before="0" w:beforeAutospacing="0" w:after="0" w:afterAutospacing="0" w:line="360" w:lineRule="auto"/>
              <w:ind w:left="0" w:right="0"/>
              <w:jc w:val="center"/>
              <w:rPr>
                <w:rFonts w:hint="default"/>
                <w:color w:val="auto"/>
                <w:kern w:val="0"/>
                <w:sz w:val="24"/>
                <w:szCs w:val="24"/>
                <w:highlight w:val="none"/>
              </w:rPr>
            </w:pPr>
            <w:r>
              <w:rPr>
                <w:rFonts w:hint="default"/>
                <w:color w:val="auto"/>
                <w:kern w:val="0"/>
                <w:sz w:val="24"/>
                <w:szCs w:val="24"/>
                <w:highlight w:val="none"/>
              </w:rPr>
              <w:t>影响评价符合性分析</w:t>
            </w:r>
          </w:p>
        </w:tc>
        <w:tc>
          <w:tcPr>
            <w:tcW w:w="7673" w:type="dxa"/>
            <w:gridSpan w:val="3"/>
            <w:vAlign w:val="center"/>
          </w:tcPr>
          <w:p w14:paraId="77172CB4">
            <w:pPr>
              <w:keepNext w:val="0"/>
              <w:keepLines w:val="0"/>
              <w:widowControl/>
              <w:suppressLineNumbers w:val="0"/>
              <w:spacing w:before="0" w:beforeAutospacing="0" w:after="0" w:afterAutospacing="0" w:line="360" w:lineRule="auto"/>
              <w:ind w:left="0" w:right="0" w:firstLine="480" w:firstLineChars="200"/>
              <w:jc w:val="left"/>
              <w:rPr>
                <w:rFonts w:hint="eastAsia" w:eastAsia="宋体"/>
                <w:color w:val="auto"/>
                <w:kern w:val="0"/>
                <w:sz w:val="24"/>
                <w:szCs w:val="24"/>
                <w:highlight w:val="none"/>
                <w:lang w:eastAsia="zh-CN"/>
              </w:rPr>
            </w:pPr>
            <w:r>
              <w:rPr>
                <w:rFonts w:hint="eastAsia" w:eastAsia="宋体"/>
                <w:color w:val="auto"/>
                <w:kern w:val="0"/>
                <w:sz w:val="24"/>
                <w:szCs w:val="24"/>
                <w:highlight w:val="none"/>
                <w:lang w:eastAsia="zh-CN"/>
              </w:rPr>
              <w:t>与《达州市城市总体规划》（2011-2030）符合性分析</w:t>
            </w:r>
          </w:p>
          <w:p w14:paraId="765DFCDE">
            <w:pPr>
              <w:keepNext w:val="0"/>
              <w:keepLines w:val="0"/>
              <w:widowControl/>
              <w:suppressLineNumbers w:val="0"/>
              <w:spacing w:before="0" w:beforeAutospacing="0" w:after="0" w:afterAutospacing="0" w:line="360" w:lineRule="auto"/>
              <w:ind w:left="0" w:right="0" w:firstLine="480" w:firstLineChars="200"/>
              <w:jc w:val="left"/>
              <w:rPr>
                <w:rFonts w:hint="eastAsia"/>
                <w:color w:val="000000" w:themeColor="text1"/>
                <w:kern w:val="0"/>
                <w:sz w:val="24"/>
                <w:szCs w:val="24"/>
                <w:highlight w:val="none"/>
                <w:lang w:eastAsia="zh-CN"/>
                <w14:textFill>
                  <w14:solidFill>
                    <w14:schemeClr w14:val="tx1"/>
                  </w14:solidFill>
                </w14:textFill>
              </w:rPr>
            </w:pPr>
            <w:r>
              <w:rPr>
                <w:rFonts w:hint="eastAsia" w:eastAsia="宋体"/>
                <w:color w:val="000000" w:themeColor="text1"/>
                <w:kern w:val="0"/>
                <w:sz w:val="24"/>
                <w:szCs w:val="24"/>
                <w:highlight w:val="none"/>
                <w:lang w:eastAsia="zh-CN"/>
                <w14:textFill>
                  <w14:solidFill>
                    <w14:schemeClr w14:val="tx1"/>
                  </w14:solidFill>
                </w14:textFill>
              </w:rPr>
              <w:t>达州市中心城区规划区范围：通川区全部，达县的南外、幺塘、新兴、河市、金垭、石板、百节、斌郎、江阳、亭子、大垭、大风与福善，以及宣汉的红岭、君塘、庙安、柏树与洋烈，面积约1189平方公里。城市空间增长边界范围，即：东至亭子，北到魏兴，西临铁山，南至铜钵河</w:t>
            </w:r>
            <w:r>
              <w:rPr>
                <w:rFonts w:hint="eastAsia"/>
                <w:color w:val="000000" w:themeColor="text1"/>
                <w:kern w:val="0"/>
                <w:sz w:val="24"/>
                <w:szCs w:val="24"/>
                <w:highlight w:val="none"/>
                <w:lang w:eastAsia="zh-CN"/>
                <w14:textFill>
                  <w14:solidFill>
                    <w14:schemeClr w14:val="tx1"/>
                  </w14:solidFill>
                </w14:textFill>
              </w:rPr>
              <w:t>。</w:t>
            </w:r>
          </w:p>
          <w:p w14:paraId="5A61BB9C">
            <w:pPr>
              <w:keepNext w:val="0"/>
              <w:keepLines w:val="0"/>
              <w:widowControl/>
              <w:suppressLineNumbers w:val="0"/>
              <w:spacing w:before="0" w:beforeAutospacing="0" w:after="0" w:afterAutospacing="0" w:line="360" w:lineRule="auto"/>
              <w:ind w:left="0" w:right="0" w:firstLine="480" w:firstLineChars="200"/>
              <w:jc w:val="left"/>
              <w:rPr>
                <w:rFonts w:hint="eastAsia"/>
                <w:color w:val="000000" w:themeColor="text1"/>
                <w:kern w:val="0"/>
                <w:sz w:val="24"/>
                <w:szCs w:val="24"/>
                <w:highlight w:val="none"/>
                <w:lang w:eastAsia="zh-CN"/>
                <w14:textFill>
                  <w14:solidFill>
                    <w14:schemeClr w14:val="tx1"/>
                  </w14:solidFill>
                </w14:textFill>
              </w:rPr>
            </w:pPr>
            <w:r>
              <w:rPr>
                <w:rFonts w:hint="eastAsia"/>
                <w:color w:val="000000" w:themeColor="text1"/>
                <w:kern w:val="0"/>
                <w:sz w:val="24"/>
                <w:szCs w:val="24"/>
                <w:highlight w:val="none"/>
                <w:lang w:eastAsia="zh-CN"/>
                <w14:textFill>
                  <w14:solidFill>
                    <w14:schemeClr w14:val="tx1"/>
                  </w14:solidFill>
                </w14:textFill>
              </w:rPr>
              <w:t>新《城市总规》确定达州市中心城区空间布局：达州市中心城区发展方向采取“南延西扩东跨，适度向北发展”的城市空间发展策略。</w:t>
            </w:r>
          </w:p>
          <w:p w14:paraId="23EA6E9F">
            <w:pPr>
              <w:keepNext w:val="0"/>
              <w:keepLines w:val="0"/>
              <w:widowControl/>
              <w:suppressLineNumbers w:val="0"/>
              <w:spacing w:before="0" w:beforeAutospacing="0" w:after="0" w:afterAutospacing="0" w:line="360" w:lineRule="auto"/>
              <w:ind w:left="0" w:right="0" w:firstLine="480" w:firstLineChars="200"/>
              <w:jc w:val="left"/>
              <w:rPr>
                <w:rFonts w:hint="eastAsia" w:eastAsia="宋体"/>
                <w:color w:val="auto"/>
                <w:kern w:val="0"/>
                <w:sz w:val="24"/>
                <w:szCs w:val="24"/>
                <w:highlight w:val="none"/>
                <w:lang w:eastAsia="zh-CN"/>
              </w:rPr>
            </w:pPr>
            <w:r>
              <w:rPr>
                <w:rFonts w:hint="eastAsia" w:eastAsia="宋体"/>
                <w:color w:val="000000" w:themeColor="text1"/>
                <w:kern w:val="0"/>
                <w:sz w:val="24"/>
                <w:szCs w:val="24"/>
                <w:highlight w:val="none"/>
                <w:lang w:eastAsia="zh-CN"/>
                <w14:textFill>
                  <w14:solidFill>
                    <w14:schemeClr w14:val="tx1"/>
                  </w14:solidFill>
                </w14:textFill>
              </w:rPr>
              <w:t>本项目</w:t>
            </w:r>
            <w:r>
              <w:rPr>
                <w:rFonts w:hint="eastAsia"/>
                <w:color w:val="000000" w:themeColor="text1"/>
                <w:kern w:val="0"/>
                <w:sz w:val="24"/>
                <w:szCs w:val="24"/>
                <w:highlight w:val="none"/>
                <w:lang w:val="en-US" w:eastAsia="zh-CN"/>
                <w14:textFill>
                  <w14:solidFill>
                    <w14:schemeClr w14:val="tx1"/>
                  </w14:solidFill>
                </w14:textFill>
              </w:rPr>
              <w:t>位于</w:t>
            </w:r>
            <w:r>
              <w:rPr>
                <w:rFonts w:hint="default" w:eastAsia="宋体" w:cs="Times New Roman"/>
                <w:color w:val="000000" w:themeColor="text1"/>
                <w:sz w:val="24"/>
                <w:szCs w:val="24"/>
                <w:highlight w:val="none"/>
                <w:lang w:val="en-US" w:eastAsia="zh-CN"/>
                <w14:textFill>
                  <w14:solidFill>
                    <w14:schemeClr w14:val="tx1"/>
                  </w14:solidFill>
                </w14:textFill>
              </w:rPr>
              <w:t>四川省达州市</w:t>
            </w:r>
            <w:r>
              <w:rPr>
                <w:rFonts w:hint="eastAsia" w:eastAsia="宋体" w:cs="Times New Roman"/>
                <w:color w:val="000000" w:themeColor="text1"/>
                <w:sz w:val="24"/>
                <w:szCs w:val="24"/>
                <w:highlight w:val="none"/>
                <w:lang w:val="en-US" w:eastAsia="zh-CN"/>
                <w14:textFill>
                  <w14:solidFill>
                    <w14:schemeClr w14:val="tx1"/>
                  </w14:solidFill>
                </w14:textFill>
              </w:rPr>
              <w:t>通川区东岳收费站出口，位于</w:t>
            </w:r>
            <w:r>
              <w:rPr>
                <w:rFonts w:hint="eastAsia" w:eastAsia="宋体"/>
                <w:color w:val="000000" w:themeColor="text1"/>
                <w:kern w:val="0"/>
                <w:sz w:val="24"/>
                <w:szCs w:val="24"/>
                <w:highlight w:val="none"/>
                <w:lang w:eastAsia="zh-CN"/>
                <w14:textFill>
                  <w14:solidFill>
                    <w14:schemeClr w14:val="tx1"/>
                  </w14:solidFill>
                </w14:textFill>
              </w:rPr>
              <w:t>《达州市城市总体规划》（2011-2030）</w:t>
            </w:r>
            <w:r>
              <w:rPr>
                <w:rFonts w:hint="eastAsia" w:eastAsia="宋体"/>
                <w:color w:val="000000" w:themeColor="text1"/>
                <w:kern w:val="0"/>
                <w:sz w:val="24"/>
                <w:szCs w:val="24"/>
                <w:highlight w:val="none"/>
                <w:lang w:val="en-US" w:eastAsia="zh-CN"/>
                <w14:textFill>
                  <w14:solidFill>
                    <w14:schemeClr w14:val="tx1"/>
                  </w14:solidFill>
                </w14:textFill>
              </w:rPr>
              <w:t>北侧，</w:t>
            </w:r>
            <w:r>
              <w:rPr>
                <w:rFonts w:hint="eastAsia" w:eastAsia="宋体"/>
                <w:color w:val="000000" w:themeColor="text1"/>
                <w:kern w:val="0"/>
                <w:sz w:val="24"/>
                <w:szCs w:val="24"/>
                <w:highlight w:val="none"/>
                <w:lang w:eastAsia="zh-CN"/>
                <w14:textFill>
                  <w14:solidFill>
                    <w14:schemeClr w14:val="tx1"/>
                  </w14:solidFill>
                </w14:textFill>
              </w:rPr>
              <w:t>属于达州市“适度向北”发展方向，本项目选址位于规划的其他商服用地，根据达州市通川区自然资源局出具的《达州市环城路二期及环凤产业大道沿线片区03-B-01-05地块条件》，明确用于加油加气站用地。因此，本项目符合《达州市城市总体规划》（2011-2030）</w:t>
            </w:r>
          </w:p>
        </w:tc>
      </w:tr>
      <w:tr w14:paraId="482E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vAlign w:val="center"/>
          </w:tcPr>
          <w:p w14:paraId="6536A963">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auto"/>
                <w:kern w:val="0"/>
                <w:sz w:val="24"/>
                <w:highlight w:val="none"/>
              </w:rPr>
            </w:pPr>
            <w:r>
              <w:rPr>
                <w:rFonts w:hint="default"/>
                <w:color w:val="auto"/>
                <w:kern w:val="0"/>
                <w:sz w:val="24"/>
                <w:highlight w:val="none"/>
              </w:rPr>
              <w:t>其他符合性分析</w:t>
            </w:r>
          </w:p>
        </w:tc>
        <w:tc>
          <w:tcPr>
            <w:tcW w:w="4703" w:type="pct"/>
            <w:gridSpan w:val="4"/>
            <w:vAlign w:val="center"/>
          </w:tcPr>
          <w:p w14:paraId="480586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color w:val="auto"/>
                <w:highlight w:val="none"/>
                <w:lang w:val="en-US" w:eastAsia="zh-CN"/>
              </w:rPr>
            </w:pPr>
            <w:r>
              <w:rPr>
                <w:rFonts w:hint="default"/>
                <w:b/>
                <w:bCs/>
                <w:color w:val="auto"/>
                <w:highlight w:val="none"/>
              </w:rPr>
              <w:t>1、</w:t>
            </w:r>
            <w:r>
              <w:rPr>
                <w:rFonts w:hint="default"/>
                <w:b/>
                <w:bCs/>
                <w:color w:val="auto"/>
                <w:highlight w:val="none"/>
                <w:lang w:val="en-US" w:eastAsia="zh-CN"/>
              </w:rPr>
              <w:t>产业政策符合性分析</w:t>
            </w:r>
          </w:p>
          <w:p w14:paraId="4DB159B1">
            <w:pPr>
              <w:keepNext w:val="0"/>
              <w:keepLines w:val="0"/>
              <w:suppressLineNumbers w:val="0"/>
              <w:spacing w:before="0" w:beforeAutospacing="0" w:after="0" w:afterAutospacing="0" w:line="360" w:lineRule="auto"/>
              <w:ind w:left="0" w:right="0" w:firstLine="480" w:firstLineChars="200"/>
              <w:rPr>
                <w:rFonts w:hint="eastAsia" w:eastAsia="宋体"/>
                <w:color w:val="auto"/>
                <w:highlight w:val="none"/>
                <w:lang w:val="en-US" w:eastAsia="zh-CN"/>
              </w:rPr>
            </w:pPr>
            <w:r>
              <w:rPr>
                <w:rFonts w:hint="eastAsia" w:cs="Times New Roman"/>
                <w:color w:val="auto"/>
                <w:sz w:val="24"/>
                <w:szCs w:val="24"/>
                <w:highlight w:val="none"/>
              </w:rPr>
              <w:t>根据《国民经济行业分类》，本项目属于</w:t>
            </w:r>
            <w:r>
              <w:rPr>
                <w:rFonts w:hint="default"/>
                <w:b w:val="0"/>
                <w:bCs w:val="0"/>
                <w:color w:val="auto"/>
                <w:sz w:val="24"/>
                <w:highlight w:val="none"/>
              </w:rPr>
              <w:t>F5265机动车燃油零售</w:t>
            </w:r>
            <w:r>
              <w:rPr>
                <w:rFonts w:hint="eastAsia"/>
                <w:b w:val="0"/>
                <w:bCs w:val="0"/>
                <w:color w:val="auto"/>
                <w:sz w:val="24"/>
                <w:highlight w:val="none"/>
                <w:lang w:val="en-US" w:eastAsia="zh-CN"/>
              </w:rPr>
              <w:t>和</w:t>
            </w:r>
            <w:r>
              <w:rPr>
                <w:rFonts w:hint="default"/>
                <w:b w:val="0"/>
                <w:bCs w:val="0"/>
                <w:color w:val="auto"/>
                <w:sz w:val="24"/>
                <w:highlight w:val="none"/>
              </w:rPr>
              <w:t>F5266机动车燃气零售</w:t>
            </w:r>
            <w:r>
              <w:rPr>
                <w:rFonts w:hint="eastAsia" w:cs="Times New Roman"/>
                <w:color w:val="auto"/>
                <w:sz w:val="24"/>
                <w:szCs w:val="24"/>
                <w:highlight w:val="none"/>
              </w:rPr>
              <w:t>。根据《产业结构调整指导目录（2024年本）》相关规定，本项目不属于其中鼓励类、限制类以及淘汰类项目，根据国务院《促进产业结构调整暂行规定》（国发〔2005〕40号），第十三条：“不属于鼓励类、限制类和淘汰类，且符合国家有关</w:t>
            </w:r>
            <w:r>
              <w:rPr>
                <w:rFonts w:hint="eastAsia" w:cs="Times New Roman"/>
                <w:color w:val="auto"/>
                <w:sz w:val="24"/>
                <w:szCs w:val="24"/>
                <w:highlight w:val="none"/>
                <w:lang w:eastAsia="zh-CN"/>
              </w:rPr>
              <w:t>法律法规</w:t>
            </w:r>
            <w:r>
              <w:rPr>
                <w:rFonts w:hint="eastAsia" w:cs="Times New Roman"/>
                <w:color w:val="auto"/>
                <w:sz w:val="24"/>
                <w:szCs w:val="24"/>
                <w:highlight w:val="none"/>
              </w:rPr>
              <w:t>和政策规定，视为允许类”，故项目为允许类。</w:t>
            </w:r>
          </w:p>
          <w:p w14:paraId="64DCA3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Cs w:val="36"/>
                <w:highlight w:val="none"/>
                <w:lang w:val="en-US" w:eastAsia="zh-CN"/>
              </w:rPr>
            </w:pPr>
            <w:r>
              <w:rPr>
                <w:rFonts w:hint="eastAsia"/>
                <w:color w:val="auto"/>
                <w:highlight w:val="none"/>
                <w:lang w:val="en-US" w:eastAsia="zh-CN"/>
              </w:rPr>
              <w:t>同时，</w:t>
            </w:r>
            <w:r>
              <w:rPr>
                <w:rFonts w:hint="eastAsia"/>
                <w:b w:val="0"/>
                <w:bCs w:val="0"/>
                <w:color w:val="auto"/>
                <w:sz w:val="24"/>
                <w:highlight w:val="none"/>
              </w:rPr>
              <w:t>通川区</w:t>
            </w:r>
            <w:r>
              <w:rPr>
                <w:rFonts w:hint="default"/>
                <w:b w:val="0"/>
                <w:bCs w:val="0"/>
                <w:color w:val="auto"/>
                <w:sz w:val="24"/>
                <w:highlight w:val="none"/>
              </w:rPr>
              <w:t>发展和改革局</w:t>
            </w:r>
            <w:r>
              <w:rPr>
                <w:rFonts w:hint="eastAsia"/>
                <w:color w:val="auto"/>
                <w:szCs w:val="36"/>
                <w:highlight w:val="none"/>
                <w:lang w:val="en-US" w:eastAsia="zh-CN"/>
              </w:rPr>
              <w:t>以备案的形式同意本项目的建设。</w:t>
            </w:r>
          </w:p>
          <w:p w14:paraId="0D917A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highlight w:val="none"/>
              </w:rPr>
            </w:pPr>
            <w:r>
              <w:rPr>
                <w:rFonts w:hint="eastAsia"/>
                <w:color w:val="auto"/>
                <w:highlight w:val="none"/>
                <w:lang w:val="en-US" w:eastAsia="zh-CN"/>
              </w:rPr>
              <w:t>综上</w:t>
            </w:r>
            <w:r>
              <w:rPr>
                <w:rFonts w:hint="eastAsia"/>
                <w:color w:val="auto"/>
                <w:highlight w:val="none"/>
              </w:rPr>
              <w:t>，本项目的建设符合国家的产业政策。</w:t>
            </w:r>
          </w:p>
          <w:p w14:paraId="72FD9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color w:val="auto"/>
                <w:highlight w:val="none"/>
                <w:lang w:val="en-US" w:eastAsia="zh-CN"/>
              </w:rPr>
            </w:pPr>
            <w:r>
              <w:rPr>
                <w:rFonts w:hint="default"/>
                <w:b/>
                <w:bCs/>
                <w:color w:val="auto"/>
                <w:highlight w:val="none"/>
                <w:lang w:val="en-US" w:eastAsia="zh-CN"/>
              </w:rPr>
              <w:t>2、用地规划符合性</w:t>
            </w:r>
          </w:p>
          <w:p w14:paraId="664D3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本项目位于</w:t>
            </w:r>
            <w:r>
              <w:rPr>
                <w:rFonts w:hint="default" w:eastAsia="宋体" w:cs="Times New Roman"/>
                <w:color w:val="auto"/>
                <w:sz w:val="24"/>
                <w:szCs w:val="24"/>
                <w:highlight w:val="none"/>
                <w:lang w:val="en-US" w:eastAsia="zh-CN"/>
              </w:rPr>
              <w:t>四川省达州市</w:t>
            </w:r>
            <w:r>
              <w:rPr>
                <w:rFonts w:hint="eastAsia" w:eastAsia="宋体" w:cs="Times New Roman"/>
                <w:color w:val="auto"/>
                <w:sz w:val="24"/>
                <w:szCs w:val="24"/>
                <w:highlight w:val="none"/>
                <w:lang w:val="en-US" w:eastAsia="zh-CN"/>
              </w:rPr>
              <w:t>通川区东岳收费站出口，拟建场址为达州市环城路二期及环凤产业大道沿线片区03-B-01-05地块，根据达州市通川区自然资源局出具的《达州市环城路二期及环凤产业大道沿线片区03-B-01-05地块条件》，明确该地块用地性质为B41（加油加气站用地）；用地用海分类为公用设施营业网点用地。</w:t>
            </w:r>
          </w:p>
          <w:p w14:paraId="3E0BF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本项目为加油加气站项目，用地性质满足规划要求，同时建设单位已取得</w:t>
            </w:r>
            <w:r>
              <w:rPr>
                <w:rFonts w:hint="eastAsia"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中华人民共和国建设用地规划许可证</w:t>
            </w:r>
            <w:r>
              <w:rPr>
                <w:rFonts w:hint="eastAsia"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地字第</w:t>
            </w:r>
            <w:r>
              <w:rPr>
                <w:rFonts w:hint="eastAsia" w:eastAsia="宋体" w:cs="Times New Roman"/>
                <w:color w:val="auto"/>
                <w:sz w:val="24"/>
                <w:szCs w:val="24"/>
                <w:highlight w:val="none"/>
                <w:lang w:val="en-US" w:eastAsia="zh-CN"/>
              </w:rPr>
              <w:t>：511702202400007</w:t>
            </w:r>
            <w:r>
              <w:rPr>
                <w:rFonts w:hint="eastAsia" w:cs="Times New Roman"/>
                <w:color w:val="auto"/>
                <w:sz w:val="24"/>
                <w:szCs w:val="24"/>
                <w:highlight w:val="none"/>
                <w:lang w:val="en-US" w:eastAsia="zh-CN"/>
              </w:rPr>
              <w:t>号</w:t>
            </w:r>
            <w:r>
              <w:rPr>
                <w:rFonts w:hint="eastAsia"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以及《不动产权证》（不动产单元号：511702201203GB00001W00000000）</w:t>
            </w:r>
            <w:r>
              <w:rPr>
                <w:rFonts w:hint="eastAsia" w:eastAsia="宋体" w:cs="Times New Roman"/>
                <w:color w:val="auto"/>
                <w:sz w:val="24"/>
                <w:szCs w:val="24"/>
                <w:highlight w:val="none"/>
                <w:lang w:val="en-US" w:eastAsia="zh-CN"/>
              </w:rPr>
              <w:t>。</w:t>
            </w:r>
          </w:p>
          <w:p w14:paraId="1944D8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highlight w:val="none"/>
              </w:rPr>
            </w:pPr>
            <w:r>
              <w:rPr>
                <w:rFonts w:hint="eastAsia" w:eastAsia="宋体" w:cs="Times New Roman"/>
                <w:color w:val="auto"/>
                <w:sz w:val="24"/>
                <w:szCs w:val="24"/>
                <w:highlight w:val="none"/>
                <w:lang w:val="en-US" w:eastAsia="zh-CN"/>
              </w:rPr>
              <w:t>综上所述，项目建设符合土地利用总体规划。</w:t>
            </w:r>
          </w:p>
          <w:p w14:paraId="336FEC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b/>
                <w:bCs/>
                <w:color w:val="auto"/>
                <w:highlight w:val="none"/>
                <w:lang w:val="en-US" w:eastAsia="zh-CN"/>
              </w:rPr>
            </w:pPr>
            <w:r>
              <w:rPr>
                <w:rFonts w:hint="eastAsia"/>
                <w:b/>
                <w:bCs/>
                <w:color w:val="auto"/>
                <w:highlight w:val="none"/>
                <w:lang w:val="en-US" w:eastAsia="zh-CN"/>
              </w:rPr>
              <w:t>3</w:t>
            </w:r>
            <w:r>
              <w:rPr>
                <w:rFonts w:hint="default"/>
                <w:b/>
                <w:bCs/>
                <w:color w:val="auto"/>
                <w:highlight w:val="none"/>
                <w:lang w:val="en-US" w:eastAsia="zh-CN"/>
              </w:rPr>
              <w:t>、与“</w:t>
            </w:r>
            <w:r>
              <w:rPr>
                <w:rFonts w:hint="eastAsia"/>
                <w:b/>
                <w:bCs/>
                <w:color w:val="auto"/>
                <w:highlight w:val="none"/>
                <w:lang w:val="en-US" w:eastAsia="zh-CN"/>
              </w:rPr>
              <w:t>生态环境分区管控</w:t>
            </w:r>
            <w:r>
              <w:rPr>
                <w:rFonts w:hint="default"/>
                <w:b/>
                <w:bCs/>
                <w:color w:val="auto"/>
                <w:highlight w:val="none"/>
                <w:lang w:val="en-US" w:eastAsia="zh-CN"/>
              </w:rPr>
              <w:t>”符合性</w:t>
            </w:r>
          </w:p>
          <w:p w14:paraId="2AA5F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（1）与“生态环境分区管控”空间符合性分析</w:t>
            </w:r>
          </w:p>
          <w:p w14:paraId="7C0D8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本次达州市生态空间更新成果与《</w:t>
            </w:r>
            <w:r>
              <w:rPr>
                <w:rFonts w:hint="eastAsia"/>
                <w:color w:val="000000" w:themeColor="text1"/>
                <w:lang w:val="en-US" w:eastAsia="zh-CN"/>
                <w14:textFill>
                  <w14:solidFill>
                    <w14:schemeClr w14:val="tx1"/>
                  </w14:solidFill>
                </w14:textFill>
              </w:rPr>
              <w:t>四川省2</w:t>
            </w:r>
            <w:r>
              <w:rPr>
                <w:rFonts w:hint="default"/>
                <w:color w:val="000000" w:themeColor="text1"/>
                <w:lang w:val="en-US" w:eastAsia="zh-CN"/>
                <w14:textFill>
                  <w14:solidFill>
                    <w14:schemeClr w14:val="tx1"/>
                  </w14:solidFill>
                </w14:textFill>
              </w:rPr>
              <w:t>023年生态环境分区管控成果动态更新情况说明》中的生态空间分区数量、面积变化情况一致，相较于“省级成果”，优化调整后的生态保护红线管控区分区数量共计34个，分区面积为1202.83km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，分区面积占比7.26%；一般生态空间管控区分区数量共计51个，分区面积为3125.7km</w:t>
            </w:r>
            <w:r>
              <w:rPr>
                <w:rFonts w:hint="default"/>
                <w:color w:val="000000" w:themeColor="text1"/>
                <w:vertAlign w:val="superscript"/>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，分区达州市生态保护红线主要分布在大巴山和盆地区域，涉及大巴山生物多样</w:t>
            </w:r>
            <w:r>
              <w:rPr>
                <w:rFonts w:hint="default"/>
                <w:color w:val="000000" w:themeColor="text1"/>
                <w14:textFill>
                  <w14:solidFill>
                    <w14:schemeClr w14:val="tx1"/>
                  </w14:solidFill>
                </w14:textFill>
              </w:rPr>
              <w:t>性维护—水源涵养生态保护红线、盆中城市饮用水源—水土保持生态保护红线</w:t>
            </w:r>
            <w:r>
              <w:rPr>
                <w:rFonts w:hint="eastAsia"/>
                <w:color w:val="000000" w:themeColor="text1"/>
                <w14:textFill>
                  <w14:solidFill>
                    <w14:schemeClr w14:val="tx1"/>
                  </w14:solidFill>
                </w14:textFill>
              </w:rPr>
              <w:t>。</w:t>
            </w:r>
            <w:r>
              <w:rPr>
                <w:rFonts w:hint="default"/>
                <w:color w:val="000000" w:themeColor="text1"/>
                <w14:textFill>
                  <w14:solidFill>
                    <w14:schemeClr w14:val="tx1"/>
                  </w14:solidFill>
                </w14:textFill>
              </w:rPr>
              <w:t>达州市生态保护红线分布图见下图</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，达州市生态空间分布图见下图</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2</w:t>
            </w:r>
            <w:r>
              <w:rPr>
                <w:rFonts w:hint="default"/>
                <w:color w:val="000000" w:themeColor="text1"/>
                <w14:textFill>
                  <w14:solidFill>
                    <w14:schemeClr w14:val="tx1"/>
                  </w14:solidFill>
                </w14:textFill>
              </w:rPr>
              <w:t>。</w:t>
            </w:r>
          </w:p>
          <w:p w14:paraId="6419C921">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5380355" cy="3555365"/>
                  <wp:effectExtent l="0" t="0" r="10795" b="698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8"/>
                          <a:stretch>
                            <a:fillRect/>
                          </a:stretch>
                        </pic:blipFill>
                        <pic:spPr>
                          <a:xfrm>
                            <a:off x="0" y="0"/>
                            <a:ext cx="5380355" cy="3555365"/>
                          </a:xfrm>
                          <a:prstGeom prst="rect">
                            <a:avLst/>
                          </a:prstGeom>
                          <a:noFill/>
                          <a:ln>
                            <a:noFill/>
                          </a:ln>
                        </pic:spPr>
                      </pic:pic>
                    </a:graphicData>
                  </a:graphic>
                </wp:inline>
              </w:drawing>
            </w:r>
            <w:r>
              <w:rPr>
                <w:rFonts w:hint="default"/>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896620</wp:posOffset>
                      </wp:positionH>
                      <wp:positionV relativeFrom="paragraph">
                        <wp:posOffset>2148205</wp:posOffset>
                      </wp:positionV>
                      <wp:extent cx="1066800" cy="323850"/>
                      <wp:effectExtent l="5080" t="277495" r="242570" b="27305"/>
                      <wp:wrapNone/>
                      <wp:docPr id="21" name="圆角矩形标注 21"/>
                      <wp:cNvGraphicFramePr/>
                      <a:graphic xmlns:a="http://schemas.openxmlformats.org/drawingml/2006/main">
                        <a:graphicData uri="http://schemas.microsoft.com/office/word/2010/wordprocessingShape">
                          <wps:wsp>
                            <wps:cNvSpPr/>
                            <wps:spPr>
                              <a:xfrm>
                                <a:off x="0" y="0"/>
                                <a:ext cx="1066800" cy="323850"/>
                              </a:xfrm>
                              <a:prstGeom prst="wedgeRoundRectCallout">
                                <a:avLst>
                                  <a:gd name="adj1" fmla="val 70595"/>
                                  <a:gd name="adj2" fmla="val -134313"/>
                                  <a:gd name="adj3" fmla="val 16667"/>
                                </a:avLst>
                              </a:prstGeom>
                              <a:solidFill>
                                <a:srgbClr val="FFFFFF"/>
                              </a:solidFill>
                              <a:ln w="9525" cap="flat" cmpd="sng">
                                <a:solidFill>
                                  <a:srgbClr val="FF0000"/>
                                </a:solidFill>
                                <a:prstDash val="solid"/>
                                <a:round/>
                                <a:headEnd type="none" w="med" len="med"/>
                                <a:tailEnd type="none" w="med" len="med"/>
                              </a:ln>
                              <a:effectLst>
                                <a:outerShdw dist="20000" dir="5400000" rotWithShape="0">
                                  <a:srgbClr val="000000">
                                    <a:alpha val="37999"/>
                                  </a:srgbClr>
                                </a:outerShdw>
                              </a:effectLst>
                            </wps:spPr>
                            <wps:txbx>
                              <w:txbxContent>
                                <w:p w14:paraId="38AADB56">
                                  <w:pPr>
                                    <w:jc w:val="center"/>
                                    <w:rPr>
                                      <w:rFonts w:hint="default" w:eastAsia="宋体"/>
                                      <w:sz w:val="24"/>
                                      <w:szCs w:val="24"/>
                                      <w:lang w:val="en-US" w:eastAsia="zh-CN"/>
                                    </w:rPr>
                                  </w:pPr>
                                  <w:r>
                                    <w:rPr>
                                      <w:rFonts w:hint="eastAsia"/>
                                      <w:b/>
                                      <w:sz w:val="24"/>
                                      <w:szCs w:val="24"/>
                                    </w:rPr>
                                    <w:t>项目</w:t>
                                  </w:r>
                                  <w:r>
                                    <w:rPr>
                                      <w:rFonts w:hint="eastAsia"/>
                                      <w:b/>
                                      <w:sz w:val="24"/>
                                      <w:szCs w:val="24"/>
                                      <w:lang w:val="en-US" w:eastAsia="zh-CN"/>
                                    </w:rPr>
                                    <w:t>所在地</w:t>
                                  </w:r>
                                </w:p>
                              </w:txbxContent>
                            </wps:txbx>
                            <wps:bodyPr anchor="ctr" anchorCtr="0" upright="1"/>
                          </wps:wsp>
                        </a:graphicData>
                      </a:graphic>
                    </wp:anchor>
                  </w:drawing>
                </mc:Choice>
                <mc:Fallback>
                  <w:pict>
                    <v:shape id="_x0000_s1026" o:spid="_x0000_s1026" o:spt="62" type="#_x0000_t62" style="position:absolute;left:0pt;margin-left:70.6pt;margin-top:169.15pt;height:25.5pt;width:84pt;z-index:251663360;v-text-anchor:middle;mso-width-relative:page;mso-height-relative:page;" fillcolor="#FFFFFF" filled="t" stroked="t" coordsize="21600,21600" o:gfxdata="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LRef/1wAAAAsBAAAPAAAAAAAAAAEAIAAAACIAAABkcnMvZG93bnJldi54bWxQSwEC&#10;FAAUAAAACACHTuJAs82BbqACAAB2BQAADgAAAAAAAAABACAAAAAmAQAAZHJzL2Uyb0RvYy54bWxQ&#10;SwUGAAAAAAYABgBZAQAAOAYAAAAA&#10;" adj="26049,-18212,14400">
                      <v:fill on="t" focussize="0,0"/>
                      <v:stroke color="#FF0000" joinstyle="round"/>
                      <v:imagedata o:title=""/>
                      <o:lock v:ext="edit" aspectratio="f"/>
                      <v:shadow on="t" color="#000000" opacity="24903f" offset="0pt,1.5748031496063pt" origin="0f,32768f" matrix="65536f,0f,0f,65536f"/>
                      <v:textbox>
                        <w:txbxContent>
                          <w:p w14:paraId="38AADB56">
                            <w:pPr>
                              <w:jc w:val="center"/>
                              <w:rPr>
                                <w:rFonts w:hint="default" w:eastAsia="宋体"/>
                                <w:sz w:val="24"/>
                                <w:szCs w:val="24"/>
                                <w:lang w:val="en-US" w:eastAsia="zh-CN"/>
                              </w:rPr>
                            </w:pPr>
                            <w:r>
                              <w:rPr>
                                <w:rFonts w:hint="eastAsia"/>
                                <w:b/>
                                <w:sz w:val="24"/>
                                <w:szCs w:val="24"/>
                              </w:rPr>
                              <w:t>项目</w:t>
                            </w:r>
                            <w:r>
                              <w:rPr>
                                <w:rFonts w:hint="eastAsia"/>
                                <w:b/>
                                <w:sz w:val="24"/>
                                <w:szCs w:val="24"/>
                                <w:lang w:val="en-US" w:eastAsia="zh-CN"/>
                              </w:rPr>
                              <w:t>所在地</w:t>
                            </w:r>
                          </w:p>
                        </w:txbxContent>
                      </v:textbox>
                    </v:shape>
                  </w:pict>
                </mc:Fallback>
              </mc:AlternateContent>
            </w:r>
          </w:p>
          <w:p w14:paraId="51F52B61">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图1-</w:t>
            </w:r>
            <w:r>
              <w:rPr>
                <w:rFonts w:hint="eastAsia" w:eastAsia="黑体" w:cs="Times New Roman"/>
                <w:b/>
                <w:bCs/>
                <w:color w:val="000000" w:themeColor="text1"/>
                <w:kern w:val="0"/>
                <w:sz w:val="20"/>
                <w:szCs w:val="20"/>
                <w:lang w:val="en-US" w:eastAsia="zh-CN" w:bidi="ar-SA"/>
                <w14:textFill>
                  <w14:solidFill>
                    <w14:schemeClr w14:val="tx1"/>
                  </w14:solidFill>
                </w14:textFill>
              </w:rPr>
              <w:t>1</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项目与达州市生态保护红线的位置关系图</w:t>
            </w:r>
          </w:p>
          <w:p w14:paraId="0240700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5371465" cy="3556635"/>
                  <wp:effectExtent l="0" t="0" r="635" b="571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9"/>
                          <a:stretch>
                            <a:fillRect/>
                          </a:stretch>
                        </pic:blipFill>
                        <pic:spPr>
                          <a:xfrm>
                            <a:off x="0" y="0"/>
                            <a:ext cx="5371465" cy="3556635"/>
                          </a:xfrm>
                          <a:prstGeom prst="rect">
                            <a:avLst/>
                          </a:prstGeom>
                          <a:noFill/>
                          <a:ln>
                            <a:noFill/>
                          </a:ln>
                        </pic:spPr>
                      </pic:pic>
                    </a:graphicData>
                  </a:graphic>
                </wp:inline>
              </w:drawing>
            </w:r>
            <w:r>
              <w:rPr>
                <w:rFonts w:hint="default"/>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2882900</wp:posOffset>
                      </wp:positionH>
                      <wp:positionV relativeFrom="paragraph">
                        <wp:posOffset>2830830</wp:posOffset>
                      </wp:positionV>
                      <wp:extent cx="1238250" cy="333375"/>
                      <wp:effectExtent l="675005" t="967740" r="10795" b="32385"/>
                      <wp:wrapNone/>
                      <wp:docPr id="23" name="圆角矩形标注 23"/>
                      <wp:cNvGraphicFramePr/>
                      <a:graphic xmlns:a="http://schemas.openxmlformats.org/drawingml/2006/main">
                        <a:graphicData uri="http://schemas.microsoft.com/office/word/2010/wordprocessingShape">
                          <wps:wsp>
                            <wps:cNvSpPr/>
                            <wps:spPr>
                              <a:xfrm>
                                <a:off x="0" y="0"/>
                                <a:ext cx="1238250" cy="333375"/>
                              </a:xfrm>
                              <a:prstGeom prst="wedgeRoundRectCallout">
                                <a:avLst>
                                  <a:gd name="adj1" fmla="val -104153"/>
                                  <a:gd name="adj2" fmla="val -338952"/>
                                  <a:gd name="adj3" fmla="val 16667"/>
                                </a:avLst>
                              </a:prstGeom>
                              <a:solidFill>
                                <a:srgbClr val="FFFFFF"/>
                              </a:solidFill>
                              <a:ln w="9525" cap="flat" cmpd="sng">
                                <a:solidFill>
                                  <a:srgbClr val="FF0000"/>
                                </a:solidFill>
                                <a:prstDash val="solid"/>
                                <a:round/>
                                <a:headEnd type="none" w="med" len="med"/>
                                <a:tailEnd type="none" w="med" len="med"/>
                              </a:ln>
                              <a:effectLst>
                                <a:outerShdw dist="20000" dir="5400000" rotWithShape="0">
                                  <a:srgbClr val="000000">
                                    <a:alpha val="37999"/>
                                  </a:srgbClr>
                                </a:outerShdw>
                              </a:effectLst>
                            </wps:spPr>
                            <wps:txbx>
                              <w:txbxContent>
                                <w:p w14:paraId="336BCAA6">
                                  <w:pPr>
                                    <w:jc w:val="center"/>
                                    <w:rPr>
                                      <w:rFonts w:hint="default" w:eastAsia="宋体"/>
                                      <w:b/>
                                      <w:sz w:val="24"/>
                                      <w:szCs w:val="24"/>
                                      <w:lang w:val="en-US" w:eastAsia="zh-CN"/>
                                    </w:rPr>
                                  </w:pPr>
                                  <w:r>
                                    <w:rPr>
                                      <w:rFonts w:hint="eastAsia"/>
                                      <w:b/>
                                      <w:sz w:val="24"/>
                                      <w:szCs w:val="24"/>
                                    </w:rPr>
                                    <w:t>项目</w:t>
                                  </w:r>
                                  <w:r>
                                    <w:rPr>
                                      <w:rFonts w:hint="eastAsia"/>
                                      <w:b/>
                                      <w:sz w:val="24"/>
                                      <w:szCs w:val="24"/>
                                      <w:lang w:val="en-US" w:eastAsia="zh-CN"/>
                                    </w:rPr>
                                    <w:t>所在地</w:t>
                                  </w:r>
                                </w:p>
                              </w:txbxContent>
                            </wps:txbx>
                            <wps:bodyPr anchor="ctr" anchorCtr="0" upright="1"/>
                          </wps:wsp>
                        </a:graphicData>
                      </a:graphic>
                    </wp:anchor>
                  </w:drawing>
                </mc:Choice>
                <mc:Fallback>
                  <w:pict>
                    <v:shape id="_x0000_s1026" o:spid="_x0000_s1026" o:spt="62" type="#_x0000_t62" style="position:absolute;left:0pt;margin-left:227pt;margin-top:222.9pt;height:26.25pt;width:97.5pt;z-index:251664384;v-text-anchor:middle;mso-width-relative:page;mso-height-relative:page;" fillcolor="#FFFFFF" filled="t" stroked="t" coordsize="21600,21600" o:gfxdata="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tfWhM2gAAAAsBAAAPAAAAAAAAAAEAIAAAACIAAABkcnMvZG93bnJldi54&#10;bWxQSwECFAAUAAAACACHTuJAKu4++6MCAAB4BQAADgAAAAAAAAABACAAAAApAQAAZHJzL2Uyb0Rv&#10;Yy54bWxQSwUGAAAAAAYABgBZAQAAPgYAAAAA&#10;" adj="-11697,-62414,14400">
                      <v:fill on="t" focussize="0,0"/>
                      <v:stroke color="#FF0000" joinstyle="round"/>
                      <v:imagedata o:title=""/>
                      <o:lock v:ext="edit" aspectratio="f"/>
                      <v:shadow on="t" color="#000000" opacity="24903f" offset="0pt,1.5748031496063pt" origin="0f,32768f" matrix="65536f,0f,0f,65536f"/>
                      <v:textbox>
                        <w:txbxContent>
                          <w:p w14:paraId="336BCAA6">
                            <w:pPr>
                              <w:jc w:val="center"/>
                              <w:rPr>
                                <w:rFonts w:hint="default" w:eastAsia="宋体"/>
                                <w:b/>
                                <w:sz w:val="24"/>
                                <w:szCs w:val="24"/>
                                <w:lang w:val="en-US" w:eastAsia="zh-CN"/>
                              </w:rPr>
                            </w:pPr>
                            <w:r>
                              <w:rPr>
                                <w:rFonts w:hint="eastAsia"/>
                                <w:b/>
                                <w:sz w:val="24"/>
                                <w:szCs w:val="24"/>
                              </w:rPr>
                              <w:t>项目</w:t>
                            </w:r>
                            <w:r>
                              <w:rPr>
                                <w:rFonts w:hint="eastAsia"/>
                                <w:b/>
                                <w:sz w:val="24"/>
                                <w:szCs w:val="24"/>
                                <w:lang w:val="en-US" w:eastAsia="zh-CN"/>
                              </w:rPr>
                              <w:t>所在地</w:t>
                            </w:r>
                          </w:p>
                        </w:txbxContent>
                      </v:textbox>
                    </v:shape>
                  </w:pict>
                </mc:Fallback>
              </mc:AlternateContent>
            </w:r>
          </w:p>
          <w:p w14:paraId="60A135E8">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图1-</w:t>
            </w:r>
            <w:r>
              <w:rPr>
                <w:rFonts w:hint="eastAsia" w:eastAsia="黑体" w:cs="Times New Roman"/>
                <w:b/>
                <w:bCs/>
                <w:color w:val="000000" w:themeColor="text1"/>
                <w:kern w:val="0"/>
                <w:sz w:val="20"/>
                <w:szCs w:val="20"/>
                <w:lang w:val="en-US" w:eastAsia="zh-CN" w:bidi="ar-SA"/>
                <w14:textFill>
                  <w14:solidFill>
                    <w14:schemeClr w14:val="tx1"/>
                  </w14:solidFill>
                </w14:textFill>
              </w:rPr>
              <w:t>2</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项目与达州市生态空间的位置关系图</w:t>
            </w:r>
          </w:p>
          <w:p w14:paraId="28BD39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由图1-</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、图1-</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可知，本项目</w:t>
            </w:r>
            <w:r>
              <w:rPr>
                <w:rFonts w:hint="eastAsia"/>
                <w:color w:val="000000" w:themeColor="text1"/>
                <w:lang w:val="en-US" w:eastAsia="zh-CN"/>
                <w14:textFill>
                  <w14:solidFill>
                    <w14:schemeClr w14:val="tx1"/>
                  </w14:solidFill>
                </w14:textFill>
              </w:rPr>
              <w:t>位于</w:t>
            </w:r>
            <w:r>
              <w:rPr>
                <w:rFonts w:hint="default"/>
                <w:color w:val="000000" w:themeColor="text1"/>
                <w:szCs w:val="24"/>
                <w14:textFill>
                  <w14:solidFill>
                    <w14:schemeClr w14:val="tx1"/>
                  </w14:solidFill>
                </w14:textFill>
              </w:rPr>
              <w:t>四川省达州市</w:t>
            </w:r>
            <w:r>
              <w:rPr>
                <w:rFonts w:hint="eastAsia"/>
                <w:color w:val="000000" w:themeColor="text1"/>
                <w:szCs w:val="24"/>
                <w14:textFill>
                  <w14:solidFill>
                    <w14:schemeClr w14:val="tx1"/>
                  </w14:solidFill>
                </w14:textFill>
              </w:rPr>
              <w:t>通川区东岳收费站出口</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不涉及达州市生态保护红线和一般生态空间。</w:t>
            </w:r>
          </w:p>
          <w:p w14:paraId="53264AD6">
            <w:pPr>
              <w:keepNext w:val="0"/>
              <w:keepLines w:val="0"/>
              <w:suppressLineNumbers w:val="0"/>
              <w:spacing w:before="0" w:beforeAutospacing="0" w:after="0" w:afterAutospacing="0" w:line="360" w:lineRule="auto"/>
              <w:ind w:left="0" w:right="0" w:firstLine="482" w:firstLineChars="200"/>
              <w:rPr>
                <w:rFonts w:hint="default" w:cs="Times New Roman"/>
                <w:b/>
                <w:bCs/>
                <w:color w:val="auto"/>
                <w:sz w:val="24"/>
                <w:szCs w:val="24"/>
                <w:highlight w:val="none"/>
              </w:rPr>
            </w:pPr>
            <w:r>
              <w:rPr>
                <w:rFonts w:hint="default" w:cs="Times New Roman"/>
                <w:b/>
                <w:bCs/>
                <w:color w:val="auto"/>
                <w:sz w:val="24"/>
                <w:szCs w:val="24"/>
                <w:highlight w:val="none"/>
              </w:rPr>
              <w:t>（</w:t>
            </w:r>
            <w:r>
              <w:rPr>
                <w:rFonts w:hint="eastAsia" w:cs="Times New Roman"/>
                <w:b/>
                <w:bCs/>
                <w:color w:val="auto"/>
                <w:sz w:val="24"/>
                <w:szCs w:val="24"/>
                <w:highlight w:val="none"/>
                <w:lang w:val="en-US" w:eastAsia="zh-CN"/>
              </w:rPr>
              <w:t>2</w:t>
            </w:r>
            <w:r>
              <w:rPr>
                <w:rFonts w:hint="default" w:cs="Times New Roman"/>
                <w:b/>
                <w:bCs/>
                <w:color w:val="auto"/>
                <w:sz w:val="24"/>
                <w:szCs w:val="24"/>
                <w:highlight w:val="none"/>
              </w:rPr>
              <w:t>）与</w:t>
            </w:r>
            <w:r>
              <w:rPr>
                <w:rFonts w:hint="eastAsia" w:cs="Times New Roman"/>
                <w:b/>
                <w:bCs/>
                <w:color w:val="auto"/>
                <w:sz w:val="24"/>
                <w:szCs w:val="24"/>
                <w:highlight w:val="none"/>
              </w:rPr>
              <w:t>《达州市人民政府办公室关于加强生态环境分区管控的通知》（达市府办函〔2024〕31号）</w:t>
            </w:r>
            <w:r>
              <w:rPr>
                <w:rFonts w:hint="default" w:cs="Times New Roman"/>
                <w:b/>
                <w:bCs/>
                <w:color w:val="auto"/>
                <w:sz w:val="24"/>
                <w:szCs w:val="24"/>
                <w:highlight w:val="none"/>
              </w:rPr>
              <w:t>符合性分析</w:t>
            </w:r>
          </w:p>
          <w:p w14:paraId="6F3330E8">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highlight w:val="none"/>
              </w:rPr>
            </w:pPr>
            <w:r>
              <w:rPr>
                <w:rFonts w:hint="default" w:cs="Times New Roman"/>
                <w:color w:val="auto"/>
                <w:sz w:val="24"/>
                <w:szCs w:val="24"/>
                <w:highlight w:val="none"/>
              </w:rPr>
              <w:t>根据</w:t>
            </w:r>
            <w:r>
              <w:rPr>
                <w:rFonts w:hint="eastAsia" w:cs="Times New Roman"/>
                <w:color w:val="auto"/>
                <w:sz w:val="24"/>
                <w:szCs w:val="24"/>
                <w:highlight w:val="none"/>
              </w:rPr>
              <w:t>《达州市人民政府办公室关于加强生态环境分区管控的通知》（达市府办函〔2024〕31号）</w:t>
            </w:r>
            <w:r>
              <w:rPr>
                <w:rFonts w:hint="default" w:cs="Times New Roman"/>
                <w:color w:val="auto"/>
                <w:sz w:val="24"/>
                <w:szCs w:val="24"/>
                <w:highlight w:val="none"/>
              </w:rPr>
              <w:t>，</w:t>
            </w:r>
            <w:r>
              <w:rPr>
                <w:rFonts w:hint="eastAsia" w:cs="Times New Roman"/>
                <w:color w:val="auto"/>
                <w:sz w:val="24"/>
                <w:szCs w:val="24"/>
                <w:highlight w:val="none"/>
              </w:rPr>
              <w:t>全市行政区域从生态环境保护角度划分为优先保护、重点管控和一般管控三类环境管控单元。</w:t>
            </w:r>
          </w:p>
          <w:p w14:paraId="03293F8D">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highlight w:val="none"/>
              </w:rPr>
            </w:pPr>
            <w:r>
              <w:rPr>
                <w:rFonts w:hint="eastAsia" w:cs="Times New Roman"/>
                <w:color w:val="auto"/>
                <w:sz w:val="24"/>
                <w:szCs w:val="24"/>
                <w:highlight w:val="none"/>
              </w:rPr>
              <w:t>1.优先保护单元。以生态环境保护为主的区域，全市划分优先保护单元18个，主要包括生态保护红线、自然保护地、饮用水水源保护区等。</w:t>
            </w:r>
          </w:p>
          <w:p w14:paraId="7D0BF907">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highlight w:val="none"/>
              </w:rPr>
            </w:pPr>
            <w:r>
              <w:rPr>
                <w:rFonts w:hint="eastAsia" w:cs="Times New Roman"/>
                <w:color w:val="auto"/>
                <w:sz w:val="24"/>
                <w:szCs w:val="24"/>
                <w:highlight w:val="none"/>
              </w:rPr>
              <w:t>2.重点管控单元。涉及水、大气、土壤、自然资源等资源环境要素重点管控的区域，全市划分重点管控单元22个，主要包括人口密集的城镇规划区和产业集聚的工业园区</w:t>
            </w:r>
            <w:r>
              <w:rPr>
                <w:rFonts w:hint="eastAsia" w:cs="Times New Roman"/>
                <w:color w:val="auto"/>
                <w:sz w:val="24"/>
                <w:szCs w:val="24"/>
                <w:highlight w:val="none"/>
                <w:lang w:eastAsia="zh-CN"/>
              </w:rPr>
              <w:t>（</w:t>
            </w:r>
            <w:r>
              <w:rPr>
                <w:rFonts w:hint="eastAsia" w:cs="Times New Roman"/>
                <w:color w:val="auto"/>
                <w:sz w:val="24"/>
                <w:szCs w:val="24"/>
                <w:highlight w:val="none"/>
              </w:rPr>
              <w:t>工业集聚区</w:t>
            </w:r>
            <w:r>
              <w:rPr>
                <w:rFonts w:hint="eastAsia" w:cs="Times New Roman"/>
                <w:color w:val="auto"/>
                <w:sz w:val="24"/>
                <w:szCs w:val="24"/>
                <w:highlight w:val="none"/>
                <w:lang w:eastAsia="zh-CN"/>
              </w:rPr>
              <w:t>）</w:t>
            </w:r>
            <w:r>
              <w:rPr>
                <w:rFonts w:hint="eastAsia" w:cs="Times New Roman"/>
                <w:color w:val="auto"/>
                <w:sz w:val="24"/>
                <w:szCs w:val="24"/>
                <w:highlight w:val="none"/>
              </w:rPr>
              <w:t>等。</w:t>
            </w:r>
          </w:p>
          <w:p w14:paraId="5BD19193">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highlight w:val="none"/>
              </w:rPr>
            </w:pPr>
            <w:r>
              <w:rPr>
                <w:rFonts w:hint="eastAsia" w:cs="Times New Roman"/>
                <w:color w:val="auto"/>
                <w:sz w:val="24"/>
                <w:szCs w:val="24"/>
                <w:highlight w:val="none"/>
              </w:rPr>
              <w:t>3.一般管控单元。除优先保护单元和重点管控单元之外的其他区域，全市共划分一般管控单元7个。</w:t>
            </w:r>
          </w:p>
          <w:p w14:paraId="65914389">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4"/>
                <w:highlight w:val="none"/>
              </w:rPr>
            </w:pPr>
            <w:r>
              <w:rPr>
                <w:rFonts w:hint="eastAsia" w:cs="Times New Roman"/>
                <w:color w:val="auto"/>
                <w:sz w:val="24"/>
                <w:szCs w:val="24"/>
                <w:highlight w:val="none"/>
              </w:rPr>
              <w:t>对照《达州市环境管控单元分布图》，本项目位于达州市工业重点管控单元。</w:t>
            </w:r>
          </w:p>
          <w:p w14:paraId="02C54D0D">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szCs w:val="24"/>
                <w:highlight w:val="none"/>
              </w:rPr>
            </w:pPr>
            <w:r>
              <w:rPr>
                <w:rFonts w:hint="eastAsia" w:cs="Times New Roman"/>
                <w:color w:val="auto"/>
                <w:sz w:val="24"/>
                <w:szCs w:val="24"/>
                <w:highlight w:val="none"/>
              </w:rPr>
              <w:t>详见下图</w:t>
            </w:r>
          </w:p>
          <w:p w14:paraId="795404D6">
            <w:pPr>
              <w:keepNext w:val="0"/>
              <w:keepLines w:val="0"/>
              <w:suppressLineNumbers w:val="0"/>
              <w:spacing w:before="0" w:beforeAutospacing="0" w:after="0" w:afterAutospacing="0" w:line="360" w:lineRule="auto"/>
              <w:ind w:left="0" w:right="0"/>
              <w:jc w:val="center"/>
              <w:rPr>
                <w:rFonts w:hint="default" w:cs="Times New Roman"/>
                <w:bCs/>
                <w:color w:val="auto"/>
                <w:sz w:val="24"/>
                <w:szCs w:val="24"/>
                <w:highlight w:val="none"/>
              </w:rPr>
            </w:pPr>
            <w:r>
              <w:rPr>
                <w:rFonts w:hint="default"/>
                <w:color w:val="auto"/>
                <w:highlight w:val="none"/>
              </w:rPr>
              <w:drawing>
                <wp:inline distT="0" distB="0" distL="114300" distR="114300">
                  <wp:extent cx="5549265" cy="3919855"/>
                  <wp:effectExtent l="0" t="0" r="13335" b="4445"/>
                  <wp:docPr id="1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pic:cNvPicPr>
                            <a:picLocks noChangeAspect="1"/>
                          </pic:cNvPicPr>
                        </pic:nvPicPr>
                        <pic:blipFill>
                          <a:blip r:embed="rId10"/>
                          <a:stretch>
                            <a:fillRect/>
                          </a:stretch>
                        </pic:blipFill>
                        <pic:spPr>
                          <a:xfrm>
                            <a:off x="0" y="0"/>
                            <a:ext cx="5549265" cy="3919855"/>
                          </a:xfrm>
                          <a:prstGeom prst="rect">
                            <a:avLst/>
                          </a:prstGeom>
                          <a:noFill/>
                          <a:ln>
                            <a:noFill/>
                          </a:ln>
                        </pic:spPr>
                      </pic:pic>
                    </a:graphicData>
                  </a:graphic>
                </wp:inline>
              </w:drawing>
            </w:r>
            <w:r>
              <w:rPr>
                <w:rFonts w:hint="default" w:cs="Times New Roman"/>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1281430</wp:posOffset>
                      </wp:positionH>
                      <wp:positionV relativeFrom="paragraph">
                        <wp:posOffset>1387475</wp:posOffset>
                      </wp:positionV>
                      <wp:extent cx="981075" cy="317500"/>
                      <wp:effectExtent l="4445" t="4445" r="5080" b="421005"/>
                      <wp:wrapNone/>
                      <wp:docPr id="13" name="矩形标注 21"/>
                      <wp:cNvGraphicFramePr/>
                      <a:graphic xmlns:a="http://schemas.openxmlformats.org/drawingml/2006/main">
                        <a:graphicData uri="http://schemas.microsoft.com/office/word/2010/wordprocessingShape">
                          <wps:wsp>
                            <wps:cNvSpPr>
                              <a:spLocks noChangeArrowheads="1"/>
                            </wps:cNvSpPr>
                            <wps:spPr bwMode="auto">
                              <a:xfrm>
                                <a:off x="0" y="0"/>
                                <a:ext cx="981075" cy="317500"/>
                              </a:xfrm>
                              <a:prstGeom prst="wedgeRectCallout">
                                <a:avLst>
                                  <a:gd name="adj1" fmla="val 49158"/>
                                  <a:gd name="adj2" fmla="val 176000"/>
                                </a:avLst>
                              </a:prstGeom>
                              <a:solidFill>
                                <a:srgbClr val="FFFFFF"/>
                              </a:solidFill>
                              <a:ln w="9525" cap="flat" cmpd="sng">
                                <a:solidFill>
                                  <a:srgbClr val="FF0000"/>
                                </a:solidFill>
                                <a:prstDash val="solid"/>
                                <a:miter lim="800000"/>
                                <a:headEnd type="none" w="med" len="med"/>
                                <a:tailEnd type="none" w="med" len="med"/>
                              </a:ln>
                            </wps:spPr>
                            <wps:txbx>
                              <w:txbxContent>
                                <w:p w14:paraId="08146C71">
                                  <w:pPr>
                                    <w:jc w:val="center"/>
                                    <w:rPr>
                                      <w:color w:val="FF0000"/>
                                    </w:rPr>
                                  </w:pPr>
                                  <w:r>
                                    <w:rPr>
                                      <w:rFonts w:hint="eastAsia"/>
                                      <w:color w:val="FF0000"/>
                                    </w:rPr>
                                    <w:t>项目所在地</w:t>
                                  </w:r>
                                </w:p>
                              </w:txbxContent>
                            </wps:txbx>
                            <wps:bodyPr rot="0" vert="horz" wrap="square" lIns="91440" tIns="45720" rIns="91440" bIns="45720" anchor="t" anchorCtr="0" upright="1">
                              <a:noAutofit/>
                            </wps:bodyPr>
                          </wps:wsp>
                        </a:graphicData>
                      </a:graphic>
                    </wp:anchor>
                  </w:drawing>
                </mc:Choice>
                <mc:Fallback>
                  <w:pict>
                    <v:shape id="矩形标注 21" o:spid="_x0000_s1026" o:spt="61" type="#_x0000_t61" style="position:absolute;left:0pt;margin-left:100.9pt;margin-top:109.25pt;height:25pt;width:77.25pt;z-index:251660288;mso-width-relative:page;mso-height-relative:page;" fillcolor="#FFFFFF" filled="t" stroked="t" coordsize="21600,21600" o:gfxdata="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CjYK5nYAAAACwEAAA8AAAAAAAAAAQAgAAAAIgAAAGRycy9kb3ducmV2&#10;LnhtbFBLAQIUABQAAAAIAIdO4kAdNpjspwIAAGIFAAAOAAAAAAAAAAEAIAAAACcBAABkcnMvZTJv&#10;RG9jLnhtbFBLBQYAAAAABgAGAFkBAABABgAAAAA=&#10;" adj="21418,48816">
                      <v:fill on="t" focussize="0,0"/>
                      <v:stroke color="#FF0000" miterlimit="8" joinstyle="miter"/>
                      <v:imagedata o:title=""/>
                      <o:lock v:ext="edit" aspectratio="f"/>
                      <v:textbox>
                        <w:txbxContent>
                          <w:p w14:paraId="08146C71">
                            <w:pPr>
                              <w:jc w:val="center"/>
                              <w:rPr>
                                <w:color w:val="FF0000"/>
                              </w:rPr>
                            </w:pPr>
                            <w:r>
                              <w:rPr>
                                <w:rFonts w:hint="eastAsia"/>
                                <w:color w:val="FF0000"/>
                              </w:rPr>
                              <w:t>项目所在地</w:t>
                            </w:r>
                          </w:p>
                        </w:txbxContent>
                      </v:textbox>
                    </v:shape>
                  </w:pict>
                </mc:Fallback>
              </mc:AlternateContent>
            </w:r>
          </w:p>
          <w:p w14:paraId="382EB2D6">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图1-</w:t>
            </w:r>
            <w:r>
              <w:rPr>
                <w:rFonts w:hint="eastAsia" w:eastAsia="黑体" w:cs="Times New Roman"/>
                <w:b/>
                <w:bCs/>
                <w:color w:val="auto"/>
                <w:kern w:val="0"/>
                <w:sz w:val="20"/>
                <w:szCs w:val="20"/>
                <w:highlight w:val="none"/>
                <w:lang w:val="en-US" w:eastAsia="zh-CN" w:bidi="ar-SA"/>
              </w:rPr>
              <w:t>3</w:t>
            </w:r>
            <w:r>
              <w:rPr>
                <w:rFonts w:hint="default" w:ascii="Times New Roman" w:hAnsi="Times New Roman" w:eastAsia="黑体" w:cs="Times New Roman"/>
                <w:b/>
                <w:bCs/>
                <w:color w:val="auto"/>
                <w:kern w:val="0"/>
                <w:sz w:val="20"/>
                <w:szCs w:val="20"/>
                <w:highlight w:val="none"/>
                <w:lang w:val="en-US" w:eastAsia="zh-CN" w:bidi="ar-SA"/>
              </w:rPr>
              <w:t xml:space="preserve">  达州市综合环境管控单元分布图</w:t>
            </w:r>
          </w:p>
          <w:p w14:paraId="4A324A1F">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表1-2  本项目与《达州市生态环境分区管控方案》分析表</w:t>
            </w:r>
          </w:p>
          <w:tbl>
            <w:tblPr>
              <w:tblStyle w:val="2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65"/>
              <w:gridCol w:w="4135"/>
              <w:gridCol w:w="2822"/>
              <w:gridCol w:w="481"/>
            </w:tblGrid>
            <w:tr w14:paraId="6C6D5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6" w:type="pct"/>
                  <w:gridSpan w:val="2"/>
                  <w:tcBorders>
                    <w:tl2br w:val="nil"/>
                    <w:tr2bl w:val="nil"/>
                  </w:tcBorders>
                  <w:noWrap w:val="0"/>
                  <w:vAlign w:val="center"/>
                </w:tcPr>
                <w:p w14:paraId="4DBF7436">
                  <w:pPr>
                    <w:keepNext w:val="0"/>
                    <w:keepLines w:val="0"/>
                    <w:suppressLineNumbers w:val="0"/>
                    <w:adjustRightInd w:val="0"/>
                    <w:snapToGri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项目</w:t>
                  </w:r>
                </w:p>
              </w:tc>
              <w:tc>
                <w:tcPr>
                  <w:tcW w:w="2308" w:type="pct"/>
                  <w:tcBorders>
                    <w:tl2br w:val="nil"/>
                    <w:tr2bl w:val="nil"/>
                  </w:tcBorders>
                  <w:noWrap w:val="0"/>
                  <w:vAlign w:val="center"/>
                </w:tcPr>
                <w:p w14:paraId="7163C4CC">
                  <w:pPr>
                    <w:keepNext w:val="0"/>
                    <w:keepLines w:val="0"/>
                    <w:suppressLineNumbers w:val="0"/>
                    <w:adjustRightInd w:val="0"/>
                    <w:snapToGri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管控要求</w:t>
                  </w:r>
                </w:p>
              </w:tc>
              <w:tc>
                <w:tcPr>
                  <w:tcW w:w="1575" w:type="pct"/>
                  <w:tcBorders>
                    <w:tl2br w:val="nil"/>
                    <w:tr2bl w:val="nil"/>
                  </w:tcBorders>
                  <w:noWrap w:val="0"/>
                  <w:vAlign w:val="center"/>
                </w:tcPr>
                <w:p w14:paraId="70F10E08">
                  <w:pPr>
                    <w:keepNext w:val="0"/>
                    <w:keepLines w:val="0"/>
                    <w:suppressLineNumbers w:val="0"/>
                    <w:adjustRightInd w:val="0"/>
                    <w:snapToGri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本项目</w:t>
                  </w:r>
                </w:p>
              </w:tc>
              <w:tc>
                <w:tcPr>
                  <w:tcW w:w="268" w:type="pct"/>
                  <w:tcBorders>
                    <w:tl2br w:val="nil"/>
                    <w:tr2bl w:val="nil"/>
                  </w:tcBorders>
                  <w:noWrap w:val="0"/>
                  <w:vAlign w:val="center"/>
                </w:tcPr>
                <w:p w14:paraId="5A099548">
                  <w:pPr>
                    <w:keepNext w:val="0"/>
                    <w:keepLines w:val="0"/>
                    <w:suppressLineNumbers w:val="0"/>
                    <w:adjustRightInd w:val="0"/>
                    <w:snapToGrid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符合性</w:t>
                  </w:r>
                </w:p>
              </w:tc>
            </w:tr>
            <w:tr w14:paraId="3098B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475" w:type="pct"/>
                  <w:tcBorders>
                    <w:tl2br w:val="nil"/>
                    <w:tr2bl w:val="nil"/>
                  </w:tcBorders>
                  <w:noWrap w:val="0"/>
                  <w:vAlign w:val="center"/>
                </w:tcPr>
                <w:p w14:paraId="4FB27868">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环境管控单元生态环境管控要求</w:t>
                  </w:r>
                </w:p>
              </w:tc>
              <w:tc>
                <w:tcPr>
                  <w:tcW w:w="371" w:type="pct"/>
                  <w:tcBorders>
                    <w:tl2br w:val="nil"/>
                    <w:tr2bl w:val="nil"/>
                  </w:tcBorders>
                  <w:noWrap w:val="0"/>
                  <w:vAlign w:val="center"/>
                </w:tcPr>
                <w:p w14:paraId="2D5D297A">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重点管控单元</w:t>
                  </w:r>
                </w:p>
              </w:tc>
              <w:tc>
                <w:tcPr>
                  <w:tcW w:w="2308" w:type="pct"/>
                  <w:tcBorders>
                    <w:tl2br w:val="nil"/>
                    <w:tr2bl w:val="nil"/>
                  </w:tcBorders>
                  <w:noWrap w:val="0"/>
                  <w:vAlign w:val="center"/>
                </w:tcPr>
                <w:p w14:paraId="547134DA">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575" w:type="pct"/>
                  <w:tcBorders>
                    <w:tl2br w:val="nil"/>
                    <w:tr2bl w:val="nil"/>
                  </w:tcBorders>
                  <w:noWrap w:val="0"/>
                  <w:vAlign w:val="center"/>
                </w:tcPr>
                <w:p w14:paraId="5C597357">
                  <w:pPr>
                    <w:keepNext w:val="0"/>
                    <w:keepLines w:val="0"/>
                    <w:suppressLineNumbers w:val="0"/>
                    <w:bidi w:val="0"/>
                    <w:spacing w:before="0" w:beforeAutospacing="0" w:after="0" w:afterAutospacing="0"/>
                    <w:ind w:left="0" w:right="0"/>
                    <w:jc w:val="left"/>
                    <w:rPr>
                      <w:rFonts w:hint="eastAsia"/>
                      <w:color w:val="auto"/>
                      <w:sz w:val="21"/>
                      <w:szCs w:val="21"/>
                      <w:highlight w:val="none"/>
                      <w:lang w:val="en-US" w:eastAsia="zh-CN"/>
                    </w:rPr>
                  </w:pPr>
                  <w:r>
                    <w:rPr>
                      <w:rFonts w:hint="eastAsia"/>
                      <w:color w:val="auto"/>
                      <w:sz w:val="21"/>
                      <w:szCs w:val="21"/>
                      <w:highlight w:val="none"/>
                      <w:lang w:val="en-US" w:eastAsia="zh-CN"/>
                    </w:rPr>
                    <w:t>项目所在区域属于达标区。项目严格按照《汽车加油加气加氢站技术标准（GB50156-2021）》的相关技术规范进行设计施工，对挥发的有机废气采用油气回收装置进行回收，LNG储罐放散天然气通过10m高放散管进行有组织排放，同时项目严格按照行业标准及本环评提出的各项风险防范措施进行风险防控。本次环评明确提出项目排放总量建议指标。</w:t>
                  </w:r>
                </w:p>
              </w:tc>
              <w:tc>
                <w:tcPr>
                  <w:tcW w:w="268" w:type="pct"/>
                  <w:tcBorders>
                    <w:tl2br w:val="nil"/>
                    <w:tr2bl w:val="nil"/>
                  </w:tcBorders>
                  <w:noWrap w:val="0"/>
                  <w:vAlign w:val="center"/>
                </w:tcPr>
                <w:p w14:paraId="093A1DE4">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符合</w:t>
                  </w:r>
                </w:p>
              </w:tc>
            </w:tr>
            <w:tr w14:paraId="4B39B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restart"/>
                  <w:tcBorders>
                    <w:tl2br w:val="nil"/>
                    <w:tr2bl w:val="nil"/>
                  </w:tcBorders>
                  <w:noWrap w:val="0"/>
                  <w:vAlign w:val="center"/>
                </w:tcPr>
                <w:p w14:paraId="49818538">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总体生态环境管控要求</w:t>
                  </w:r>
                </w:p>
              </w:tc>
              <w:tc>
                <w:tcPr>
                  <w:tcW w:w="371" w:type="pct"/>
                  <w:tcBorders>
                    <w:tl2br w:val="nil"/>
                    <w:tr2bl w:val="nil"/>
                  </w:tcBorders>
                  <w:noWrap w:val="0"/>
                  <w:vAlign w:val="center"/>
                </w:tcPr>
                <w:p w14:paraId="0E324AB0">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达州市</w:t>
                  </w:r>
                </w:p>
              </w:tc>
              <w:tc>
                <w:tcPr>
                  <w:tcW w:w="2308" w:type="pct"/>
                  <w:tcBorders>
                    <w:tl2br w:val="nil"/>
                    <w:tr2bl w:val="nil"/>
                  </w:tcBorders>
                  <w:noWrap w:val="0"/>
                  <w:vAlign w:val="center"/>
                </w:tcPr>
                <w:p w14:paraId="20A875E9">
                  <w:pPr>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1.长江干支流岸线1千米范围内，不得新建、扩建化工园区和化工项目。</w:t>
                  </w:r>
                </w:p>
                <w:p w14:paraId="0FD4B868">
                  <w:pPr>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2.严控产业转移环境准入。</w:t>
                  </w:r>
                </w:p>
                <w:p w14:paraId="423414CA">
                  <w:pPr>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3.引进项目应符合园区规划环评和区域产业准入清单要求。</w:t>
                  </w:r>
                </w:p>
                <w:p w14:paraId="13711A93">
                  <w:pPr>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4.造纸等产业污染治理和环境管理应达到国内先进水平。优化制浆造纸产业布局，提升行业清洁生产水平，推动制浆造纸工业向节能、环保、绿色方向发展。</w:t>
                  </w:r>
                </w:p>
                <w:p w14:paraId="2D172C52">
                  <w:pPr>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5.深化成都平原、川南、川东北地区大气污染联防联控工作机制，加强川渝地区联防联控。强化重污染天气区域应急联动机制，深化区域重污染天气联合应对。</w:t>
                  </w:r>
                </w:p>
                <w:p w14:paraId="6F37CF9C">
                  <w:pPr>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6.钢铁行业项目新建应参考达州市“三线一单”生态环境分区管控中钢铁行业资源环境绩效准入门槛；达钢等高污染企业限期退城入园；普光气田开发污染防治和环境管理等方面要达到国内先进水平。</w:t>
                  </w:r>
                </w:p>
              </w:tc>
              <w:tc>
                <w:tcPr>
                  <w:tcW w:w="1575" w:type="pct"/>
                  <w:vMerge w:val="restart"/>
                  <w:tcBorders>
                    <w:tl2br w:val="nil"/>
                    <w:tr2bl w:val="nil"/>
                  </w:tcBorders>
                  <w:noWrap w:val="0"/>
                  <w:vAlign w:val="center"/>
                </w:tcPr>
                <w:p w14:paraId="28D99CA2">
                  <w:pPr>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本项目不属于钢铁、气田开发、化工、造纸等高污染项目，项目属于加油加气站项目，</w:t>
                  </w:r>
                  <w:r>
                    <w:rPr>
                      <w:rFonts w:hint="eastAsia"/>
                      <w:color w:val="auto"/>
                      <w:sz w:val="21"/>
                      <w:szCs w:val="21"/>
                      <w:highlight w:val="none"/>
                    </w:rPr>
                    <w:t>项目</w:t>
                  </w:r>
                  <w:r>
                    <w:rPr>
                      <w:rFonts w:hint="eastAsia"/>
                      <w:color w:val="auto"/>
                      <w:sz w:val="21"/>
                      <w:szCs w:val="21"/>
                      <w:highlight w:val="none"/>
                      <w:lang w:val="en-US" w:eastAsia="zh-CN"/>
                    </w:rPr>
                    <w:t>生活污水和地面冲洗</w:t>
                  </w:r>
                  <w:r>
                    <w:rPr>
                      <w:rFonts w:hint="eastAsia"/>
                      <w:color w:val="auto"/>
                      <w:sz w:val="21"/>
                      <w:szCs w:val="21"/>
                      <w:highlight w:val="none"/>
                    </w:rPr>
                    <w:t>废水经预处理后通过市政污水管网进入达州市通川区魏兴场镇污水处理厂处理</w:t>
                  </w:r>
                  <w:r>
                    <w:rPr>
                      <w:rFonts w:hint="eastAsia"/>
                      <w:color w:val="auto"/>
                      <w:sz w:val="21"/>
                      <w:szCs w:val="21"/>
                      <w:highlight w:val="none"/>
                      <w:lang w:val="en-US" w:eastAsia="zh-CN"/>
                    </w:rPr>
                    <w:t>后</w:t>
                  </w:r>
                  <w:r>
                    <w:rPr>
                      <w:rFonts w:hint="eastAsia"/>
                      <w:color w:val="auto"/>
                      <w:sz w:val="21"/>
                      <w:szCs w:val="21"/>
                      <w:highlight w:val="none"/>
                      <w:lang w:eastAsia="zh-CN"/>
                    </w:rPr>
                    <w:t>，达到</w:t>
                  </w:r>
                  <w:r>
                    <w:rPr>
                      <w:rFonts w:hint="eastAsia"/>
                      <w:color w:val="auto"/>
                      <w:sz w:val="21"/>
                      <w:szCs w:val="21"/>
                      <w:highlight w:val="none"/>
                    </w:rPr>
                    <w:t>《城镇污水处理厂污染物排放标准》（GB18918—2002）一级A标准</w:t>
                  </w:r>
                  <w:r>
                    <w:rPr>
                      <w:rFonts w:hint="eastAsia"/>
                      <w:color w:val="auto"/>
                      <w:sz w:val="21"/>
                      <w:szCs w:val="21"/>
                      <w:highlight w:val="none"/>
                      <w:lang w:val="en-US" w:eastAsia="zh-CN"/>
                    </w:rPr>
                    <w:t>后外排；洗车废水经</w:t>
                  </w:r>
                  <w:r>
                    <w:rPr>
                      <w:rFonts w:hint="eastAsia" w:cs="Times New Roman"/>
                      <w:snapToGrid w:val="0"/>
                      <w:color w:val="auto"/>
                      <w:kern w:val="0"/>
                      <w:sz w:val="21"/>
                      <w:szCs w:val="21"/>
                      <w:highlight w:val="none"/>
                      <w:lang w:val="en-US" w:eastAsia="zh-CN"/>
                    </w:rPr>
                    <w:t>废水处理系统处理后（采用“隔油+絮凝沉淀+光催化氧化”工艺）</w:t>
                  </w:r>
                  <w:r>
                    <w:rPr>
                      <w:rFonts w:hint="eastAsia"/>
                      <w:color w:val="auto"/>
                      <w:sz w:val="21"/>
                      <w:szCs w:val="21"/>
                      <w:highlight w:val="none"/>
                      <w:lang w:val="en-US" w:eastAsia="zh-CN"/>
                    </w:rPr>
                    <w:t>回用，不外排。卸油、储存、加油过程中挥发的有机废气通过油气回收装置进行回收，LNG储罐放散天然气，经EAG加热气化后经站内10m高放散管有组织排放，满足《液化天然气(LNG)汽车加气站设计与施工规范》(NB/1001-2011)的规定。</w:t>
                  </w:r>
                </w:p>
              </w:tc>
              <w:tc>
                <w:tcPr>
                  <w:tcW w:w="268" w:type="pct"/>
                  <w:vMerge w:val="restart"/>
                  <w:tcBorders>
                    <w:tl2br w:val="nil"/>
                    <w:tr2bl w:val="nil"/>
                  </w:tcBorders>
                  <w:noWrap w:val="0"/>
                  <w:vAlign w:val="center"/>
                </w:tcPr>
                <w:p w14:paraId="353C7EB9">
                  <w:pPr>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5796A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continue"/>
                  <w:tcBorders>
                    <w:tl2br w:val="nil"/>
                    <w:tr2bl w:val="nil"/>
                  </w:tcBorders>
                  <w:noWrap w:val="0"/>
                  <w:vAlign w:val="center"/>
                </w:tcPr>
                <w:p w14:paraId="4D236C72">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rPr>
                  </w:pPr>
                </w:p>
              </w:tc>
              <w:tc>
                <w:tcPr>
                  <w:tcW w:w="371" w:type="pct"/>
                  <w:tcBorders>
                    <w:tl2br w:val="nil"/>
                    <w:tr2bl w:val="nil"/>
                  </w:tcBorders>
                  <w:noWrap w:val="0"/>
                  <w:vAlign w:val="center"/>
                </w:tcPr>
                <w:p w14:paraId="63A32EA1">
                  <w:pPr>
                    <w:keepNext w:val="0"/>
                    <w:keepLines w:val="0"/>
                    <w:suppressLineNumbers w:val="0"/>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通川区</w:t>
                  </w:r>
                </w:p>
              </w:tc>
              <w:tc>
                <w:tcPr>
                  <w:tcW w:w="2308" w:type="pct"/>
                  <w:tcBorders>
                    <w:tl2br w:val="nil"/>
                    <w:tr2bl w:val="nil"/>
                  </w:tcBorders>
                  <w:noWrap w:val="0"/>
                  <w:vAlign w:val="center"/>
                </w:tcPr>
                <w:p w14:paraId="65E0806A">
                  <w:pPr>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1.优化调整产业布局，以细颗粒物(PM</w:t>
                  </w:r>
                  <w:r>
                    <w:rPr>
                      <w:rFonts w:hint="eastAsia"/>
                      <w:color w:val="auto"/>
                      <w:sz w:val="21"/>
                      <w:szCs w:val="21"/>
                      <w:highlight w:val="none"/>
                      <w:vertAlign w:val="subscript"/>
                      <w:lang w:val="en-US" w:eastAsia="zh-CN"/>
                    </w:rPr>
                    <w:t>2.5</w:t>
                  </w:r>
                  <w:r>
                    <w:rPr>
                      <w:rFonts w:hint="eastAsia"/>
                      <w:color w:val="auto"/>
                      <w:sz w:val="21"/>
                      <w:szCs w:val="21"/>
                      <w:highlight w:val="none"/>
                      <w:lang w:val="en-US" w:eastAsia="zh-CN"/>
                    </w:rPr>
                    <w:t>)和臭氧</w:t>
                  </w:r>
                  <w:r>
                    <w:rPr>
                      <w:rFonts w:hint="default" w:ascii="Times New Roman" w:hAnsi="Times New Roman" w:cs="Times New Roman"/>
                      <w:color w:val="auto"/>
                      <w:sz w:val="21"/>
                      <w:szCs w:val="21"/>
                      <w:highlight w:val="none"/>
                      <w:lang w:val="en-US" w:eastAsia="zh-CN"/>
                    </w:rPr>
                    <w:t>(O</w:t>
                  </w:r>
                  <w:r>
                    <w:rPr>
                      <w:rFonts w:hint="eastAsia"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污染物协同控制</w:t>
                  </w:r>
                  <w:r>
                    <w:rPr>
                      <w:rFonts w:hint="eastAsia"/>
                      <w:color w:val="auto"/>
                      <w:sz w:val="21"/>
                      <w:szCs w:val="21"/>
                      <w:highlight w:val="none"/>
                      <w:lang w:val="en-US" w:eastAsia="zh-CN"/>
                    </w:rPr>
                    <w:t>为重点，全面开展挥发性有机物(VOCs)治理，实施移动源整治，持续推进空气质量精细化管理。</w:t>
                  </w:r>
                </w:p>
                <w:p w14:paraId="1A55638F">
                  <w:pPr>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2.调整农作物种植结构，加强农业氨污染控制，大力发展节水农业。</w:t>
                  </w:r>
                </w:p>
                <w:p w14:paraId="35BF901F">
                  <w:pPr>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3.加强建筑工程日常监管，对重点环节采取遮盖、洒水、封闭等措施控制扬尘排放。提高道路硬化率，减少道路起尘源。推动非道路移动机械达标排放示范企业建设。</w:t>
                  </w:r>
                </w:p>
                <w:p w14:paraId="0FCA9C03">
                  <w:pPr>
                    <w:keepNext w:val="0"/>
                    <w:keepLines w:val="0"/>
                    <w:suppressLineNumbers w:val="0"/>
                    <w:bidi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4.建立健全农业节水体系，推广使用节水灌溉技术，探索乡镇、农村生活污水资源化还田利用。大力开展沿河畜禽养殖污染整治，实现畜禽粪污减量化排放、无害化处理和资源化利用。</w:t>
                  </w:r>
                </w:p>
              </w:tc>
              <w:tc>
                <w:tcPr>
                  <w:tcW w:w="1575" w:type="pct"/>
                  <w:vMerge w:val="continue"/>
                  <w:tcBorders>
                    <w:tl2br w:val="nil"/>
                    <w:tr2bl w:val="nil"/>
                  </w:tcBorders>
                  <w:noWrap w:val="0"/>
                  <w:vAlign w:val="center"/>
                </w:tcPr>
                <w:p w14:paraId="0C2F5946">
                  <w:pPr>
                    <w:pStyle w:val="22"/>
                    <w:keepNext w:val="0"/>
                    <w:keepLines w:val="0"/>
                    <w:suppressLineNumbers w:val="0"/>
                    <w:spacing w:before="0" w:beforeAutospacing="0" w:afterAutospacing="0" w:line="240" w:lineRule="auto"/>
                    <w:ind w:right="0" w:firstLine="398"/>
                    <w:jc w:val="center"/>
                    <w:rPr>
                      <w:rFonts w:hint="default"/>
                      <w:b/>
                      <w:bCs/>
                      <w:color w:val="auto"/>
                      <w:kern w:val="2"/>
                      <w:sz w:val="21"/>
                      <w:szCs w:val="21"/>
                      <w:highlight w:val="none"/>
                    </w:rPr>
                  </w:pPr>
                </w:p>
              </w:tc>
              <w:tc>
                <w:tcPr>
                  <w:tcW w:w="268" w:type="pct"/>
                  <w:vMerge w:val="continue"/>
                  <w:tcBorders>
                    <w:tl2br w:val="nil"/>
                    <w:tr2bl w:val="nil"/>
                  </w:tcBorders>
                  <w:noWrap w:val="0"/>
                  <w:vAlign w:val="center"/>
                </w:tcPr>
                <w:p w14:paraId="281A7EC7">
                  <w:pPr>
                    <w:pStyle w:val="22"/>
                    <w:keepNext w:val="0"/>
                    <w:keepLines w:val="0"/>
                    <w:suppressLineNumbers w:val="0"/>
                    <w:spacing w:before="0" w:beforeAutospacing="0" w:afterAutospacing="0" w:line="240" w:lineRule="auto"/>
                    <w:ind w:right="0" w:firstLine="396"/>
                    <w:jc w:val="center"/>
                    <w:rPr>
                      <w:rFonts w:hint="default"/>
                      <w:color w:val="auto"/>
                      <w:sz w:val="21"/>
                      <w:szCs w:val="21"/>
                      <w:highlight w:val="none"/>
                    </w:rPr>
                  </w:pPr>
                </w:p>
              </w:tc>
            </w:tr>
          </w:tbl>
          <w:p w14:paraId="0E3ACF3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综上分析，项目符合</w:t>
            </w:r>
            <w:r>
              <w:rPr>
                <w:rFonts w:hint="eastAsia" w:cs="Times New Roman"/>
                <w:color w:val="auto"/>
                <w:sz w:val="24"/>
                <w:szCs w:val="24"/>
                <w:highlight w:val="none"/>
              </w:rPr>
              <w:t>《达州市人民政府办公室关于加强生态环境分区管控的通知》（达市府办函〔2024〕31号）</w:t>
            </w:r>
            <w:r>
              <w:rPr>
                <w:rFonts w:hint="default" w:ascii="Times New Roman" w:hAnsi="Times New Roman" w:eastAsia="宋体" w:cs="Times New Roman"/>
                <w:color w:val="auto"/>
                <w:sz w:val="24"/>
                <w:szCs w:val="24"/>
                <w:highlight w:val="none"/>
                <w:lang w:val="en-US" w:eastAsia="zh-CN"/>
              </w:rPr>
              <w:t>的要求</w:t>
            </w:r>
            <w:r>
              <w:rPr>
                <w:rFonts w:hint="default" w:ascii="Times New Roman" w:hAnsi="Times New Roman" w:eastAsia="宋体" w:cs="Times New Roman"/>
                <w:color w:val="auto"/>
                <w:sz w:val="24"/>
                <w:szCs w:val="24"/>
                <w:highlight w:val="none"/>
              </w:rPr>
              <w:t>。</w:t>
            </w:r>
          </w:p>
          <w:p w14:paraId="0DB73BAD">
            <w:pPr>
              <w:keepNext w:val="0"/>
              <w:keepLines w:val="0"/>
              <w:numPr>
                <w:ilvl w:val="0"/>
                <w:numId w:val="0"/>
              </w:numPr>
              <w:suppressLineNumbers w:val="0"/>
              <w:spacing w:before="0" w:beforeAutospacing="0" w:after="0" w:afterAutospacing="0" w:line="360" w:lineRule="auto"/>
              <w:ind w:left="0" w:leftChars="0" w:right="0" w:righ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eastAsia="宋体" w:cs="Times New Roman"/>
                <w:b/>
                <w:bCs/>
                <w:color w:val="auto"/>
                <w:sz w:val="24"/>
                <w:szCs w:val="24"/>
                <w:highlight w:val="none"/>
              </w:rPr>
              <w:t>四川省</w:t>
            </w:r>
            <w:r>
              <w:rPr>
                <w:rFonts w:hint="eastAsia" w:cs="Times New Roman"/>
                <w:b/>
                <w:bCs/>
                <w:color w:val="auto"/>
                <w:sz w:val="24"/>
                <w:szCs w:val="24"/>
                <w:highlight w:val="none"/>
                <w:lang w:eastAsia="zh-CN"/>
              </w:rPr>
              <w:t>“生态环境分区管控”</w:t>
            </w:r>
            <w:r>
              <w:rPr>
                <w:rFonts w:hint="default" w:ascii="Times New Roman" w:hAnsi="Times New Roman" w:eastAsia="宋体" w:cs="Times New Roman"/>
                <w:b/>
                <w:bCs/>
                <w:color w:val="auto"/>
                <w:sz w:val="24"/>
                <w:szCs w:val="24"/>
                <w:highlight w:val="none"/>
              </w:rPr>
              <w:t>数据分析</w:t>
            </w:r>
          </w:p>
          <w:p w14:paraId="0BD665C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根据四川省</w:t>
            </w:r>
            <w:r>
              <w:rPr>
                <w:rFonts w:hint="eastAsia" w:ascii="Times New Roman" w:hAnsi="Times New Roman" w:eastAsia="宋体" w:cs="Times New Roman"/>
                <w:color w:val="auto"/>
                <w:sz w:val="24"/>
                <w:szCs w:val="24"/>
                <w:highlight w:val="none"/>
                <w:lang w:val="en-US" w:eastAsia="zh-CN"/>
              </w:rPr>
              <w:t>“生态环境分区管控”</w:t>
            </w:r>
            <w:r>
              <w:rPr>
                <w:rFonts w:hint="default" w:ascii="Times New Roman" w:hAnsi="Times New Roman" w:eastAsia="宋体" w:cs="Times New Roman"/>
                <w:color w:val="auto"/>
                <w:sz w:val="24"/>
                <w:szCs w:val="24"/>
                <w:highlight w:val="none"/>
                <w:lang w:val="en-US" w:eastAsia="zh-CN"/>
              </w:rPr>
              <w:t>数据分析系统：通川东岳收费站出口（北）加油加气站项目位于达州市通川区环境综合管控单元工业重点管控单元（管控单元名称：达州市农产品加工集中区，管控单元编号：ZH51170220002）</w:t>
            </w:r>
          </w:p>
          <w:p w14:paraId="68F0A47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项目与管控单元相对位置如下图所示：（图中▼表示项目位置）</w:t>
            </w:r>
          </w:p>
          <w:p w14:paraId="4A9F256C">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lang w:val="en-US" w:eastAsia="zh-CN"/>
              </w:rPr>
            </w:pPr>
            <w:r>
              <w:rPr>
                <w:rFonts w:hint="default" w:ascii="Helvetica" w:hAnsi="Helvetica" w:eastAsia="Helvetica"/>
                <w:color w:val="auto"/>
                <w:sz w:val="28"/>
                <w:szCs w:val="24"/>
                <w:highlight w:val="none"/>
              </w:rPr>
              <w:drawing>
                <wp:inline distT="0" distB="0" distL="114300" distR="114300">
                  <wp:extent cx="5661025" cy="3912235"/>
                  <wp:effectExtent l="0" t="0" r="15875" b="1206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1"/>
                          <a:stretch>
                            <a:fillRect/>
                          </a:stretch>
                        </pic:blipFill>
                        <pic:spPr>
                          <a:xfrm>
                            <a:off x="0" y="0"/>
                            <a:ext cx="5661025" cy="3912235"/>
                          </a:xfrm>
                          <a:prstGeom prst="rect">
                            <a:avLst/>
                          </a:prstGeom>
                          <a:noFill/>
                          <a:ln>
                            <a:noFill/>
                          </a:ln>
                        </pic:spPr>
                      </pic:pic>
                    </a:graphicData>
                  </a:graphic>
                </wp:inline>
              </w:drawing>
            </w:r>
          </w:p>
          <w:p w14:paraId="5CBC2FBE">
            <w:pPr>
              <w:keepNext w:val="0"/>
              <w:keepLines w:val="0"/>
              <w:suppressLineNumbers w:val="0"/>
              <w:spacing w:before="0" w:beforeAutospacing="0" w:after="0" w:afterAutospacing="0" w:line="360" w:lineRule="auto"/>
              <w:ind w:left="0" w:right="0"/>
              <w:jc w:val="center"/>
              <w:rPr>
                <w:rFonts w:hint="default"/>
                <w:color w:val="auto"/>
                <w:highlight w:val="none"/>
              </w:rPr>
            </w:pPr>
            <w:r>
              <w:rPr>
                <w:rFonts w:hint="default"/>
                <w:color w:val="auto"/>
                <w:highlight w:val="none"/>
              </w:rPr>
              <w:drawing>
                <wp:inline distT="0" distB="0" distL="114300" distR="114300">
                  <wp:extent cx="5615305" cy="4260850"/>
                  <wp:effectExtent l="0" t="0" r="4445" b="635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12"/>
                          <a:stretch>
                            <a:fillRect/>
                          </a:stretch>
                        </pic:blipFill>
                        <pic:spPr>
                          <a:xfrm>
                            <a:off x="0" y="0"/>
                            <a:ext cx="5615305" cy="4260850"/>
                          </a:xfrm>
                          <a:prstGeom prst="rect">
                            <a:avLst/>
                          </a:prstGeom>
                          <a:noFill/>
                          <a:ln>
                            <a:noFill/>
                          </a:ln>
                        </pic:spPr>
                      </pic:pic>
                    </a:graphicData>
                  </a:graphic>
                </wp:inline>
              </w:drawing>
            </w:r>
          </w:p>
          <w:p w14:paraId="0B87DE34">
            <w:pPr>
              <w:keepNext w:val="0"/>
              <w:keepLines w:val="0"/>
              <w:suppressLineNumbers w:val="0"/>
              <w:spacing w:before="0" w:beforeAutospacing="0" w:after="0" w:afterAutospacing="0" w:line="360" w:lineRule="auto"/>
              <w:ind w:left="0" w:right="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图1-</w:t>
            </w:r>
            <w:r>
              <w:rPr>
                <w:rFonts w:hint="eastAsia" w:eastAsia="黑体" w:cs="Times New Roman"/>
                <w:b/>
                <w:bCs/>
                <w:color w:val="auto"/>
                <w:kern w:val="0"/>
                <w:sz w:val="20"/>
                <w:szCs w:val="20"/>
                <w:highlight w:val="none"/>
                <w:lang w:val="en-US" w:eastAsia="zh-CN" w:bidi="ar-SA"/>
              </w:rPr>
              <w:t>4</w:t>
            </w:r>
            <w:r>
              <w:rPr>
                <w:rFonts w:hint="default" w:ascii="Times New Roman" w:hAnsi="Times New Roman" w:eastAsia="黑体" w:cs="Times New Roman"/>
                <w:b/>
                <w:bCs/>
                <w:color w:val="auto"/>
                <w:kern w:val="0"/>
                <w:sz w:val="20"/>
                <w:szCs w:val="20"/>
                <w:highlight w:val="none"/>
                <w:lang w:val="en-US" w:eastAsia="zh-CN" w:bidi="ar-SA"/>
              </w:rPr>
              <w:t xml:space="preserve"> 四川省“生态环境分区管控”数据分析系统查询</w:t>
            </w:r>
            <w:r>
              <w:rPr>
                <w:rFonts w:hint="eastAsia" w:ascii="Times New Roman" w:hAnsi="Times New Roman" w:eastAsia="黑体" w:cs="Times New Roman"/>
                <w:b/>
                <w:bCs/>
                <w:color w:val="auto"/>
                <w:kern w:val="0"/>
                <w:sz w:val="20"/>
                <w:szCs w:val="20"/>
                <w:highlight w:val="none"/>
                <w:lang w:val="en-US" w:eastAsia="zh-CN" w:bidi="ar-SA"/>
              </w:rPr>
              <w:t>结果截图</w:t>
            </w:r>
          </w:p>
          <w:p w14:paraId="0B25EDFF">
            <w:pPr>
              <w:keepNext w:val="0"/>
              <w:keepLines w:val="0"/>
              <w:suppressLineNumbers w:val="0"/>
              <w:spacing w:before="0" w:beforeAutospacing="0" w:after="0" w:afterAutospacing="0" w:line="360" w:lineRule="auto"/>
              <w:ind w:left="0" w:right="0" w:firstLine="480" w:firstLineChars="200"/>
              <w:rPr>
                <w:rFonts w:hint="default" w:cs="Times New Roman"/>
                <w:b/>
                <w:bCs/>
                <w:color w:val="auto"/>
                <w:sz w:val="24"/>
                <w:szCs w:val="24"/>
                <w:highlight w:val="none"/>
              </w:rPr>
            </w:pPr>
            <w:r>
              <w:rPr>
                <w:rFonts w:hint="eastAsia" w:cs="Times New Roman"/>
                <w:color w:val="auto"/>
                <w:sz w:val="24"/>
                <w:szCs w:val="24"/>
                <w:highlight w:val="none"/>
                <w:lang w:val="en-US" w:eastAsia="zh-CN"/>
              </w:rPr>
              <w:t>本项目</w:t>
            </w:r>
            <w:r>
              <w:rPr>
                <w:rFonts w:hint="default" w:cs="Times New Roman"/>
                <w:color w:val="auto"/>
                <w:sz w:val="24"/>
                <w:szCs w:val="24"/>
                <w:highlight w:val="none"/>
              </w:rPr>
              <w:t>共涉及</w:t>
            </w:r>
            <w:r>
              <w:rPr>
                <w:rFonts w:hint="eastAsia" w:cs="Times New Roman"/>
                <w:color w:val="auto"/>
                <w:sz w:val="24"/>
                <w:szCs w:val="24"/>
                <w:highlight w:val="none"/>
                <w:lang w:val="en-US" w:eastAsia="zh-CN"/>
              </w:rPr>
              <w:t>5</w:t>
            </w:r>
            <w:r>
              <w:rPr>
                <w:rFonts w:hint="default" w:cs="Times New Roman"/>
                <w:color w:val="auto"/>
                <w:sz w:val="24"/>
                <w:szCs w:val="24"/>
                <w:highlight w:val="none"/>
              </w:rPr>
              <w:t>个管控单元。</w:t>
            </w:r>
            <w:r>
              <w:rPr>
                <w:rFonts w:hint="eastAsia" w:cs="Times New Roman"/>
                <w:color w:val="auto"/>
                <w:sz w:val="24"/>
                <w:szCs w:val="24"/>
                <w:highlight w:val="none"/>
                <w:lang w:eastAsia="zh-CN"/>
              </w:rPr>
              <w:t>涉及的</w:t>
            </w:r>
            <w:r>
              <w:rPr>
                <w:rFonts w:hint="default" w:cs="Times New Roman"/>
                <w:color w:val="auto"/>
                <w:sz w:val="24"/>
                <w:szCs w:val="24"/>
                <w:highlight w:val="none"/>
              </w:rPr>
              <w:t>管控单元见表1-</w:t>
            </w:r>
            <w:r>
              <w:rPr>
                <w:rFonts w:hint="eastAsia" w:cs="Times New Roman"/>
                <w:color w:val="auto"/>
                <w:sz w:val="24"/>
                <w:szCs w:val="24"/>
                <w:highlight w:val="none"/>
                <w:lang w:val="en-US" w:eastAsia="zh-CN"/>
              </w:rPr>
              <w:t>3</w:t>
            </w:r>
            <w:r>
              <w:rPr>
                <w:rFonts w:hint="default" w:cs="Times New Roman"/>
                <w:color w:val="auto"/>
                <w:sz w:val="24"/>
                <w:szCs w:val="24"/>
                <w:highlight w:val="none"/>
              </w:rPr>
              <w:t>。</w:t>
            </w:r>
          </w:p>
          <w:p w14:paraId="63D48DCA">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表1-</w:t>
            </w:r>
            <w:r>
              <w:rPr>
                <w:rFonts w:hint="eastAsia" w:ascii="Times New Roman" w:hAnsi="Times New Roman" w:eastAsia="黑体" w:cs="Times New Roman"/>
                <w:b/>
                <w:bCs/>
                <w:color w:val="auto"/>
                <w:kern w:val="0"/>
                <w:sz w:val="20"/>
                <w:szCs w:val="20"/>
                <w:highlight w:val="none"/>
                <w:lang w:val="en-US" w:eastAsia="zh-CN" w:bidi="ar-SA"/>
              </w:rPr>
              <w:t>3</w:t>
            </w:r>
            <w:r>
              <w:rPr>
                <w:rFonts w:hint="default" w:ascii="Times New Roman" w:hAnsi="Times New Roman" w:eastAsia="黑体" w:cs="Times New Roman"/>
                <w:b/>
                <w:bCs/>
                <w:color w:val="auto"/>
                <w:kern w:val="0"/>
                <w:sz w:val="20"/>
                <w:szCs w:val="20"/>
                <w:highlight w:val="none"/>
                <w:lang w:val="en-US" w:eastAsia="zh-CN" w:bidi="ar-SA"/>
              </w:rPr>
              <w:t xml:space="preserve"> 本项目涉及的环境管控单元一览表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46"/>
              <w:gridCol w:w="1968"/>
              <w:gridCol w:w="1979"/>
              <w:gridCol w:w="813"/>
              <w:gridCol w:w="946"/>
              <w:gridCol w:w="870"/>
              <w:gridCol w:w="1929"/>
            </w:tblGrid>
            <w:tr w14:paraId="34844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49" w:type="pct"/>
                  <w:tcBorders>
                    <w:tl2br w:val="nil"/>
                    <w:tr2bl w:val="nil"/>
                  </w:tcBorders>
                  <w:shd w:val="clear" w:color="000000" w:themeColor="text1" w:fill="auto"/>
                  <w:vAlign w:val="center"/>
                </w:tcPr>
                <w:p w14:paraId="2AD5CB5F">
                  <w:pPr>
                    <w:keepNext w:val="0"/>
                    <w:keepLines w:val="0"/>
                    <w:widowControl/>
                    <w:suppressLineNumbers w:val="0"/>
                    <w:spacing w:before="0" w:beforeAutospacing="0" w:after="0" w:afterAutospacing="0"/>
                    <w:ind w:left="0" w:right="0"/>
                    <w:jc w:val="center"/>
                    <w:rPr>
                      <w:rFonts w:hint="eastAsia" w:eastAsia="宋体" w:cs="Times New Roman"/>
                      <w:b/>
                      <w:bCs/>
                      <w:color w:val="auto"/>
                      <w:kern w:val="0"/>
                      <w:sz w:val="21"/>
                      <w:szCs w:val="21"/>
                      <w:highlight w:val="none"/>
                      <w:lang w:val="en-US" w:eastAsia="zh-CN" w:bidi="ar"/>
                    </w:rPr>
                  </w:pPr>
                  <w:r>
                    <w:rPr>
                      <w:rFonts w:hint="eastAsia" w:cs="Times New Roman"/>
                      <w:b/>
                      <w:bCs/>
                      <w:color w:val="auto"/>
                      <w:kern w:val="0"/>
                      <w:sz w:val="21"/>
                      <w:szCs w:val="21"/>
                      <w:highlight w:val="none"/>
                      <w:lang w:val="en-US" w:eastAsia="zh-CN" w:bidi="ar"/>
                    </w:rPr>
                    <w:t>序号</w:t>
                  </w:r>
                </w:p>
              </w:tc>
              <w:tc>
                <w:tcPr>
                  <w:tcW w:w="1099" w:type="pct"/>
                  <w:tcBorders>
                    <w:tl2br w:val="nil"/>
                    <w:tr2bl w:val="nil"/>
                  </w:tcBorders>
                  <w:shd w:val="clear" w:color="000000" w:themeColor="text1" w:fill="auto"/>
                  <w:vAlign w:val="center"/>
                </w:tcPr>
                <w:p w14:paraId="0B04FAF4">
                  <w:pPr>
                    <w:keepNext w:val="0"/>
                    <w:keepLines w:val="0"/>
                    <w:widowControl/>
                    <w:suppressLineNumbers w:val="0"/>
                    <w:spacing w:before="0" w:beforeAutospacing="0" w:after="0" w:afterAutospacing="0"/>
                    <w:ind w:left="0" w:right="0"/>
                    <w:jc w:val="center"/>
                    <w:rPr>
                      <w:rFonts w:hint="default" w:cs="Times New Roman"/>
                      <w:b/>
                      <w:bCs/>
                      <w:color w:val="auto"/>
                      <w:kern w:val="0"/>
                      <w:sz w:val="21"/>
                      <w:szCs w:val="21"/>
                      <w:highlight w:val="none"/>
                      <w:lang w:bidi="ar"/>
                    </w:rPr>
                  </w:pPr>
                  <w:r>
                    <w:rPr>
                      <w:rFonts w:hint="default" w:cs="Times New Roman"/>
                      <w:b/>
                      <w:bCs/>
                      <w:color w:val="auto"/>
                      <w:kern w:val="0"/>
                      <w:sz w:val="21"/>
                      <w:szCs w:val="21"/>
                      <w:highlight w:val="none"/>
                      <w:lang w:bidi="ar"/>
                    </w:rPr>
                    <w:t>环境管控单元编码</w:t>
                  </w:r>
                </w:p>
              </w:tc>
              <w:tc>
                <w:tcPr>
                  <w:tcW w:w="1105" w:type="pct"/>
                  <w:tcBorders>
                    <w:tl2br w:val="nil"/>
                    <w:tr2bl w:val="nil"/>
                  </w:tcBorders>
                  <w:shd w:val="clear" w:color="000000" w:themeColor="text1" w:fill="auto"/>
                  <w:vAlign w:val="center"/>
                </w:tcPr>
                <w:p w14:paraId="7EA35FCE">
                  <w:pPr>
                    <w:keepNext w:val="0"/>
                    <w:keepLines w:val="0"/>
                    <w:widowControl/>
                    <w:suppressLineNumbers w:val="0"/>
                    <w:spacing w:before="0" w:beforeAutospacing="0" w:after="0" w:afterAutospacing="0"/>
                    <w:ind w:left="0" w:right="0"/>
                    <w:jc w:val="center"/>
                    <w:rPr>
                      <w:rFonts w:hint="default" w:cs="Times New Roman"/>
                      <w:b/>
                      <w:bCs/>
                      <w:color w:val="auto"/>
                      <w:kern w:val="0"/>
                      <w:sz w:val="21"/>
                      <w:szCs w:val="21"/>
                      <w:highlight w:val="none"/>
                      <w:lang w:bidi="ar"/>
                    </w:rPr>
                  </w:pPr>
                  <w:r>
                    <w:rPr>
                      <w:rFonts w:hint="default" w:cs="Times New Roman"/>
                      <w:b/>
                      <w:bCs/>
                      <w:color w:val="auto"/>
                      <w:kern w:val="0"/>
                      <w:sz w:val="21"/>
                      <w:szCs w:val="21"/>
                      <w:highlight w:val="none"/>
                      <w:lang w:bidi="ar"/>
                    </w:rPr>
                    <w:t>环境管控单元名称</w:t>
                  </w:r>
                </w:p>
              </w:tc>
              <w:tc>
                <w:tcPr>
                  <w:tcW w:w="454" w:type="pct"/>
                  <w:tcBorders>
                    <w:tl2br w:val="nil"/>
                    <w:tr2bl w:val="nil"/>
                  </w:tcBorders>
                  <w:shd w:val="clear" w:color="000000" w:themeColor="text1" w:fill="auto"/>
                  <w:vAlign w:val="center"/>
                </w:tcPr>
                <w:p w14:paraId="51B8E8CE">
                  <w:pPr>
                    <w:keepNext w:val="0"/>
                    <w:keepLines w:val="0"/>
                    <w:widowControl/>
                    <w:suppressLineNumbers w:val="0"/>
                    <w:spacing w:before="0" w:beforeAutospacing="0" w:after="0" w:afterAutospacing="0"/>
                    <w:ind w:left="0" w:right="0"/>
                    <w:jc w:val="center"/>
                    <w:rPr>
                      <w:rFonts w:hint="default" w:cs="Times New Roman"/>
                      <w:b/>
                      <w:bCs/>
                      <w:color w:val="auto"/>
                      <w:kern w:val="0"/>
                      <w:sz w:val="21"/>
                      <w:szCs w:val="21"/>
                      <w:highlight w:val="none"/>
                      <w:lang w:bidi="ar"/>
                    </w:rPr>
                  </w:pPr>
                  <w:r>
                    <w:rPr>
                      <w:rFonts w:hint="default" w:cs="Times New Roman"/>
                      <w:b/>
                      <w:bCs/>
                      <w:color w:val="auto"/>
                      <w:kern w:val="0"/>
                      <w:sz w:val="21"/>
                      <w:szCs w:val="21"/>
                      <w:highlight w:val="none"/>
                      <w:lang w:bidi="ar"/>
                    </w:rPr>
                    <w:t>所属城市</w:t>
                  </w:r>
                </w:p>
              </w:tc>
              <w:tc>
                <w:tcPr>
                  <w:tcW w:w="528" w:type="pct"/>
                  <w:tcBorders>
                    <w:tl2br w:val="nil"/>
                    <w:tr2bl w:val="nil"/>
                  </w:tcBorders>
                  <w:shd w:val="clear" w:color="000000" w:themeColor="text1" w:fill="auto"/>
                  <w:vAlign w:val="center"/>
                </w:tcPr>
                <w:p w14:paraId="1C5FB1F2">
                  <w:pPr>
                    <w:keepNext w:val="0"/>
                    <w:keepLines w:val="0"/>
                    <w:widowControl/>
                    <w:suppressLineNumbers w:val="0"/>
                    <w:spacing w:before="0" w:beforeAutospacing="0" w:after="0" w:afterAutospacing="0"/>
                    <w:ind w:left="0" w:right="0"/>
                    <w:jc w:val="center"/>
                    <w:rPr>
                      <w:rFonts w:hint="default" w:cs="Times New Roman"/>
                      <w:b/>
                      <w:bCs/>
                      <w:color w:val="auto"/>
                      <w:kern w:val="0"/>
                      <w:sz w:val="21"/>
                      <w:szCs w:val="21"/>
                      <w:highlight w:val="none"/>
                      <w:lang w:bidi="ar"/>
                    </w:rPr>
                  </w:pPr>
                  <w:r>
                    <w:rPr>
                      <w:rFonts w:hint="default" w:cs="Times New Roman"/>
                      <w:b/>
                      <w:bCs/>
                      <w:color w:val="auto"/>
                      <w:kern w:val="0"/>
                      <w:sz w:val="21"/>
                      <w:szCs w:val="21"/>
                      <w:highlight w:val="none"/>
                      <w:lang w:bidi="ar"/>
                    </w:rPr>
                    <w:t>所属区（县）</w:t>
                  </w:r>
                </w:p>
              </w:tc>
              <w:tc>
                <w:tcPr>
                  <w:tcW w:w="486" w:type="pct"/>
                  <w:tcBorders>
                    <w:tl2br w:val="nil"/>
                    <w:tr2bl w:val="nil"/>
                  </w:tcBorders>
                  <w:shd w:val="clear" w:color="000000" w:themeColor="text1" w:fill="auto"/>
                  <w:vAlign w:val="center"/>
                </w:tcPr>
                <w:p w14:paraId="55BC9F58">
                  <w:pPr>
                    <w:keepNext w:val="0"/>
                    <w:keepLines w:val="0"/>
                    <w:widowControl/>
                    <w:suppressLineNumbers w:val="0"/>
                    <w:spacing w:before="0" w:beforeAutospacing="0" w:after="0" w:afterAutospacing="0"/>
                    <w:ind w:left="0" w:right="0"/>
                    <w:jc w:val="center"/>
                    <w:rPr>
                      <w:rFonts w:hint="default" w:cs="Times New Roman"/>
                      <w:b/>
                      <w:bCs/>
                      <w:color w:val="auto"/>
                      <w:kern w:val="0"/>
                      <w:sz w:val="21"/>
                      <w:szCs w:val="21"/>
                      <w:highlight w:val="none"/>
                      <w:lang w:bidi="ar"/>
                    </w:rPr>
                  </w:pPr>
                  <w:r>
                    <w:rPr>
                      <w:rFonts w:hint="default" w:cs="Times New Roman"/>
                      <w:b/>
                      <w:bCs/>
                      <w:color w:val="auto"/>
                      <w:kern w:val="0"/>
                      <w:sz w:val="21"/>
                      <w:szCs w:val="21"/>
                      <w:highlight w:val="none"/>
                      <w:lang w:bidi="ar"/>
                    </w:rPr>
                    <w:t>准入清单类型</w:t>
                  </w:r>
                </w:p>
              </w:tc>
              <w:tc>
                <w:tcPr>
                  <w:tcW w:w="1077" w:type="pct"/>
                  <w:tcBorders>
                    <w:tl2br w:val="nil"/>
                    <w:tr2bl w:val="nil"/>
                  </w:tcBorders>
                  <w:shd w:val="clear" w:color="000000" w:themeColor="text1" w:fill="auto"/>
                  <w:vAlign w:val="center"/>
                </w:tcPr>
                <w:p w14:paraId="1E74A9CB">
                  <w:pPr>
                    <w:keepNext w:val="0"/>
                    <w:keepLines w:val="0"/>
                    <w:widowControl/>
                    <w:suppressLineNumbers w:val="0"/>
                    <w:spacing w:before="0" w:beforeAutospacing="0" w:after="0" w:afterAutospacing="0"/>
                    <w:ind w:left="0" w:right="0"/>
                    <w:jc w:val="center"/>
                    <w:rPr>
                      <w:rFonts w:hint="default" w:cs="Times New Roman"/>
                      <w:b/>
                      <w:bCs/>
                      <w:color w:val="auto"/>
                      <w:kern w:val="0"/>
                      <w:sz w:val="21"/>
                      <w:szCs w:val="21"/>
                      <w:highlight w:val="none"/>
                      <w:lang w:bidi="ar"/>
                    </w:rPr>
                  </w:pPr>
                  <w:r>
                    <w:rPr>
                      <w:rFonts w:hint="default" w:cs="Times New Roman"/>
                      <w:b/>
                      <w:bCs/>
                      <w:color w:val="auto"/>
                      <w:kern w:val="0"/>
                      <w:sz w:val="21"/>
                      <w:szCs w:val="21"/>
                      <w:highlight w:val="none"/>
                      <w:lang w:bidi="ar"/>
                    </w:rPr>
                    <w:t>管控类型</w:t>
                  </w:r>
                </w:p>
              </w:tc>
            </w:tr>
            <w:tr w14:paraId="191BA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49" w:type="pct"/>
                  <w:tcBorders>
                    <w:tl2br w:val="nil"/>
                    <w:tr2bl w:val="nil"/>
                  </w:tcBorders>
                  <w:vAlign w:val="center"/>
                </w:tcPr>
                <w:p w14:paraId="68F667E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2043" w:type="dxa"/>
                  <w:tcBorders>
                    <w:tl2br w:val="nil"/>
                    <w:tr2bl w:val="nil"/>
                  </w:tcBorders>
                  <w:vAlign w:val="center"/>
                </w:tcPr>
                <w:p w14:paraId="2E4C034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YS5117022210001</w:t>
                  </w:r>
                </w:p>
              </w:tc>
              <w:tc>
                <w:tcPr>
                  <w:tcW w:w="2054" w:type="dxa"/>
                  <w:tcBorders>
                    <w:tl2br w:val="nil"/>
                    <w:tr2bl w:val="nil"/>
                  </w:tcBorders>
                  <w:vAlign w:val="center"/>
                </w:tcPr>
                <w:p w14:paraId="2ED1F6A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州河-通川区-车家河-控制单元</w:t>
                  </w:r>
                </w:p>
              </w:tc>
              <w:tc>
                <w:tcPr>
                  <w:tcW w:w="844" w:type="dxa"/>
                  <w:tcBorders>
                    <w:tl2br w:val="nil"/>
                    <w:tr2bl w:val="nil"/>
                  </w:tcBorders>
                  <w:vAlign w:val="center"/>
                </w:tcPr>
                <w:p w14:paraId="57270B0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达州市</w:t>
                  </w:r>
                </w:p>
              </w:tc>
              <w:tc>
                <w:tcPr>
                  <w:tcW w:w="982" w:type="dxa"/>
                  <w:tcBorders>
                    <w:tl2br w:val="nil"/>
                    <w:tr2bl w:val="nil"/>
                  </w:tcBorders>
                  <w:vAlign w:val="center"/>
                </w:tcPr>
                <w:p w14:paraId="088D39C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通川区</w:t>
                  </w:r>
                </w:p>
              </w:tc>
              <w:tc>
                <w:tcPr>
                  <w:tcW w:w="903" w:type="dxa"/>
                  <w:tcBorders>
                    <w:tl2br w:val="nil"/>
                    <w:tr2bl w:val="nil"/>
                  </w:tcBorders>
                  <w:vAlign w:val="center"/>
                </w:tcPr>
                <w:p w14:paraId="1D4022F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水环境管控分区</w:t>
                  </w:r>
                </w:p>
              </w:tc>
              <w:tc>
                <w:tcPr>
                  <w:tcW w:w="2002" w:type="dxa"/>
                  <w:tcBorders>
                    <w:tl2br w:val="nil"/>
                    <w:tr2bl w:val="nil"/>
                  </w:tcBorders>
                  <w:vAlign w:val="center"/>
                </w:tcPr>
                <w:p w14:paraId="140C104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水环境工业污染重点管控区</w:t>
                  </w:r>
                </w:p>
              </w:tc>
            </w:tr>
            <w:tr w14:paraId="7D617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49" w:type="pct"/>
                  <w:tcBorders>
                    <w:tl2br w:val="nil"/>
                    <w:tr2bl w:val="nil"/>
                  </w:tcBorders>
                  <w:vAlign w:val="center"/>
                </w:tcPr>
                <w:p w14:paraId="079B70B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w:t>
                  </w:r>
                </w:p>
              </w:tc>
              <w:tc>
                <w:tcPr>
                  <w:tcW w:w="2043" w:type="dxa"/>
                  <w:tcBorders>
                    <w:tl2br w:val="nil"/>
                    <w:tr2bl w:val="nil"/>
                  </w:tcBorders>
                  <w:vAlign w:val="center"/>
                </w:tcPr>
                <w:p w14:paraId="2320267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YS5117022310001</w:t>
                  </w:r>
                </w:p>
              </w:tc>
              <w:tc>
                <w:tcPr>
                  <w:tcW w:w="2054" w:type="dxa"/>
                  <w:tcBorders>
                    <w:tl2br w:val="nil"/>
                    <w:tr2bl w:val="nil"/>
                  </w:tcBorders>
                  <w:vAlign w:val="center"/>
                </w:tcPr>
                <w:p w14:paraId="5077217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达州市农产品加工集中区</w:t>
                  </w:r>
                </w:p>
              </w:tc>
              <w:tc>
                <w:tcPr>
                  <w:tcW w:w="844" w:type="dxa"/>
                  <w:tcBorders>
                    <w:tl2br w:val="nil"/>
                    <w:tr2bl w:val="nil"/>
                  </w:tcBorders>
                  <w:vAlign w:val="center"/>
                </w:tcPr>
                <w:p w14:paraId="5553624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达州市</w:t>
                  </w:r>
                </w:p>
              </w:tc>
              <w:tc>
                <w:tcPr>
                  <w:tcW w:w="982" w:type="dxa"/>
                  <w:tcBorders>
                    <w:tl2br w:val="nil"/>
                    <w:tr2bl w:val="nil"/>
                  </w:tcBorders>
                  <w:vAlign w:val="center"/>
                </w:tcPr>
                <w:p w14:paraId="3CD5256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通川区</w:t>
                  </w:r>
                </w:p>
              </w:tc>
              <w:tc>
                <w:tcPr>
                  <w:tcW w:w="903" w:type="dxa"/>
                  <w:tcBorders>
                    <w:tl2br w:val="nil"/>
                    <w:tr2bl w:val="nil"/>
                  </w:tcBorders>
                  <w:vAlign w:val="center"/>
                </w:tcPr>
                <w:p w14:paraId="3452D09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大气环境管控分区</w:t>
                  </w:r>
                </w:p>
              </w:tc>
              <w:tc>
                <w:tcPr>
                  <w:tcW w:w="2002" w:type="dxa"/>
                  <w:tcBorders>
                    <w:tl2br w:val="nil"/>
                    <w:tr2bl w:val="nil"/>
                  </w:tcBorders>
                  <w:vAlign w:val="center"/>
                </w:tcPr>
                <w:p w14:paraId="61145E1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大气环境高排放重点管控区</w:t>
                  </w:r>
                </w:p>
              </w:tc>
            </w:tr>
            <w:tr w14:paraId="70D6F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49" w:type="pct"/>
                  <w:tcBorders>
                    <w:tl2br w:val="nil"/>
                    <w:tr2bl w:val="nil"/>
                  </w:tcBorders>
                  <w:vAlign w:val="center"/>
                </w:tcPr>
                <w:p w14:paraId="2A420CF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w:t>
                  </w:r>
                </w:p>
              </w:tc>
              <w:tc>
                <w:tcPr>
                  <w:tcW w:w="2043" w:type="dxa"/>
                  <w:tcBorders>
                    <w:tl2br w:val="nil"/>
                    <w:tr2bl w:val="nil"/>
                  </w:tcBorders>
                  <w:vAlign w:val="center"/>
                </w:tcPr>
                <w:p w14:paraId="3FE5F68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YS5117022530001</w:t>
                  </w:r>
                </w:p>
              </w:tc>
              <w:tc>
                <w:tcPr>
                  <w:tcW w:w="2054" w:type="dxa"/>
                  <w:tcBorders>
                    <w:tl2br w:val="nil"/>
                    <w:tr2bl w:val="nil"/>
                  </w:tcBorders>
                  <w:vAlign w:val="center"/>
                </w:tcPr>
                <w:p w14:paraId="2888D00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通川区城镇开发边界</w:t>
                  </w:r>
                </w:p>
              </w:tc>
              <w:tc>
                <w:tcPr>
                  <w:tcW w:w="844" w:type="dxa"/>
                  <w:tcBorders>
                    <w:tl2br w:val="nil"/>
                    <w:tr2bl w:val="nil"/>
                  </w:tcBorders>
                  <w:vAlign w:val="center"/>
                </w:tcPr>
                <w:p w14:paraId="1D02483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达州市</w:t>
                  </w:r>
                </w:p>
              </w:tc>
              <w:tc>
                <w:tcPr>
                  <w:tcW w:w="982" w:type="dxa"/>
                  <w:tcBorders>
                    <w:tl2br w:val="nil"/>
                    <w:tr2bl w:val="nil"/>
                  </w:tcBorders>
                  <w:vAlign w:val="center"/>
                </w:tcPr>
                <w:p w14:paraId="4E794F0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通川区</w:t>
                  </w:r>
                </w:p>
              </w:tc>
              <w:tc>
                <w:tcPr>
                  <w:tcW w:w="903" w:type="dxa"/>
                  <w:tcBorders>
                    <w:tl2br w:val="nil"/>
                    <w:tr2bl w:val="nil"/>
                  </w:tcBorders>
                  <w:vAlign w:val="center"/>
                </w:tcPr>
                <w:p w14:paraId="2037884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资源管控分区</w:t>
                  </w:r>
                </w:p>
              </w:tc>
              <w:tc>
                <w:tcPr>
                  <w:tcW w:w="2002" w:type="dxa"/>
                  <w:tcBorders>
                    <w:tl2br w:val="nil"/>
                    <w:tr2bl w:val="nil"/>
                  </w:tcBorders>
                  <w:vAlign w:val="center"/>
                </w:tcPr>
                <w:p w14:paraId="6F3D877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土地资源重点管控区</w:t>
                  </w:r>
                </w:p>
              </w:tc>
            </w:tr>
            <w:tr w14:paraId="2D8BD4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249" w:type="pct"/>
                  <w:tcBorders>
                    <w:tl2br w:val="nil"/>
                    <w:tr2bl w:val="nil"/>
                  </w:tcBorders>
                  <w:vAlign w:val="center"/>
                </w:tcPr>
                <w:p w14:paraId="5795912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w:t>
                  </w:r>
                </w:p>
              </w:tc>
              <w:tc>
                <w:tcPr>
                  <w:tcW w:w="2043" w:type="dxa"/>
                  <w:tcBorders>
                    <w:tl2br w:val="nil"/>
                    <w:tr2bl w:val="nil"/>
                  </w:tcBorders>
                  <w:vAlign w:val="center"/>
                </w:tcPr>
                <w:p w14:paraId="665B1A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YS5117022550001</w:t>
                  </w:r>
                </w:p>
              </w:tc>
              <w:tc>
                <w:tcPr>
                  <w:tcW w:w="2054" w:type="dxa"/>
                  <w:tcBorders>
                    <w:tl2br w:val="nil"/>
                    <w:tr2bl w:val="nil"/>
                  </w:tcBorders>
                  <w:vAlign w:val="center"/>
                </w:tcPr>
                <w:p w14:paraId="10B57FF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通川区自然资源重点管控区</w:t>
                  </w:r>
                </w:p>
              </w:tc>
              <w:tc>
                <w:tcPr>
                  <w:tcW w:w="844" w:type="dxa"/>
                  <w:tcBorders>
                    <w:tl2br w:val="nil"/>
                    <w:tr2bl w:val="nil"/>
                  </w:tcBorders>
                  <w:vAlign w:val="center"/>
                </w:tcPr>
                <w:p w14:paraId="6842776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达州市</w:t>
                  </w:r>
                </w:p>
              </w:tc>
              <w:tc>
                <w:tcPr>
                  <w:tcW w:w="982" w:type="dxa"/>
                  <w:tcBorders>
                    <w:tl2br w:val="nil"/>
                    <w:tr2bl w:val="nil"/>
                  </w:tcBorders>
                  <w:vAlign w:val="center"/>
                </w:tcPr>
                <w:p w14:paraId="1E9A4A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通川区</w:t>
                  </w:r>
                </w:p>
              </w:tc>
              <w:tc>
                <w:tcPr>
                  <w:tcW w:w="903" w:type="dxa"/>
                  <w:tcBorders>
                    <w:tl2br w:val="nil"/>
                    <w:tr2bl w:val="nil"/>
                  </w:tcBorders>
                  <w:vAlign w:val="center"/>
                </w:tcPr>
                <w:p w14:paraId="4FCBC30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资源管控分区</w:t>
                  </w:r>
                </w:p>
              </w:tc>
              <w:tc>
                <w:tcPr>
                  <w:tcW w:w="2002" w:type="dxa"/>
                  <w:tcBorders>
                    <w:tl2br w:val="nil"/>
                    <w:tr2bl w:val="nil"/>
                  </w:tcBorders>
                  <w:vAlign w:val="center"/>
                </w:tcPr>
                <w:p w14:paraId="43D41F2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自然资源重点管控区</w:t>
                  </w:r>
                </w:p>
              </w:tc>
            </w:tr>
            <w:tr w14:paraId="2DD04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49" w:type="pct"/>
                  <w:tcBorders>
                    <w:tl2br w:val="nil"/>
                    <w:tr2bl w:val="nil"/>
                  </w:tcBorders>
                  <w:vAlign w:val="center"/>
                </w:tcPr>
                <w:p w14:paraId="3DBF3AA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w:t>
                  </w:r>
                </w:p>
              </w:tc>
              <w:tc>
                <w:tcPr>
                  <w:tcW w:w="2043" w:type="dxa"/>
                  <w:tcBorders>
                    <w:tl2br w:val="nil"/>
                    <w:tr2bl w:val="nil"/>
                  </w:tcBorders>
                  <w:vAlign w:val="center"/>
                </w:tcPr>
                <w:p w14:paraId="3030A63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ZH51170220002</w:t>
                  </w:r>
                </w:p>
              </w:tc>
              <w:tc>
                <w:tcPr>
                  <w:tcW w:w="2054" w:type="dxa"/>
                  <w:tcBorders>
                    <w:tl2br w:val="nil"/>
                    <w:tr2bl w:val="nil"/>
                  </w:tcBorders>
                  <w:vAlign w:val="center"/>
                </w:tcPr>
                <w:p w14:paraId="4ABF42F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达州市农产品加工集中区</w:t>
                  </w:r>
                </w:p>
              </w:tc>
              <w:tc>
                <w:tcPr>
                  <w:tcW w:w="844" w:type="dxa"/>
                  <w:tcBorders>
                    <w:tl2br w:val="nil"/>
                    <w:tr2bl w:val="nil"/>
                  </w:tcBorders>
                  <w:vAlign w:val="center"/>
                </w:tcPr>
                <w:p w14:paraId="44A2A7D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达州市</w:t>
                  </w:r>
                </w:p>
              </w:tc>
              <w:tc>
                <w:tcPr>
                  <w:tcW w:w="982" w:type="dxa"/>
                  <w:tcBorders>
                    <w:tl2br w:val="nil"/>
                    <w:tr2bl w:val="nil"/>
                  </w:tcBorders>
                  <w:vAlign w:val="center"/>
                </w:tcPr>
                <w:p w14:paraId="151B42F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通川区</w:t>
                  </w:r>
                </w:p>
              </w:tc>
              <w:tc>
                <w:tcPr>
                  <w:tcW w:w="903" w:type="dxa"/>
                  <w:tcBorders>
                    <w:tl2br w:val="nil"/>
                    <w:tr2bl w:val="nil"/>
                  </w:tcBorders>
                  <w:vAlign w:val="center"/>
                </w:tcPr>
                <w:p w14:paraId="43F3210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环境综合管控单元</w:t>
                  </w:r>
                </w:p>
              </w:tc>
              <w:tc>
                <w:tcPr>
                  <w:tcW w:w="2002" w:type="dxa"/>
                  <w:tcBorders>
                    <w:tl2br w:val="nil"/>
                    <w:tr2bl w:val="nil"/>
                  </w:tcBorders>
                  <w:vAlign w:val="center"/>
                </w:tcPr>
                <w:p w14:paraId="116E3CE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环境综合管控单元工业重点管控单元</w:t>
                  </w:r>
                </w:p>
              </w:tc>
            </w:tr>
          </w:tbl>
          <w:p w14:paraId="4600007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highlight w:val="none"/>
              </w:rPr>
            </w:pPr>
          </w:p>
        </w:tc>
      </w:tr>
    </w:tbl>
    <w:p w14:paraId="62F5B9D5">
      <w:pPr>
        <w:pStyle w:val="30"/>
        <w:jc w:val="center"/>
        <w:rPr>
          <w:rFonts w:eastAsia="黑体"/>
          <w:b w:val="0"/>
          <w:color w:val="auto"/>
          <w:sz w:val="30"/>
          <w:szCs w:val="30"/>
          <w:highlight w:val="none"/>
        </w:rPr>
        <w:sectPr>
          <w:footerReference r:id="rId3" w:type="default"/>
          <w:pgSz w:w="11906" w:h="16838"/>
          <w:pgMar w:top="1440" w:right="1080" w:bottom="1440" w:left="1080" w:header="851" w:footer="992" w:gutter="0"/>
          <w:pgBorders>
            <w:top w:val="none" w:sz="0" w:space="0"/>
            <w:left w:val="none" w:sz="0" w:space="0"/>
            <w:bottom w:val="none" w:sz="0" w:space="0"/>
            <w:right w:val="none" w:sz="0" w:space="0"/>
          </w:pgBorders>
          <w:pgNumType w:start="1"/>
          <w:cols w:space="720"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3749"/>
      </w:tblGrid>
      <w:tr w14:paraId="6995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 w:type="dxa"/>
          </w:tcPr>
          <w:p w14:paraId="71E56332">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auto"/>
                <w:kern w:val="0"/>
                <w:sz w:val="24"/>
                <w:highlight w:val="none"/>
              </w:rPr>
            </w:pPr>
            <w:r>
              <w:rPr>
                <w:rFonts w:hint="default"/>
                <w:color w:val="auto"/>
                <w:kern w:val="0"/>
                <w:sz w:val="24"/>
                <w:highlight w:val="none"/>
              </w:rPr>
              <w:t>其他符合性分析</w:t>
            </w:r>
          </w:p>
        </w:tc>
        <w:tc>
          <w:tcPr>
            <w:tcW w:w="13749" w:type="dxa"/>
            <w:vAlign w:val="center"/>
          </w:tcPr>
          <w:p w14:paraId="352A12E2">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表1-</w:t>
            </w:r>
            <w:r>
              <w:rPr>
                <w:rFonts w:hint="eastAsia" w:eastAsia="黑体" w:cs="Times New Roman"/>
                <w:b/>
                <w:bCs/>
                <w:color w:val="auto"/>
                <w:kern w:val="0"/>
                <w:sz w:val="20"/>
                <w:szCs w:val="20"/>
                <w:highlight w:val="none"/>
                <w:lang w:val="en-US" w:eastAsia="zh-CN" w:bidi="ar-SA"/>
              </w:rPr>
              <w:t>4</w:t>
            </w:r>
            <w:r>
              <w:rPr>
                <w:rFonts w:hint="eastAsia" w:ascii="Times New Roman" w:hAnsi="Times New Roman" w:eastAsia="黑体" w:cs="Times New Roman"/>
                <w:b/>
                <w:bCs/>
                <w:color w:val="auto"/>
                <w:kern w:val="0"/>
                <w:sz w:val="20"/>
                <w:szCs w:val="20"/>
                <w:highlight w:val="none"/>
                <w:lang w:val="en-US" w:eastAsia="zh-CN" w:bidi="ar-SA"/>
              </w:rPr>
              <w:t xml:space="preserve"> 本项目与所涉及环境管控单元符合性分析一览表</w:t>
            </w:r>
          </w:p>
          <w:tbl>
            <w:tblPr>
              <w:tblStyle w:val="32"/>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957"/>
              <w:gridCol w:w="5055"/>
              <w:gridCol w:w="480"/>
              <w:gridCol w:w="3150"/>
              <w:gridCol w:w="1758"/>
              <w:gridCol w:w="483"/>
            </w:tblGrid>
            <w:tr w14:paraId="08D45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45" w:type="dxa"/>
                  <w:tcBorders>
                    <w:tl2br w:val="nil"/>
                    <w:tr2bl w:val="nil"/>
                  </w:tcBorders>
                  <w:noWrap w:val="0"/>
                  <w:vAlign w:val="center"/>
                </w:tcPr>
                <w:p w14:paraId="34EC9EC7">
                  <w:pPr>
                    <w:pStyle w:val="21"/>
                    <w:keepNext w:val="0"/>
                    <w:keepLines w:val="0"/>
                    <w:suppressLineNumbers w:val="0"/>
                    <w:spacing w:line="240" w:lineRule="auto"/>
                    <w:ind w:left="0" w:right="0"/>
                    <w:jc w:val="center"/>
                    <w:outlineLvl w:val="0"/>
                    <w:rPr>
                      <w:rStyle w:val="25"/>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环境管控单元编码</w:t>
                  </w:r>
                </w:p>
              </w:tc>
              <w:tc>
                <w:tcPr>
                  <w:tcW w:w="957" w:type="dxa"/>
                  <w:tcBorders>
                    <w:tl2br w:val="nil"/>
                    <w:tr2bl w:val="nil"/>
                  </w:tcBorders>
                  <w:noWrap w:val="0"/>
                  <w:vAlign w:val="center"/>
                </w:tcPr>
                <w:p w14:paraId="67853A19">
                  <w:pPr>
                    <w:pStyle w:val="21"/>
                    <w:keepNext w:val="0"/>
                    <w:keepLines w:val="0"/>
                    <w:suppressLineNumbers w:val="0"/>
                    <w:spacing w:line="240" w:lineRule="auto"/>
                    <w:ind w:left="0" w:right="0"/>
                    <w:jc w:val="center"/>
                    <w:outlineLvl w:val="0"/>
                    <w:rPr>
                      <w:rStyle w:val="25"/>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环境管控单元名称</w:t>
                  </w:r>
                </w:p>
              </w:tc>
              <w:tc>
                <w:tcPr>
                  <w:tcW w:w="5055" w:type="dxa"/>
                  <w:tcBorders>
                    <w:tl2br w:val="nil"/>
                    <w:tr2bl w:val="nil"/>
                  </w:tcBorders>
                  <w:noWrap w:val="0"/>
                  <w:vAlign w:val="center"/>
                </w:tcPr>
                <w:p w14:paraId="09AB97ED">
                  <w:pPr>
                    <w:pStyle w:val="21"/>
                    <w:keepNext w:val="0"/>
                    <w:keepLines w:val="0"/>
                    <w:suppressLineNumbers w:val="0"/>
                    <w:spacing w:line="240" w:lineRule="auto"/>
                    <w:ind w:left="0" w:right="0"/>
                    <w:jc w:val="center"/>
                    <w:outlineLvl w:val="0"/>
                    <w:rPr>
                      <w:rStyle w:val="25"/>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
                      <w:bCs/>
                      <w:color w:val="auto"/>
                      <w:sz w:val="21"/>
                      <w:szCs w:val="21"/>
                      <w:highlight w:val="none"/>
                    </w:rPr>
                    <w:t>达州市普适性清单</w:t>
                  </w:r>
                </w:p>
              </w:tc>
              <w:tc>
                <w:tcPr>
                  <w:tcW w:w="480" w:type="dxa"/>
                  <w:tcBorders>
                    <w:tl2br w:val="nil"/>
                    <w:tr2bl w:val="nil"/>
                  </w:tcBorders>
                  <w:noWrap w:val="0"/>
                  <w:vAlign w:val="center"/>
                </w:tcPr>
                <w:p w14:paraId="53A6F22E">
                  <w:pPr>
                    <w:pStyle w:val="21"/>
                    <w:keepNext w:val="0"/>
                    <w:keepLines w:val="0"/>
                    <w:suppressLineNumbers w:val="0"/>
                    <w:spacing w:line="240" w:lineRule="auto"/>
                    <w:ind w:left="0" w:right="0"/>
                    <w:jc w:val="center"/>
                    <w:outlineLvl w:val="0"/>
                    <w:rPr>
                      <w:rStyle w:val="25"/>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管控类别</w:t>
                  </w:r>
                </w:p>
              </w:tc>
              <w:tc>
                <w:tcPr>
                  <w:tcW w:w="3150" w:type="dxa"/>
                  <w:tcBorders>
                    <w:tl2br w:val="nil"/>
                    <w:tr2bl w:val="nil"/>
                  </w:tcBorders>
                  <w:noWrap w:val="0"/>
                  <w:vAlign w:val="center"/>
                </w:tcPr>
                <w:p w14:paraId="6514E1E7">
                  <w:pPr>
                    <w:pStyle w:val="21"/>
                    <w:keepNext w:val="0"/>
                    <w:keepLines w:val="0"/>
                    <w:suppressLineNumbers w:val="0"/>
                    <w:spacing w:line="240" w:lineRule="auto"/>
                    <w:ind w:left="0" w:right="0"/>
                    <w:jc w:val="center"/>
                    <w:outlineLvl w:val="0"/>
                    <w:rPr>
                      <w:rStyle w:val="25"/>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单元特性管控要求</w:t>
                  </w:r>
                </w:p>
              </w:tc>
              <w:tc>
                <w:tcPr>
                  <w:tcW w:w="1758" w:type="dxa"/>
                  <w:tcBorders>
                    <w:tl2br w:val="nil"/>
                    <w:tr2bl w:val="nil"/>
                  </w:tcBorders>
                  <w:noWrap w:val="0"/>
                  <w:vAlign w:val="center"/>
                </w:tcPr>
                <w:p w14:paraId="0F0C4FFA">
                  <w:pPr>
                    <w:pStyle w:val="21"/>
                    <w:keepNext w:val="0"/>
                    <w:keepLines w:val="0"/>
                    <w:suppressLineNumbers w:val="0"/>
                    <w:spacing w:line="240" w:lineRule="auto"/>
                    <w:ind w:left="0" w:right="0"/>
                    <w:jc w:val="center"/>
                    <w:outlineLvl w:val="0"/>
                    <w:rPr>
                      <w:rStyle w:val="25"/>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snapToGrid w:val="0"/>
                      <w:color w:val="auto"/>
                      <w:sz w:val="21"/>
                      <w:szCs w:val="21"/>
                      <w:highlight w:val="none"/>
                    </w:rPr>
                    <w:t>本项目情况</w:t>
                  </w:r>
                </w:p>
              </w:tc>
              <w:tc>
                <w:tcPr>
                  <w:tcW w:w="483" w:type="dxa"/>
                  <w:tcBorders>
                    <w:tl2br w:val="nil"/>
                    <w:tr2bl w:val="nil"/>
                  </w:tcBorders>
                  <w:noWrap w:val="0"/>
                  <w:vAlign w:val="center"/>
                </w:tcPr>
                <w:p w14:paraId="1EFBEAF5">
                  <w:pPr>
                    <w:pStyle w:val="21"/>
                    <w:keepNext w:val="0"/>
                    <w:keepLines w:val="0"/>
                    <w:suppressLineNumbers w:val="0"/>
                    <w:spacing w:line="240" w:lineRule="auto"/>
                    <w:ind w:left="0" w:right="0"/>
                    <w:jc w:val="center"/>
                    <w:outlineLvl w:val="0"/>
                    <w:rPr>
                      <w:rStyle w:val="25"/>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snapToGrid w:val="0"/>
                      <w:color w:val="auto"/>
                      <w:sz w:val="21"/>
                      <w:szCs w:val="21"/>
                      <w:highlight w:val="none"/>
                    </w:rPr>
                    <w:t>符合性</w:t>
                  </w:r>
                </w:p>
              </w:tc>
            </w:tr>
            <w:tr w14:paraId="1CA62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restart"/>
                  <w:tcBorders>
                    <w:tl2br w:val="nil"/>
                    <w:tr2bl w:val="nil"/>
                  </w:tcBorders>
                  <w:noWrap w:val="0"/>
                  <w:vAlign w:val="center"/>
                </w:tcPr>
                <w:p w14:paraId="5749FAF2">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YS5117022210001</w:t>
                  </w:r>
                </w:p>
              </w:tc>
              <w:tc>
                <w:tcPr>
                  <w:tcW w:w="957" w:type="dxa"/>
                  <w:vMerge w:val="restart"/>
                  <w:tcBorders>
                    <w:tl2br w:val="nil"/>
                    <w:tr2bl w:val="nil"/>
                  </w:tcBorders>
                  <w:noWrap w:val="0"/>
                  <w:vAlign w:val="center"/>
                </w:tcPr>
                <w:p w14:paraId="4339FAE4">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州河-通川区-车家河-控制单元</w:t>
                  </w:r>
                </w:p>
              </w:tc>
              <w:tc>
                <w:tcPr>
                  <w:tcW w:w="5055" w:type="dxa"/>
                  <w:vMerge w:val="restart"/>
                  <w:tcBorders>
                    <w:tl2br w:val="nil"/>
                    <w:tr2bl w:val="nil"/>
                  </w:tcBorders>
                  <w:noWrap w:val="0"/>
                  <w:vAlign w:val="top"/>
                </w:tcPr>
                <w:p w14:paraId="0158C82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095AA15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73F33F4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39C2A7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0E1C5E1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D10B48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5604244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15FC30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1DE1F0F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A39DF2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2D7F70F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5FFDB95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7FDFF0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2665196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54384D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56AC409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CFC2FC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55104C3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25FC114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BADB50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7219A3D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3207A9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4B7BE11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46B7D8C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69CC2B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53ECE3C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BDD9EB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33CCCDC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CCD6A9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404BC00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EA5592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0F64FED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0E638668">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空间布局约束</w:t>
                  </w:r>
                </w:p>
              </w:tc>
              <w:tc>
                <w:tcPr>
                  <w:tcW w:w="3150" w:type="dxa"/>
                  <w:tcBorders>
                    <w:tl2br w:val="nil"/>
                    <w:tr2bl w:val="nil"/>
                  </w:tcBorders>
                  <w:noWrap w:val="0"/>
                  <w:vAlign w:val="center"/>
                </w:tcPr>
                <w:p w14:paraId="3AF5CC28">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禁止开发建设活动的要求</w:t>
                  </w:r>
                </w:p>
                <w:p w14:paraId="47F8EF29">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p w14:paraId="4E700A99">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限制开发建设活动的要求</w:t>
                  </w:r>
                </w:p>
                <w:p w14:paraId="3C7AE5D7">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严控磷铵、黄磷等产业违规新增产能加快退出不符合产业政策和环保要求、不满足安全生产条件的涉磷企业</w:t>
                  </w:r>
                </w:p>
                <w:p w14:paraId="235270D2">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允许开发建设活动的要求</w:t>
                  </w:r>
                </w:p>
                <w:p w14:paraId="663D2046">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p w14:paraId="0340A473">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14:paraId="44BA60CE">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p w14:paraId="6199A268">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其他空间布局约束要求</w:t>
                  </w:r>
                </w:p>
              </w:tc>
              <w:tc>
                <w:tcPr>
                  <w:tcW w:w="1758" w:type="dxa"/>
                  <w:tcBorders>
                    <w:tl2br w:val="nil"/>
                    <w:tr2bl w:val="nil"/>
                  </w:tcBorders>
                  <w:noWrap w:val="0"/>
                  <w:vAlign w:val="center"/>
                </w:tcPr>
                <w:p w14:paraId="28FB630B">
                  <w:pPr>
                    <w:pStyle w:val="31"/>
                    <w:keepNext w:val="0"/>
                    <w:keepLines w:val="0"/>
                    <w:widowControl/>
                    <w:suppressLineNumbers w:val="0"/>
                    <w:shd w:val="clear" w:color="auto" w:fill="FFFFFF"/>
                    <w:spacing w:before="0" w:beforeAutospacing="0" w:after="0" w:afterAutospacing="0" w:line="240" w:lineRule="auto"/>
                    <w:ind w:left="0" w:leftChars="0" w:right="0" w:rightChars="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本项目为加油加气站项目，属于机动车燃油、燃气零售服务业，不属于磷铵、黄磷等产业违规产业，不属于</w:t>
                  </w:r>
                  <w:r>
                    <w:rPr>
                      <w:rStyle w:val="25"/>
                      <w:rFonts w:hint="eastAsia" w:eastAsia="宋体" w:cs="Times New Roman"/>
                      <w:color w:val="auto"/>
                      <w:kern w:val="2"/>
                      <w:sz w:val="21"/>
                      <w:szCs w:val="21"/>
                      <w:highlight w:val="none"/>
                      <w:lang w:val="en-US" w:eastAsia="zh-CN" w:bidi="ar-SA"/>
                    </w:rPr>
                    <w:t>限制</w:t>
                  </w:r>
                  <w:r>
                    <w:rPr>
                      <w:rStyle w:val="25"/>
                      <w:rFonts w:hint="default" w:ascii="Times New Roman" w:hAnsi="Times New Roman" w:eastAsia="宋体" w:cs="Times New Roman"/>
                      <w:color w:val="auto"/>
                      <w:kern w:val="2"/>
                      <w:sz w:val="21"/>
                      <w:szCs w:val="21"/>
                      <w:highlight w:val="none"/>
                      <w:lang w:val="en-US" w:eastAsia="zh-CN" w:bidi="ar-SA"/>
                    </w:rPr>
                    <w:t>开发建设的活动，也不属于禁止开发和不符合空间布局要求退出的活动。</w:t>
                  </w:r>
                </w:p>
              </w:tc>
              <w:tc>
                <w:tcPr>
                  <w:tcW w:w="483" w:type="dxa"/>
                  <w:tcBorders>
                    <w:tl2br w:val="nil"/>
                    <w:tr2bl w:val="nil"/>
                  </w:tcBorders>
                  <w:noWrap w:val="0"/>
                  <w:vAlign w:val="center"/>
                </w:tcPr>
                <w:p w14:paraId="1519BF4D">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符合</w:t>
                  </w:r>
                </w:p>
              </w:tc>
            </w:tr>
            <w:tr w14:paraId="798A0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68F23A1B">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YS5117022210001</w:t>
                  </w:r>
                </w:p>
              </w:tc>
              <w:tc>
                <w:tcPr>
                  <w:tcW w:w="957" w:type="dxa"/>
                  <w:vMerge w:val="continue"/>
                  <w:tcBorders>
                    <w:tl2br w:val="nil"/>
                    <w:tr2bl w:val="nil"/>
                  </w:tcBorders>
                  <w:noWrap w:val="0"/>
                  <w:vAlign w:val="center"/>
                </w:tcPr>
                <w:p w14:paraId="615CC65A">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州河-通川区-车家河-控制单元</w:t>
                  </w:r>
                </w:p>
              </w:tc>
              <w:tc>
                <w:tcPr>
                  <w:tcW w:w="5055" w:type="dxa"/>
                  <w:vMerge w:val="continue"/>
                  <w:tcBorders>
                    <w:tl2br w:val="nil"/>
                    <w:tr2bl w:val="nil"/>
                  </w:tcBorders>
                  <w:noWrap w:val="0"/>
                  <w:vAlign w:val="top"/>
                </w:tcPr>
                <w:p w14:paraId="154B023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162516A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563D20A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F49F95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1DF6B4A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7CF159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3F88682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E555C5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68A5B24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BB7EF0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06AC16A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5AC6C2F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FB0174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3F4A46B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74ACB4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545405F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4034C6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32A49C4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612DE09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623BC8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412A4C1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E2FD15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1278BCA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702CDE3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990DB0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44F77FF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F3AA43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7673FC4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1AF58D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5EFA30D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47D7A3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67FEB23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673F93A4">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污染物排放管控</w:t>
                  </w:r>
                </w:p>
              </w:tc>
              <w:tc>
                <w:tcPr>
                  <w:tcW w:w="3150" w:type="dxa"/>
                  <w:tcBorders>
                    <w:tl2br w:val="nil"/>
                    <w:tr2bl w:val="nil"/>
                  </w:tcBorders>
                  <w:noWrap w:val="0"/>
                  <w:vAlign w:val="center"/>
                </w:tcPr>
                <w:p w14:paraId="0DA5FE74">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城镇污水污染控制措施要求</w:t>
                  </w:r>
                </w:p>
                <w:p w14:paraId="0EBEF33D">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p w14:paraId="263E5706">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工业废水污染控制措施要求</w:t>
                  </w:r>
                </w:p>
                <w:p w14:paraId="14D2915E">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加强工业园区集中污水处理设施运行监管</w:t>
                  </w:r>
                  <w:r>
                    <w:rPr>
                      <w:rStyle w:val="25"/>
                      <w:rFonts w:hint="eastAsia" w:eastAsia="宋体" w:cs="Times New Roman"/>
                      <w:color w:val="auto"/>
                      <w:kern w:val="2"/>
                      <w:sz w:val="21"/>
                      <w:szCs w:val="21"/>
                      <w:highlight w:val="none"/>
                      <w:lang w:val="en-US" w:eastAsia="zh-CN" w:bidi="ar-SA"/>
                    </w:rPr>
                    <w:t>，加</w:t>
                  </w:r>
                  <w:r>
                    <w:rPr>
                      <w:rStyle w:val="25"/>
                      <w:rFonts w:hint="default" w:ascii="Times New Roman" w:hAnsi="Times New Roman" w:eastAsia="宋体" w:cs="Times New Roman"/>
                      <w:color w:val="auto"/>
                      <w:kern w:val="2"/>
                      <w:sz w:val="21"/>
                      <w:szCs w:val="21"/>
                      <w:highlight w:val="none"/>
                      <w:lang w:val="en-US" w:eastAsia="zh-CN" w:bidi="ar-SA"/>
                    </w:rPr>
                    <w:t>强企业废水预处理和排水管理，鼓励纳管企业与园区污水处理厂运营单位通过签订委托处理合同等方式协同处理废水。4、加强新化学物质环境管理，严格执行《新化学物质环境管理登记办法》,落实企业新化学物质环境风险防控主体责任。落实国家《优先控制化学品名录（第一批）》《优先控制化学品名录（第二批）》《重点管控新污染物清单（2023年版）</w:t>
                  </w:r>
                  <w:r>
                    <w:rPr>
                      <w:rStyle w:val="25"/>
                      <w:rFonts w:hint="eastAsia" w:eastAsia="宋体" w:cs="Times New Roman"/>
                      <w:color w:val="auto"/>
                      <w:kern w:val="2"/>
                      <w:sz w:val="21"/>
                      <w:szCs w:val="21"/>
                      <w:highlight w:val="none"/>
                      <w:lang w:val="en-US" w:eastAsia="zh-CN" w:bidi="ar-SA"/>
                    </w:rPr>
                    <w:t>》等</w:t>
                  </w:r>
                  <w:r>
                    <w:rPr>
                      <w:rStyle w:val="25"/>
                      <w:rFonts w:hint="default" w:ascii="Times New Roman" w:hAnsi="Times New Roman" w:eastAsia="宋体" w:cs="Times New Roman"/>
                      <w:color w:val="auto"/>
                      <w:kern w:val="2"/>
                      <w:sz w:val="21"/>
                      <w:szCs w:val="21"/>
                      <w:highlight w:val="none"/>
                      <w:lang w:val="en-US" w:eastAsia="zh-CN" w:bidi="ar-SA"/>
                    </w:rPr>
                    <w:t>环境风险管控措施。</w:t>
                  </w:r>
                </w:p>
                <w:p w14:paraId="7BB47D02">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农业面源水污染控制措施要求</w:t>
                  </w:r>
                </w:p>
                <w:p w14:paraId="62CCE8E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p w14:paraId="6B4652BF">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船舶港口水污染控制措施要求</w:t>
                  </w:r>
                </w:p>
                <w:p w14:paraId="0B1C280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p w14:paraId="637CAB62">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饮用水水源和</w:t>
                  </w:r>
                  <w:r>
                    <w:rPr>
                      <w:rStyle w:val="25"/>
                      <w:rFonts w:hint="eastAsia" w:eastAsia="宋体" w:cs="Times New Roman"/>
                      <w:color w:val="auto"/>
                      <w:kern w:val="2"/>
                      <w:sz w:val="21"/>
                      <w:szCs w:val="21"/>
                      <w:highlight w:val="none"/>
                      <w:lang w:val="en-US" w:eastAsia="zh-CN" w:bidi="ar-SA"/>
                    </w:rPr>
                    <w:t>其他</w:t>
                  </w:r>
                  <w:r>
                    <w:rPr>
                      <w:rStyle w:val="25"/>
                      <w:rFonts w:hint="default" w:ascii="Times New Roman" w:hAnsi="Times New Roman" w:eastAsia="宋体" w:cs="Times New Roman"/>
                      <w:color w:val="auto"/>
                      <w:kern w:val="2"/>
                      <w:sz w:val="21"/>
                      <w:szCs w:val="21"/>
                      <w:highlight w:val="none"/>
                      <w:lang w:val="en-US" w:eastAsia="zh-CN" w:bidi="ar-SA"/>
                    </w:rPr>
                    <w:t>特殊水体保护要求</w:t>
                  </w:r>
                </w:p>
              </w:tc>
              <w:tc>
                <w:tcPr>
                  <w:tcW w:w="1758" w:type="dxa"/>
                  <w:tcBorders>
                    <w:tl2br w:val="nil"/>
                    <w:tr2bl w:val="nil"/>
                  </w:tcBorders>
                  <w:noWrap w:val="0"/>
                  <w:vAlign w:val="center"/>
                </w:tcPr>
                <w:p w14:paraId="2A371F0A">
                  <w:pPr>
                    <w:pStyle w:val="31"/>
                    <w:keepNext w:val="0"/>
                    <w:keepLines w:val="0"/>
                    <w:widowControl/>
                    <w:suppressLineNumbers w:val="0"/>
                    <w:shd w:val="clear" w:color="auto" w:fill="FFFFFF"/>
                    <w:spacing w:before="0" w:beforeAutospacing="0" w:after="0" w:afterAutospacing="0" w:line="240" w:lineRule="auto"/>
                    <w:ind w:left="0" w:leftChars="0" w:right="0" w:rightChars="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项目为通川东岳收费站出口（北）加油加气站项目，项目</w:t>
                  </w:r>
                  <w:r>
                    <w:rPr>
                      <w:rFonts w:hint="eastAsia" w:eastAsia="宋体" w:cs="Times New Roman"/>
                      <w:bCs/>
                      <w:color w:val="auto"/>
                      <w:kern w:val="2"/>
                      <w:sz w:val="21"/>
                      <w:szCs w:val="21"/>
                      <w:highlight w:val="none"/>
                      <w:lang w:val="en-US" w:eastAsia="zh-CN" w:bidi="ar-SA"/>
                    </w:rPr>
                    <w:t>采取雨污分流制，生活污水和地面冲洗废水经预处理后通过市政污水管网进入达州市通川区魏兴场镇污水处理厂处理后，达到《城镇污水处理厂污染物排放标准》（GB18918—2002）一级A标准后外排；洗车废水经废水处理系统处理后（采用“隔油+絮凝沉淀+光催化氧化”工艺）回用，不外排。</w:t>
                  </w:r>
                </w:p>
              </w:tc>
              <w:tc>
                <w:tcPr>
                  <w:tcW w:w="483" w:type="dxa"/>
                  <w:tcBorders>
                    <w:tl2br w:val="nil"/>
                    <w:tr2bl w:val="nil"/>
                  </w:tcBorders>
                  <w:noWrap w:val="0"/>
                  <w:vAlign w:val="center"/>
                </w:tcPr>
                <w:p w14:paraId="1619DC85">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符合</w:t>
                  </w:r>
                </w:p>
              </w:tc>
            </w:tr>
            <w:tr w14:paraId="5F710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49073F1E">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YS5117022210001</w:t>
                  </w:r>
                </w:p>
              </w:tc>
              <w:tc>
                <w:tcPr>
                  <w:tcW w:w="957" w:type="dxa"/>
                  <w:vMerge w:val="continue"/>
                  <w:tcBorders>
                    <w:tl2br w:val="nil"/>
                    <w:tr2bl w:val="nil"/>
                  </w:tcBorders>
                  <w:noWrap w:val="0"/>
                  <w:vAlign w:val="center"/>
                </w:tcPr>
                <w:p w14:paraId="7F8BE7F0">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州河-通川区-车家河-控制单元</w:t>
                  </w:r>
                </w:p>
              </w:tc>
              <w:tc>
                <w:tcPr>
                  <w:tcW w:w="5055" w:type="dxa"/>
                  <w:vMerge w:val="continue"/>
                  <w:tcBorders>
                    <w:tl2br w:val="nil"/>
                    <w:tr2bl w:val="nil"/>
                  </w:tcBorders>
                  <w:noWrap w:val="0"/>
                  <w:vAlign w:val="top"/>
                </w:tcPr>
                <w:p w14:paraId="18181A9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57B51FA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03DE3ED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99A4A2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5E5D652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169B95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2C68C7B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34EE84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7C894B8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54ECF6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60E79F9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5CE2933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947171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268466F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9652E3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55CEC23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D670FE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1B227B2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1E82348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520C77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0C66194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8A0FF5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68C7A7E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73FB0AF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79BA59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75B4071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332528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4540321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259840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4725AF4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DFEA63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0EA488E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4FABF22A">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环境风险防控</w:t>
                  </w:r>
                </w:p>
              </w:tc>
              <w:tc>
                <w:tcPr>
                  <w:tcW w:w="3150" w:type="dxa"/>
                  <w:tcBorders>
                    <w:tl2br w:val="nil"/>
                    <w:tr2bl w:val="nil"/>
                  </w:tcBorders>
                  <w:noWrap w:val="0"/>
                  <w:vAlign w:val="center"/>
                </w:tcPr>
                <w:p w14:paraId="744F1367">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禁止在长江干支流岸线一公里范围内新建、扩建化工园区和化工项目。按要求设置生态隔离带，建设相应的防护工程。合理设置与抗风险能力相匹配的事故调蓄设施和环境应急措施。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1758" w:type="dxa"/>
                  <w:tcBorders>
                    <w:tl2br w:val="nil"/>
                    <w:tr2bl w:val="nil"/>
                  </w:tcBorders>
                  <w:noWrap w:val="0"/>
                  <w:vAlign w:val="center"/>
                </w:tcPr>
                <w:p w14:paraId="24F4C3D3">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本项目属于加油加气站项目，不属于化工园区及化工项目，</w:t>
                  </w:r>
                  <w:r>
                    <w:rPr>
                      <w:rStyle w:val="25"/>
                      <w:rFonts w:hint="default" w:ascii="Times New Roman" w:hAnsi="Times New Roman" w:eastAsia="宋体" w:cs="Times New Roman"/>
                      <w:color w:val="auto"/>
                      <w:kern w:val="2"/>
                      <w:sz w:val="21"/>
                      <w:szCs w:val="21"/>
                      <w:highlight w:val="none"/>
                      <w:lang w:val="en-US" w:eastAsia="zh-CN" w:bidi="ar-SA"/>
                    </w:rPr>
                    <w:t>建设单位将编制《突发环境事件应急预案》并报当地生态环境主管部门备案，严格按照要求建设应急设施</w:t>
                  </w:r>
                  <w:r>
                    <w:rPr>
                      <w:rStyle w:val="25"/>
                      <w:rFonts w:hint="eastAsia" w:eastAsia="宋体" w:cs="Times New Roman"/>
                      <w:color w:val="auto"/>
                      <w:kern w:val="2"/>
                      <w:sz w:val="21"/>
                      <w:szCs w:val="21"/>
                      <w:highlight w:val="none"/>
                      <w:lang w:val="en-US" w:eastAsia="zh-CN" w:bidi="ar-SA"/>
                    </w:rPr>
                    <w:t>。</w:t>
                  </w:r>
                </w:p>
              </w:tc>
              <w:tc>
                <w:tcPr>
                  <w:tcW w:w="483" w:type="dxa"/>
                  <w:tcBorders>
                    <w:tl2br w:val="nil"/>
                    <w:tr2bl w:val="nil"/>
                  </w:tcBorders>
                  <w:noWrap w:val="0"/>
                  <w:vAlign w:val="center"/>
                </w:tcPr>
                <w:p w14:paraId="5FAF8028">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符合</w:t>
                  </w:r>
                </w:p>
              </w:tc>
            </w:tr>
            <w:tr w14:paraId="0477C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68FBDE95">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YS5117022210001</w:t>
                  </w:r>
                </w:p>
              </w:tc>
              <w:tc>
                <w:tcPr>
                  <w:tcW w:w="957" w:type="dxa"/>
                  <w:vMerge w:val="continue"/>
                  <w:tcBorders>
                    <w:tl2br w:val="nil"/>
                    <w:tr2bl w:val="nil"/>
                  </w:tcBorders>
                  <w:noWrap w:val="0"/>
                  <w:vAlign w:val="center"/>
                </w:tcPr>
                <w:p w14:paraId="3856F6A7">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州河-通川区-车家河-控制单元</w:t>
                  </w:r>
                </w:p>
              </w:tc>
              <w:tc>
                <w:tcPr>
                  <w:tcW w:w="5055" w:type="dxa"/>
                  <w:vMerge w:val="continue"/>
                  <w:tcBorders>
                    <w:tl2br w:val="nil"/>
                    <w:tr2bl w:val="nil"/>
                  </w:tcBorders>
                  <w:noWrap w:val="0"/>
                  <w:vAlign w:val="top"/>
                </w:tcPr>
                <w:p w14:paraId="3FDF1C0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78DA2F6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0EE552A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3CE8D0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2E97F06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462225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0F94DDA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AD7391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4FB1014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BB5AB4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14AA4CA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173666E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7D7DC0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4ED217C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1B1285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3DD67C4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348B9D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1367E1F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344596B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14BBF8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5B3FCEA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686580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313D4C6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2353AF6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857F4C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4146E96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F0C159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3754A92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0696B7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4CBAAA5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02C549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5091F7A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4674A964">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资源开发效率要求</w:t>
                  </w:r>
                </w:p>
              </w:tc>
              <w:tc>
                <w:tcPr>
                  <w:tcW w:w="3150" w:type="dxa"/>
                  <w:tcBorders>
                    <w:tl2br w:val="nil"/>
                    <w:tr2bl w:val="nil"/>
                  </w:tcBorders>
                  <w:noWrap w:val="0"/>
                  <w:vAlign w:val="center"/>
                </w:tcPr>
                <w:p w14:paraId="5F1269B6">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加强高耗水行业用水定额管理，以水定产，严格控制高耗水新建、改建、扩建项目。</w:t>
                  </w:r>
                </w:p>
              </w:tc>
              <w:tc>
                <w:tcPr>
                  <w:tcW w:w="1758" w:type="dxa"/>
                  <w:tcBorders>
                    <w:tl2br w:val="nil"/>
                    <w:tr2bl w:val="nil"/>
                  </w:tcBorders>
                  <w:noWrap w:val="0"/>
                  <w:vAlign w:val="center"/>
                </w:tcPr>
                <w:p w14:paraId="6C9F5476">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本项目为加油加气站项目，不属于高耗水类项目</w:t>
                  </w:r>
                </w:p>
              </w:tc>
              <w:tc>
                <w:tcPr>
                  <w:tcW w:w="483" w:type="dxa"/>
                  <w:tcBorders>
                    <w:tl2br w:val="nil"/>
                    <w:tr2bl w:val="nil"/>
                  </w:tcBorders>
                  <w:noWrap w:val="0"/>
                  <w:vAlign w:val="center"/>
                </w:tcPr>
                <w:p w14:paraId="668C63C6">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符合</w:t>
                  </w:r>
                </w:p>
              </w:tc>
            </w:tr>
            <w:tr w14:paraId="11EB80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restart"/>
                  <w:tcBorders>
                    <w:tl2br w:val="nil"/>
                    <w:tr2bl w:val="nil"/>
                  </w:tcBorders>
                  <w:noWrap w:val="0"/>
                  <w:vAlign w:val="center"/>
                </w:tcPr>
                <w:p w14:paraId="6AA7057B">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YS5117022310001</w:t>
                  </w:r>
                </w:p>
              </w:tc>
              <w:tc>
                <w:tcPr>
                  <w:tcW w:w="957" w:type="dxa"/>
                  <w:vMerge w:val="restart"/>
                  <w:tcBorders>
                    <w:tl2br w:val="nil"/>
                    <w:tr2bl w:val="nil"/>
                  </w:tcBorders>
                  <w:noWrap w:val="0"/>
                  <w:vAlign w:val="center"/>
                </w:tcPr>
                <w:p w14:paraId="28F91477">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达州市农产品加工集中区</w:t>
                  </w:r>
                </w:p>
              </w:tc>
              <w:tc>
                <w:tcPr>
                  <w:tcW w:w="5055" w:type="dxa"/>
                  <w:vMerge w:val="continue"/>
                  <w:tcBorders>
                    <w:tl2br w:val="nil"/>
                    <w:tr2bl w:val="nil"/>
                  </w:tcBorders>
                  <w:noWrap w:val="0"/>
                  <w:vAlign w:val="top"/>
                </w:tcPr>
                <w:p w14:paraId="66FA6DF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4732CAB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188BD04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14132A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5116418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75E85F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3BC75DB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33A79F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38263CE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6BD1B6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3D7F474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744C835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980069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1725BE9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AA0412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0D42F75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6B86A6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46FDCA5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64FEA3A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967BE0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0E8EA4E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0EC3B8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010566E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350021F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FAB712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190AB1E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C4349D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1CC247E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2017A3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0D20993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E16292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522BFAB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1B626FAA">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空间布局约束</w:t>
                  </w:r>
                </w:p>
              </w:tc>
              <w:tc>
                <w:tcPr>
                  <w:tcW w:w="3150" w:type="dxa"/>
                  <w:tcBorders>
                    <w:tl2br w:val="nil"/>
                    <w:tr2bl w:val="nil"/>
                  </w:tcBorders>
                  <w:noWrap w:val="0"/>
                  <w:vAlign w:val="center"/>
                </w:tcPr>
                <w:p w14:paraId="24569134">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禁止开发建设活动的要求</w:t>
                  </w:r>
                </w:p>
                <w:p w14:paraId="63379805">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7E8570A7">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限制开发建设活动的要求</w:t>
                  </w:r>
                </w:p>
                <w:p w14:paraId="09DC4062">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6E1CEE6E">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允许开发建设活动的要求</w:t>
                  </w:r>
                </w:p>
                <w:p w14:paraId="1B0A7CD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3438CEE9">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14:paraId="312D5EA9">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0EEEF611">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其他空间布局约束要求</w:t>
                  </w:r>
                </w:p>
                <w:p w14:paraId="32F7EB72">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58" w:type="dxa"/>
                  <w:tcBorders>
                    <w:tl2br w:val="nil"/>
                    <w:tr2bl w:val="nil"/>
                  </w:tcBorders>
                  <w:noWrap w:val="0"/>
                  <w:vAlign w:val="center"/>
                </w:tcPr>
                <w:p w14:paraId="4F593A9A">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w:t>
                  </w:r>
                </w:p>
              </w:tc>
              <w:tc>
                <w:tcPr>
                  <w:tcW w:w="483" w:type="dxa"/>
                  <w:tcBorders>
                    <w:tl2br w:val="nil"/>
                    <w:tr2bl w:val="nil"/>
                  </w:tcBorders>
                  <w:noWrap w:val="0"/>
                  <w:vAlign w:val="center"/>
                </w:tcPr>
                <w:p w14:paraId="7FBF6913">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w:t>
                  </w:r>
                </w:p>
              </w:tc>
            </w:tr>
            <w:tr w14:paraId="19E0C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59E868F1">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YS5117022310001</w:t>
                  </w:r>
                </w:p>
              </w:tc>
              <w:tc>
                <w:tcPr>
                  <w:tcW w:w="957" w:type="dxa"/>
                  <w:vMerge w:val="continue"/>
                  <w:tcBorders>
                    <w:tl2br w:val="nil"/>
                    <w:tr2bl w:val="nil"/>
                  </w:tcBorders>
                  <w:noWrap w:val="0"/>
                  <w:vAlign w:val="center"/>
                </w:tcPr>
                <w:p w14:paraId="387E2113">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达州市农产品加工集中区</w:t>
                  </w:r>
                </w:p>
              </w:tc>
              <w:tc>
                <w:tcPr>
                  <w:tcW w:w="5055" w:type="dxa"/>
                  <w:vMerge w:val="continue"/>
                  <w:tcBorders>
                    <w:tl2br w:val="nil"/>
                    <w:tr2bl w:val="nil"/>
                  </w:tcBorders>
                  <w:noWrap w:val="0"/>
                  <w:vAlign w:val="top"/>
                </w:tcPr>
                <w:p w14:paraId="2F65EA9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768AB47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74AF718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5A6547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5E46AA1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7812B7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4233C05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FF24C2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70AF6E4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99EA55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17D4BDC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024DB6B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CCD761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1588A26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2CC2EE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5BCAEFC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7DB6C1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405AEA1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68193CE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084E6E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67C5096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B830A5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679E962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045E815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59E99A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766B4FA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39E177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39076BA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9DC533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39680FD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AB9AAB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53CAACA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348B52C0">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污染物排放管控</w:t>
                  </w:r>
                </w:p>
              </w:tc>
              <w:tc>
                <w:tcPr>
                  <w:tcW w:w="3150" w:type="dxa"/>
                  <w:tcBorders>
                    <w:tl2br w:val="nil"/>
                    <w:tr2bl w:val="nil"/>
                  </w:tcBorders>
                  <w:noWrap w:val="0"/>
                  <w:vAlign w:val="center"/>
                </w:tcPr>
                <w:p w14:paraId="16D90FA3">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大气环境质量执行标准</w:t>
                  </w:r>
                </w:p>
                <w:p w14:paraId="6D6A4240">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《环境空气质量标准》（GB3095-2012）：二级</w:t>
                  </w:r>
                </w:p>
                <w:p w14:paraId="76B9F9F0">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区域大气污染物削减/替代要求</w:t>
                  </w:r>
                </w:p>
                <w:p w14:paraId="30148731">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1FEA7678">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燃煤和其他能源大气污染控制要求</w:t>
                  </w:r>
                </w:p>
                <w:p w14:paraId="606CB10A">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2B9F8552">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工业废气污染控制要求</w:t>
                  </w:r>
                </w:p>
                <w:p w14:paraId="648C4883">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14:paraId="1AA261EE">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02F90166">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机动车船大气污染控制要求</w:t>
                  </w:r>
                </w:p>
                <w:p w14:paraId="7125CAB6">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02C74485">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扬尘污染控制要求</w:t>
                  </w:r>
                </w:p>
                <w:p w14:paraId="51F1C350">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36AA51A5">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农业生产经营活动大气污染控制要求</w:t>
                  </w:r>
                </w:p>
                <w:p w14:paraId="47F822D3">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7AC8F1A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重点行业企业专项治理要求</w:t>
                  </w:r>
                </w:p>
                <w:p w14:paraId="48BE8CBF">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080D58F8">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其他大气污染物排放管控要求</w:t>
                  </w:r>
                </w:p>
                <w:p w14:paraId="04B8DD39">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58" w:type="dxa"/>
                  <w:tcBorders>
                    <w:tl2br w:val="nil"/>
                    <w:tr2bl w:val="nil"/>
                  </w:tcBorders>
                  <w:noWrap w:val="0"/>
                  <w:vAlign w:val="center"/>
                </w:tcPr>
                <w:p w14:paraId="120072B3">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eastAsia" w:ascii="Times New Roman" w:hAnsi="Times New Roman" w:eastAsia="宋体" w:cs="Times New Roman"/>
                      <w:color w:val="auto"/>
                      <w:kern w:val="2"/>
                      <w:sz w:val="21"/>
                      <w:szCs w:val="21"/>
                      <w:highlight w:val="none"/>
                      <w:lang w:val="en-US" w:eastAsia="zh-CN" w:bidi="ar-SA"/>
                    </w:rPr>
                  </w:pPr>
                  <w:r>
                    <w:rPr>
                      <w:rFonts w:hint="default" w:eastAsia="宋体"/>
                      <w:color w:val="auto"/>
                      <w:sz w:val="21"/>
                      <w:highlight w:val="none"/>
                    </w:rPr>
                    <w:t>项目为</w:t>
                  </w:r>
                  <w:r>
                    <w:rPr>
                      <w:rFonts w:hint="eastAsia" w:eastAsia="宋体"/>
                      <w:color w:val="auto"/>
                      <w:sz w:val="21"/>
                      <w:highlight w:val="none"/>
                    </w:rPr>
                    <w:t>加油加气站项目，</w:t>
                  </w:r>
                  <w:r>
                    <w:rPr>
                      <w:rFonts w:hint="default" w:eastAsia="宋体"/>
                      <w:color w:val="auto"/>
                      <w:sz w:val="21"/>
                      <w:highlight w:val="none"/>
                    </w:rPr>
                    <w:t>项目</w:t>
                  </w:r>
                  <w:r>
                    <w:rPr>
                      <w:rFonts w:hint="eastAsia" w:eastAsia="宋体"/>
                      <w:color w:val="auto"/>
                      <w:sz w:val="21"/>
                      <w:highlight w:val="none"/>
                    </w:rPr>
                    <w:t>区域环境空气质量满足《环境空气质量标准》（GB3095-2012）二级标准要求</w:t>
                  </w:r>
                  <w:r>
                    <w:rPr>
                      <w:rFonts w:hint="eastAsia" w:ascii="宋体" w:hAnsi="宋体" w:eastAsia="宋体"/>
                      <w:color w:val="auto"/>
                      <w:sz w:val="21"/>
                      <w:highlight w:val="none"/>
                    </w:rPr>
                    <w:t>。</w:t>
                  </w:r>
                  <w:r>
                    <w:rPr>
                      <w:rFonts w:hint="eastAsia" w:eastAsia="宋体"/>
                      <w:color w:val="auto"/>
                      <w:sz w:val="21"/>
                      <w:highlight w:val="none"/>
                    </w:rPr>
                    <w:t>项目卸油、储油、加油过程中挥发的有机废气经油气回收装置回收；LNG发散废气经10m放散管有组织排放</w:t>
                  </w:r>
                  <w:r>
                    <w:rPr>
                      <w:rFonts w:hint="eastAsia" w:eastAsia="宋体"/>
                      <w:color w:val="auto"/>
                      <w:sz w:val="21"/>
                      <w:highlight w:val="none"/>
                      <w:lang w:eastAsia="zh-CN"/>
                    </w:rPr>
                    <w:t>。</w:t>
                  </w:r>
                </w:p>
              </w:tc>
              <w:tc>
                <w:tcPr>
                  <w:tcW w:w="483" w:type="dxa"/>
                  <w:tcBorders>
                    <w:tl2br w:val="nil"/>
                    <w:tr2bl w:val="nil"/>
                  </w:tcBorders>
                  <w:noWrap w:val="0"/>
                  <w:vAlign w:val="center"/>
                </w:tcPr>
                <w:p w14:paraId="7D1A2716">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符合</w:t>
                  </w:r>
                </w:p>
              </w:tc>
            </w:tr>
            <w:tr w14:paraId="4F3D7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19259AF5">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YS5117022310001</w:t>
                  </w:r>
                </w:p>
              </w:tc>
              <w:tc>
                <w:tcPr>
                  <w:tcW w:w="957" w:type="dxa"/>
                  <w:vMerge w:val="continue"/>
                  <w:tcBorders>
                    <w:tl2br w:val="nil"/>
                    <w:tr2bl w:val="nil"/>
                  </w:tcBorders>
                  <w:noWrap w:val="0"/>
                  <w:vAlign w:val="center"/>
                </w:tcPr>
                <w:p w14:paraId="68674937">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达州市农产品加工集中区</w:t>
                  </w:r>
                </w:p>
              </w:tc>
              <w:tc>
                <w:tcPr>
                  <w:tcW w:w="5055" w:type="dxa"/>
                  <w:vMerge w:val="continue"/>
                  <w:tcBorders>
                    <w:tl2br w:val="nil"/>
                    <w:tr2bl w:val="nil"/>
                  </w:tcBorders>
                  <w:noWrap w:val="0"/>
                  <w:vAlign w:val="top"/>
                </w:tcPr>
                <w:p w14:paraId="2A780C8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6948F0E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7DA3E06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00D951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629E560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0C6332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15C80F8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D9D9CF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06E56F8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FEDE4D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2EB6949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4B5982E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ACD728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72A4420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387B93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0B1B53A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6453A1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0B75F95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5C407CC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898FE0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1CE51B3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EE274A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5B23A1F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08C8D7B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2D37F5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7DAA3A3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4E250C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692EC59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752908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28C633B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D2E3B3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0EFB432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24528FDD">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环境风险防控</w:t>
                  </w:r>
                </w:p>
              </w:tc>
              <w:tc>
                <w:tcPr>
                  <w:tcW w:w="3150" w:type="dxa"/>
                  <w:vMerge w:val="restart"/>
                  <w:tcBorders>
                    <w:tl2br w:val="nil"/>
                    <w:tr2bl w:val="nil"/>
                  </w:tcBorders>
                  <w:noWrap w:val="0"/>
                  <w:vAlign w:val="center"/>
                </w:tcPr>
                <w:p w14:paraId="5D7C0EDE">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58" w:type="dxa"/>
                  <w:vMerge w:val="restart"/>
                  <w:tcBorders>
                    <w:tl2br w:val="nil"/>
                    <w:tr2bl w:val="nil"/>
                  </w:tcBorders>
                  <w:noWrap w:val="0"/>
                  <w:vAlign w:val="center"/>
                </w:tcPr>
                <w:p w14:paraId="5E37E574">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w:t>
                  </w:r>
                </w:p>
              </w:tc>
              <w:tc>
                <w:tcPr>
                  <w:tcW w:w="483" w:type="dxa"/>
                  <w:vMerge w:val="restart"/>
                  <w:tcBorders>
                    <w:tl2br w:val="nil"/>
                    <w:tr2bl w:val="nil"/>
                  </w:tcBorders>
                  <w:noWrap w:val="0"/>
                  <w:vAlign w:val="center"/>
                </w:tcPr>
                <w:p w14:paraId="0354F43F">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w:t>
                  </w:r>
                </w:p>
              </w:tc>
            </w:tr>
            <w:tr w14:paraId="6D1D3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0D223EBD">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YS5117022310001</w:t>
                  </w:r>
                </w:p>
              </w:tc>
              <w:tc>
                <w:tcPr>
                  <w:tcW w:w="957" w:type="dxa"/>
                  <w:vMerge w:val="continue"/>
                  <w:tcBorders>
                    <w:tl2br w:val="nil"/>
                    <w:tr2bl w:val="nil"/>
                  </w:tcBorders>
                  <w:noWrap w:val="0"/>
                  <w:vAlign w:val="center"/>
                </w:tcPr>
                <w:p w14:paraId="6AE0335A">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达州市农产品加工集中区</w:t>
                  </w:r>
                </w:p>
              </w:tc>
              <w:tc>
                <w:tcPr>
                  <w:tcW w:w="5055" w:type="dxa"/>
                  <w:vMerge w:val="continue"/>
                  <w:tcBorders>
                    <w:tl2br w:val="nil"/>
                    <w:tr2bl w:val="nil"/>
                  </w:tcBorders>
                  <w:noWrap w:val="0"/>
                  <w:vAlign w:val="top"/>
                </w:tcPr>
                <w:p w14:paraId="1975F1F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5322FAE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7F492BB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6B57F3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3B6961E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46AB8F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7ED4C77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90A5F5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51F7B3D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EE2608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77B8A80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60335A7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2B3CDB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73C3E5E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6A6196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71E3CB1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EF83C5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7C39ADA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40AAA6B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E37846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4493394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05E96A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146E604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5C54763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73B843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467A794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849D63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715531B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F41C99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04201CD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722255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24580F4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7376364C">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资源开发效率要求</w:t>
                  </w:r>
                </w:p>
              </w:tc>
              <w:tc>
                <w:tcPr>
                  <w:tcW w:w="3150" w:type="dxa"/>
                  <w:vMerge w:val="continue"/>
                  <w:tcBorders>
                    <w:tl2br w:val="nil"/>
                    <w:tr2bl w:val="nil"/>
                  </w:tcBorders>
                  <w:noWrap w:val="0"/>
                  <w:vAlign w:val="center"/>
                </w:tcPr>
                <w:p w14:paraId="73D2CCA3">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58" w:type="dxa"/>
                  <w:vMerge w:val="continue"/>
                  <w:tcBorders>
                    <w:tl2br w:val="nil"/>
                    <w:tr2bl w:val="nil"/>
                  </w:tcBorders>
                  <w:noWrap w:val="0"/>
                  <w:vAlign w:val="center"/>
                </w:tcPr>
                <w:p w14:paraId="33D4FE51">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tc>
              <w:tc>
                <w:tcPr>
                  <w:tcW w:w="483" w:type="dxa"/>
                  <w:vMerge w:val="continue"/>
                  <w:tcBorders>
                    <w:tl2br w:val="nil"/>
                    <w:tr2bl w:val="nil"/>
                  </w:tcBorders>
                  <w:noWrap w:val="0"/>
                  <w:vAlign w:val="center"/>
                </w:tcPr>
                <w:p w14:paraId="38459D89">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tc>
            </w:tr>
            <w:tr w14:paraId="749DA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restart"/>
                  <w:tcBorders>
                    <w:tl2br w:val="nil"/>
                    <w:tr2bl w:val="nil"/>
                  </w:tcBorders>
                  <w:noWrap w:val="0"/>
                  <w:vAlign w:val="center"/>
                </w:tcPr>
                <w:p w14:paraId="3AB1FD13">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YS5117022530001</w:t>
                  </w:r>
                </w:p>
              </w:tc>
              <w:tc>
                <w:tcPr>
                  <w:tcW w:w="957" w:type="dxa"/>
                  <w:vMerge w:val="restart"/>
                  <w:tcBorders>
                    <w:tl2br w:val="nil"/>
                    <w:tr2bl w:val="nil"/>
                  </w:tcBorders>
                  <w:noWrap w:val="0"/>
                  <w:vAlign w:val="center"/>
                </w:tcPr>
                <w:p w14:paraId="1FAD6A48">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通川区城镇开发边界</w:t>
                  </w:r>
                </w:p>
              </w:tc>
              <w:tc>
                <w:tcPr>
                  <w:tcW w:w="5055" w:type="dxa"/>
                  <w:vMerge w:val="continue"/>
                  <w:tcBorders>
                    <w:tl2br w:val="nil"/>
                    <w:tr2bl w:val="nil"/>
                  </w:tcBorders>
                  <w:noWrap w:val="0"/>
                  <w:vAlign w:val="top"/>
                </w:tcPr>
                <w:p w14:paraId="033717E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05EF5C5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51280B9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2B699F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51E118A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9F9295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698A556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6EE1CE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0793A86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0DEDAD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49A1CFA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7863D78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D5F92B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47430EB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06E56F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2B4F64C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284B9A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639F1D5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1F717C3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4C2052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06CB2BD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BA5B6F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56AEFF8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3000B03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382F06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7FC3635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BEE8EF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31B4BEC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7E281C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7815ACC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602EBD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3040017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2B203B85">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空间布局约束</w:t>
                  </w:r>
                </w:p>
              </w:tc>
              <w:tc>
                <w:tcPr>
                  <w:tcW w:w="3150" w:type="dxa"/>
                  <w:tcBorders>
                    <w:tl2br w:val="nil"/>
                    <w:tr2bl w:val="nil"/>
                  </w:tcBorders>
                  <w:noWrap w:val="0"/>
                  <w:vAlign w:val="center"/>
                </w:tcPr>
                <w:p w14:paraId="3458A04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1758" w:type="dxa"/>
                  <w:tcBorders>
                    <w:tl2br w:val="nil"/>
                    <w:tr2bl w:val="nil"/>
                  </w:tcBorders>
                  <w:noWrap w:val="0"/>
                  <w:vAlign w:val="center"/>
                </w:tcPr>
                <w:p w14:paraId="09CF5F8E">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本项目已获得中华人民共和国建设用地规划许可证（地字第：511702202400007号），不涉及侵占河道、湖面以及滩地</w:t>
                  </w:r>
                </w:p>
              </w:tc>
              <w:tc>
                <w:tcPr>
                  <w:tcW w:w="483" w:type="dxa"/>
                  <w:tcBorders>
                    <w:tl2br w:val="nil"/>
                    <w:tr2bl w:val="nil"/>
                  </w:tcBorders>
                  <w:noWrap w:val="0"/>
                  <w:vAlign w:val="center"/>
                </w:tcPr>
                <w:p w14:paraId="0806446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符合</w:t>
                  </w:r>
                </w:p>
              </w:tc>
            </w:tr>
            <w:tr w14:paraId="6F1C8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5615DABC">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YS5117022530001</w:t>
                  </w:r>
                </w:p>
              </w:tc>
              <w:tc>
                <w:tcPr>
                  <w:tcW w:w="957" w:type="dxa"/>
                  <w:vMerge w:val="continue"/>
                  <w:tcBorders>
                    <w:tl2br w:val="nil"/>
                    <w:tr2bl w:val="nil"/>
                  </w:tcBorders>
                  <w:noWrap w:val="0"/>
                  <w:vAlign w:val="center"/>
                </w:tcPr>
                <w:p w14:paraId="637DA312">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通川区城镇开发边界</w:t>
                  </w:r>
                </w:p>
              </w:tc>
              <w:tc>
                <w:tcPr>
                  <w:tcW w:w="5055" w:type="dxa"/>
                  <w:vMerge w:val="continue"/>
                  <w:tcBorders>
                    <w:tl2br w:val="nil"/>
                    <w:tr2bl w:val="nil"/>
                  </w:tcBorders>
                  <w:noWrap w:val="0"/>
                  <w:vAlign w:val="top"/>
                </w:tcPr>
                <w:p w14:paraId="02D7514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2A8ADA8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6ADD98E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A8C9D2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4BD1491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E2EF82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1D1AEEF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5B483D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07F9A22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EF2E25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46D1E63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3DC1EFC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08BD1E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2BCC045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7F30BD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444C2B7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A00592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25B940D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08C34EE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208DE0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7A59D12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41C76A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629082B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512262D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29F45C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4639E34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A7BC2A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013272A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538769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6025CD5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6C3482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293A4D0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4D282C1C">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污染物排放管控</w:t>
                  </w:r>
                </w:p>
              </w:tc>
              <w:tc>
                <w:tcPr>
                  <w:tcW w:w="3150" w:type="dxa"/>
                  <w:vMerge w:val="restart"/>
                  <w:tcBorders>
                    <w:tl2br w:val="nil"/>
                    <w:tr2bl w:val="nil"/>
                  </w:tcBorders>
                  <w:noWrap w:val="0"/>
                  <w:vAlign w:val="center"/>
                </w:tcPr>
                <w:p w14:paraId="67307CB9">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58" w:type="dxa"/>
                  <w:vMerge w:val="restart"/>
                  <w:tcBorders>
                    <w:tl2br w:val="nil"/>
                    <w:tr2bl w:val="nil"/>
                  </w:tcBorders>
                  <w:noWrap w:val="0"/>
                  <w:vAlign w:val="center"/>
                </w:tcPr>
                <w:p w14:paraId="626B05B2">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w:t>
                  </w:r>
                </w:p>
              </w:tc>
              <w:tc>
                <w:tcPr>
                  <w:tcW w:w="483" w:type="dxa"/>
                  <w:vMerge w:val="restart"/>
                  <w:tcBorders>
                    <w:tl2br w:val="nil"/>
                    <w:tr2bl w:val="nil"/>
                  </w:tcBorders>
                  <w:noWrap w:val="0"/>
                  <w:vAlign w:val="center"/>
                </w:tcPr>
                <w:p w14:paraId="0EB68F6C">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w:t>
                  </w:r>
                </w:p>
              </w:tc>
            </w:tr>
            <w:tr w14:paraId="5658C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704F3447">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YS5117022530001</w:t>
                  </w:r>
                </w:p>
              </w:tc>
              <w:tc>
                <w:tcPr>
                  <w:tcW w:w="957" w:type="dxa"/>
                  <w:vMerge w:val="continue"/>
                  <w:tcBorders>
                    <w:tl2br w:val="nil"/>
                    <w:tr2bl w:val="nil"/>
                  </w:tcBorders>
                  <w:noWrap w:val="0"/>
                  <w:vAlign w:val="center"/>
                </w:tcPr>
                <w:p w14:paraId="01AB0C99">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通川区城镇开发边界</w:t>
                  </w:r>
                </w:p>
              </w:tc>
              <w:tc>
                <w:tcPr>
                  <w:tcW w:w="5055" w:type="dxa"/>
                  <w:vMerge w:val="continue"/>
                  <w:tcBorders>
                    <w:tl2br w:val="nil"/>
                    <w:tr2bl w:val="nil"/>
                  </w:tcBorders>
                  <w:noWrap w:val="0"/>
                  <w:vAlign w:val="top"/>
                </w:tcPr>
                <w:p w14:paraId="33FE014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4362AE8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0153814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67E347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74EB3D6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31CAD1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6AA9217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A11CD0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6484EB1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C49CC1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6425446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7692E60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1EDBBF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0F08E09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E47761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5EAE113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16929D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5694E01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6DA32EF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811789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4DF76FB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87B551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0AD3C17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1BD3384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ACBB9D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2E0397E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FB147D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77BC28B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4DB8CC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62BD267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199050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1FD5745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1828AAA3">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环境风险防控</w:t>
                  </w:r>
                </w:p>
              </w:tc>
              <w:tc>
                <w:tcPr>
                  <w:tcW w:w="3150" w:type="dxa"/>
                  <w:vMerge w:val="continue"/>
                  <w:tcBorders>
                    <w:tl2br w:val="nil"/>
                    <w:tr2bl w:val="nil"/>
                  </w:tcBorders>
                  <w:noWrap w:val="0"/>
                  <w:vAlign w:val="center"/>
                </w:tcPr>
                <w:p w14:paraId="15FE624A">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58" w:type="dxa"/>
                  <w:vMerge w:val="continue"/>
                  <w:tcBorders>
                    <w:tl2br w:val="nil"/>
                    <w:tr2bl w:val="nil"/>
                  </w:tcBorders>
                  <w:noWrap w:val="0"/>
                  <w:vAlign w:val="center"/>
                </w:tcPr>
                <w:p w14:paraId="7F8036AD">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tc>
              <w:tc>
                <w:tcPr>
                  <w:tcW w:w="483" w:type="dxa"/>
                  <w:vMerge w:val="continue"/>
                  <w:tcBorders>
                    <w:tl2br w:val="nil"/>
                    <w:tr2bl w:val="nil"/>
                  </w:tcBorders>
                  <w:noWrap w:val="0"/>
                  <w:vAlign w:val="center"/>
                </w:tcPr>
                <w:p w14:paraId="3ADCF019">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tc>
            </w:tr>
            <w:tr w14:paraId="643A4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036BE255">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YS5117022530001</w:t>
                  </w:r>
                </w:p>
              </w:tc>
              <w:tc>
                <w:tcPr>
                  <w:tcW w:w="957" w:type="dxa"/>
                  <w:vMerge w:val="continue"/>
                  <w:tcBorders>
                    <w:tl2br w:val="nil"/>
                    <w:tr2bl w:val="nil"/>
                  </w:tcBorders>
                  <w:noWrap w:val="0"/>
                  <w:vAlign w:val="center"/>
                </w:tcPr>
                <w:p w14:paraId="1045423B">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通川区城镇开发边界</w:t>
                  </w:r>
                </w:p>
              </w:tc>
              <w:tc>
                <w:tcPr>
                  <w:tcW w:w="5055" w:type="dxa"/>
                  <w:vMerge w:val="continue"/>
                  <w:tcBorders>
                    <w:tl2br w:val="nil"/>
                    <w:tr2bl w:val="nil"/>
                  </w:tcBorders>
                  <w:noWrap w:val="0"/>
                  <w:vAlign w:val="top"/>
                </w:tcPr>
                <w:p w14:paraId="3A4FFD6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0545D1A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2F4CDF4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02318F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6D4144D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63E9AF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5479021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5B343B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3358822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93D86C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42B7D8B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6B1B0FE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5E213C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30487EE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67DB04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02447A4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3465E1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723FE06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6591FCB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D2131C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4CFD73D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7C2422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3D95249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3A613D5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0670A9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3206157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6BC76E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4019771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CA7F13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717CAAE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159B8A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4F0BFA5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2A46B249">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资源开发效率要求</w:t>
                  </w:r>
                </w:p>
              </w:tc>
              <w:tc>
                <w:tcPr>
                  <w:tcW w:w="3150" w:type="dxa"/>
                  <w:tcBorders>
                    <w:tl2br w:val="nil"/>
                    <w:tr2bl w:val="nil"/>
                  </w:tcBorders>
                  <w:noWrap w:val="0"/>
                  <w:vAlign w:val="center"/>
                </w:tcPr>
                <w:p w14:paraId="419F7887">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土地资源开发效率要求</w:t>
                  </w:r>
                </w:p>
                <w:p w14:paraId="486B10F6">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土地资源开发利用量不得超过土地资源利用上线控制性指标。</w:t>
                  </w:r>
                </w:p>
                <w:p w14:paraId="28A76FE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能源资源开发效率要求</w:t>
                  </w:r>
                </w:p>
                <w:p w14:paraId="2A22ED8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其他资源开发效率要求</w:t>
                  </w:r>
                </w:p>
              </w:tc>
              <w:tc>
                <w:tcPr>
                  <w:tcW w:w="1758" w:type="dxa"/>
                  <w:tcBorders>
                    <w:tl2br w:val="nil"/>
                    <w:tr2bl w:val="nil"/>
                  </w:tcBorders>
                  <w:noWrap w:val="0"/>
                  <w:vAlign w:val="center"/>
                </w:tcPr>
                <w:p w14:paraId="6D7EC8B4">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本项目位于规划的加油加站用地，符合土地开发要求；项目使用能源为水及电能，分别来自市政供水管网及市政电网，满足能源利用上线要求</w:t>
                  </w:r>
                </w:p>
              </w:tc>
              <w:tc>
                <w:tcPr>
                  <w:tcW w:w="483" w:type="dxa"/>
                  <w:tcBorders>
                    <w:tl2br w:val="nil"/>
                    <w:tr2bl w:val="nil"/>
                  </w:tcBorders>
                  <w:noWrap w:val="0"/>
                  <w:vAlign w:val="center"/>
                </w:tcPr>
                <w:p w14:paraId="16D0FD4D">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符合</w:t>
                  </w:r>
                </w:p>
              </w:tc>
            </w:tr>
            <w:tr w14:paraId="4875F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restart"/>
                  <w:tcBorders>
                    <w:tl2br w:val="nil"/>
                    <w:tr2bl w:val="nil"/>
                  </w:tcBorders>
                  <w:noWrap w:val="0"/>
                  <w:vAlign w:val="center"/>
                </w:tcPr>
                <w:p w14:paraId="501A7935">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YS5117022550001</w:t>
                  </w:r>
                </w:p>
              </w:tc>
              <w:tc>
                <w:tcPr>
                  <w:tcW w:w="957" w:type="dxa"/>
                  <w:vMerge w:val="restart"/>
                  <w:tcBorders>
                    <w:tl2br w:val="nil"/>
                    <w:tr2bl w:val="nil"/>
                  </w:tcBorders>
                  <w:noWrap w:val="0"/>
                  <w:vAlign w:val="center"/>
                </w:tcPr>
                <w:p w14:paraId="46322F8C">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通川区自然资源重点管控区</w:t>
                  </w:r>
                </w:p>
              </w:tc>
              <w:tc>
                <w:tcPr>
                  <w:tcW w:w="5055" w:type="dxa"/>
                  <w:vMerge w:val="continue"/>
                  <w:tcBorders>
                    <w:tl2br w:val="nil"/>
                    <w:tr2bl w:val="nil"/>
                  </w:tcBorders>
                  <w:noWrap w:val="0"/>
                  <w:vAlign w:val="top"/>
                </w:tcPr>
                <w:p w14:paraId="78E00C5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4602E7E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2428FC5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3CAABE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2293E4B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4B7C00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687C239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4F5E79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2D0547D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7D2FFB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719F56E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4B6783E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4ADBAB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09629D6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C75346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7DFAF30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B6647E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4CA67BD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1F383A4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3465FA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294C63F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CFED59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1AC02FF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6E6015D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D26FB3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685F913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80F4AA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7F096D6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51D1D9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3616C39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163B26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3697B66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61B6BB79">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空间布局约束</w:t>
                  </w:r>
                </w:p>
              </w:tc>
              <w:tc>
                <w:tcPr>
                  <w:tcW w:w="3150" w:type="dxa"/>
                  <w:vMerge w:val="restart"/>
                  <w:tcBorders>
                    <w:tl2br w:val="nil"/>
                    <w:tr2bl w:val="nil"/>
                  </w:tcBorders>
                  <w:noWrap w:val="0"/>
                  <w:vAlign w:val="center"/>
                </w:tcPr>
                <w:p w14:paraId="63FE42C9">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58" w:type="dxa"/>
                  <w:vMerge w:val="restart"/>
                  <w:tcBorders>
                    <w:tl2br w:val="nil"/>
                    <w:tr2bl w:val="nil"/>
                  </w:tcBorders>
                  <w:noWrap w:val="0"/>
                  <w:vAlign w:val="center"/>
                </w:tcPr>
                <w:p w14:paraId="52483905">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w:t>
                  </w:r>
                </w:p>
              </w:tc>
              <w:tc>
                <w:tcPr>
                  <w:tcW w:w="483" w:type="dxa"/>
                  <w:vMerge w:val="restart"/>
                  <w:tcBorders>
                    <w:tl2br w:val="nil"/>
                    <w:tr2bl w:val="nil"/>
                  </w:tcBorders>
                  <w:noWrap w:val="0"/>
                  <w:vAlign w:val="center"/>
                </w:tcPr>
                <w:p w14:paraId="51F0E73D">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w:t>
                  </w:r>
                </w:p>
              </w:tc>
            </w:tr>
            <w:tr w14:paraId="6B49F9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36E394C2">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YS5117022550001</w:t>
                  </w:r>
                </w:p>
              </w:tc>
              <w:tc>
                <w:tcPr>
                  <w:tcW w:w="957" w:type="dxa"/>
                  <w:vMerge w:val="continue"/>
                  <w:tcBorders>
                    <w:tl2br w:val="nil"/>
                    <w:tr2bl w:val="nil"/>
                  </w:tcBorders>
                  <w:noWrap w:val="0"/>
                  <w:vAlign w:val="center"/>
                </w:tcPr>
                <w:p w14:paraId="0FAF3EDE">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通川区自然资源重点管控区</w:t>
                  </w:r>
                </w:p>
              </w:tc>
              <w:tc>
                <w:tcPr>
                  <w:tcW w:w="5055" w:type="dxa"/>
                  <w:vMerge w:val="continue"/>
                  <w:tcBorders>
                    <w:tl2br w:val="nil"/>
                    <w:tr2bl w:val="nil"/>
                  </w:tcBorders>
                  <w:noWrap w:val="0"/>
                  <w:vAlign w:val="top"/>
                </w:tcPr>
                <w:p w14:paraId="271FF15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7173779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01543AF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B20963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488853F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F245C1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6268276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608EDA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7CE2F6B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FE4E45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013886E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0B843C7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7E4F51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0A162E1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F47DAF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6BE809E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2ACDCF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702109A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5D3E91F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80DD6E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6B0B7EC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C01017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02EC722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58A2F6C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E3ADA1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6D0D992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242C63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445B027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00EB01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71C1100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633167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41F8A78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10A82419">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污染物排放管控</w:t>
                  </w:r>
                </w:p>
              </w:tc>
              <w:tc>
                <w:tcPr>
                  <w:tcW w:w="3150" w:type="dxa"/>
                  <w:vMerge w:val="continue"/>
                  <w:tcBorders>
                    <w:tl2br w:val="nil"/>
                    <w:tr2bl w:val="nil"/>
                  </w:tcBorders>
                  <w:noWrap w:val="0"/>
                  <w:vAlign w:val="center"/>
                </w:tcPr>
                <w:p w14:paraId="0DF0C98D">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58" w:type="dxa"/>
                  <w:vMerge w:val="continue"/>
                  <w:tcBorders>
                    <w:tl2br w:val="nil"/>
                    <w:tr2bl w:val="nil"/>
                  </w:tcBorders>
                  <w:noWrap w:val="0"/>
                  <w:vAlign w:val="center"/>
                </w:tcPr>
                <w:p w14:paraId="4C9A56F9">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tc>
              <w:tc>
                <w:tcPr>
                  <w:tcW w:w="483" w:type="dxa"/>
                  <w:vMerge w:val="continue"/>
                  <w:tcBorders>
                    <w:tl2br w:val="nil"/>
                    <w:tr2bl w:val="nil"/>
                  </w:tcBorders>
                  <w:noWrap w:val="0"/>
                  <w:vAlign w:val="center"/>
                </w:tcPr>
                <w:p w14:paraId="4428A773">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tc>
            </w:tr>
            <w:tr w14:paraId="14BFF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19339718">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YS5117022550001</w:t>
                  </w:r>
                </w:p>
              </w:tc>
              <w:tc>
                <w:tcPr>
                  <w:tcW w:w="957" w:type="dxa"/>
                  <w:vMerge w:val="continue"/>
                  <w:tcBorders>
                    <w:tl2br w:val="nil"/>
                    <w:tr2bl w:val="nil"/>
                  </w:tcBorders>
                  <w:noWrap w:val="0"/>
                  <w:vAlign w:val="center"/>
                </w:tcPr>
                <w:p w14:paraId="1835D0D2">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通川区自然资源重点管控区</w:t>
                  </w:r>
                </w:p>
              </w:tc>
              <w:tc>
                <w:tcPr>
                  <w:tcW w:w="5055" w:type="dxa"/>
                  <w:vMerge w:val="continue"/>
                  <w:tcBorders>
                    <w:tl2br w:val="nil"/>
                    <w:tr2bl w:val="nil"/>
                  </w:tcBorders>
                  <w:noWrap w:val="0"/>
                  <w:vAlign w:val="top"/>
                </w:tcPr>
                <w:p w14:paraId="0D2F736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41CF415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4501D12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606647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2E32349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B4F2CE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59BDCC5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5129AA0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36F685D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2A2336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39142BF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013E786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12A4C1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5A5D32D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661D23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1644CD6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745A72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40F6514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2850776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0A6F13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57557C3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EF4E13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5406F8D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2DF9876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32637F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13163A7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AA5A3A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729FF27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2D4BE1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031B145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23C1306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173E332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697BBE10">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环境风险防控</w:t>
                  </w:r>
                </w:p>
              </w:tc>
              <w:tc>
                <w:tcPr>
                  <w:tcW w:w="3150" w:type="dxa"/>
                  <w:vMerge w:val="continue"/>
                  <w:tcBorders>
                    <w:tl2br w:val="nil"/>
                    <w:tr2bl w:val="nil"/>
                  </w:tcBorders>
                  <w:noWrap w:val="0"/>
                  <w:vAlign w:val="center"/>
                </w:tcPr>
                <w:p w14:paraId="7483810F">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58" w:type="dxa"/>
                  <w:vMerge w:val="continue"/>
                  <w:tcBorders>
                    <w:tl2br w:val="nil"/>
                    <w:tr2bl w:val="nil"/>
                  </w:tcBorders>
                  <w:noWrap w:val="0"/>
                  <w:vAlign w:val="center"/>
                </w:tcPr>
                <w:p w14:paraId="5A9EC8CC">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tc>
              <w:tc>
                <w:tcPr>
                  <w:tcW w:w="483" w:type="dxa"/>
                  <w:vMerge w:val="continue"/>
                  <w:tcBorders>
                    <w:tl2br w:val="nil"/>
                    <w:tr2bl w:val="nil"/>
                  </w:tcBorders>
                  <w:noWrap w:val="0"/>
                  <w:vAlign w:val="center"/>
                </w:tcPr>
                <w:p w14:paraId="1EC8CEC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tc>
            </w:tr>
            <w:tr w14:paraId="75E945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2B9B8CAE">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YS5117022550001</w:t>
                  </w:r>
                </w:p>
              </w:tc>
              <w:tc>
                <w:tcPr>
                  <w:tcW w:w="957" w:type="dxa"/>
                  <w:vMerge w:val="continue"/>
                  <w:tcBorders>
                    <w:tl2br w:val="nil"/>
                    <w:tr2bl w:val="nil"/>
                  </w:tcBorders>
                  <w:noWrap w:val="0"/>
                  <w:vAlign w:val="center"/>
                </w:tcPr>
                <w:p w14:paraId="4A39F06B">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通川区自然资源重点管控区</w:t>
                  </w:r>
                </w:p>
              </w:tc>
              <w:tc>
                <w:tcPr>
                  <w:tcW w:w="5055" w:type="dxa"/>
                  <w:vMerge w:val="continue"/>
                  <w:tcBorders>
                    <w:tl2br w:val="nil"/>
                    <w:tr2bl w:val="nil"/>
                  </w:tcBorders>
                  <w:noWrap w:val="0"/>
                  <w:vAlign w:val="top"/>
                </w:tcPr>
                <w:p w14:paraId="2EDE0B7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7F93B72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7AF079C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E11224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626C4B5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4BAAAC6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59AE57B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1D00DCF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5B21D5A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CA05FD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66C207E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245E478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1902EA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5B007DC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16D6BB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60E1E7F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7635167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6FDF524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2E67C26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C0E3B6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32C8FD0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CD9BE8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4817A06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19F6C05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0C4A4E1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50F8650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6B4DAB2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14926FE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431B43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4896127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p w14:paraId="39215B1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4CF9A55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暂无</w:t>
                  </w:r>
                </w:p>
              </w:tc>
              <w:tc>
                <w:tcPr>
                  <w:tcW w:w="480" w:type="dxa"/>
                  <w:tcBorders>
                    <w:tl2br w:val="nil"/>
                    <w:tr2bl w:val="nil"/>
                  </w:tcBorders>
                  <w:noWrap w:val="0"/>
                  <w:vAlign w:val="center"/>
                </w:tcPr>
                <w:p w14:paraId="0413FB09">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资源开发效率要求</w:t>
                  </w:r>
                </w:p>
              </w:tc>
              <w:tc>
                <w:tcPr>
                  <w:tcW w:w="3150" w:type="dxa"/>
                  <w:tcBorders>
                    <w:tl2br w:val="nil"/>
                    <w:tr2bl w:val="nil"/>
                  </w:tcBorders>
                  <w:noWrap w:val="0"/>
                  <w:vAlign w:val="center"/>
                </w:tcPr>
                <w:p w14:paraId="46F9EF24">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土地资源开发效率要求</w:t>
                  </w:r>
                </w:p>
                <w:p w14:paraId="084750E5">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p w14:paraId="61825108">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能源资源开发效率要求</w:t>
                  </w:r>
                </w:p>
                <w:p w14:paraId="537B5422">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p w14:paraId="505B18F5">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其他资源开发效率要求</w:t>
                  </w:r>
                </w:p>
              </w:tc>
              <w:tc>
                <w:tcPr>
                  <w:tcW w:w="1758" w:type="dxa"/>
                  <w:tcBorders>
                    <w:tl2br w:val="nil"/>
                    <w:tr2bl w:val="nil"/>
                  </w:tcBorders>
                  <w:noWrap w:val="0"/>
                  <w:vAlign w:val="center"/>
                </w:tcPr>
                <w:p w14:paraId="6E4F338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本项目位于规划的加油加站用地，符合土地开发要求；项目使用能源为水及电能，分别来自市政供水管网及市政电网，满足能源利用上线要求</w:t>
                  </w:r>
                </w:p>
              </w:tc>
              <w:tc>
                <w:tcPr>
                  <w:tcW w:w="483" w:type="dxa"/>
                  <w:tcBorders>
                    <w:tl2br w:val="nil"/>
                    <w:tr2bl w:val="nil"/>
                  </w:tcBorders>
                  <w:noWrap w:val="0"/>
                  <w:vAlign w:val="center"/>
                </w:tcPr>
                <w:p w14:paraId="017F395E">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eastAsia" w:eastAsia="宋体" w:cs="Times New Roman"/>
                      <w:color w:val="auto"/>
                      <w:kern w:val="2"/>
                      <w:sz w:val="21"/>
                      <w:szCs w:val="21"/>
                      <w:highlight w:val="none"/>
                      <w:lang w:val="en-US" w:eastAsia="zh-CN" w:bidi="ar-SA"/>
                    </w:rPr>
                    <w:t>/</w:t>
                  </w:r>
                </w:p>
              </w:tc>
            </w:tr>
            <w:tr w14:paraId="533B1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restart"/>
                  <w:tcBorders>
                    <w:tl2br w:val="nil"/>
                    <w:tr2bl w:val="nil"/>
                  </w:tcBorders>
                  <w:noWrap w:val="0"/>
                  <w:vAlign w:val="center"/>
                </w:tcPr>
                <w:p w14:paraId="1CBE92B9">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ZH51170220002</w:t>
                  </w:r>
                </w:p>
              </w:tc>
              <w:tc>
                <w:tcPr>
                  <w:tcW w:w="957" w:type="dxa"/>
                  <w:vMerge w:val="restart"/>
                  <w:tcBorders>
                    <w:tl2br w:val="nil"/>
                    <w:tr2bl w:val="nil"/>
                  </w:tcBorders>
                  <w:noWrap w:val="0"/>
                  <w:vAlign w:val="center"/>
                </w:tcPr>
                <w:p w14:paraId="296E60E3">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达州市农产品加工集中区</w:t>
                  </w:r>
                </w:p>
              </w:tc>
              <w:tc>
                <w:tcPr>
                  <w:tcW w:w="5055" w:type="dxa"/>
                  <w:vMerge w:val="restart"/>
                  <w:tcBorders>
                    <w:tl2br w:val="nil"/>
                    <w:tr2bl w:val="nil"/>
                  </w:tcBorders>
                  <w:noWrap w:val="0"/>
                  <w:vAlign w:val="top"/>
                </w:tcPr>
                <w:p w14:paraId="5651179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354257F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3F259AD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-禁止在长江干支流、重要湖泊岸线一公里范围内新建、扩建化工园区和化工项目，严控新建石油化工、煤化工、涉磷、造纸、印染、制革等项目。</w:t>
                  </w:r>
                </w:p>
                <w:p w14:paraId="2049A4D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-禁止从事《长江经济带发展负面清单指南（试行）》禁止准入类事项。</w:t>
                  </w:r>
                </w:p>
                <w:p w14:paraId="6B2240E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-引进项目应符合园区规划环评和区域产业准入及负面清单要求。</w:t>
                  </w:r>
                </w:p>
                <w:p w14:paraId="412461F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-禁止新建不符合国家产业政策和行业准入条件的高污染项目。</w:t>
                  </w:r>
                </w:p>
                <w:p w14:paraId="5A1C945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-工业园区禁止新建高污染燃料锅炉。</w:t>
                  </w:r>
                </w:p>
                <w:p w14:paraId="0DC192B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-禁止在长江流域河湖管理范围内倾倒、填埋、堆放、弃置、处理固体废物。</w:t>
                  </w:r>
                </w:p>
                <w:p w14:paraId="5863902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-未通过认定的化工园区，不得新建、改扩建化工项目（安全、环保、节能和智能化改造项目除外），按属地原则依法依规妥善做好未通过认</w:t>
                  </w:r>
                  <w:r>
                    <w:rPr>
                      <w:rStyle w:val="25"/>
                      <w:rFonts w:hint="eastAsia" w:eastAsia="宋体" w:cs="Times New Roman"/>
                      <w:color w:val="auto"/>
                      <w:kern w:val="0"/>
                      <w:sz w:val="21"/>
                      <w:szCs w:val="21"/>
                      <w:highlight w:val="none"/>
                      <w:lang w:val="en-US" w:eastAsia="zh-CN" w:bidi="ar-SA"/>
                    </w:rPr>
                    <w:t>定的</w:t>
                  </w:r>
                  <w:r>
                    <w:rPr>
                      <w:rStyle w:val="25"/>
                      <w:rFonts w:hint="default" w:ascii="Times New Roman" w:hAnsi="Times New Roman" w:eastAsia="宋体" w:cs="Times New Roman"/>
                      <w:color w:val="auto"/>
                      <w:kern w:val="0"/>
                      <w:sz w:val="21"/>
                      <w:szCs w:val="21"/>
                      <w:highlight w:val="none"/>
                      <w:lang w:val="en-US" w:eastAsia="zh-CN" w:bidi="ar-SA"/>
                    </w:rPr>
                    <w:t>化工园区及园内企业的转型、关闭、处置及监管工作。</w:t>
                  </w:r>
                </w:p>
                <w:p w14:paraId="2503348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4C3C18A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1A5161B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-严格控制污染物新增排放量，对新建排放二氧化硫、氮氧化物、工业烟粉尘和 VOCS 的项目实施现役源 2 倍削减量替代。</w:t>
                  </w:r>
                </w:p>
                <w:p w14:paraId="2A75E98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-严格实施环评制度，将细颗粒物达标情况纳入规划环评和相关项目环评内容，加快制定颗粒物、VOCS排放总量管理配套政策。</w:t>
                  </w:r>
                </w:p>
                <w:p w14:paraId="0A9614C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-严格控制新建、扩建燃煤发电项目。</w:t>
                  </w:r>
                </w:p>
                <w:p w14:paraId="3B6989F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-严控达州市主城区上游沿岸地区新建石油化工、煤化工、涉磷、造纸、印染、制革等项目。</w:t>
                  </w:r>
                </w:p>
                <w:p w14:paraId="5BFCCE6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75EEF08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6B73287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-现有属于禁止引入产业门类的企业，应按相关规定限期整治或退出。</w:t>
                  </w:r>
                </w:p>
                <w:p w14:paraId="008A60C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-重点区域城市钢铁企业要切实采取彻底关停、转型发展</w:t>
                  </w:r>
                  <w:r>
                    <w:rPr>
                      <w:rStyle w:val="25"/>
                      <w:rFonts w:hint="eastAsia" w:eastAsia="宋体" w:cs="Times New Roman"/>
                      <w:color w:val="auto"/>
                      <w:kern w:val="0"/>
                      <w:sz w:val="21"/>
                      <w:szCs w:val="21"/>
                      <w:highlight w:val="none"/>
                      <w:lang w:val="en-US" w:eastAsia="zh-CN" w:bidi="ar-SA"/>
                    </w:rPr>
                    <w:t>，就</w:t>
                  </w:r>
                  <w:r>
                    <w:rPr>
                      <w:rStyle w:val="25"/>
                      <w:rFonts w:hint="default" w:ascii="Times New Roman" w:hAnsi="Times New Roman" w:eastAsia="宋体" w:cs="Times New Roman"/>
                      <w:color w:val="auto"/>
                      <w:kern w:val="0"/>
                      <w:sz w:val="21"/>
                      <w:szCs w:val="21"/>
                      <w:highlight w:val="none"/>
                      <w:lang w:val="en-US" w:eastAsia="zh-CN" w:bidi="ar-SA"/>
                    </w:rPr>
                    <w:t>地改造、域外搬迁等方式。四川省达州钢铁集团有限责任公司处于四川省大气污染防治重点区域，属于“彻底关停、转型发展</w:t>
                  </w:r>
                  <w:r>
                    <w:rPr>
                      <w:rStyle w:val="25"/>
                      <w:rFonts w:hint="eastAsia" w:eastAsia="宋体" w:cs="Times New Roman"/>
                      <w:color w:val="auto"/>
                      <w:kern w:val="0"/>
                      <w:sz w:val="21"/>
                      <w:szCs w:val="21"/>
                      <w:highlight w:val="none"/>
                      <w:lang w:val="en-US" w:eastAsia="zh-CN" w:bidi="ar-SA"/>
                    </w:rPr>
                    <w:t>，就</w:t>
                  </w:r>
                  <w:r>
                    <w:rPr>
                      <w:rStyle w:val="25"/>
                      <w:rFonts w:hint="default" w:ascii="Times New Roman" w:hAnsi="Times New Roman" w:eastAsia="宋体" w:cs="Times New Roman"/>
                      <w:color w:val="auto"/>
                      <w:kern w:val="0"/>
                      <w:sz w:val="21"/>
                      <w:szCs w:val="21"/>
                      <w:highlight w:val="none"/>
                      <w:lang w:val="en-US" w:eastAsia="zh-CN" w:bidi="ar-SA"/>
                    </w:rPr>
                    <w:t xml:space="preserve">地改造、域外搬迁”企业； </w:t>
                  </w:r>
                </w:p>
                <w:p w14:paraId="4E17284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-引导重污染产业退出或搬迁、企业分类退城入园，逐步打破近水靠城的历史工业布局。加大城市区域现有装备水平低、环保设施差的</w:t>
                  </w:r>
                  <w:r>
                    <w:rPr>
                      <w:rStyle w:val="25"/>
                      <w:rFonts w:hint="eastAsia" w:eastAsia="宋体" w:cs="Times New Roman"/>
                      <w:color w:val="auto"/>
                      <w:kern w:val="0"/>
                      <w:sz w:val="21"/>
                      <w:szCs w:val="21"/>
                      <w:highlight w:val="none"/>
                      <w:lang w:val="en-US" w:eastAsia="zh-CN" w:bidi="ar-SA"/>
                    </w:rPr>
                    <w:t>小微</w:t>
                  </w:r>
                  <w:r>
                    <w:rPr>
                      <w:rStyle w:val="25"/>
                      <w:rFonts w:hint="default" w:ascii="Times New Roman" w:hAnsi="Times New Roman" w:eastAsia="宋体" w:cs="Times New Roman"/>
                      <w:color w:val="auto"/>
                      <w:kern w:val="0"/>
                      <w:sz w:val="21"/>
                      <w:szCs w:val="21"/>
                      <w:highlight w:val="none"/>
                      <w:lang w:val="en-US" w:eastAsia="zh-CN" w:bidi="ar-SA"/>
                    </w:rPr>
                    <w:t>企业“关、停、并、转”实施力度，清理建成区上风向重点涉气项目。</w:t>
                  </w:r>
                </w:p>
                <w:p w14:paraId="23E9792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-石化、现代煤化工项目应纳入国家产业规划。新建、扩建石化、化工、焦化、有色金属冶炼、平板玻璃项目应布设在依法合规设立并经规划环评的产业园区。</w:t>
                  </w:r>
                </w:p>
                <w:p w14:paraId="3324307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4FB1B0B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2AF812A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w:t>
                  </w:r>
                </w:p>
                <w:p w14:paraId="5E9D8B4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2BBF9BA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6E2F43F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达州市2025年水污染物允许排放量COD4396.41t，氨氮418.7t，TP45.36t；达州市2025年大气污染物一次PM2.5 5805t、SO2 12773t、NOx11892t、VOCs 13969t</w:t>
                  </w:r>
                </w:p>
                <w:p w14:paraId="37E224E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6F48E8B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-污水收集处理率达100%；</w:t>
                  </w:r>
                </w:p>
                <w:p w14:paraId="486C110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4396B39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40E3790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69444C0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4E41272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新增源等量或倍量替代:上一年度水环境质量未完成目标的，新建排放水污染的建设项目按照总量管控要求进行倍量削减替代。</w:t>
                  </w:r>
                </w:p>
                <w:p w14:paraId="5B48CB8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上一年度空气质量年平均浓度不达标的城市，建设项目新增相关污染物按照总量管控要求进行倍量削减替代。                </w:t>
                  </w:r>
                </w:p>
                <w:p w14:paraId="6EE6B9B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14:paraId="2891B48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污染物排放绩效水平准入要求:新、改扩建项目污染排放指标满足《四川省省级生态工业园区指标》综合类生态工业园区要求。工业固体废弃物利用处置率达100%，危险废物处置率达100%。          </w:t>
                  </w:r>
                </w:p>
                <w:p w14:paraId="7E70467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国家大气污染防治重点区域(以</w:t>
                  </w:r>
                  <w:r>
                    <w:rPr>
                      <w:rStyle w:val="25"/>
                      <w:rFonts w:hint="eastAsia" w:eastAsia="宋体" w:cs="Times New Roman"/>
                      <w:color w:val="auto"/>
                      <w:kern w:val="0"/>
                      <w:sz w:val="21"/>
                      <w:szCs w:val="21"/>
                      <w:highlight w:val="none"/>
                      <w:lang w:val="en-US" w:eastAsia="zh-CN" w:bidi="ar-SA"/>
                    </w:rPr>
                    <w:t>下简</w:t>
                  </w:r>
                  <w:r>
                    <w:rPr>
                      <w:rStyle w:val="25"/>
                      <w:rFonts w:hint="default" w:ascii="Times New Roman" w:hAnsi="Times New Roman" w:eastAsia="宋体" w:cs="Times New Roman"/>
                      <w:color w:val="auto"/>
                      <w:kern w:val="0"/>
                      <w:sz w:val="21"/>
                      <w:szCs w:val="21"/>
                      <w:highlight w:val="none"/>
                      <w:lang w:val="en-US" w:eastAsia="zh-CN" w:bidi="ar-SA"/>
                    </w:rPr>
                    <w:t xml:space="preserve">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14:paraId="4E5FAFD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钢铁行业新建应参考达州市“三线一单”生态环境分区管控中钢铁行业资源环境绩效准入门槛。                         </w:t>
                  </w:r>
                </w:p>
                <w:p w14:paraId="73F7691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346BE59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311A565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21573D9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5387D4E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2EDC2E3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60C933A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强化区域联防联控，严格落实《关于建立跨省流域上下游突发水污染事件联防联控机制的指导意见》；定期召开区域大气环境</w:t>
                  </w:r>
                  <w:r>
                    <w:rPr>
                      <w:rStyle w:val="25"/>
                      <w:rFonts w:hint="eastAsia" w:eastAsia="宋体" w:cs="Times New Roman"/>
                      <w:color w:val="auto"/>
                      <w:kern w:val="0"/>
                      <w:sz w:val="21"/>
                      <w:szCs w:val="21"/>
                      <w:highlight w:val="none"/>
                      <w:lang w:val="en-US" w:eastAsia="zh-CN" w:bidi="ar-SA"/>
                    </w:rPr>
                    <w:t>形势</w:t>
                  </w:r>
                  <w:r>
                    <w:rPr>
                      <w:rStyle w:val="25"/>
                      <w:rFonts w:hint="default" w:ascii="Times New Roman" w:hAnsi="Times New Roman" w:eastAsia="宋体" w:cs="Times New Roman"/>
                      <w:color w:val="auto"/>
                      <w:kern w:val="0"/>
                      <w:sz w:val="21"/>
                      <w:szCs w:val="21"/>
                      <w:highlight w:val="none"/>
                      <w:lang w:val="en-US" w:eastAsia="zh-CN" w:bidi="ar-SA"/>
                    </w:rPr>
                    <w:t>分析会，强化信息共享和联动合作，实行环境规划，标准，环评，执法，信息公开“六统一”，协力推进大气污染源头防控，加强川东北区域大气污染防治合作。</w:t>
                  </w:r>
                </w:p>
                <w:p w14:paraId="5D6AD70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619ECE1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企业环境风险防控要求:涉及有毒有害、易燃易爆物质新建、改扩建项目，严控准入要求。（根据《GB 8978-2002》中第一类污染物以及《优先控制化学品名录</w:t>
                  </w:r>
                  <w:r>
                    <w:rPr>
                      <w:rStyle w:val="25"/>
                      <w:rFonts w:hint="eastAsia" w:eastAsia="宋体" w:cs="Times New Roman"/>
                      <w:color w:val="auto"/>
                      <w:kern w:val="0"/>
                      <w:sz w:val="21"/>
                      <w:szCs w:val="21"/>
                      <w:highlight w:val="none"/>
                      <w:lang w:val="en-US" w:eastAsia="zh-CN" w:bidi="ar-SA"/>
                    </w:rPr>
                    <w:t>》《</w:t>
                  </w:r>
                  <w:r>
                    <w:rPr>
                      <w:rStyle w:val="25"/>
                      <w:rFonts w:hint="default" w:ascii="Times New Roman" w:hAnsi="Times New Roman" w:eastAsia="宋体" w:cs="Times New Roman"/>
                      <w:color w:val="auto"/>
                      <w:kern w:val="0"/>
                      <w:sz w:val="21"/>
                      <w:szCs w:val="21"/>
                      <w:highlight w:val="none"/>
                      <w:lang w:val="en-US" w:eastAsia="zh-CN" w:bidi="ar-SA"/>
                    </w:rPr>
                    <w:t>有毒有害大气污染物名录</w:t>
                  </w:r>
                  <w:r>
                    <w:rPr>
                      <w:rStyle w:val="25"/>
                      <w:rFonts w:hint="eastAsia" w:eastAsia="宋体" w:cs="Times New Roman"/>
                      <w:color w:val="auto"/>
                      <w:kern w:val="0"/>
                      <w:sz w:val="21"/>
                      <w:szCs w:val="21"/>
                      <w:highlight w:val="none"/>
                      <w:lang w:val="en-US" w:eastAsia="zh-CN" w:bidi="ar-SA"/>
                    </w:rPr>
                    <w:t>》《</w:t>
                  </w:r>
                  <w:r>
                    <w:rPr>
                      <w:rStyle w:val="25"/>
                      <w:rFonts w:hint="default" w:ascii="Times New Roman" w:hAnsi="Times New Roman" w:eastAsia="宋体" w:cs="Times New Roman"/>
                      <w:color w:val="auto"/>
                      <w:kern w:val="0"/>
                      <w:sz w:val="21"/>
                      <w:szCs w:val="21"/>
                      <w:highlight w:val="none"/>
                      <w:lang w:val="en-US" w:eastAsia="zh-CN" w:bidi="ar-SA"/>
                    </w:rPr>
                    <w:t>有毒有害水污染物名录》确定）。对钢铁、焦化平板玻璃、铜铅锌硅冶炼等环境影响大或环境风险高的项目类别，不得以改革试点名义随意下放环评审批权限或降低审批要求。</w:t>
                  </w:r>
                </w:p>
                <w:p w14:paraId="17289CC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4DB52BF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14:paraId="28CD195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635539F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6CE3591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新、改扩建项目污染水耗指标满足《四川省省级生态工业园区指标》综合类生态工业园区要求；到2022年，万元国内生产总值用水量、万元工业增加值用水量较2015年分别下降30%和28%。</w:t>
                  </w:r>
                </w:p>
                <w:p w14:paraId="543E5F1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4D8A3F9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以省市下发指标为准</w:t>
                  </w:r>
                </w:p>
                <w:p w14:paraId="2EC1AB9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2491422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14:paraId="114D1ED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-大力实施和推广以电代煤、以电代油工程，重点在城市交通、工商业等领域实施以电代油、以电代煤。</w:t>
                  </w:r>
                </w:p>
                <w:p w14:paraId="08016DD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-增加天然气对煤炭和石油的替代，提高天然气民用、交通、发电、工业领域天然气消费比重。</w:t>
                  </w:r>
                </w:p>
                <w:p w14:paraId="54FE204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-实施煤炭消费总量控制：严格控制煤炭消费总量；严格控制新建、改建、扩建耗煤项目，新增耗煤项目实行煤炭消耗减量</w:t>
                  </w:r>
                  <w:r>
                    <w:rPr>
                      <w:rStyle w:val="25"/>
                      <w:rFonts w:hint="eastAsia" w:eastAsia="宋体" w:cs="Times New Roman"/>
                      <w:color w:val="auto"/>
                      <w:kern w:val="0"/>
                      <w:sz w:val="21"/>
                      <w:szCs w:val="21"/>
                      <w:highlight w:val="none"/>
                      <w:lang w:val="en-US" w:eastAsia="zh-CN" w:bidi="ar-SA"/>
                    </w:rPr>
                    <w:t>备量</w:t>
                  </w:r>
                  <w:r>
                    <w:rPr>
                      <w:rStyle w:val="25"/>
                      <w:rFonts w:hint="default" w:ascii="Times New Roman" w:hAnsi="Times New Roman" w:eastAsia="宋体" w:cs="Times New Roman"/>
                      <w:color w:val="auto"/>
                      <w:kern w:val="0"/>
                      <w:sz w:val="21"/>
                      <w:szCs w:val="21"/>
                      <w:highlight w:val="none"/>
                      <w:lang w:val="en-US" w:eastAsia="zh-CN" w:bidi="ar-SA"/>
                    </w:rPr>
                    <w:t>替代。</w:t>
                  </w:r>
                </w:p>
                <w:p w14:paraId="18A69DA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6387CE0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-推进清洁能源的推广使用，全面推进散煤清洁化整治；</w:t>
                  </w:r>
                </w:p>
                <w:p w14:paraId="68DA94A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2844FF7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00208DB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3D0B029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-高污染燃料禁燃区内禁止燃用的燃料为《高污染燃料目录》（2017）中</w:t>
                  </w:r>
                  <w:r>
                    <w:rPr>
                      <w:rStyle w:val="25"/>
                      <w:rFonts w:hint="eastAsia" w:eastAsia="宋体" w:cs="Times New Roman"/>
                      <w:color w:val="auto"/>
                      <w:kern w:val="0"/>
                      <w:sz w:val="21"/>
                      <w:szCs w:val="21"/>
                      <w:highlight w:val="none"/>
                      <w:lang w:val="en-US" w:eastAsia="zh-CN" w:bidi="ar-SA"/>
                    </w:rPr>
                    <w:t>Ⅲ类</w:t>
                  </w:r>
                  <w:r>
                    <w:rPr>
                      <w:rStyle w:val="25"/>
                      <w:rFonts w:hint="default" w:ascii="Times New Roman" w:hAnsi="Times New Roman" w:eastAsia="宋体" w:cs="Times New Roman"/>
                      <w:color w:val="auto"/>
                      <w:kern w:val="0"/>
                      <w:sz w:val="21"/>
                      <w:szCs w:val="21"/>
                      <w:highlight w:val="none"/>
                      <w:lang w:val="en-US" w:eastAsia="zh-CN" w:bidi="ar-SA"/>
                    </w:rPr>
                    <w:t>（严格）燃料组合，包括：（一）煤炭及其制品；（二）石油焦、油页岩、原油、重油、渣油、煤焦油；（三）非专用锅炉或未配置高效除尘设施的专用锅炉燃用的生物质成型燃料。</w:t>
                  </w:r>
                </w:p>
                <w:p w14:paraId="557D3D8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-禁燃区内禁止销售、燃用高污染燃料；禁止新建、改建、扩建燃用高污染燃料的设施和设备。</w:t>
                  </w:r>
                </w:p>
                <w:p w14:paraId="0A11A91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-禁燃区内已建成的高污染燃料燃用设施由辖区人民政府制定限期改造计划，改用天然气、页岩气、液化石油气、电或其他清洁能源。</w:t>
                  </w:r>
                </w:p>
                <w:p w14:paraId="0342A99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0B85720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643740B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w:t>
                  </w:r>
                </w:p>
              </w:tc>
              <w:tc>
                <w:tcPr>
                  <w:tcW w:w="480" w:type="dxa"/>
                  <w:tcBorders>
                    <w:tl2br w:val="nil"/>
                    <w:tr2bl w:val="nil"/>
                  </w:tcBorders>
                  <w:noWrap w:val="0"/>
                  <w:vAlign w:val="center"/>
                </w:tcPr>
                <w:p w14:paraId="5DD86730">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空间布局约束</w:t>
                  </w:r>
                </w:p>
              </w:tc>
              <w:tc>
                <w:tcPr>
                  <w:tcW w:w="3150" w:type="dxa"/>
                  <w:tcBorders>
                    <w:tl2br w:val="nil"/>
                    <w:tr2bl w:val="nil"/>
                  </w:tcBorders>
                  <w:noWrap w:val="0"/>
                  <w:vAlign w:val="center"/>
                </w:tcPr>
                <w:p w14:paraId="7DB025A5">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禁止开发建设活动的要求</w:t>
                  </w:r>
                </w:p>
                <w:p w14:paraId="25783E34">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现代物流业禁止引入化工物流</w:t>
                  </w:r>
                  <w:r>
                    <w:rPr>
                      <w:rStyle w:val="25"/>
                      <w:rFonts w:hint="eastAsia" w:eastAsia="宋体" w:cs="Times New Roman"/>
                      <w:color w:val="auto"/>
                      <w:kern w:val="2"/>
                      <w:sz w:val="21"/>
                      <w:szCs w:val="21"/>
                      <w:highlight w:val="none"/>
                      <w:lang w:val="en-US" w:eastAsia="zh-CN" w:bidi="ar-SA"/>
                    </w:rPr>
                    <w:t>其他同</w:t>
                  </w:r>
                  <w:r>
                    <w:rPr>
                      <w:rStyle w:val="25"/>
                      <w:rFonts w:hint="default" w:ascii="Times New Roman" w:hAnsi="Times New Roman" w:eastAsia="宋体" w:cs="Times New Roman"/>
                      <w:color w:val="auto"/>
                      <w:kern w:val="2"/>
                      <w:sz w:val="21"/>
                      <w:szCs w:val="21"/>
                      <w:highlight w:val="none"/>
                      <w:lang w:val="en-US" w:eastAsia="zh-CN" w:bidi="ar-SA"/>
                    </w:rPr>
                    <w:t>达州市工业重点管控单元要求</w:t>
                  </w:r>
                </w:p>
                <w:p w14:paraId="16885DB9">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限制开发建设活动的要求</w:t>
                  </w:r>
                </w:p>
                <w:p w14:paraId="3DE27C82">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在引入食品、医药企业时须充分考虑污染特征以及外环境情况等因素，必要时设置相应的卫生防护距离，以确保魏兴场镇不受到周边企业的污染</w:t>
                  </w:r>
                  <w:r>
                    <w:rPr>
                      <w:rStyle w:val="25"/>
                      <w:rFonts w:hint="eastAsia" w:eastAsia="宋体" w:cs="Times New Roman"/>
                      <w:color w:val="auto"/>
                      <w:kern w:val="2"/>
                      <w:sz w:val="21"/>
                      <w:szCs w:val="21"/>
                      <w:highlight w:val="none"/>
                      <w:lang w:val="en-US" w:eastAsia="zh-CN" w:bidi="ar-SA"/>
                    </w:rPr>
                    <w:t>影响其他</w:t>
                  </w:r>
                  <w:r>
                    <w:rPr>
                      <w:rStyle w:val="25"/>
                      <w:rFonts w:hint="default" w:ascii="Times New Roman" w:hAnsi="Times New Roman" w:eastAsia="宋体" w:cs="Times New Roman"/>
                      <w:color w:val="auto"/>
                      <w:kern w:val="2"/>
                      <w:sz w:val="21"/>
                      <w:szCs w:val="21"/>
                      <w:highlight w:val="none"/>
                      <w:lang w:val="en-US" w:eastAsia="zh-CN" w:bidi="ar-SA"/>
                    </w:rPr>
                    <w:t>同达州市工业重点管控单元要求</w:t>
                  </w:r>
                </w:p>
                <w:p w14:paraId="6E17A176">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p w14:paraId="3E33188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允许开发建设活动的要求</w:t>
                  </w:r>
                </w:p>
                <w:p w14:paraId="54A5F195">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p w14:paraId="1CB79608">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14:paraId="76E01064">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项目入驻时，优先布局于集中区南北向主干道西面工业用地范围，南北向主干道东侧规划工业用地作为远期备用发展用地执行达州市工业重点管控单元总体要求</w:t>
                  </w:r>
                </w:p>
                <w:p w14:paraId="277C3C8A">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其他空间布局约束要求</w:t>
                  </w:r>
                </w:p>
                <w:p w14:paraId="1EB5C8E2">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58" w:type="dxa"/>
                  <w:tcBorders>
                    <w:tl2br w:val="nil"/>
                    <w:tr2bl w:val="nil"/>
                  </w:tcBorders>
                  <w:noWrap w:val="0"/>
                  <w:vAlign w:val="center"/>
                </w:tcPr>
                <w:p w14:paraId="27A5EFE7">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Fonts w:hint="default" w:eastAsia="宋体"/>
                      <w:color w:val="auto"/>
                      <w:sz w:val="21"/>
                      <w:highlight w:val="none"/>
                    </w:rPr>
                    <w:t>项目为</w:t>
                  </w:r>
                  <w:r>
                    <w:rPr>
                      <w:rFonts w:hint="eastAsia" w:eastAsia="宋体"/>
                      <w:color w:val="auto"/>
                      <w:sz w:val="21"/>
                      <w:highlight w:val="none"/>
                    </w:rPr>
                    <w:t>加油加气站项目</w:t>
                  </w:r>
                  <w:r>
                    <w:rPr>
                      <w:rFonts w:hint="eastAsia" w:eastAsia="宋体"/>
                      <w:color w:val="auto"/>
                      <w:sz w:val="21"/>
                      <w:highlight w:val="none"/>
                      <w:lang w:eastAsia="zh-CN"/>
                    </w:rPr>
                    <w:t>，</w:t>
                  </w:r>
                  <w:r>
                    <w:rPr>
                      <w:rFonts w:hint="eastAsia" w:eastAsia="宋体"/>
                      <w:color w:val="auto"/>
                      <w:sz w:val="21"/>
                      <w:highlight w:val="none"/>
                      <w:lang w:val="en-US" w:eastAsia="zh-CN"/>
                    </w:rPr>
                    <w:t>不属于现代物流业，不属于禁止开发类项目，</w:t>
                  </w:r>
                  <w:r>
                    <w:rPr>
                      <w:rFonts w:hint="eastAsia" w:eastAsia="宋体"/>
                      <w:color w:val="auto"/>
                      <w:sz w:val="21"/>
                      <w:highlight w:val="none"/>
                    </w:rPr>
                    <w:t>项目卸油、储油、加油过程中挥发的有机废气经油气回收装置回收；LNG发散废气经10m放散管有组织排放</w:t>
                  </w:r>
                  <w:r>
                    <w:rPr>
                      <w:rFonts w:hint="eastAsia" w:eastAsia="宋体"/>
                      <w:color w:val="auto"/>
                      <w:sz w:val="21"/>
                      <w:highlight w:val="none"/>
                      <w:lang w:val="en-US" w:eastAsia="zh-CN"/>
                    </w:rPr>
                    <w:t>对外环境影响较小，满足闲置开发建设活动的要求。项目不属于门类、</w:t>
                  </w:r>
                  <w:r>
                    <w:rPr>
                      <w:rStyle w:val="25"/>
                      <w:rFonts w:hint="default" w:ascii="Times New Roman" w:hAnsi="Times New Roman" w:eastAsia="宋体" w:cs="Times New Roman"/>
                      <w:color w:val="auto"/>
                      <w:kern w:val="0"/>
                      <w:sz w:val="21"/>
                      <w:szCs w:val="21"/>
                      <w:highlight w:val="none"/>
                      <w:lang w:val="en-US" w:eastAsia="zh-CN" w:bidi="ar-SA"/>
                    </w:rPr>
                    <w:t>石化、现代煤化工</w:t>
                  </w:r>
                  <w:r>
                    <w:rPr>
                      <w:rStyle w:val="25"/>
                      <w:rFonts w:hint="eastAsia" w:eastAsia="宋体" w:cs="Times New Roman"/>
                      <w:color w:val="auto"/>
                      <w:kern w:val="0"/>
                      <w:sz w:val="21"/>
                      <w:szCs w:val="21"/>
                      <w:highlight w:val="none"/>
                      <w:lang w:val="en-US" w:eastAsia="zh-CN" w:bidi="ar-SA"/>
                    </w:rPr>
                    <w:t>、</w:t>
                  </w:r>
                  <w:r>
                    <w:rPr>
                      <w:rStyle w:val="25"/>
                      <w:rFonts w:hint="default" w:ascii="Times New Roman" w:hAnsi="Times New Roman" w:eastAsia="宋体" w:cs="Times New Roman"/>
                      <w:color w:val="auto"/>
                      <w:kern w:val="0"/>
                      <w:sz w:val="21"/>
                      <w:szCs w:val="21"/>
                      <w:highlight w:val="none"/>
                      <w:lang w:val="en-US" w:eastAsia="zh-CN" w:bidi="ar-SA"/>
                    </w:rPr>
                    <w:t>石化、化工、焦化、有色金属冶炼、平板玻璃</w:t>
                  </w:r>
                  <w:r>
                    <w:rPr>
                      <w:rStyle w:val="25"/>
                      <w:rFonts w:hint="eastAsia" w:eastAsia="宋体" w:cs="Times New Roman"/>
                      <w:color w:val="auto"/>
                      <w:kern w:val="0"/>
                      <w:sz w:val="21"/>
                      <w:szCs w:val="21"/>
                      <w:highlight w:val="none"/>
                      <w:lang w:val="en-US" w:eastAsia="zh-CN" w:bidi="ar-SA"/>
                    </w:rPr>
                    <w:t>等项目，不属于</w:t>
                  </w:r>
                  <w:r>
                    <w:rPr>
                      <w:rStyle w:val="25"/>
                      <w:rFonts w:hint="default" w:ascii="Times New Roman" w:hAnsi="Times New Roman" w:eastAsia="宋体" w:cs="Times New Roman"/>
                      <w:color w:val="auto"/>
                      <w:kern w:val="0"/>
                      <w:sz w:val="21"/>
                      <w:szCs w:val="21"/>
                      <w:highlight w:val="none"/>
                      <w:lang w:val="en-US" w:eastAsia="zh-CN" w:bidi="ar-SA"/>
                    </w:rPr>
                    <w:t>不符合空间布局要求</w:t>
                  </w:r>
                  <w:r>
                    <w:rPr>
                      <w:rStyle w:val="25"/>
                      <w:rFonts w:hint="eastAsia" w:eastAsia="宋体" w:cs="Times New Roman"/>
                      <w:color w:val="auto"/>
                      <w:kern w:val="0"/>
                      <w:sz w:val="21"/>
                      <w:szCs w:val="21"/>
                      <w:highlight w:val="none"/>
                      <w:lang w:val="en-US" w:eastAsia="zh-CN" w:bidi="ar-SA"/>
                    </w:rPr>
                    <w:t>类项目</w:t>
                  </w:r>
                </w:p>
              </w:tc>
              <w:tc>
                <w:tcPr>
                  <w:tcW w:w="483" w:type="dxa"/>
                  <w:tcBorders>
                    <w:tl2br w:val="nil"/>
                    <w:tr2bl w:val="nil"/>
                  </w:tcBorders>
                  <w:noWrap w:val="0"/>
                  <w:vAlign w:val="center"/>
                </w:tcPr>
                <w:p w14:paraId="7FB7A64C">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tc>
            </w:tr>
            <w:tr w14:paraId="5299E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077A6A3D">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ZH51170220002</w:t>
                  </w:r>
                </w:p>
              </w:tc>
              <w:tc>
                <w:tcPr>
                  <w:tcW w:w="957" w:type="dxa"/>
                  <w:vMerge w:val="continue"/>
                  <w:tcBorders>
                    <w:tl2br w:val="nil"/>
                    <w:tr2bl w:val="nil"/>
                  </w:tcBorders>
                  <w:noWrap w:val="0"/>
                  <w:vAlign w:val="center"/>
                </w:tcPr>
                <w:p w14:paraId="351CD5E3">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达州市农产品加工集中区</w:t>
                  </w:r>
                </w:p>
              </w:tc>
              <w:tc>
                <w:tcPr>
                  <w:tcW w:w="5055" w:type="dxa"/>
                  <w:vMerge w:val="continue"/>
                  <w:tcBorders>
                    <w:tl2br w:val="nil"/>
                    <w:tr2bl w:val="nil"/>
                  </w:tcBorders>
                  <w:noWrap w:val="0"/>
                  <w:vAlign w:val="top"/>
                </w:tcPr>
                <w:p w14:paraId="64398F4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6C2B760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09AED09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-禁止在长江干支流、重要湖泊岸线一公里范围内新建、扩建化工园区和化工项目，严控新建石油化工、煤化工、涉磷、造纸、印染、制革等项目。</w:t>
                  </w:r>
                </w:p>
                <w:p w14:paraId="5031098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-禁止从事《长江经济带发展负面清单指南（试行）》禁止准入类事项。</w:t>
                  </w:r>
                </w:p>
                <w:p w14:paraId="04FF943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-引进项目应符合园区规划环评和区域产业准入及负面清单要求。</w:t>
                  </w:r>
                </w:p>
                <w:p w14:paraId="7569C94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-禁止新建不符合国家产业政策和行业准入条件的高污染项目。</w:t>
                  </w:r>
                </w:p>
                <w:p w14:paraId="470ED32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-工业园区禁止新建高污染燃料锅炉。</w:t>
                  </w:r>
                </w:p>
                <w:p w14:paraId="4DB4A9C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-禁止在长江流域河湖管理范围内倾倒、填埋、堆放、弃置、处理固体废物。</w:t>
                  </w:r>
                </w:p>
                <w:p w14:paraId="5963E8B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-未通过认定的化工园区，不得新建、改扩建化工项目（安全、环保、节能和智能化改造项目除外），按属地原则依法依规妥善做好未通过认</w:t>
                  </w:r>
                  <w:r>
                    <w:rPr>
                      <w:rStyle w:val="25"/>
                      <w:rFonts w:hint="eastAsia" w:eastAsia="宋体" w:cs="Times New Roman"/>
                      <w:color w:val="auto"/>
                      <w:kern w:val="0"/>
                      <w:sz w:val="21"/>
                      <w:szCs w:val="21"/>
                      <w:highlight w:val="none"/>
                      <w:lang w:val="en-US" w:eastAsia="zh-CN" w:bidi="ar-SA"/>
                    </w:rPr>
                    <w:t>定的</w:t>
                  </w:r>
                  <w:r>
                    <w:rPr>
                      <w:rStyle w:val="25"/>
                      <w:rFonts w:hint="default" w:ascii="Times New Roman" w:hAnsi="Times New Roman" w:eastAsia="宋体" w:cs="Times New Roman"/>
                      <w:color w:val="auto"/>
                      <w:kern w:val="0"/>
                      <w:sz w:val="21"/>
                      <w:szCs w:val="21"/>
                      <w:highlight w:val="none"/>
                      <w:lang w:val="en-US" w:eastAsia="zh-CN" w:bidi="ar-SA"/>
                    </w:rPr>
                    <w:t>化工园区及园内企业的转型、关闭、处置及监管工作。</w:t>
                  </w:r>
                </w:p>
                <w:p w14:paraId="733C41A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2C1167A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4F0C9BA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-严格控制污染物新增排放量，对新建排放二氧化硫、氮氧化物、工业烟粉尘和 VOCS 的项目实施现役源 2 倍削减量替代。</w:t>
                  </w:r>
                </w:p>
                <w:p w14:paraId="0D13D36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-严格实施环评制度，将细颗粒物达标情况纳入规划环评和相关项目环评内容，加快制定颗粒物、VOCS排放总量管理配套政策。</w:t>
                  </w:r>
                </w:p>
                <w:p w14:paraId="7C602D8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-严格控制新建、扩建燃煤发电项目。</w:t>
                  </w:r>
                </w:p>
                <w:p w14:paraId="298A2F2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-严控达州市主城区上游沿岸地区新建石油化工、煤化工、涉磷、造纸、印染、制革等项目。</w:t>
                  </w:r>
                </w:p>
                <w:p w14:paraId="12ECF78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48628A6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764CE2A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-现有属于禁止引入产业门类的企业，应按相关规定限期整治或退出。</w:t>
                  </w:r>
                </w:p>
                <w:p w14:paraId="7FCB29E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-重点区域城市钢铁企业要切实采取彻底关停、转型发展</w:t>
                  </w:r>
                  <w:r>
                    <w:rPr>
                      <w:rStyle w:val="25"/>
                      <w:rFonts w:hint="eastAsia" w:eastAsia="宋体" w:cs="Times New Roman"/>
                      <w:color w:val="auto"/>
                      <w:kern w:val="0"/>
                      <w:sz w:val="21"/>
                      <w:szCs w:val="21"/>
                      <w:highlight w:val="none"/>
                      <w:lang w:val="en-US" w:eastAsia="zh-CN" w:bidi="ar-SA"/>
                    </w:rPr>
                    <w:t>，就</w:t>
                  </w:r>
                  <w:r>
                    <w:rPr>
                      <w:rStyle w:val="25"/>
                      <w:rFonts w:hint="default" w:ascii="Times New Roman" w:hAnsi="Times New Roman" w:eastAsia="宋体" w:cs="Times New Roman"/>
                      <w:color w:val="auto"/>
                      <w:kern w:val="0"/>
                      <w:sz w:val="21"/>
                      <w:szCs w:val="21"/>
                      <w:highlight w:val="none"/>
                      <w:lang w:val="en-US" w:eastAsia="zh-CN" w:bidi="ar-SA"/>
                    </w:rPr>
                    <w:t>地改造、域外搬迁等方式。四川省达州钢铁集团有限责任公司处于四川省大气污染防治重点区域，属于“彻底关停、转型发展</w:t>
                  </w:r>
                  <w:r>
                    <w:rPr>
                      <w:rStyle w:val="25"/>
                      <w:rFonts w:hint="eastAsia" w:eastAsia="宋体" w:cs="Times New Roman"/>
                      <w:color w:val="auto"/>
                      <w:kern w:val="0"/>
                      <w:sz w:val="21"/>
                      <w:szCs w:val="21"/>
                      <w:highlight w:val="none"/>
                      <w:lang w:val="en-US" w:eastAsia="zh-CN" w:bidi="ar-SA"/>
                    </w:rPr>
                    <w:t>，就</w:t>
                  </w:r>
                  <w:r>
                    <w:rPr>
                      <w:rStyle w:val="25"/>
                      <w:rFonts w:hint="default" w:ascii="Times New Roman" w:hAnsi="Times New Roman" w:eastAsia="宋体" w:cs="Times New Roman"/>
                      <w:color w:val="auto"/>
                      <w:kern w:val="0"/>
                      <w:sz w:val="21"/>
                      <w:szCs w:val="21"/>
                      <w:highlight w:val="none"/>
                      <w:lang w:val="en-US" w:eastAsia="zh-CN" w:bidi="ar-SA"/>
                    </w:rPr>
                    <w:t xml:space="preserve">地改造、域外搬迁”企业； </w:t>
                  </w:r>
                </w:p>
                <w:p w14:paraId="41B7025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-引导重污染产业退出或搬迁、企业分类退城入园，逐步打破近水靠城的历史工业布局。加大城市区域现有装备水平低、环保设施差的</w:t>
                  </w:r>
                  <w:r>
                    <w:rPr>
                      <w:rStyle w:val="25"/>
                      <w:rFonts w:hint="eastAsia" w:eastAsia="宋体" w:cs="Times New Roman"/>
                      <w:color w:val="auto"/>
                      <w:kern w:val="0"/>
                      <w:sz w:val="21"/>
                      <w:szCs w:val="21"/>
                      <w:highlight w:val="none"/>
                      <w:lang w:val="en-US" w:eastAsia="zh-CN" w:bidi="ar-SA"/>
                    </w:rPr>
                    <w:t>小微</w:t>
                  </w:r>
                  <w:r>
                    <w:rPr>
                      <w:rStyle w:val="25"/>
                      <w:rFonts w:hint="default" w:ascii="Times New Roman" w:hAnsi="Times New Roman" w:eastAsia="宋体" w:cs="Times New Roman"/>
                      <w:color w:val="auto"/>
                      <w:kern w:val="0"/>
                      <w:sz w:val="21"/>
                      <w:szCs w:val="21"/>
                      <w:highlight w:val="none"/>
                      <w:lang w:val="en-US" w:eastAsia="zh-CN" w:bidi="ar-SA"/>
                    </w:rPr>
                    <w:t>企业“关、停、并、转”实施力度，清理建成区上风向重点涉气项目。</w:t>
                  </w:r>
                </w:p>
                <w:p w14:paraId="211539C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-石化、现代煤化工项目应纳入国家产业规划。新建、扩建石化、化工、焦化、有色金属冶炼、平板玻璃项目应布设在依法合规设立并经规划环评的产业园区。</w:t>
                  </w:r>
                </w:p>
                <w:p w14:paraId="4446D0C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34DD5BF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5D1B717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w:t>
                  </w:r>
                </w:p>
                <w:p w14:paraId="64CED93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25959E4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1CE20B3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达州市2025年水污染物允许排放量COD4396.41t，氨氮418.7t，TP45.36t；达州市2025年大气污染物一次PM2.5 5805t、SO2 12773t、NOx11892t、VOCs 13969t</w:t>
                  </w:r>
                </w:p>
                <w:p w14:paraId="749DE40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4BD5BB9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-污水收集处理率达100%；</w:t>
                  </w:r>
                </w:p>
                <w:p w14:paraId="50A62DA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2E6BA8E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0F7ED58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1626D67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0689BDA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新增源等量或倍量替代:上一年度水环境质量未完成目标的，新建排放水污染的建设项目按照总量管控要求进行倍量削减替代。</w:t>
                  </w:r>
                </w:p>
                <w:p w14:paraId="6318045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上一年度空气质量年平均浓度不达标的城市，建设项目新增相关污染物按照总量管控要求进行倍量削减替代。                </w:t>
                  </w:r>
                </w:p>
                <w:p w14:paraId="731DA29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14:paraId="155CA0E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污染物排放绩效水平准入要求:新、改扩建项目污染排放指标满足《四川省省级生态工业园区指标》综合类生态工业园区要求。工业固体废弃物利用处置率达100%，危险废物处置率达100%。          </w:t>
                  </w:r>
                </w:p>
                <w:p w14:paraId="7FF020E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国家大气污染防治重点区域(以</w:t>
                  </w:r>
                  <w:r>
                    <w:rPr>
                      <w:rStyle w:val="25"/>
                      <w:rFonts w:hint="eastAsia" w:eastAsia="宋体" w:cs="Times New Roman"/>
                      <w:color w:val="auto"/>
                      <w:kern w:val="0"/>
                      <w:sz w:val="21"/>
                      <w:szCs w:val="21"/>
                      <w:highlight w:val="none"/>
                      <w:lang w:val="en-US" w:eastAsia="zh-CN" w:bidi="ar-SA"/>
                    </w:rPr>
                    <w:t>下简</w:t>
                  </w:r>
                  <w:r>
                    <w:rPr>
                      <w:rStyle w:val="25"/>
                      <w:rFonts w:hint="default" w:ascii="Times New Roman" w:hAnsi="Times New Roman" w:eastAsia="宋体" w:cs="Times New Roman"/>
                      <w:color w:val="auto"/>
                      <w:kern w:val="0"/>
                      <w:sz w:val="21"/>
                      <w:szCs w:val="21"/>
                      <w:highlight w:val="none"/>
                      <w:lang w:val="en-US" w:eastAsia="zh-CN" w:bidi="ar-SA"/>
                    </w:rPr>
                    <w:t xml:space="preserve">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14:paraId="4DF56FD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钢铁行业新建应参考达州市“三线一单”生态环境分区管控中钢铁行业资源环境绩效准入门槛。                         </w:t>
                  </w:r>
                </w:p>
                <w:p w14:paraId="34593D9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5D4C9A1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69825F5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7ACF15E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5646BCC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36D9142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0DB8E52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强化区域联防联控，严格落实《关于建立跨省流域上下游突发水污染事件联防联控机制的指导意见》；定期召开区域大气环境</w:t>
                  </w:r>
                  <w:r>
                    <w:rPr>
                      <w:rStyle w:val="25"/>
                      <w:rFonts w:hint="eastAsia" w:eastAsia="宋体" w:cs="Times New Roman"/>
                      <w:color w:val="auto"/>
                      <w:kern w:val="0"/>
                      <w:sz w:val="21"/>
                      <w:szCs w:val="21"/>
                      <w:highlight w:val="none"/>
                      <w:lang w:val="en-US" w:eastAsia="zh-CN" w:bidi="ar-SA"/>
                    </w:rPr>
                    <w:t>形势</w:t>
                  </w:r>
                  <w:r>
                    <w:rPr>
                      <w:rStyle w:val="25"/>
                      <w:rFonts w:hint="default" w:ascii="Times New Roman" w:hAnsi="Times New Roman" w:eastAsia="宋体" w:cs="Times New Roman"/>
                      <w:color w:val="auto"/>
                      <w:kern w:val="0"/>
                      <w:sz w:val="21"/>
                      <w:szCs w:val="21"/>
                      <w:highlight w:val="none"/>
                      <w:lang w:val="en-US" w:eastAsia="zh-CN" w:bidi="ar-SA"/>
                    </w:rPr>
                    <w:t>分析会，强化信息共享和联动合作，实行环境规划，标准，环评，执法，信息公开“六统一”，协力推进大气污染源头防控，加强川东北区域大气污染防治合作。</w:t>
                  </w:r>
                </w:p>
                <w:p w14:paraId="2C03179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62238B3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企业环境风险防控要求:涉及有毒有害、易燃易爆物质新建、改扩建项目，严控准入要求。（根据《GB 8978-2002》中第一类污染物以及《优先控制化学品名录</w:t>
                  </w:r>
                  <w:r>
                    <w:rPr>
                      <w:rStyle w:val="25"/>
                      <w:rFonts w:hint="eastAsia" w:eastAsia="宋体" w:cs="Times New Roman"/>
                      <w:color w:val="auto"/>
                      <w:kern w:val="0"/>
                      <w:sz w:val="21"/>
                      <w:szCs w:val="21"/>
                      <w:highlight w:val="none"/>
                      <w:lang w:val="en-US" w:eastAsia="zh-CN" w:bidi="ar-SA"/>
                    </w:rPr>
                    <w:t>》《</w:t>
                  </w:r>
                  <w:r>
                    <w:rPr>
                      <w:rStyle w:val="25"/>
                      <w:rFonts w:hint="default" w:ascii="Times New Roman" w:hAnsi="Times New Roman" w:eastAsia="宋体" w:cs="Times New Roman"/>
                      <w:color w:val="auto"/>
                      <w:kern w:val="0"/>
                      <w:sz w:val="21"/>
                      <w:szCs w:val="21"/>
                      <w:highlight w:val="none"/>
                      <w:lang w:val="en-US" w:eastAsia="zh-CN" w:bidi="ar-SA"/>
                    </w:rPr>
                    <w:t>有毒有害大气污染物名录</w:t>
                  </w:r>
                  <w:r>
                    <w:rPr>
                      <w:rStyle w:val="25"/>
                      <w:rFonts w:hint="eastAsia" w:eastAsia="宋体" w:cs="Times New Roman"/>
                      <w:color w:val="auto"/>
                      <w:kern w:val="0"/>
                      <w:sz w:val="21"/>
                      <w:szCs w:val="21"/>
                      <w:highlight w:val="none"/>
                      <w:lang w:val="en-US" w:eastAsia="zh-CN" w:bidi="ar-SA"/>
                    </w:rPr>
                    <w:t>》《</w:t>
                  </w:r>
                  <w:r>
                    <w:rPr>
                      <w:rStyle w:val="25"/>
                      <w:rFonts w:hint="default" w:ascii="Times New Roman" w:hAnsi="Times New Roman" w:eastAsia="宋体" w:cs="Times New Roman"/>
                      <w:color w:val="auto"/>
                      <w:kern w:val="0"/>
                      <w:sz w:val="21"/>
                      <w:szCs w:val="21"/>
                      <w:highlight w:val="none"/>
                      <w:lang w:val="en-US" w:eastAsia="zh-CN" w:bidi="ar-SA"/>
                    </w:rPr>
                    <w:t>有毒有害水污染物名录》确定）。对钢铁、焦化平板玻璃、铜铅锌硅冶炼等环境影响大或环境风险高的项目类别，不得以改革试点名义随意下放环评审批权限或降低审批要求。</w:t>
                  </w:r>
                </w:p>
                <w:p w14:paraId="38F9F0C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394AFA4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14:paraId="262E395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255267E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78606B2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新、改扩建项目污染水耗指标满足《四川省省级生态工业园区指标》综合类生态工业园区要求；到2022年，万元国内生产总值用水量、万元工业增加值用水量较2015年分别下降30%和28%。</w:t>
                  </w:r>
                </w:p>
                <w:p w14:paraId="06A9F69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61B7CD4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以省市下发指标为准</w:t>
                  </w:r>
                </w:p>
                <w:p w14:paraId="4A3B031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7B886A5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14:paraId="2A0665C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-大力实施和推广以电代煤、以电代油工程，重点在城市交通、工商业等领域实施以电代油、以电代煤。</w:t>
                  </w:r>
                </w:p>
                <w:p w14:paraId="5E6BDB0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-增加天然气对煤炭和石油的替代，提高天然气民用、交通、发电、工业领域天然气消费比重。</w:t>
                  </w:r>
                </w:p>
                <w:p w14:paraId="57A9C47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-实施煤炭消费总量控制：严格控制煤炭消费总量；严格控制新建、改建、扩建耗煤项目，新增耗煤项目实行煤炭消耗减量</w:t>
                  </w:r>
                  <w:r>
                    <w:rPr>
                      <w:rStyle w:val="25"/>
                      <w:rFonts w:hint="eastAsia" w:eastAsia="宋体" w:cs="Times New Roman"/>
                      <w:color w:val="auto"/>
                      <w:kern w:val="0"/>
                      <w:sz w:val="21"/>
                      <w:szCs w:val="21"/>
                      <w:highlight w:val="none"/>
                      <w:lang w:val="en-US" w:eastAsia="zh-CN" w:bidi="ar-SA"/>
                    </w:rPr>
                    <w:t>备量</w:t>
                  </w:r>
                  <w:r>
                    <w:rPr>
                      <w:rStyle w:val="25"/>
                      <w:rFonts w:hint="default" w:ascii="Times New Roman" w:hAnsi="Times New Roman" w:eastAsia="宋体" w:cs="Times New Roman"/>
                      <w:color w:val="auto"/>
                      <w:kern w:val="0"/>
                      <w:sz w:val="21"/>
                      <w:szCs w:val="21"/>
                      <w:highlight w:val="none"/>
                      <w:lang w:val="en-US" w:eastAsia="zh-CN" w:bidi="ar-SA"/>
                    </w:rPr>
                    <w:t>替代。</w:t>
                  </w:r>
                </w:p>
                <w:p w14:paraId="0822449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3BD369B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-推进清洁能源的推广使用，全面推进散煤清洁化整治；</w:t>
                  </w:r>
                </w:p>
                <w:p w14:paraId="05B68BF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2A22E18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7D97734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w:t>
                  </w:r>
                </w:p>
                <w:p w14:paraId="2DB5752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51A7C8F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-高污染燃料禁燃区内禁止燃用的燃料为《高污染燃料目录》（2017）中</w:t>
                  </w:r>
                  <w:r>
                    <w:rPr>
                      <w:rStyle w:val="25"/>
                      <w:rFonts w:hint="eastAsia" w:eastAsia="宋体" w:cs="Times New Roman"/>
                      <w:color w:val="auto"/>
                      <w:kern w:val="0"/>
                      <w:sz w:val="21"/>
                      <w:szCs w:val="21"/>
                      <w:highlight w:val="none"/>
                      <w:lang w:val="en-US" w:eastAsia="zh-CN" w:bidi="ar-SA"/>
                    </w:rPr>
                    <w:t>Ⅲ类</w:t>
                  </w:r>
                  <w:r>
                    <w:rPr>
                      <w:rStyle w:val="25"/>
                      <w:rFonts w:hint="default" w:ascii="Times New Roman" w:hAnsi="Times New Roman" w:eastAsia="宋体" w:cs="Times New Roman"/>
                      <w:color w:val="auto"/>
                      <w:kern w:val="0"/>
                      <w:sz w:val="21"/>
                      <w:szCs w:val="21"/>
                      <w:highlight w:val="none"/>
                      <w:lang w:val="en-US" w:eastAsia="zh-CN" w:bidi="ar-SA"/>
                    </w:rPr>
                    <w:t>（严格）燃料组合，包括：（一）煤炭及其制品；（二）石油焦、油页岩、原油、重油、渣油、煤焦油；（三）非专用锅炉或未配置高效除尘设施的专用锅炉燃用的生物质成型燃料。</w:t>
                  </w:r>
                </w:p>
                <w:p w14:paraId="5FBD89E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-禁燃区内禁止销售、燃用高污染燃料；禁止新建、改建、扩建燃用高污染燃料的设施和设备。</w:t>
                  </w:r>
                </w:p>
                <w:p w14:paraId="788CD7E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-禁燃区内已建成的高污染燃料燃用设施由辖区人民政府制定限期改造计划，改用天然气、页岩气、液化石油气、电或其他清洁能源。</w:t>
                  </w:r>
                </w:p>
                <w:p w14:paraId="00D530A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4EEBE9F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6F97490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w:t>
                  </w:r>
                </w:p>
              </w:tc>
              <w:tc>
                <w:tcPr>
                  <w:tcW w:w="480" w:type="dxa"/>
                  <w:tcBorders>
                    <w:tl2br w:val="nil"/>
                    <w:tr2bl w:val="nil"/>
                  </w:tcBorders>
                  <w:noWrap w:val="0"/>
                  <w:vAlign w:val="center"/>
                </w:tcPr>
                <w:p w14:paraId="1363D534">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污染物排放管控</w:t>
                  </w:r>
                </w:p>
              </w:tc>
              <w:tc>
                <w:tcPr>
                  <w:tcW w:w="3150" w:type="dxa"/>
                  <w:tcBorders>
                    <w:tl2br w:val="nil"/>
                    <w:tr2bl w:val="nil"/>
                  </w:tcBorders>
                  <w:noWrap w:val="0"/>
                  <w:vAlign w:val="center"/>
                </w:tcPr>
                <w:p w14:paraId="156CA38C">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现有源提标升级改造</w:t>
                  </w:r>
                </w:p>
                <w:p w14:paraId="7CC38841">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项目产生的生产废水由企业自行处理达到《污水排放综合标准》三级或相应的行业排放标准后排入园区污水处理厂处理</w:t>
                  </w:r>
                  <w:r>
                    <w:rPr>
                      <w:rStyle w:val="25"/>
                      <w:rFonts w:hint="eastAsia" w:eastAsia="宋体" w:cs="Times New Roman"/>
                      <w:color w:val="auto"/>
                      <w:kern w:val="2"/>
                      <w:sz w:val="21"/>
                      <w:szCs w:val="21"/>
                      <w:highlight w:val="none"/>
                      <w:lang w:val="en-US" w:eastAsia="zh-CN" w:bidi="ar-SA"/>
                    </w:rPr>
                    <w:t>达到</w:t>
                  </w:r>
                  <w:r>
                    <w:rPr>
                      <w:rStyle w:val="25"/>
                      <w:rFonts w:hint="default" w:ascii="Times New Roman" w:hAnsi="Times New Roman" w:eastAsia="宋体" w:cs="Times New Roman"/>
                      <w:color w:val="auto"/>
                      <w:kern w:val="2"/>
                      <w:sz w:val="21"/>
                      <w:szCs w:val="21"/>
                      <w:highlight w:val="none"/>
                      <w:lang w:val="en-US" w:eastAsia="zh-CN" w:bidi="ar-SA"/>
                    </w:rPr>
                    <w:t>《城镇污水处理厂污染物排放标准》一级A</w:t>
                  </w:r>
                  <w:r>
                    <w:rPr>
                      <w:rStyle w:val="25"/>
                      <w:rFonts w:hint="eastAsia" w:eastAsia="宋体" w:cs="Times New Roman"/>
                      <w:color w:val="auto"/>
                      <w:kern w:val="2"/>
                      <w:sz w:val="21"/>
                      <w:szCs w:val="21"/>
                      <w:highlight w:val="none"/>
                      <w:lang w:val="en-US" w:eastAsia="zh-CN" w:bidi="ar-SA"/>
                    </w:rPr>
                    <w:t>标准</w:t>
                  </w:r>
                  <w:r>
                    <w:rPr>
                      <w:rStyle w:val="25"/>
                      <w:rFonts w:hint="default" w:ascii="Times New Roman" w:hAnsi="Times New Roman" w:eastAsia="宋体" w:cs="Times New Roman"/>
                      <w:color w:val="auto"/>
                      <w:kern w:val="2"/>
                      <w:sz w:val="21"/>
                      <w:szCs w:val="21"/>
                      <w:highlight w:val="none"/>
                      <w:lang w:val="en-US" w:eastAsia="zh-CN" w:bidi="ar-SA"/>
                    </w:rPr>
                    <w:t>或更严格标准后排放，</w:t>
                  </w:r>
                  <w:r>
                    <w:rPr>
                      <w:rStyle w:val="25"/>
                      <w:rFonts w:hint="eastAsia" w:eastAsia="宋体" w:cs="Times New Roman"/>
                      <w:color w:val="auto"/>
                      <w:kern w:val="2"/>
                      <w:sz w:val="21"/>
                      <w:szCs w:val="21"/>
                      <w:highlight w:val="none"/>
                      <w:lang w:val="en-US" w:eastAsia="zh-CN" w:bidi="ar-SA"/>
                    </w:rPr>
                    <w:t>其他同</w:t>
                  </w:r>
                  <w:r>
                    <w:rPr>
                      <w:rStyle w:val="25"/>
                      <w:rFonts w:hint="default" w:ascii="Times New Roman" w:hAnsi="Times New Roman" w:eastAsia="宋体" w:cs="Times New Roman"/>
                      <w:color w:val="auto"/>
                      <w:kern w:val="2"/>
                      <w:sz w:val="21"/>
                      <w:szCs w:val="21"/>
                      <w:highlight w:val="none"/>
                      <w:lang w:val="en-US" w:eastAsia="zh-CN" w:bidi="ar-SA"/>
                    </w:rPr>
                    <w:t>达州市工业重点总体准入要求</w:t>
                  </w:r>
                </w:p>
                <w:p w14:paraId="7D1E2479">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新增源等量或倍量替代</w:t>
                  </w:r>
                </w:p>
                <w:p w14:paraId="3F355ACE">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执行达州市工业重点管控单元总体要求</w:t>
                  </w:r>
                </w:p>
                <w:p w14:paraId="32B468D7">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新增源排放标准限值</w:t>
                  </w:r>
                </w:p>
                <w:p w14:paraId="068DB6C4">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其他同达州市工业重点总体准入要求</w:t>
                  </w:r>
                </w:p>
                <w:p w14:paraId="7464EC1F">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污染物排放绩效水平准入要求</w:t>
                  </w:r>
                </w:p>
                <w:p w14:paraId="1611316A">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执行达州市工业重点管控单元总体要求</w:t>
                  </w:r>
                </w:p>
                <w:p w14:paraId="0AE88274">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其他污染物排放管控要求</w:t>
                  </w:r>
                </w:p>
                <w:p w14:paraId="0B78C9FD">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58" w:type="dxa"/>
                  <w:tcBorders>
                    <w:tl2br w:val="nil"/>
                    <w:tr2bl w:val="nil"/>
                  </w:tcBorders>
                  <w:noWrap w:val="0"/>
                  <w:vAlign w:val="center"/>
                </w:tcPr>
                <w:p w14:paraId="605FB6F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项目为通川东岳收费站出口（北）加油加气站项目，项目</w:t>
                  </w:r>
                  <w:r>
                    <w:rPr>
                      <w:rFonts w:hint="eastAsia" w:eastAsia="宋体" w:cs="Times New Roman"/>
                      <w:bCs/>
                      <w:color w:val="auto"/>
                      <w:kern w:val="2"/>
                      <w:sz w:val="21"/>
                      <w:szCs w:val="21"/>
                      <w:highlight w:val="none"/>
                      <w:lang w:val="en-US" w:eastAsia="zh-CN" w:bidi="ar-SA"/>
                    </w:rPr>
                    <w:t>采取雨污分流制，生活污水和地面冲洗废水经预处理后通过市政污水管网进入达州市通川区魏兴场镇污水处理厂处理后，达到《城镇污水处理厂污染物排放标准》（GB18918—2002）一级A标准后外排；洗车废水经废水处理系统处理后（采用“隔油+絮凝沉淀+光催化氧化”工艺）回用。</w:t>
                  </w:r>
                </w:p>
              </w:tc>
              <w:tc>
                <w:tcPr>
                  <w:tcW w:w="483" w:type="dxa"/>
                  <w:tcBorders>
                    <w:tl2br w:val="nil"/>
                    <w:tr2bl w:val="nil"/>
                  </w:tcBorders>
                  <w:noWrap w:val="0"/>
                  <w:vAlign w:val="center"/>
                </w:tcPr>
                <w:p w14:paraId="69A0FACD">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tc>
            </w:tr>
            <w:tr w14:paraId="242F2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5C5391FF">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ZH51170220002</w:t>
                  </w:r>
                </w:p>
              </w:tc>
              <w:tc>
                <w:tcPr>
                  <w:tcW w:w="957" w:type="dxa"/>
                  <w:vMerge w:val="continue"/>
                  <w:tcBorders>
                    <w:tl2br w:val="nil"/>
                    <w:tr2bl w:val="nil"/>
                  </w:tcBorders>
                  <w:noWrap w:val="0"/>
                  <w:vAlign w:val="center"/>
                </w:tcPr>
                <w:p w14:paraId="2247278D">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达州市农产品加工集中区</w:t>
                  </w:r>
                </w:p>
              </w:tc>
              <w:tc>
                <w:tcPr>
                  <w:tcW w:w="5055" w:type="dxa"/>
                  <w:vMerge w:val="continue"/>
                  <w:tcBorders>
                    <w:tl2br w:val="nil"/>
                    <w:tr2bl w:val="nil"/>
                  </w:tcBorders>
                  <w:noWrap w:val="0"/>
                  <w:vAlign w:val="top"/>
                </w:tcPr>
                <w:p w14:paraId="788A925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443FDA7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12054B8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-禁止在长江干支流、重要湖泊岸线一公里范围内新建、扩建化工园区和化工项目，严控新建石油化工、煤化工、涉磷、造纸、印染、制革等项目。</w:t>
                  </w:r>
                </w:p>
                <w:p w14:paraId="1E8685B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-禁止从事《长江经济带发展负面清单指南（试行）》禁止准入类事项。</w:t>
                  </w:r>
                </w:p>
                <w:p w14:paraId="40EFB90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-引进项目应符合园区规划环评和区域产业准入及负面清单要求。</w:t>
                  </w:r>
                </w:p>
                <w:p w14:paraId="1694713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-禁止新建不符合国家产业政策和行业准入条件的高污染项目。</w:t>
                  </w:r>
                </w:p>
                <w:p w14:paraId="186D5CB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-工业园区禁止新建高污染燃料锅炉。</w:t>
                  </w:r>
                </w:p>
                <w:p w14:paraId="2585559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-禁止在长江流域河湖管理范围内倾倒、填埋、堆放、弃置、处理固体废物。</w:t>
                  </w:r>
                </w:p>
                <w:p w14:paraId="04A904F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-未通过认定的化工园区，不得新建、改扩建化工项目（安全、环保、节能和智能化改造项目除外），按属地原则依法依规妥善做好未通过认</w:t>
                  </w:r>
                  <w:r>
                    <w:rPr>
                      <w:rStyle w:val="25"/>
                      <w:rFonts w:hint="eastAsia" w:eastAsia="宋体" w:cs="Times New Roman"/>
                      <w:color w:val="auto"/>
                      <w:kern w:val="0"/>
                      <w:sz w:val="21"/>
                      <w:szCs w:val="21"/>
                      <w:highlight w:val="none"/>
                      <w:lang w:val="en-US" w:eastAsia="zh-CN" w:bidi="ar-SA"/>
                    </w:rPr>
                    <w:t>定的</w:t>
                  </w:r>
                  <w:r>
                    <w:rPr>
                      <w:rStyle w:val="25"/>
                      <w:rFonts w:hint="default" w:ascii="Times New Roman" w:hAnsi="Times New Roman" w:eastAsia="宋体" w:cs="Times New Roman"/>
                      <w:color w:val="auto"/>
                      <w:kern w:val="0"/>
                      <w:sz w:val="21"/>
                      <w:szCs w:val="21"/>
                      <w:highlight w:val="none"/>
                      <w:lang w:val="en-US" w:eastAsia="zh-CN" w:bidi="ar-SA"/>
                    </w:rPr>
                    <w:t>化工园区及园内企业的转型、关闭、处置及监管工作。</w:t>
                  </w:r>
                </w:p>
                <w:p w14:paraId="3A2EB0A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766F6ED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2BADC7F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-严格控制污染物新增排放量，对新建排放二氧化硫、氮氧化物、工业烟粉尘和 VOCS 的项目实施现役源 2 倍削减量替代。</w:t>
                  </w:r>
                </w:p>
                <w:p w14:paraId="20B380E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-严格实施环评制度，将细颗粒物达标情况纳入规划环评和相关项目环评内容，加快制定颗粒物、VOCS排放总量管理配套政策。</w:t>
                  </w:r>
                </w:p>
                <w:p w14:paraId="1926601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-严格控制新建、扩建燃煤发电项目。</w:t>
                  </w:r>
                </w:p>
                <w:p w14:paraId="0843CF9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-严控达州市主城区上游沿岸地区新建石油化工、煤化工、涉磷、造纸、印染、制革等项目。</w:t>
                  </w:r>
                </w:p>
                <w:p w14:paraId="3024E3F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6EDCDE8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5BC380F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-现有属于禁止引入产业门类的企业，应按相关规定限期整治或退出。</w:t>
                  </w:r>
                </w:p>
                <w:p w14:paraId="42D915D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-重点区域城市钢铁企业要切实采取彻底关停、转型发展</w:t>
                  </w:r>
                  <w:r>
                    <w:rPr>
                      <w:rStyle w:val="25"/>
                      <w:rFonts w:hint="eastAsia" w:eastAsia="宋体" w:cs="Times New Roman"/>
                      <w:color w:val="auto"/>
                      <w:kern w:val="0"/>
                      <w:sz w:val="21"/>
                      <w:szCs w:val="21"/>
                      <w:highlight w:val="none"/>
                      <w:lang w:val="en-US" w:eastAsia="zh-CN" w:bidi="ar-SA"/>
                    </w:rPr>
                    <w:t>，就</w:t>
                  </w:r>
                  <w:r>
                    <w:rPr>
                      <w:rStyle w:val="25"/>
                      <w:rFonts w:hint="default" w:ascii="Times New Roman" w:hAnsi="Times New Roman" w:eastAsia="宋体" w:cs="Times New Roman"/>
                      <w:color w:val="auto"/>
                      <w:kern w:val="0"/>
                      <w:sz w:val="21"/>
                      <w:szCs w:val="21"/>
                      <w:highlight w:val="none"/>
                      <w:lang w:val="en-US" w:eastAsia="zh-CN" w:bidi="ar-SA"/>
                    </w:rPr>
                    <w:t>地改造、域外搬迁等方式。四川省达州钢铁集团有限责任公司处于四川省大气污染防治重点区域，属于“彻底关停、转型发展</w:t>
                  </w:r>
                  <w:r>
                    <w:rPr>
                      <w:rStyle w:val="25"/>
                      <w:rFonts w:hint="eastAsia" w:eastAsia="宋体" w:cs="Times New Roman"/>
                      <w:color w:val="auto"/>
                      <w:kern w:val="0"/>
                      <w:sz w:val="21"/>
                      <w:szCs w:val="21"/>
                      <w:highlight w:val="none"/>
                      <w:lang w:val="en-US" w:eastAsia="zh-CN" w:bidi="ar-SA"/>
                    </w:rPr>
                    <w:t>，就</w:t>
                  </w:r>
                  <w:r>
                    <w:rPr>
                      <w:rStyle w:val="25"/>
                      <w:rFonts w:hint="default" w:ascii="Times New Roman" w:hAnsi="Times New Roman" w:eastAsia="宋体" w:cs="Times New Roman"/>
                      <w:color w:val="auto"/>
                      <w:kern w:val="0"/>
                      <w:sz w:val="21"/>
                      <w:szCs w:val="21"/>
                      <w:highlight w:val="none"/>
                      <w:lang w:val="en-US" w:eastAsia="zh-CN" w:bidi="ar-SA"/>
                    </w:rPr>
                    <w:t xml:space="preserve">地改造、域外搬迁”企业； </w:t>
                  </w:r>
                </w:p>
                <w:p w14:paraId="66A9405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-引导重污染产业退出或搬迁、企业分类退城入园，逐步打破近水靠城的历史工业布局。加大城市区域现有装备水平低、环保设施差的</w:t>
                  </w:r>
                  <w:r>
                    <w:rPr>
                      <w:rStyle w:val="25"/>
                      <w:rFonts w:hint="eastAsia" w:eastAsia="宋体" w:cs="Times New Roman"/>
                      <w:color w:val="auto"/>
                      <w:kern w:val="0"/>
                      <w:sz w:val="21"/>
                      <w:szCs w:val="21"/>
                      <w:highlight w:val="none"/>
                      <w:lang w:val="en-US" w:eastAsia="zh-CN" w:bidi="ar-SA"/>
                    </w:rPr>
                    <w:t>小微</w:t>
                  </w:r>
                  <w:r>
                    <w:rPr>
                      <w:rStyle w:val="25"/>
                      <w:rFonts w:hint="default" w:ascii="Times New Roman" w:hAnsi="Times New Roman" w:eastAsia="宋体" w:cs="Times New Roman"/>
                      <w:color w:val="auto"/>
                      <w:kern w:val="0"/>
                      <w:sz w:val="21"/>
                      <w:szCs w:val="21"/>
                      <w:highlight w:val="none"/>
                      <w:lang w:val="en-US" w:eastAsia="zh-CN" w:bidi="ar-SA"/>
                    </w:rPr>
                    <w:t>企业“关、停、并、转”实施力度，清理建成区上风向重点涉气项目。</w:t>
                  </w:r>
                </w:p>
                <w:p w14:paraId="3290DE8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-石化、现代煤化工项目应纳入国家产业规划。新建、扩建石化、化工、焦化、有色金属冶炼、平板玻璃项目应布设在依法合规设立并经规划环评的产业园区。</w:t>
                  </w:r>
                </w:p>
                <w:p w14:paraId="30FAD80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0D5F70E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0CD05F3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w:t>
                  </w:r>
                </w:p>
                <w:p w14:paraId="4DE724E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3A169CA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6DA8592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达州市2025年水污染物允许排放量COD4396.41t，氨氮418.7t，TP45.36t；达州市2025年大气污染物一次PM2.5 5805t、SO2 12773t、NOx11892t、VOCs 13969t</w:t>
                  </w:r>
                </w:p>
                <w:p w14:paraId="6252590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2AF24E0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-污水收集处理率达100%；</w:t>
                  </w:r>
                </w:p>
                <w:p w14:paraId="71A3818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327632A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67EB475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505742B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1131453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新增源等量或倍量替代:上一年度水环境质量未完成目标的，新建排放水污染的建设项目按照总量管控要求进行倍量削减替代。</w:t>
                  </w:r>
                </w:p>
                <w:p w14:paraId="21656A3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上一年度空气质量年平均浓度不达标的城市，建设项目新增相关污染物按照总量管控要求进行倍量削减替代。                </w:t>
                  </w:r>
                </w:p>
                <w:p w14:paraId="68E4CAA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14:paraId="4C67A73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污染物排放绩效水平准入要求:新、改扩建项目污染排放指标满足《四川省省级生态工业园区指标》综合类生态工业园区要求。工业固体废弃物利用处置率达100%，危险废物处置率达100%。          </w:t>
                  </w:r>
                </w:p>
                <w:p w14:paraId="5DB296A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国家大气污染防治重点区域(以</w:t>
                  </w:r>
                  <w:r>
                    <w:rPr>
                      <w:rStyle w:val="25"/>
                      <w:rFonts w:hint="eastAsia" w:eastAsia="宋体" w:cs="Times New Roman"/>
                      <w:color w:val="auto"/>
                      <w:kern w:val="0"/>
                      <w:sz w:val="21"/>
                      <w:szCs w:val="21"/>
                      <w:highlight w:val="none"/>
                      <w:lang w:val="en-US" w:eastAsia="zh-CN" w:bidi="ar-SA"/>
                    </w:rPr>
                    <w:t>下简</w:t>
                  </w:r>
                  <w:r>
                    <w:rPr>
                      <w:rStyle w:val="25"/>
                      <w:rFonts w:hint="default" w:ascii="Times New Roman" w:hAnsi="Times New Roman" w:eastAsia="宋体" w:cs="Times New Roman"/>
                      <w:color w:val="auto"/>
                      <w:kern w:val="0"/>
                      <w:sz w:val="21"/>
                      <w:szCs w:val="21"/>
                      <w:highlight w:val="none"/>
                      <w:lang w:val="en-US" w:eastAsia="zh-CN" w:bidi="ar-SA"/>
                    </w:rPr>
                    <w:t xml:space="preserve">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14:paraId="0C27F81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钢铁行业新建应参考达州市“三线一单”生态环境分区管控中钢铁行业资源环境绩效准入门槛。                         </w:t>
                  </w:r>
                </w:p>
                <w:p w14:paraId="28DC47A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2E8BE06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625FAB0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67A39A8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4FF9179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101B6A3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731517D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强化区域联防联控，严格落实《关于建立跨省流域上下游突发水污染事件联防联控机制的指导意见》；定期召开区域大气环境</w:t>
                  </w:r>
                  <w:r>
                    <w:rPr>
                      <w:rStyle w:val="25"/>
                      <w:rFonts w:hint="eastAsia" w:eastAsia="宋体" w:cs="Times New Roman"/>
                      <w:color w:val="auto"/>
                      <w:kern w:val="0"/>
                      <w:sz w:val="21"/>
                      <w:szCs w:val="21"/>
                      <w:highlight w:val="none"/>
                      <w:lang w:val="en-US" w:eastAsia="zh-CN" w:bidi="ar-SA"/>
                    </w:rPr>
                    <w:t>形势</w:t>
                  </w:r>
                  <w:r>
                    <w:rPr>
                      <w:rStyle w:val="25"/>
                      <w:rFonts w:hint="default" w:ascii="Times New Roman" w:hAnsi="Times New Roman" w:eastAsia="宋体" w:cs="Times New Roman"/>
                      <w:color w:val="auto"/>
                      <w:kern w:val="0"/>
                      <w:sz w:val="21"/>
                      <w:szCs w:val="21"/>
                      <w:highlight w:val="none"/>
                      <w:lang w:val="en-US" w:eastAsia="zh-CN" w:bidi="ar-SA"/>
                    </w:rPr>
                    <w:t>分析会，强化信息共享和联动合作，实行环境规划，标准，环评，执法，信息公开“六统一”，协力推进大气污染源头防控，加强川东北区域大气污染防治合作。</w:t>
                  </w:r>
                </w:p>
                <w:p w14:paraId="6002B70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50F0275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企业环境风险防控要求:涉及有毒有害、易燃易爆物质新建、改扩建项目，严控准入要求。（根据《GB 8978-2002》中第一类污染物以及《优先控制化学品名录</w:t>
                  </w:r>
                  <w:r>
                    <w:rPr>
                      <w:rStyle w:val="25"/>
                      <w:rFonts w:hint="eastAsia" w:eastAsia="宋体" w:cs="Times New Roman"/>
                      <w:color w:val="auto"/>
                      <w:kern w:val="0"/>
                      <w:sz w:val="21"/>
                      <w:szCs w:val="21"/>
                      <w:highlight w:val="none"/>
                      <w:lang w:val="en-US" w:eastAsia="zh-CN" w:bidi="ar-SA"/>
                    </w:rPr>
                    <w:t>》《</w:t>
                  </w:r>
                  <w:r>
                    <w:rPr>
                      <w:rStyle w:val="25"/>
                      <w:rFonts w:hint="default" w:ascii="Times New Roman" w:hAnsi="Times New Roman" w:eastAsia="宋体" w:cs="Times New Roman"/>
                      <w:color w:val="auto"/>
                      <w:kern w:val="0"/>
                      <w:sz w:val="21"/>
                      <w:szCs w:val="21"/>
                      <w:highlight w:val="none"/>
                      <w:lang w:val="en-US" w:eastAsia="zh-CN" w:bidi="ar-SA"/>
                    </w:rPr>
                    <w:t>有毒有害大气污染物名录</w:t>
                  </w:r>
                  <w:r>
                    <w:rPr>
                      <w:rStyle w:val="25"/>
                      <w:rFonts w:hint="eastAsia" w:eastAsia="宋体" w:cs="Times New Roman"/>
                      <w:color w:val="auto"/>
                      <w:kern w:val="0"/>
                      <w:sz w:val="21"/>
                      <w:szCs w:val="21"/>
                      <w:highlight w:val="none"/>
                      <w:lang w:val="en-US" w:eastAsia="zh-CN" w:bidi="ar-SA"/>
                    </w:rPr>
                    <w:t>》《</w:t>
                  </w:r>
                  <w:r>
                    <w:rPr>
                      <w:rStyle w:val="25"/>
                      <w:rFonts w:hint="default" w:ascii="Times New Roman" w:hAnsi="Times New Roman" w:eastAsia="宋体" w:cs="Times New Roman"/>
                      <w:color w:val="auto"/>
                      <w:kern w:val="0"/>
                      <w:sz w:val="21"/>
                      <w:szCs w:val="21"/>
                      <w:highlight w:val="none"/>
                      <w:lang w:val="en-US" w:eastAsia="zh-CN" w:bidi="ar-SA"/>
                    </w:rPr>
                    <w:t>有毒有害水污染物名录》确定）。对钢铁、焦化平板玻璃、铜铅锌硅冶炼等环境影响大或环境风险高的项目类别，不得以改革试点名义随意下放环评审批权限或降低审批要求。</w:t>
                  </w:r>
                </w:p>
                <w:p w14:paraId="54BDC25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2EAE1A7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14:paraId="53D5E1D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1335B52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42A495E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新、改扩建项目污染水耗指标满足《四川省省级生态工业园区指标》综合类生态工业园区要求；到2022年，万元国内生产总值用水量、万元工业增加值用水量较2015年分别下降30%和28%。</w:t>
                  </w:r>
                </w:p>
                <w:p w14:paraId="5CD2E55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2CB3280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以省市下发指标为准</w:t>
                  </w:r>
                </w:p>
                <w:p w14:paraId="505F276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613A11D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14:paraId="4B99CC3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-大力实施和推广以电代煤、以电代油工程，重点在城市交通、工商业等领域实施以电代油、以电代煤。</w:t>
                  </w:r>
                </w:p>
                <w:p w14:paraId="551E67C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-增加天然气对煤炭和石油的替代，提高天然气民用、交通、发电、工业领域天然气消费比重。</w:t>
                  </w:r>
                </w:p>
                <w:p w14:paraId="0A7140A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-实施煤炭消费总量控制：严格控制煤炭消费总量；严格控制新建、改建、扩建耗煤项目，新增耗煤项目实行煤炭消耗减量</w:t>
                  </w:r>
                  <w:r>
                    <w:rPr>
                      <w:rStyle w:val="25"/>
                      <w:rFonts w:hint="eastAsia" w:eastAsia="宋体" w:cs="Times New Roman"/>
                      <w:color w:val="auto"/>
                      <w:kern w:val="0"/>
                      <w:sz w:val="21"/>
                      <w:szCs w:val="21"/>
                      <w:highlight w:val="none"/>
                      <w:lang w:val="en-US" w:eastAsia="zh-CN" w:bidi="ar-SA"/>
                    </w:rPr>
                    <w:t>备量</w:t>
                  </w:r>
                  <w:r>
                    <w:rPr>
                      <w:rStyle w:val="25"/>
                      <w:rFonts w:hint="default" w:ascii="Times New Roman" w:hAnsi="Times New Roman" w:eastAsia="宋体" w:cs="Times New Roman"/>
                      <w:color w:val="auto"/>
                      <w:kern w:val="0"/>
                      <w:sz w:val="21"/>
                      <w:szCs w:val="21"/>
                      <w:highlight w:val="none"/>
                      <w:lang w:val="en-US" w:eastAsia="zh-CN" w:bidi="ar-SA"/>
                    </w:rPr>
                    <w:t>替代。</w:t>
                  </w:r>
                </w:p>
                <w:p w14:paraId="2592808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20403EE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-推进清洁能源的推广使用，全面推进散煤清洁化整治；</w:t>
                  </w:r>
                </w:p>
                <w:p w14:paraId="4B786BF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496E199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338EB80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w:t>
                  </w:r>
                </w:p>
                <w:p w14:paraId="5BEC5FF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2681070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-高污染燃料禁燃区内禁止燃用的燃料为《高污染燃料目录》（2017）中</w:t>
                  </w:r>
                  <w:r>
                    <w:rPr>
                      <w:rStyle w:val="25"/>
                      <w:rFonts w:hint="eastAsia" w:eastAsia="宋体" w:cs="Times New Roman"/>
                      <w:color w:val="auto"/>
                      <w:kern w:val="0"/>
                      <w:sz w:val="21"/>
                      <w:szCs w:val="21"/>
                      <w:highlight w:val="none"/>
                      <w:lang w:val="en-US" w:eastAsia="zh-CN" w:bidi="ar-SA"/>
                    </w:rPr>
                    <w:t>Ⅲ类</w:t>
                  </w:r>
                  <w:r>
                    <w:rPr>
                      <w:rStyle w:val="25"/>
                      <w:rFonts w:hint="default" w:ascii="Times New Roman" w:hAnsi="Times New Roman" w:eastAsia="宋体" w:cs="Times New Roman"/>
                      <w:color w:val="auto"/>
                      <w:kern w:val="0"/>
                      <w:sz w:val="21"/>
                      <w:szCs w:val="21"/>
                      <w:highlight w:val="none"/>
                      <w:lang w:val="en-US" w:eastAsia="zh-CN" w:bidi="ar-SA"/>
                    </w:rPr>
                    <w:t>（严格）燃料组合，包括：（一）煤炭及其制品；（二）石油焦、油页岩、原油、重油、渣油、煤焦油；（三）非专用锅炉或未配置高效除尘设施的专用锅炉燃用的生物质成型燃料。</w:t>
                  </w:r>
                </w:p>
                <w:p w14:paraId="1B45199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-禁燃区内禁止销售、燃用高污染燃料；禁止新建、改建、扩建燃用高污染燃料的设施和设备。</w:t>
                  </w:r>
                </w:p>
                <w:p w14:paraId="14B0A0E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-禁燃区内已建成的高污染燃料燃用设施由辖区人民政府制定限期改造计划，改用天然气、页岩气、液化石油气、电或其他清洁能源。</w:t>
                  </w:r>
                </w:p>
                <w:p w14:paraId="58E25BA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4733D7A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58916AE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w:t>
                  </w:r>
                </w:p>
              </w:tc>
              <w:tc>
                <w:tcPr>
                  <w:tcW w:w="480" w:type="dxa"/>
                  <w:tcBorders>
                    <w:tl2br w:val="nil"/>
                    <w:tr2bl w:val="nil"/>
                  </w:tcBorders>
                  <w:noWrap w:val="0"/>
                  <w:vAlign w:val="center"/>
                </w:tcPr>
                <w:p w14:paraId="537C1B74">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环境风险防控</w:t>
                  </w:r>
                </w:p>
              </w:tc>
              <w:tc>
                <w:tcPr>
                  <w:tcW w:w="3150" w:type="dxa"/>
                  <w:tcBorders>
                    <w:tl2br w:val="nil"/>
                    <w:tr2bl w:val="nil"/>
                  </w:tcBorders>
                  <w:noWrap w:val="0"/>
                  <w:vAlign w:val="center"/>
                </w:tcPr>
                <w:p w14:paraId="3B88663F">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严格管控类农用地管控要求</w:t>
                  </w:r>
                </w:p>
                <w:p w14:paraId="03B08FDF">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执行达州市工业重点管控单元总体要求</w:t>
                  </w:r>
                </w:p>
                <w:p w14:paraId="1CB815BD">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安全利用类农用地管控要求</w:t>
                  </w:r>
                </w:p>
                <w:p w14:paraId="7106BF87">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执行达州市工业重点管控单元总体要求</w:t>
                  </w:r>
                </w:p>
                <w:p w14:paraId="5E817383">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污染地块管控要求</w:t>
                  </w:r>
                </w:p>
                <w:p w14:paraId="427ADA41">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执行达州市工业重点管控单元总体要求</w:t>
                  </w:r>
                </w:p>
                <w:p w14:paraId="43E8CB12">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园区环境风险防控要求</w:t>
                  </w:r>
                </w:p>
                <w:p w14:paraId="18DDDBE1">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风险源与环境敏感区保持合理的空间距离，要求各企业原辅料贮运及生产过程中不得构成《危险化学品重大危险源辨识》中一、二级重大危险源，杜绝危化品泄漏、事故排放等。</w:t>
                  </w:r>
                  <w:r>
                    <w:rPr>
                      <w:rStyle w:val="25"/>
                      <w:rFonts w:hint="eastAsia" w:eastAsia="宋体" w:cs="Times New Roman"/>
                      <w:color w:val="auto"/>
                      <w:kern w:val="2"/>
                      <w:sz w:val="21"/>
                      <w:szCs w:val="21"/>
                      <w:highlight w:val="none"/>
                      <w:lang w:val="en-US" w:eastAsia="zh-CN" w:bidi="ar-SA"/>
                    </w:rPr>
                    <w:t>其他同</w:t>
                  </w:r>
                  <w:r>
                    <w:rPr>
                      <w:rStyle w:val="25"/>
                      <w:rFonts w:hint="default" w:ascii="Times New Roman" w:hAnsi="Times New Roman" w:eastAsia="宋体" w:cs="Times New Roman"/>
                      <w:color w:val="auto"/>
                      <w:kern w:val="2"/>
                      <w:sz w:val="21"/>
                      <w:szCs w:val="21"/>
                      <w:highlight w:val="none"/>
                      <w:lang w:val="en-US" w:eastAsia="zh-CN" w:bidi="ar-SA"/>
                    </w:rPr>
                    <w:t>达州市工业重点管控单元总体要求</w:t>
                  </w:r>
                </w:p>
                <w:p w14:paraId="1DFB0B86">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企业环境风险防控要求</w:t>
                  </w:r>
                </w:p>
                <w:p w14:paraId="3A62C3A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风险源与环境敏感区保持合理的空间距离，要求各企业原辅料贮运及生产过程中不得构成《危险化学品重大危险源辨识》中一、二级重大危险源，杜绝危化品泄漏、事故排放等。执行达州市工业重点管控单元总体要求</w:t>
                  </w:r>
                </w:p>
                <w:p w14:paraId="521CB14F">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其他环境风险防控要求</w:t>
                  </w:r>
                </w:p>
                <w:p w14:paraId="52C825C2">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w:t>
                  </w:r>
                </w:p>
              </w:tc>
              <w:tc>
                <w:tcPr>
                  <w:tcW w:w="1758" w:type="dxa"/>
                  <w:tcBorders>
                    <w:tl2br w:val="nil"/>
                    <w:tr2bl w:val="nil"/>
                  </w:tcBorders>
                  <w:noWrap w:val="0"/>
                  <w:vAlign w:val="center"/>
                </w:tcPr>
                <w:p w14:paraId="4C8B69EA">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eastAsia"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项目</w:t>
                  </w:r>
                  <w:r>
                    <w:rPr>
                      <w:rFonts w:hint="eastAsia" w:eastAsia="宋体" w:cs="Times New Roman"/>
                      <w:bCs/>
                      <w:color w:val="auto"/>
                      <w:kern w:val="2"/>
                      <w:sz w:val="21"/>
                      <w:szCs w:val="21"/>
                      <w:highlight w:val="none"/>
                      <w:lang w:val="en-US" w:eastAsia="zh-CN" w:bidi="ar-SA"/>
                    </w:rPr>
                    <w:t>为加油加气站用地（B41），不涉及农用地，与项目边界最近的敏感点为东侧300m处的袁家湾居民，和风险源保持足够的距离，且项目</w:t>
                  </w:r>
                  <w:r>
                    <w:rPr>
                      <w:rStyle w:val="25"/>
                      <w:rFonts w:hint="default" w:ascii="Times New Roman" w:hAnsi="Times New Roman" w:eastAsia="宋体" w:cs="Times New Roman"/>
                      <w:color w:val="auto"/>
                      <w:kern w:val="2"/>
                      <w:sz w:val="21"/>
                      <w:szCs w:val="21"/>
                      <w:highlight w:val="none"/>
                      <w:lang w:val="en-US" w:eastAsia="zh-CN" w:bidi="ar-SA"/>
                    </w:rPr>
                    <w:t>贮运及生产过程中</w:t>
                  </w:r>
                  <w:r>
                    <w:rPr>
                      <w:rStyle w:val="25"/>
                      <w:rFonts w:hint="eastAsia" w:eastAsia="宋体" w:cs="Times New Roman"/>
                      <w:color w:val="auto"/>
                      <w:kern w:val="2"/>
                      <w:sz w:val="21"/>
                      <w:szCs w:val="21"/>
                      <w:highlight w:val="none"/>
                      <w:lang w:val="en-US" w:eastAsia="zh-CN" w:bidi="ar-SA"/>
                    </w:rPr>
                    <w:t>使用的柴油、汽油和LNG储罐未</w:t>
                  </w:r>
                  <w:r>
                    <w:rPr>
                      <w:rStyle w:val="25"/>
                      <w:rFonts w:hint="default" w:ascii="Times New Roman" w:hAnsi="Times New Roman" w:eastAsia="宋体" w:cs="Times New Roman"/>
                      <w:color w:val="auto"/>
                      <w:kern w:val="2"/>
                      <w:sz w:val="21"/>
                      <w:szCs w:val="21"/>
                      <w:highlight w:val="none"/>
                      <w:lang w:val="en-US" w:eastAsia="zh-CN" w:bidi="ar-SA"/>
                    </w:rPr>
                    <w:t>构成《危险化学品重大危险源辨识》中一、二级重大危险源</w:t>
                  </w:r>
                  <w:r>
                    <w:rPr>
                      <w:rFonts w:hint="eastAsia" w:eastAsia="宋体" w:cs="Times New Roman"/>
                      <w:bCs/>
                      <w:color w:val="auto"/>
                      <w:kern w:val="2"/>
                      <w:sz w:val="21"/>
                      <w:szCs w:val="21"/>
                      <w:highlight w:val="none"/>
                      <w:lang w:val="en-US" w:eastAsia="zh-CN" w:bidi="ar-SA"/>
                    </w:rPr>
                    <w:t>。</w:t>
                  </w:r>
                </w:p>
              </w:tc>
              <w:tc>
                <w:tcPr>
                  <w:tcW w:w="483" w:type="dxa"/>
                  <w:tcBorders>
                    <w:tl2br w:val="nil"/>
                    <w:tr2bl w:val="nil"/>
                  </w:tcBorders>
                  <w:noWrap w:val="0"/>
                  <w:vAlign w:val="center"/>
                </w:tcPr>
                <w:p w14:paraId="59A5F281">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tc>
            </w:tr>
            <w:tr w14:paraId="6117E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Merge w:val="continue"/>
                  <w:tcBorders>
                    <w:tl2br w:val="nil"/>
                    <w:tr2bl w:val="nil"/>
                  </w:tcBorders>
                  <w:noWrap w:val="0"/>
                  <w:vAlign w:val="center"/>
                </w:tcPr>
                <w:p w14:paraId="3368AA3A">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ZH51170220002</w:t>
                  </w:r>
                </w:p>
              </w:tc>
              <w:tc>
                <w:tcPr>
                  <w:tcW w:w="957" w:type="dxa"/>
                  <w:vMerge w:val="continue"/>
                  <w:tcBorders>
                    <w:tl2br w:val="nil"/>
                    <w:tr2bl w:val="nil"/>
                  </w:tcBorders>
                  <w:noWrap w:val="0"/>
                  <w:vAlign w:val="center"/>
                </w:tcPr>
                <w:p w14:paraId="010DAAD3">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达州市农产品加工集中区</w:t>
                  </w:r>
                </w:p>
              </w:tc>
              <w:tc>
                <w:tcPr>
                  <w:tcW w:w="5055" w:type="dxa"/>
                  <w:vMerge w:val="continue"/>
                  <w:tcBorders>
                    <w:tl2br w:val="nil"/>
                    <w:tr2bl w:val="nil"/>
                  </w:tcBorders>
                  <w:noWrap w:val="0"/>
                  <w:vAlign w:val="top"/>
                </w:tcPr>
                <w:p w14:paraId="28099C4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空间布局约束：</w:t>
                  </w:r>
                </w:p>
                <w:p w14:paraId="2DBC9CE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禁止开发建设活动的要求</w:t>
                  </w:r>
                </w:p>
                <w:p w14:paraId="37E1800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-禁止在长江干支流、重要湖泊岸线一公里范围内新建、扩建化工园区和化工项目，严控新建石油化工、煤化工、涉磷、造纸、印染、制革等项目。</w:t>
                  </w:r>
                </w:p>
                <w:p w14:paraId="47DA2D4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-禁止从事《长江经济带发展负面清单指南（试行）》禁止准入类事项。</w:t>
                  </w:r>
                </w:p>
                <w:p w14:paraId="7FEEF50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-引进项目应符合园区规划环评和区域产业准入及负面清单要求。</w:t>
                  </w:r>
                </w:p>
                <w:p w14:paraId="15C4DF7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-禁止新建不符合国家产业政策和行业准入条件的高污染项目。</w:t>
                  </w:r>
                </w:p>
                <w:p w14:paraId="3A01C7D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-工业园区禁止新建高污染燃料锅炉。</w:t>
                  </w:r>
                </w:p>
                <w:p w14:paraId="3E8E8FE1">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-禁止在长江流域河湖管理范围内倾倒、填埋、堆放、弃置、处理固体废物。</w:t>
                  </w:r>
                </w:p>
                <w:p w14:paraId="3137F2F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-未通过认定的化工园区，不得新建、改扩建化工项目（安全、环保、节能和智能化改造项目除外），按属地原则依法依规妥善做好未通过认</w:t>
                  </w:r>
                  <w:r>
                    <w:rPr>
                      <w:rStyle w:val="25"/>
                      <w:rFonts w:hint="eastAsia" w:eastAsia="宋体" w:cs="Times New Roman"/>
                      <w:color w:val="auto"/>
                      <w:kern w:val="0"/>
                      <w:sz w:val="21"/>
                      <w:szCs w:val="21"/>
                      <w:highlight w:val="none"/>
                      <w:lang w:val="en-US" w:eastAsia="zh-CN" w:bidi="ar-SA"/>
                    </w:rPr>
                    <w:t>定的</w:t>
                  </w:r>
                  <w:r>
                    <w:rPr>
                      <w:rStyle w:val="25"/>
                      <w:rFonts w:hint="default" w:ascii="Times New Roman" w:hAnsi="Times New Roman" w:eastAsia="宋体" w:cs="Times New Roman"/>
                      <w:color w:val="auto"/>
                      <w:kern w:val="0"/>
                      <w:sz w:val="21"/>
                      <w:szCs w:val="21"/>
                      <w:highlight w:val="none"/>
                      <w:lang w:val="en-US" w:eastAsia="zh-CN" w:bidi="ar-SA"/>
                    </w:rPr>
                    <w:t>化工园区及园内企业的转型、关闭、处置及监管工作。</w:t>
                  </w:r>
                </w:p>
                <w:p w14:paraId="767509D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52BD3D9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限制开发建设活动的要求</w:t>
                  </w:r>
                </w:p>
                <w:p w14:paraId="594CA94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-严格控制污染物新增排放量，对新建排放二氧化硫、氮氧化物、工业烟粉尘和 VOCS 的项目实施现役源 2 倍削减量替代。</w:t>
                  </w:r>
                </w:p>
                <w:p w14:paraId="5126BC6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-严格实施环评制度，将细颗粒物达标情况纳入规划环评和相关项目环评内容，加快制定颗粒物、VOCS排放总量管理配套政策。</w:t>
                  </w:r>
                </w:p>
                <w:p w14:paraId="6826D78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-严格控制新建、扩建燃煤发电项目。</w:t>
                  </w:r>
                </w:p>
                <w:p w14:paraId="41F5EC8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-严控达州市主城区上游沿岸地区新建石油化工、煤化工、涉磷、造纸、印染、制革等项目。</w:t>
                  </w:r>
                </w:p>
                <w:p w14:paraId="146CF4B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0F4BD5A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4557321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-现有属于禁止引入产业门类的企业，应按相关规定限期整治或退出。</w:t>
                  </w:r>
                </w:p>
                <w:p w14:paraId="5758B75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-重点区域城市钢铁企业要切实采取彻底关停、转型发展</w:t>
                  </w:r>
                  <w:r>
                    <w:rPr>
                      <w:rStyle w:val="25"/>
                      <w:rFonts w:hint="eastAsia" w:eastAsia="宋体" w:cs="Times New Roman"/>
                      <w:color w:val="auto"/>
                      <w:kern w:val="0"/>
                      <w:sz w:val="21"/>
                      <w:szCs w:val="21"/>
                      <w:highlight w:val="none"/>
                      <w:lang w:val="en-US" w:eastAsia="zh-CN" w:bidi="ar-SA"/>
                    </w:rPr>
                    <w:t>，就</w:t>
                  </w:r>
                  <w:r>
                    <w:rPr>
                      <w:rStyle w:val="25"/>
                      <w:rFonts w:hint="default" w:ascii="Times New Roman" w:hAnsi="Times New Roman" w:eastAsia="宋体" w:cs="Times New Roman"/>
                      <w:color w:val="auto"/>
                      <w:kern w:val="0"/>
                      <w:sz w:val="21"/>
                      <w:szCs w:val="21"/>
                      <w:highlight w:val="none"/>
                      <w:lang w:val="en-US" w:eastAsia="zh-CN" w:bidi="ar-SA"/>
                    </w:rPr>
                    <w:t>地改造、域外搬迁等方式。四川省达州钢铁集团有限责任公司处于四川省大气污染防治重点区域，属于“彻底关停、转型发展</w:t>
                  </w:r>
                  <w:r>
                    <w:rPr>
                      <w:rStyle w:val="25"/>
                      <w:rFonts w:hint="eastAsia" w:eastAsia="宋体" w:cs="Times New Roman"/>
                      <w:color w:val="auto"/>
                      <w:kern w:val="0"/>
                      <w:sz w:val="21"/>
                      <w:szCs w:val="21"/>
                      <w:highlight w:val="none"/>
                      <w:lang w:val="en-US" w:eastAsia="zh-CN" w:bidi="ar-SA"/>
                    </w:rPr>
                    <w:t>，就</w:t>
                  </w:r>
                  <w:r>
                    <w:rPr>
                      <w:rStyle w:val="25"/>
                      <w:rFonts w:hint="default" w:ascii="Times New Roman" w:hAnsi="Times New Roman" w:eastAsia="宋体" w:cs="Times New Roman"/>
                      <w:color w:val="auto"/>
                      <w:kern w:val="0"/>
                      <w:sz w:val="21"/>
                      <w:szCs w:val="21"/>
                      <w:highlight w:val="none"/>
                      <w:lang w:val="en-US" w:eastAsia="zh-CN" w:bidi="ar-SA"/>
                    </w:rPr>
                    <w:t xml:space="preserve">地改造、域外搬迁”企业； </w:t>
                  </w:r>
                </w:p>
                <w:p w14:paraId="7AE2851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-引导重污染产业退出或搬迁、企业分类退城入园，逐步打破近水靠城的历史工业布局。加大城市区域现有装备水平低、环保设施差的</w:t>
                  </w:r>
                  <w:r>
                    <w:rPr>
                      <w:rStyle w:val="25"/>
                      <w:rFonts w:hint="eastAsia" w:eastAsia="宋体" w:cs="Times New Roman"/>
                      <w:color w:val="auto"/>
                      <w:kern w:val="0"/>
                      <w:sz w:val="21"/>
                      <w:szCs w:val="21"/>
                      <w:highlight w:val="none"/>
                      <w:lang w:val="en-US" w:eastAsia="zh-CN" w:bidi="ar-SA"/>
                    </w:rPr>
                    <w:t>小微</w:t>
                  </w:r>
                  <w:r>
                    <w:rPr>
                      <w:rStyle w:val="25"/>
                      <w:rFonts w:hint="default" w:ascii="Times New Roman" w:hAnsi="Times New Roman" w:eastAsia="宋体" w:cs="Times New Roman"/>
                      <w:color w:val="auto"/>
                      <w:kern w:val="0"/>
                      <w:sz w:val="21"/>
                      <w:szCs w:val="21"/>
                      <w:highlight w:val="none"/>
                      <w:lang w:val="en-US" w:eastAsia="zh-CN" w:bidi="ar-SA"/>
                    </w:rPr>
                    <w:t>企业“关、停、并、转”实施力度，清理建成区上风向重点涉气项目。</w:t>
                  </w:r>
                </w:p>
                <w:p w14:paraId="3F4B825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-石化、现代煤化工项目应纳入国家产业规划。新建、扩建石化、化工、焦化、有色金属冶炼、平板玻璃项目应布设在依法合规设立并经规划环评的产业园区。</w:t>
                  </w:r>
                </w:p>
                <w:p w14:paraId="5B45F01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42CD68F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其他空间布局约束要求</w:t>
                  </w:r>
                </w:p>
                <w:p w14:paraId="2D754B8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w:t>
                  </w:r>
                </w:p>
                <w:p w14:paraId="365C0D7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污染物排放管控：</w:t>
                  </w:r>
                </w:p>
                <w:p w14:paraId="7C0B475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允许排放量要求</w:t>
                  </w:r>
                </w:p>
                <w:p w14:paraId="7053F4D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达州市2025年水污染物允许排放量COD4396.41t，氨氮418.7t，TP45.36t；达州市2025年大气污染物一次PM2.5 5805t、SO2 12773t、NOx11892t、VOCs 13969t</w:t>
                  </w:r>
                </w:p>
                <w:p w14:paraId="2D2D5DA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现有源提标升级改造</w:t>
                  </w:r>
                </w:p>
                <w:p w14:paraId="514AC409">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-污水收集处理率达100%；</w:t>
                  </w:r>
                </w:p>
                <w:p w14:paraId="6C1385B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18F3A11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5CC95F4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0489824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其他污染物排放管控要求</w:t>
                  </w:r>
                </w:p>
                <w:p w14:paraId="1E028D5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新增源等量或倍量替代:上一年度水环境质量未完成目标的，新建排放水污染的建设项目按照总量管控要求进行倍量削减替代。</w:t>
                  </w:r>
                </w:p>
                <w:p w14:paraId="0779129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上一年度空气质量年平均浓度不达标的城市，建设项目新增相关污染物按照总量管控要求进行倍量削减替代。                </w:t>
                  </w:r>
                </w:p>
                <w:p w14:paraId="3930255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14:paraId="6DF6455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污染物排放绩效水平准入要求:新、改扩建项目污染排放指标满足《四川省省级生态工业园区指标》综合类生态工业园区要求。工业固体废弃物利用处置率达100%，危险废物处置率达100%。          </w:t>
                  </w:r>
                </w:p>
                <w:p w14:paraId="59FBED4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国家大气污染防治重点区域(以</w:t>
                  </w:r>
                  <w:r>
                    <w:rPr>
                      <w:rStyle w:val="25"/>
                      <w:rFonts w:hint="eastAsia" w:eastAsia="宋体" w:cs="Times New Roman"/>
                      <w:color w:val="auto"/>
                      <w:kern w:val="0"/>
                      <w:sz w:val="21"/>
                      <w:szCs w:val="21"/>
                      <w:highlight w:val="none"/>
                      <w:lang w:val="en-US" w:eastAsia="zh-CN" w:bidi="ar-SA"/>
                    </w:rPr>
                    <w:t>下简</w:t>
                  </w:r>
                  <w:r>
                    <w:rPr>
                      <w:rStyle w:val="25"/>
                      <w:rFonts w:hint="default" w:ascii="Times New Roman" w:hAnsi="Times New Roman" w:eastAsia="宋体" w:cs="Times New Roman"/>
                      <w:color w:val="auto"/>
                      <w:kern w:val="0"/>
                      <w:sz w:val="21"/>
                      <w:szCs w:val="21"/>
                      <w:highlight w:val="none"/>
                      <w:lang w:val="en-US" w:eastAsia="zh-CN" w:bidi="ar-SA"/>
                    </w:rPr>
                    <w:t xml:space="preserve">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14:paraId="368DC9B2">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钢铁行业新建应参考达州市“三线一单”生态环境分区管控中钢铁行业资源环境绩效准入门槛。                         </w:t>
                  </w:r>
                </w:p>
                <w:p w14:paraId="4528F01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5A995F3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23613BC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4E6E61F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7126AD1B">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环境风险防控：</w:t>
                  </w:r>
                </w:p>
                <w:p w14:paraId="59FA23B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联防联控要求</w:t>
                  </w:r>
                </w:p>
                <w:p w14:paraId="3D6789FA">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强化区域联防联控，严格落实《关于建立跨省流域上下游突发水污染事件联防联控机制的指导意见》；定期召开区域大气环境</w:t>
                  </w:r>
                  <w:r>
                    <w:rPr>
                      <w:rStyle w:val="25"/>
                      <w:rFonts w:hint="eastAsia" w:eastAsia="宋体" w:cs="Times New Roman"/>
                      <w:color w:val="auto"/>
                      <w:kern w:val="0"/>
                      <w:sz w:val="21"/>
                      <w:szCs w:val="21"/>
                      <w:highlight w:val="none"/>
                      <w:lang w:val="en-US" w:eastAsia="zh-CN" w:bidi="ar-SA"/>
                    </w:rPr>
                    <w:t>形势</w:t>
                  </w:r>
                  <w:r>
                    <w:rPr>
                      <w:rStyle w:val="25"/>
                      <w:rFonts w:hint="default" w:ascii="Times New Roman" w:hAnsi="Times New Roman" w:eastAsia="宋体" w:cs="Times New Roman"/>
                      <w:color w:val="auto"/>
                      <w:kern w:val="0"/>
                      <w:sz w:val="21"/>
                      <w:szCs w:val="21"/>
                      <w:highlight w:val="none"/>
                      <w:lang w:val="en-US" w:eastAsia="zh-CN" w:bidi="ar-SA"/>
                    </w:rPr>
                    <w:t>分析会，强化信息共享和联动合作，实行环境规划，标准，环评，执法，信息公开“六统一”，协力推进大气污染源头防控，加强川东北区域大气污染防治合作。</w:t>
                  </w:r>
                </w:p>
                <w:p w14:paraId="1E3AC08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其他环境风险防控要求</w:t>
                  </w:r>
                </w:p>
                <w:p w14:paraId="233FE83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企业环境风险防控要求:涉及有毒有害、易燃易爆物质新建、改扩建项目，严控准入要求。（根据《GB 8978-2002》中第一类污染物以及《优先控制化学品名录</w:t>
                  </w:r>
                  <w:r>
                    <w:rPr>
                      <w:rStyle w:val="25"/>
                      <w:rFonts w:hint="eastAsia" w:eastAsia="宋体" w:cs="Times New Roman"/>
                      <w:color w:val="auto"/>
                      <w:kern w:val="0"/>
                      <w:sz w:val="21"/>
                      <w:szCs w:val="21"/>
                      <w:highlight w:val="none"/>
                      <w:lang w:val="en-US" w:eastAsia="zh-CN" w:bidi="ar-SA"/>
                    </w:rPr>
                    <w:t>》《</w:t>
                  </w:r>
                  <w:r>
                    <w:rPr>
                      <w:rStyle w:val="25"/>
                      <w:rFonts w:hint="default" w:ascii="Times New Roman" w:hAnsi="Times New Roman" w:eastAsia="宋体" w:cs="Times New Roman"/>
                      <w:color w:val="auto"/>
                      <w:kern w:val="0"/>
                      <w:sz w:val="21"/>
                      <w:szCs w:val="21"/>
                      <w:highlight w:val="none"/>
                      <w:lang w:val="en-US" w:eastAsia="zh-CN" w:bidi="ar-SA"/>
                    </w:rPr>
                    <w:t>有毒有害大气污染物名录</w:t>
                  </w:r>
                  <w:r>
                    <w:rPr>
                      <w:rStyle w:val="25"/>
                      <w:rFonts w:hint="eastAsia" w:eastAsia="宋体" w:cs="Times New Roman"/>
                      <w:color w:val="auto"/>
                      <w:kern w:val="0"/>
                      <w:sz w:val="21"/>
                      <w:szCs w:val="21"/>
                      <w:highlight w:val="none"/>
                      <w:lang w:val="en-US" w:eastAsia="zh-CN" w:bidi="ar-SA"/>
                    </w:rPr>
                    <w:t>》《</w:t>
                  </w:r>
                  <w:r>
                    <w:rPr>
                      <w:rStyle w:val="25"/>
                      <w:rFonts w:hint="default" w:ascii="Times New Roman" w:hAnsi="Times New Roman" w:eastAsia="宋体" w:cs="Times New Roman"/>
                      <w:color w:val="auto"/>
                      <w:kern w:val="0"/>
                      <w:sz w:val="21"/>
                      <w:szCs w:val="21"/>
                      <w:highlight w:val="none"/>
                      <w:lang w:val="en-US" w:eastAsia="zh-CN" w:bidi="ar-SA"/>
                    </w:rPr>
                    <w:t>有毒有害水污染物名录》确定）。对钢铁、焦化平板玻璃、铜铅锌硅冶炼等环境影响大或环境风险高的项目类别，不得以改革试点名义随意下放环评审批权限或降低审批要求。</w:t>
                  </w:r>
                </w:p>
                <w:p w14:paraId="2E06B5D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0D1D4887">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14:paraId="1F72775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资源开发利用效率要求：</w:t>
                  </w:r>
                </w:p>
                <w:p w14:paraId="4452985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水资源利用总量要求</w:t>
                  </w:r>
                </w:p>
                <w:p w14:paraId="64EFB6C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新、改扩建项目污染水耗指标满足《四川省省级生态工业园区指标》综合类生态工业园区要求；到2022年，万元国内生产总值用水量、万元工业增加值用水量较2015年分别下降30%和28%。</w:t>
                  </w:r>
                </w:p>
                <w:p w14:paraId="7F7F8FA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地下水开采要求</w:t>
                  </w:r>
                </w:p>
                <w:p w14:paraId="55FC88C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以省市下发指标为准</w:t>
                  </w:r>
                </w:p>
                <w:p w14:paraId="7B1553D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能源利用总量及效率要求</w:t>
                  </w:r>
                </w:p>
                <w:p w14:paraId="555C71C8">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14:paraId="5ED6138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-大力实施和推广以电代煤、以电代油工程，重点在城市交通、工商业等领域实施以电代油、以电代煤。</w:t>
                  </w:r>
                </w:p>
                <w:p w14:paraId="6FE6FAE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-增加天然气对煤炭和石油的替代，提高天然气民用、交通、发电、工业领域天然气消费比重。</w:t>
                  </w:r>
                </w:p>
                <w:p w14:paraId="6E0C5A9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-实施煤炭消费总量控制：严格控制煤炭消费总量；严格控制新建、改建、扩建耗煤项目，新增耗煤项目实行煤炭消耗减量</w:t>
                  </w:r>
                  <w:r>
                    <w:rPr>
                      <w:rStyle w:val="25"/>
                      <w:rFonts w:hint="eastAsia" w:eastAsia="宋体" w:cs="Times New Roman"/>
                      <w:color w:val="auto"/>
                      <w:kern w:val="0"/>
                      <w:sz w:val="21"/>
                      <w:szCs w:val="21"/>
                      <w:highlight w:val="none"/>
                      <w:lang w:val="en-US" w:eastAsia="zh-CN" w:bidi="ar-SA"/>
                    </w:rPr>
                    <w:t>备量</w:t>
                  </w:r>
                  <w:r>
                    <w:rPr>
                      <w:rStyle w:val="25"/>
                      <w:rFonts w:hint="default" w:ascii="Times New Roman" w:hAnsi="Times New Roman" w:eastAsia="宋体" w:cs="Times New Roman"/>
                      <w:color w:val="auto"/>
                      <w:kern w:val="0"/>
                      <w:sz w:val="21"/>
                      <w:szCs w:val="21"/>
                      <w:highlight w:val="none"/>
                      <w:lang w:val="en-US" w:eastAsia="zh-CN" w:bidi="ar-SA"/>
                    </w:rPr>
                    <w:t>替代。</w:t>
                  </w:r>
                </w:p>
                <w:p w14:paraId="43BFAC3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168A3AD4">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-推进清洁能源的推广使用，全面推进散煤清洁化整治；</w:t>
                  </w:r>
                </w:p>
                <w:p w14:paraId="36AE1C4E">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34AEB130">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1709D373">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w:t>
                  </w:r>
                </w:p>
                <w:p w14:paraId="40055D9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禁燃区要求</w:t>
                  </w:r>
                </w:p>
                <w:p w14:paraId="2790175F">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-高污染燃料禁燃区内禁止燃用的燃料为《高污染燃料目录》（2017）中</w:t>
                  </w:r>
                  <w:r>
                    <w:rPr>
                      <w:rStyle w:val="25"/>
                      <w:rFonts w:hint="eastAsia" w:eastAsia="宋体" w:cs="Times New Roman"/>
                      <w:color w:val="auto"/>
                      <w:kern w:val="0"/>
                      <w:sz w:val="21"/>
                      <w:szCs w:val="21"/>
                      <w:highlight w:val="none"/>
                      <w:lang w:val="en-US" w:eastAsia="zh-CN" w:bidi="ar-SA"/>
                    </w:rPr>
                    <w:t>Ⅲ类</w:t>
                  </w:r>
                  <w:r>
                    <w:rPr>
                      <w:rStyle w:val="25"/>
                      <w:rFonts w:hint="default" w:ascii="Times New Roman" w:hAnsi="Times New Roman" w:eastAsia="宋体" w:cs="Times New Roman"/>
                      <w:color w:val="auto"/>
                      <w:kern w:val="0"/>
                      <w:sz w:val="21"/>
                      <w:szCs w:val="21"/>
                      <w:highlight w:val="none"/>
                      <w:lang w:val="en-US" w:eastAsia="zh-CN" w:bidi="ar-SA"/>
                    </w:rPr>
                    <w:t>（严格）燃料组合，包括：（一）煤炭及其制品；（二）石油焦、油页岩、原油、重油、渣油、煤焦油；（三）非专用锅炉或未配置高效除尘设施的专用锅炉燃用的生物质成型燃料。</w:t>
                  </w:r>
                </w:p>
                <w:p w14:paraId="5E0FB7A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-禁燃区内禁止销售、燃用高污染燃料；禁止新建、改建、扩建燃用高污染燃料的设施和设备。</w:t>
                  </w:r>
                </w:p>
                <w:p w14:paraId="3C8B1096">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-禁燃区内已建成的高污染燃料燃用设施由辖区人民政府制定限期改造计划，改用天然气、页岩气、液化石油气、电或其他清洁能源。</w:t>
                  </w:r>
                </w:p>
                <w:p w14:paraId="7A4235CC">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p>
                <w:p w14:paraId="74BDFEA5">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其他资源利用效率要求</w:t>
                  </w:r>
                </w:p>
                <w:p w14:paraId="03EE16DD">
                  <w:pPr>
                    <w:pStyle w:val="31"/>
                    <w:keepNext w:val="0"/>
                    <w:keepLines w:val="0"/>
                    <w:widowControl w:val="0"/>
                    <w:suppressLineNumbers w:val="0"/>
                    <w:spacing w:before="0" w:beforeAutospacing="0" w:after="0" w:afterAutospacing="0" w:line="240" w:lineRule="auto"/>
                    <w:ind w:left="0" w:right="0" w:firstLine="0" w:firstLineChars="0"/>
                    <w:jc w:val="both"/>
                    <w:rPr>
                      <w:rStyle w:val="25"/>
                      <w:rFonts w:hint="default" w:ascii="Times New Roman" w:hAnsi="Times New Roman" w:eastAsia="宋体" w:cs="Times New Roman"/>
                      <w:color w:val="auto"/>
                      <w:kern w:val="0"/>
                      <w:sz w:val="21"/>
                      <w:szCs w:val="21"/>
                      <w:highlight w:val="none"/>
                      <w:lang w:val="en-US" w:eastAsia="zh-CN" w:bidi="ar-SA"/>
                    </w:rPr>
                  </w:pPr>
                  <w:r>
                    <w:rPr>
                      <w:rStyle w:val="25"/>
                      <w:rFonts w:hint="default" w:ascii="Times New Roman" w:hAnsi="Times New Roman" w:eastAsia="宋体" w:cs="Times New Roman"/>
                      <w:color w:val="auto"/>
                      <w:kern w:val="0"/>
                      <w:sz w:val="21"/>
                      <w:szCs w:val="21"/>
                      <w:highlight w:val="none"/>
                      <w:lang w:val="en-US" w:eastAsia="zh-CN" w:bidi="ar-SA"/>
                    </w:rPr>
                    <w:t>/</w:t>
                  </w:r>
                </w:p>
              </w:tc>
              <w:tc>
                <w:tcPr>
                  <w:tcW w:w="480" w:type="dxa"/>
                  <w:tcBorders>
                    <w:tl2br w:val="nil"/>
                    <w:tr2bl w:val="nil"/>
                  </w:tcBorders>
                  <w:noWrap w:val="0"/>
                  <w:vAlign w:val="center"/>
                </w:tcPr>
                <w:p w14:paraId="43E27EAD">
                  <w:pPr>
                    <w:pStyle w:val="31"/>
                    <w:keepNext w:val="0"/>
                    <w:keepLines w:val="0"/>
                    <w:widowControl/>
                    <w:suppressLineNumbers w:val="0"/>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资源开发效率要求</w:t>
                  </w:r>
                </w:p>
              </w:tc>
              <w:tc>
                <w:tcPr>
                  <w:tcW w:w="3150" w:type="dxa"/>
                  <w:tcBorders>
                    <w:tl2br w:val="nil"/>
                    <w:tr2bl w:val="nil"/>
                  </w:tcBorders>
                  <w:noWrap w:val="0"/>
                  <w:vAlign w:val="center"/>
                </w:tcPr>
                <w:p w14:paraId="642F63E7">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水资源利用效率要求</w:t>
                  </w:r>
                </w:p>
                <w:p w14:paraId="72C2E52A">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执行达州市工业重点管控单元总体要求</w:t>
                  </w:r>
                </w:p>
                <w:p w14:paraId="6E652F09">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地下水开采要求</w:t>
                  </w:r>
                </w:p>
                <w:p w14:paraId="4C97322E">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执行达州市工业重点管控单元总体要求</w:t>
                  </w:r>
                </w:p>
                <w:p w14:paraId="57C84EF4">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能源利用效率要求</w:t>
                  </w:r>
                </w:p>
                <w:p w14:paraId="7B05981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执行达州市工业重点管控单元总体要求</w:t>
                  </w:r>
                </w:p>
                <w:p w14:paraId="517AD39B">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其他资源利用效率要求</w:t>
                  </w:r>
                </w:p>
                <w:p w14:paraId="34C733F0">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禁燃区要求：同达州市工业重点总体准入要求</w:t>
                  </w:r>
                </w:p>
              </w:tc>
              <w:tc>
                <w:tcPr>
                  <w:tcW w:w="1758" w:type="dxa"/>
                  <w:tcBorders>
                    <w:tl2br w:val="nil"/>
                    <w:tr2bl w:val="nil"/>
                  </w:tcBorders>
                  <w:noWrap w:val="0"/>
                  <w:vAlign w:val="center"/>
                </w:tcPr>
                <w:p w14:paraId="6430111C">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r>
                    <w:rPr>
                      <w:rStyle w:val="25"/>
                      <w:rFonts w:hint="default" w:ascii="Times New Roman" w:hAnsi="Times New Roman" w:eastAsia="宋体" w:cs="Times New Roman"/>
                      <w:color w:val="auto"/>
                      <w:kern w:val="2"/>
                      <w:sz w:val="21"/>
                      <w:szCs w:val="21"/>
                      <w:highlight w:val="none"/>
                      <w:lang w:val="en-US" w:eastAsia="zh-CN" w:bidi="ar-SA"/>
                    </w:rPr>
                    <w:t>本项目位于规划的加油加站用地，符合土地开发要求；项目使用能源为水及电能，分别来自市政供水管网及市政电网，</w:t>
                  </w:r>
                  <w:r>
                    <w:rPr>
                      <w:rStyle w:val="25"/>
                      <w:rFonts w:hint="eastAsia" w:eastAsia="宋体" w:cs="Times New Roman"/>
                      <w:color w:val="auto"/>
                      <w:kern w:val="2"/>
                      <w:sz w:val="21"/>
                      <w:szCs w:val="21"/>
                      <w:highlight w:val="none"/>
                      <w:lang w:val="en-US" w:eastAsia="zh-CN" w:bidi="ar-SA"/>
                    </w:rPr>
                    <w:t>不涉及地下水开发。</w:t>
                  </w:r>
                </w:p>
              </w:tc>
              <w:tc>
                <w:tcPr>
                  <w:tcW w:w="483" w:type="dxa"/>
                  <w:tcBorders>
                    <w:tl2br w:val="nil"/>
                    <w:tr2bl w:val="nil"/>
                  </w:tcBorders>
                  <w:noWrap w:val="0"/>
                  <w:vAlign w:val="center"/>
                </w:tcPr>
                <w:p w14:paraId="72E9F1DF">
                  <w:pPr>
                    <w:pStyle w:val="31"/>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5"/>
                      <w:rFonts w:hint="default" w:ascii="Times New Roman" w:hAnsi="Times New Roman" w:eastAsia="宋体" w:cs="Times New Roman"/>
                      <w:color w:val="auto"/>
                      <w:kern w:val="2"/>
                      <w:sz w:val="21"/>
                      <w:szCs w:val="21"/>
                      <w:highlight w:val="none"/>
                      <w:lang w:val="en-US" w:eastAsia="zh-CN" w:bidi="ar-SA"/>
                    </w:rPr>
                  </w:pPr>
                </w:p>
              </w:tc>
            </w:tr>
          </w:tbl>
          <w:p w14:paraId="620C857C">
            <w:pPr>
              <w:keepNext w:val="0"/>
              <w:keepLines w:val="0"/>
              <w:suppressLineNumbers w:val="0"/>
              <w:spacing w:before="0" w:beforeAutospacing="0" w:after="0" w:afterAutospacing="0" w:line="360" w:lineRule="auto"/>
              <w:ind w:left="0" w:right="0" w:firstLine="480" w:firstLineChars="200"/>
              <w:rPr>
                <w:rFonts w:hint="eastAsia" w:eastAsia="宋体"/>
                <w:color w:val="auto"/>
                <w:kern w:val="0"/>
                <w:sz w:val="30"/>
                <w:szCs w:val="30"/>
                <w:highlight w:val="none"/>
                <w:lang w:val="en-US" w:eastAsia="zh-CN"/>
              </w:rPr>
            </w:pPr>
            <w:r>
              <w:rPr>
                <w:rFonts w:hint="eastAsia" w:eastAsia="宋体"/>
                <w:color w:val="auto"/>
                <w:sz w:val="24"/>
                <w:highlight w:val="none"/>
                <w:lang w:val="en-US" w:eastAsia="zh-CN"/>
              </w:rPr>
              <w:t>综上所述，</w:t>
            </w:r>
            <w:r>
              <w:rPr>
                <w:rFonts w:hint="eastAsia" w:eastAsia="宋体"/>
                <w:color w:val="auto"/>
                <w:sz w:val="24"/>
                <w:highlight w:val="none"/>
              </w:rPr>
              <w:t>项目符合生态</w:t>
            </w:r>
            <w:r>
              <w:rPr>
                <w:rFonts w:hint="eastAsia" w:eastAsia="宋体"/>
                <w:color w:val="auto"/>
                <w:sz w:val="24"/>
                <w:highlight w:val="none"/>
                <w:lang w:val="en-US" w:eastAsia="zh-CN"/>
              </w:rPr>
              <w:t>环境分区管控</w:t>
            </w:r>
            <w:r>
              <w:rPr>
                <w:rFonts w:hint="eastAsia" w:eastAsia="宋体"/>
                <w:color w:val="auto"/>
                <w:sz w:val="24"/>
                <w:highlight w:val="none"/>
              </w:rPr>
              <w:t>要求</w:t>
            </w:r>
            <w:r>
              <w:rPr>
                <w:rFonts w:hint="eastAsia"/>
                <w:color w:val="auto"/>
                <w:sz w:val="24"/>
                <w:highlight w:val="none"/>
                <w:lang w:eastAsia="zh-CN"/>
              </w:rPr>
              <w:t>。</w:t>
            </w:r>
          </w:p>
        </w:tc>
      </w:tr>
    </w:tbl>
    <w:p w14:paraId="1714DCF0">
      <w:pPr>
        <w:pStyle w:val="30"/>
        <w:jc w:val="center"/>
        <w:outlineLvl w:val="9"/>
        <w:rPr>
          <w:rFonts w:eastAsia="黑体"/>
          <w:b w:val="0"/>
          <w:color w:val="auto"/>
          <w:sz w:val="30"/>
          <w:szCs w:val="30"/>
          <w:highlight w:val="none"/>
        </w:rPr>
        <w:sectPr>
          <w:pgSz w:w="16838" w:h="11906" w:orient="landscape"/>
          <w:pgMar w:top="1080" w:right="1440" w:bottom="1080" w:left="1440" w:header="851" w:footer="992" w:gutter="0"/>
          <w:pgBorders>
            <w:top w:val="none" w:sz="0" w:space="0"/>
            <w:left w:val="none" w:sz="0" w:space="0"/>
            <w:bottom w:val="none" w:sz="0" w:space="0"/>
            <w:right w:val="none" w:sz="0" w:space="0"/>
          </w:pgBorders>
          <w:cols w:space="720" w:num="1"/>
          <w:docGrid w:type="lines" w:linePitch="312" w:charSpace="0"/>
        </w:sectPr>
      </w:pP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504"/>
      </w:tblGrid>
      <w:tr w14:paraId="2C53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4" w:hRule="atLeast"/>
        </w:trPr>
        <w:tc>
          <w:tcPr>
            <w:tcW w:w="180" w:type="pct"/>
          </w:tcPr>
          <w:p w14:paraId="15896BD8">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olor w:val="auto"/>
                <w:kern w:val="0"/>
                <w:sz w:val="24"/>
                <w:highlight w:val="none"/>
              </w:rPr>
            </w:pPr>
            <w:r>
              <w:rPr>
                <w:rFonts w:hint="default"/>
                <w:color w:val="auto"/>
                <w:kern w:val="0"/>
                <w:sz w:val="24"/>
                <w:highlight w:val="none"/>
              </w:rPr>
              <w:t>其他符合性分析</w:t>
            </w:r>
          </w:p>
        </w:tc>
        <w:tc>
          <w:tcPr>
            <w:tcW w:w="4819" w:type="pct"/>
          </w:tcPr>
          <w:p w14:paraId="53B7BA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4、与《长江经济带生态环境保护规划</w:t>
            </w:r>
            <w:r>
              <w:rPr>
                <w:rFonts w:hint="eastAsia"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长江经济带发展负面清单指南（试行，2022年版）》符合性分析</w:t>
            </w:r>
          </w:p>
          <w:p w14:paraId="654DC4FB">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表1-5  与长江经济带政策符合性分析</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3912"/>
              <w:gridCol w:w="2994"/>
              <w:gridCol w:w="1100"/>
            </w:tblGrid>
            <w:tr w14:paraId="1CEF4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0" w:type="pct"/>
                  <w:tcBorders>
                    <w:tl2br w:val="nil"/>
                    <w:tr2bl w:val="nil"/>
                  </w:tcBorders>
                  <w:noWrap w:val="0"/>
                  <w:vAlign w:val="center"/>
                </w:tcPr>
                <w:p w14:paraId="0C0A05E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名称</w:t>
                  </w:r>
                </w:p>
              </w:tc>
              <w:tc>
                <w:tcPr>
                  <w:tcW w:w="2106" w:type="pct"/>
                  <w:tcBorders>
                    <w:tl2br w:val="nil"/>
                    <w:tr2bl w:val="nil"/>
                  </w:tcBorders>
                  <w:noWrap w:val="0"/>
                  <w:vAlign w:val="center"/>
                </w:tcPr>
                <w:p w14:paraId="459D074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规范要求</w:t>
                  </w:r>
                </w:p>
              </w:tc>
              <w:tc>
                <w:tcPr>
                  <w:tcW w:w="1612" w:type="pct"/>
                  <w:tcBorders>
                    <w:tl2br w:val="nil"/>
                    <w:tr2bl w:val="nil"/>
                  </w:tcBorders>
                  <w:noWrap w:val="0"/>
                  <w:vAlign w:val="center"/>
                </w:tcPr>
                <w:p w14:paraId="24269A5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本项目情况</w:t>
                  </w:r>
                </w:p>
              </w:tc>
              <w:tc>
                <w:tcPr>
                  <w:tcW w:w="592" w:type="pct"/>
                  <w:tcBorders>
                    <w:tl2br w:val="nil"/>
                    <w:tr2bl w:val="nil"/>
                  </w:tcBorders>
                  <w:noWrap w:val="0"/>
                  <w:vAlign w:val="center"/>
                </w:tcPr>
                <w:p w14:paraId="729579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符合性</w:t>
                  </w:r>
                </w:p>
              </w:tc>
            </w:tr>
            <w:tr w14:paraId="452DC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690" w:type="pct"/>
                  <w:tcBorders>
                    <w:tl2br w:val="nil"/>
                    <w:tr2bl w:val="nil"/>
                  </w:tcBorders>
                  <w:noWrap w:val="0"/>
                  <w:vAlign w:val="center"/>
                </w:tcPr>
                <w:p w14:paraId="1A6EE81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《长江经济带生态环境保护规划》</w:t>
                  </w:r>
                </w:p>
              </w:tc>
              <w:tc>
                <w:tcPr>
                  <w:tcW w:w="2106" w:type="pct"/>
                  <w:tcBorders>
                    <w:tl2br w:val="nil"/>
                    <w:tr2bl w:val="nil"/>
                  </w:tcBorders>
                  <w:noWrap w:val="0"/>
                  <w:vAlign w:val="center"/>
                </w:tcPr>
                <w:p w14:paraId="26A6B39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严禁在干流及主要支流岸线1公里范围内布局新建重化工园区，严控在中上游沿岸地区新建石油化工和煤化工项目</w:t>
                  </w:r>
                </w:p>
              </w:tc>
              <w:tc>
                <w:tcPr>
                  <w:tcW w:w="1612" w:type="pct"/>
                  <w:tcBorders>
                    <w:tl2br w:val="nil"/>
                    <w:tr2bl w:val="nil"/>
                  </w:tcBorders>
                  <w:noWrap w:val="0"/>
                  <w:vAlign w:val="center"/>
                </w:tcPr>
                <w:p w14:paraId="20C9D0C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本项目不属于重化工园区。项目不属于新建石油化工和煤化工项目</w:t>
                  </w:r>
                </w:p>
              </w:tc>
              <w:tc>
                <w:tcPr>
                  <w:tcW w:w="592" w:type="pct"/>
                  <w:tcBorders>
                    <w:tl2br w:val="nil"/>
                    <w:tr2bl w:val="nil"/>
                  </w:tcBorders>
                  <w:noWrap w:val="0"/>
                  <w:vAlign w:val="center"/>
                </w:tcPr>
                <w:p w14:paraId="67D7771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2C556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690" w:type="pct"/>
                  <w:vMerge w:val="restart"/>
                  <w:tcBorders>
                    <w:tl2br w:val="nil"/>
                    <w:tr2bl w:val="nil"/>
                  </w:tcBorders>
                  <w:noWrap w:val="0"/>
                  <w:vAlign w:val="center"/>
                </w:tcPr>
                <w:p w14:paraId="11C40C9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《长江经济带发展负面清单指南（试行）》</w:t>
                  </w:r>
                </w:p>
              </w:tc>
              <w:tc>
                <w:tcPr>
                  <w:tcW w:w="2106" w:type="pct"/>
                  <w:tcBorders>
                    <w:tl2br w:val="nil"/>
                    <w:tr2bl w:val="nil"/>
                  </w:tcBorders>
                  <w:noWrap w:val="0"/>
                  <w:vAlign w:val="center"/>
                </w:tcPr>
                <w:p w14:paraId="3FC4ECA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1、禁止建设不符合全国和省级港口布局规划以及港口总体规划的码头项目，禁止建设不符合《长江干线过江通道布局规划》的过</w:t>
                  </w:r>
                  <w:r>
                    <w:rPr>
                      <w:rFonts w:hint="eastAsia" w:cs="Times New Roman"/>
                      <w:b w:val="0"/>
                      <w:bCs w:val="0"/>
                      <w:color w:val="auto"/>
                      <w:kern w:val="0"/>
                      <w:sz w:val="21"/>
                      <w:szCs w:val="21"/>
                      <w:highlight w:val="none"/>
                      <w:lang w:val="en-US" w:eastAsia="zh-CN" w:bidi="ar"/>
                    </w:rPr>
                    <w:t>江</w:t>
                  </w:r>
                  <w:r>
                    <w:rPr>
                      <w:rFonts w:hint="eastAsia" w:ascii="Times New Roman" w:hAnsi="Times New Roman" w:eastAsia="宋体" w:cs="Times New Roman"/>
                      <w:b w:val="0"/>
                      <w:bCs w:val="0"/>
                      <w:color w:val="auto"/>
                      <w:kern w:val="0"/>
                      <w:sz w:val="21"/>
                      <w:szCs w:val="21"/>
                      <w:highlight w:val="none"/>
                      <w:lang w:val="en-US" w:eastAsia="zh-CN" w:bidi="ar"/>
                    </w:rPr>
                    <w:t>通道项目。</w:t>
                  </w:r>
                </w:p>
              </w:tc>
              <w:tc>
                <w:tcPr>
                  <w:tcW w:w="1612" w:type="pct"/>
                  <w:tcBorders>
                    <w:tl2br w:val="nil"/>
                    <w:tr2bl w:val="nil"/>
                  </w:tcBorders>
                  <w:noWrap w:val="0"/>
                  <w:vAlign w:val="center"/>
                </w:tcPr>
                <w:p w14:paraId="5D929C7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本项目不属于码头和过长江通道项目</w:t>
                  </w:r>
                </w:p>
              </w:tc>
              <w:tc>
                <w:tcPr>
                  <w:tcW w:w="592" w:type="pct"/>
                  <w:tcBorders>
                    <w:tl2br w:val="nil"/>
                    <w:tr2bl w:val="nil"/>
                  </w:tcBorders>
                  <w:noWrap w:val="0"/>
                  <w:vAlign w:val="center"/>
                </w:tcPr>
                <w:p w14:paraId="0500FC8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54D5A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690" w:type="pct"/>
                  <w:vMerge w:val="continue"/>
                  <w:tcBorders>
                    <w:tl2br w:val="nil"/>
                    <w:tr2bl w:val="nil"/>
                  </w:tcBorders>
                  <w:noWrap w:val="0"/>
                  <w:vAlign w:val="center"/>
                </w:tcPr>
                <w:p w14:paraId="6447A4B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06" w:type="pct"/>
                  <w:tcBorders>
                    <w:tl2br w:val="nil"/>
                    <w:tr2bl w:val="nil"/>
                  </w:tcBorders>
                  <w:noWrap w:val="0"/>
                  <w:vAlign w:val="center"/>
                </w:tcPr>
                <w:p w14:paraId="45A7B9C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2、禁止在自然保护区核心区、缓冲区的岸线和河段范围内投资建设旅游和生产经营项目。禁止在风景名胜区核心景区的岸线和河段范围内投资建设与风景名</w:t>
                  </w:r>
                  <w:r>
                    <w:rPr>
                      <w:rFonts w:hint="eastAsia" w:cs="Times New Roman"/>
                      <w:b w:val="0"/>
                      <w:bCs w:val="0"/>
                      <w:color w:val="auto"/>
                      <w:kern w:val="0"/>
                      <w:sz w:val="21"/>
                      <w:szCs w:val="21"/>
                      <w:highlight w:val="none"/>
                      <w:lang w:val="en-US" w:eastAsia="zh-CN" w:bidi="ar"/>
                    </w:rPr>
                    <w:t>胜区</w:t>
                  </w:r>
                  <w:r>
                    <w:rPr>
                      <w:rFonts w:hint="eastAsia" w:ascii="Times New Roman" w:hAnsi="Times New Roman" w:eastAsia="宋体" w:cs="Times New Roman"/>
                      <w:b w:val="0"/>
                      <w:bCs w:val="0"/>
                      <w:color w:val="auto"/>
                      <w:kern w:val="0"/>
                      <w:sz w:val="21"/>
                      <w:szCs w:val="21"/>
                      <w:highlight w:val="none"/>
                      <w:lang w:val="en-US" w:eastAsia="zh-CN" w:bidi="ar"/>
                    </w:rPr>
                    <w:t>资源保护无关的项目</w:t>
                  </w:r>
                </w:p>
              </w:tc>
              <w:tc>
                <w:tcPr>
                  <w:tcW w:w="1612" w:type="pct"/>
                  <w:tcBorders>
                    <w:tl2br w:val="nil"/>
                    <w:tr2bl w:val="nil"/>
                  </w:tcBorders>
                  <w:noWrap w:val="0"/>
                  <w:vAlign w:val="center"/>
                </w:tcPr>
                <w:p w14:paraId="6E9C0B2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项目位于达州市通川区东岳收费站出口，不在自然保护区范围内</w:t>
                  </w:r>
                </w:p>
              </w:tc>
              <w:tc>
                <w:tcPr>
                  <w:tcW w:w="592" w:type="pct"/>
                  <w:tcBorders>
                    <w:tl2br w:val="nil"/>
                    <w:tr2bl w:val="nil"/>
                  </w:tcBorders>
                  <w:noWrap w:val="0"/>
                  <w:vAlign w:val="center"/>
                </w:tcPr>
                <w:p w14:paraId="341E8F2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32E47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pct"/>
                  <w:vMerge w:val="continue"/>
                  <w:tcBorders>
                    <w:tl2br w:val="nil"/>
                    <w:tr2bl w:val="nil"/>
                  </w:tcBorders>
                  <w:noWrap w:val="0"/>
                  <w:vAlign w:val="center"/>
                </w:tcPr>
                <w:p w14:paraId="14D990E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06" w:type="pct"/>
                  <w:tcBorders>
                    <w:tl2br w:val="nil"/>
                    <w:tr2bl w:val="nil"/>
                  </w:tcBorders>
                  <w:noWrap w:val="0"/>
                  <w:vAlign w:val="center"/>
                </w:tcPr>
                <w:p w14:paraId="43964E8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12" w:type="pct"/>
                  <w:tcBorders>
                    <w:tl2br w:val="nil"/>
                    <w:tr2bl w:val="nil"/>
                  </w:tcBorders>
                  <w:noWrap w:val="0"/>
                  <w:vAlign w:val="center"/>
                </w:tcPr>
                <w:p w14:paraId="28564BB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本项目不在饮用水水源一级保护区、二级保护区范围内</w:t>
                  </w:r>
                </w:p>
              </w:tc>
              <w:tc>
                <w:tcPr>
                  <w:tcW w:w="592" w:type="pct"/>
                  <w:tcBorders>
                    <w:tl2br w:val="nil"/>
                    <w:tr2bl w:val="nil"/>
                  </w:tcBorders>
                  <w:noWrap w:val="0"/>
                  <w:vAlign w:val="center"/>
                </w:tcPr>
                <w:p w14:paraId="2BDC57E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307A4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pct"/>
                  <w:vMerge w:val="continue"/>
                  <w:tcBorders>
                    <w:tl2br w:val="nil"/>
                    <w:tr2bl w:val="nil"/>
                  </w:tcBorders>
                  <w:noWrap w:val="0"/>
                  <w:vAlign w:val="center"/>
                </w:tcPr>
                <w:p w14:paraId="16A2D9F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06" w:type="pct"/>
                  <w:tcBorders>
                    <w:tl2br w:val="nil"/>
                    <w:tr2bl w:val="nil"/>
                  </w:tcBorders>
                  <w:noWrap w:val="0"/>
                  <w:vAlign w:val="center"/>
                </w:tcPr>
                <w:p w14:paraId="7AD07F1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12" w:type="pct"/>
                  <w:tcBorders>
                    <w:tl2br w:val="nil"/>
                    <w:tr2bl w:val="nil"/>
                  </w:tcBorders>
                  <w:noWrap w:val="0"/>
                  <w:vAlign w:val="center"/>
                </w:tcPr>
                <w:p w14:paraId="3536AA4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本项目为加油加气站项目，不涉及围湖造田、围海造地或围填海、挖沙、采矿等建设行为</w:t>
                  </w:r>
                </w:p>
              </w:tc>
              <w:tc>
                <w:tcPr>
                  <w:tcW w:w="592" w:type="pct"/>
                  <w:tcBorders>
                    <w:tl2br w:val="nil"/>
                    <w:tr2bl w:val="nil"/>
                  </w:tcBorders>
                  <w:noWrap w:val="0"/>
                  <w:vAlign w:val="center"/>
                </w:tcPr>
                <w:p w14:paraId="62BBE68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679D6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690" w:type="pct"/>
                  <w:vMerge w:val="continue"/>
                  <w:tcBorders>
                    <w:tl2br w:val="nil"/>
                    <w:tr2bl w:val="nil"/>
                  </w:tcBorders>
                  <w:noWrap w:val="0"/>
                  <w:vAlign w:val="center"/>
                </w:tcPr>
                <w:p w14:paraId="26997B6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06" w:type="pct"/>
                  <w:tcBorders>
                    <w:tl2br w:val="nil"/>
                    <w:tr2bl w:val="nil"/>
                  </w:tcBorders>
                  <w:noWrap w:val="0"/>
                  <w:vAlign w:val="center"/>
                </w:tcPr>
                <w:p w14:paraId="35BF3D1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12" w:type="pct"/>
                  <w:tcBorders>
                    <w:tl2br w:val="nil"/>
                    <w:tr2bl w:val="nil"/>
                  </w:tcBorders>
                  <w:noWrap w:val="0"/>
                  <w:vAlign w:val="center"/>
                </w:tcPr>
                <w:p w14:paraId="7B75349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项目不在《长江岸线保护和开发利用总体规划》划定的岸线保护区内和保留区内，也不在《全国重要江河湖泊水功能区划》划定的河段及湖泊保护区、保留区内</w:t>
                  </w:r>
                </w:p>
              </w:tc>
              <w:tc>
                <w:tcPr>
                  <w:tcW w:w="592" w:type="pct"/>
                  <w:tcBorders>
                    <w:tl2br w:val="nil"/>
                    <w:tr2bl w:val="nil"/>
                  </w:tcBorders>
                  <w:noWrap w:val="0"/>
                  <w:vAlign w:val="center"/>
                </w:tcPr>
                <w:p w14:paraId="0AC1E41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487CE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pct"/>
                  <w:vMerge w:val="continue"/>
                  <w:tcBorders>
                    <w:tl2br w:val="nil"/>
                    <w:tr2bl w:val="nil"/>
                  </w:tcBorders>
                  <w:noWrap w:val="0"/>
                  <w:vAlign w:val="center"/>
                </w:tcPr>
                <w:p w14:paraId="5D11845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06" w:type="pct"/>
                  <w:tcBorders>
                    <w:tl2br w:val="nil"/>
                    <w:tr2bl w:val="nil"/>
                  </w:tcBorders>
                  <w:noWrap w:val="0"/>
                  <w:vAlign w:val="center"/>
                </w:tcPr>
                <w:p w14:paraId="0055DBC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6、禁止未经许可在长江干支流及湖泊新设、改设或扩大排污口</w:t>
                  </w:r>
                </w:p>
              </w:tc>
              <w:tc>
                <w:tcPr>
                  <w:tcW w:w="1612" w:type="pct"/>
                  <w:tcBorders>
                    <w:tl2br w:val="nil"/>
                    <w:tr2bl w:val="nil"/>
                  </w:tcBorders>
                  <w:noWrap w:val="0"/>
                  <w:vAlign w:val="center"/>
                </w:tcPr>
                <w:p w14:paraId="6B869FF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项目废水经预处理后</w:t>
                  </w:r>
                  <w:r>
                    <w:rPr>
                      <w:rFonts w:hint="eastAsia" w:cs="Times New Roman"/>
                      <w:b w:val="0"/>
                      <w:bCs w:val="0"/>
                      <w:color w:val="auto"/>
                      <w:kern w:val="0"/>
                      <w:sz w:val="21"/>
                      <w:szCs w:val="21"/>
                      <w:highlight w:val="none"/>
                      <w:lang w:val="en-US" w:eastAsia="zh-CN" w:bidi="ar"/>
                    </w:rPr>
                    <w:t>经</w:t>
                  </w:r>
                  <w:r>
                    <w:rPr>
                      <w:rFonts w:hint="eastAsia" w:ascii="Times New Roman" w:hAnsi="Times New Roman" w:eastAsia="宋体" w:cs="Times New Roman"/>
                      <w:b w:val="0"/>
                      <w:bCs w:val="0"/>
                      <w:color w:val="auto"/>
                      <w:kern w:val="0"/>
                      <w:sz w:val="21"/>
                      <w:szCs w:val="21"/>
                      <w:highlight w:val="none"/>
                      <w:lang w:val="en-US" w:eastAsia="zh-CN" w:bidi="ar"/>
                    </w:rPr>
                    <w:t>市政污水管网进入污水处理厂处理，不涉及新设、改设或扩大排污口。</w:t>
                  </w:r>
                </w:p>
              </w:tc>
              <w:tc>
                <w:tcPr>
                  <w:tcW w:w="592" w:type="pct"/>
                  <w:tcBorders>
                    <w:tl2br w:val="nil"/>
                    <w:tr2bl w:val="nil"/>
                  </w:tcBorders>
                  <w:noWrap w:val="0"/>
                  <w:vAlign w:val="center"/>
                </w:tcPr>
                <w:p w14:paraId="172CCD3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7A3DA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90" w:type="pct"/>
                  <w:vMerge w:val="continue"/>
                  <w:tcBorders>
                    <w:tl2br w:val="nil"/>
                    <w:tr2bl w:val="nil"/>
                  </w:tcBorders>
                  <w:noWrap w:val="0"/>
                  <w:vAlign w:val="center"/>
                </w:tcPr>
                <w:p w14:paraId="01C3102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06" w:type="pct"/>
                  <w:tcBorders>
                    <w:tl2br w:val="nil"/>
                    <w:tr2bl w:val="nil"/>
                  </w:tcBorders>
                  <w:noWrap w:val="0"/>
                  <w:vAlign w:val="center"/>
                </w:tcPr>
                <w:p w14:paraId="51C1F5F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7、禁止在"一江一口两湖七河"和332个水生生物保护区开展生产性捕捞</w:t>
                  </w:r>
                </w:p>
              </w:tc>
              <w:tc>
                <w:tcPr>
                  <w:tcW w:w="1612" w:type="pct"/>
                  <w:tcBorders>
                    <w:tl2br w:val="nil"/>
                    <w:tr2bl w:val="nil"/>
                  </w:tcBorders>
                  <w:noWrap w:val="0"/>
                  <w:vAlign w:val="center"/>
                </w:tcPr>
                <w:p w14:paraId="09A17EB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本项目不涉及</w:t>
                  </w:r>
                </w:p>
              </w:tc>
              <w:tc>
                <w:tcPr>
                  <w:tcW w:w="592" w:type="pct"/>
                  <w:tcBorders>
                    <w:tl2br w:val="nil"/>
                    <w:tr2bl w:val="nil"/>
                  </w:tcBorders>
                  <w:noWrap w:val="0"/>
                  <w:vAlign w:val="center"/>
                </w:tcPr>
                <w:p w14:paraId="57BAA2E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5D5F5F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90" w:type="pct"/>
                  <w:vMerge w:val="continue"/>
                  <w:tcBorders>
                    <w:tl2br w:val="nil"/>
                    <w:tr2bl w:val="nil"/>
                  </w:tcBorders>
                  <w:noWrap w:val="0"/>
                  <w:vAlign w:val="center"/>
                </w:tcPr>
                <w:p w14:paraId="23AB66C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06" w:type="pct"/>
                  <w:tcBorders>
                    <w:tl2br w:val="nil"/>
                    <w:tr2bl w:val="nil"/>
                  </w:tcBorders>
                  <w:noWrap w:val="0"/>
                  <w:vAlign w:val="center"/>
                </w:tcPr>
                <w:p w14:paraId="3D61C6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12" w:type="pct"/>
                  <w:tcBorders>
                    <w:tl2br w:val="nil"/>
                    <w:tr2bl w:val="nil"/>
                  </w:tcBorders>
                  <w:noWrap w:val="0"/>
                  <w:vAlign w:val="center"/>
                </w:tcPr>
                <w:p w14:paraId="3A9B5B9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本项目不属于禁止建设项目</w:t>
                  </w:r>
                </w:p>
              </w:tc>
              <w:tc>
                <w:tcPr>
                  <w:tcW w:w="592" w:type="pct"/>
                  <w:tcBorders>
                    <w:tl2br w:val="nil"/>
                    <w:tr2bl w:val="nil"/>
                  </w:tcBorders>
                  <w:noWrap w:val="0"/>
                  <w:vAlign w:val="center"/>
                </w:tcPr>
                <w:p w14:paraId="4319C23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71AAC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90" w:type="pct"/>
                  <w:vMerge w:val="continue"/>
                  <w:tcBorders>
                    <w:tl2br w:val="nil"/>
                    <w:tr2bl w:val="nil"/>
                  </w:tcBorders>
                  <w:noWrap w:val="0"/>
                  <w:vAlign w:val="center"/>
                </w:tcPr>
                <w:p w14:paraId="2DA556E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06" w:type="pct"/>
                  <w:tcBorders>
                    <w:tl2br w:val="nil"/>
                    <w:tr2bl w:val="nil"/>
                  </w:tcBorders>
                  <w:noWrap w:val="0"/>
                  <w:vAlign w:val="center"/>
                </w:tcPr>
                <w:p w14:paraId="340D0D2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9、禁止在合规园区外新建、扩建钢铁、石化、化工、焦化、建材、有色、制浆造纸等高污染项目</w:t>
                  </w:r>
                </w:p>
              </w:tc>
              <w:tc>
                <w:tcPr>
                  <w:tcW w:w="1612" w:type="pct"/>
                  <w:tcBorders>
                    <w:tl2br w:val="nil"/>
                    <w:tr2bl w:val="nil"/>
                  </w:tcBorders>
                  <w:noWrap w:val="0"/>
                  <w:vAlign w:val="center"/>
                </w:tcPr>
                <w:p w14:paraId="3AB54CC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本项目不属于高污染项目</w:t>
                  </w:r>
                </w:p>
              </w:tc>
              <w:tc>
                <w:tcPr>
                  <w:tcW w:w="592" w:type="pct"/>
                  <w:tcBorders>
                    <w:tl2br w:val="nil"/>
                    <w:tr2bl w:val="nil"/>
                  </w:tcBorders>
                  <w:noWrap w:val="0"/>
                  <w:vAlign w:val="center"/>
                </w:tcPr>
                <w:p w14:paraId="7919785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6431C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90" w:type="pct"/>
                  <w:vMerge w:val="continue"/>
                  <w:tcBorders>
                    <w:tl2br w:val="nil"/>
                    <w:tr2bl w:val="nil"/>
                  </w:tcBorders>
                  <w:noWrap w:val="0"/>
                  <w:vAlign w:val="center"/>
                </w:tcPr>
                <w:p w14:paraId="799FFC5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06" w:type="pct"/>
                  <w:tcBorders>
                    <w:tl2br w:val="nil"/>
                    <w:tr2bl w:val="nil"/>
                  </w:tcBorders>
                  <w:noWrap w:val="0"/>
                  <w:vAlign w:val="center"/>
                </w:tcPr>
                <w:p w14:paraId="0A7AE8A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10、禁止新建、扩建不符合国家石化、现代煤化工等产业布局规划的项目</w:t>
                  </w:r>
                </w:p>
              </w:tc>
              <w:tc>
                <w:tcPr>
                  <w:tcW w:w="1612" w:type="pct"/>
                  <w:tcBorders>
                    <w:tl2br w:val="nil"/>
                    <w:tr2bl w:val="nil"/>
                  </w:tcBorders>
                  <w:noWrap w:val="0"/>
                  <w:vAlign w:val="center"/>
                </w:tcPr>
                <w:p w14:paraId="4780924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本项目不属于石化、现代煤化工项目</w:t>
                  </w:r>
                </w:p>
              </w:tc>
              <w:tc>
                <w:tcPr>
                  <w:tcW w:w="592" w:type="pct"/>
                  <w:tcBorders>
                    <w:tl2br w:val="nil"/>
                    <w:tr2bl w:val="nil"/>
                  </w:tcBorders>
                  <w:noWrap w:val="0"/>
                  <w:vAlign w:val="center"/>
                </w:tcPr>
                <w:p w14:paraId="135075E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2FF78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690" w:type="pct"/>
                  <w:vMerge w:val="continue"/>
                  <w:tcBorders>
                    <w:tl2br w:val="nil"/>
                    <w:tr2bl w:val="nil"/>
                  </w:tcBorders>
                  <w:noWrap w:val="0"/>
                  <w:vAlign w:val="center"/>
                </w:tcPr>
                <w:p w14:paraId="49BCDF5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06" w:type="pct"/>
                  <w:tcBorders>
                    <w:tl2br w:val="nil"/>
                    <w:tr2bl w:val="nil"/>
                  </w:tcBorders>
                  <w:noWrap w:val="0"/>
                  <w:vAlign w:val="center"/>
                </w:tcPr>
                <w:p w14:paraId="0B55BBD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11、禁止新建、扩建法律法规和相关政策明令禁止的落后产能项目。禁止新建、扩建不符合国家产能置换要求的严重过剩产能行业的项目。禁止新建、扩建不符合要求的高耗能高排放项目</w:t>
                  </w:r>
                </w:p>
              </w:tc>
              <w:tc>
                <w:tcPr>
                  <w:tcW w:w="1612" w:type="pct"/>
                  <w:tcBorders>
                    <w:tl2br w:val="nil"/>
                    <w:tr2bl w:val="nil"/>
                  </w:tcBorders>
                  <w:noWrap w:val="0"/>
                  <w:vAlign w:val="center"/>
                </w:tcPr>
                <w:p w14:paraId="319607A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本项目符合产业政策，不属于明令禁止的落后产能项目、严重过剩产能行业的项目以及高耗能高排放项目</w:t>
                  </w:r>
                </w:p>
              </w:tc>
              <w:tc>
                <w:tcPr>
                  <w:tcW w:w="592" w:type="pct"/>
                  <w:tcBorders>
                    <w:tl2br w:val="nil"/>
                    <w:tr2bl w:val="nil"/>
                  </w:tcBorders>
                  <w:noWrap w:val="0"/>
                  <w:vAlign w:val="center"/>
                </w:tcPr>
                <w:p w14:paraId="702C6E5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bl>
          <w:p w14:paraId="7D678635">
            <w:pPr>
              <w:keepNext w:val="0"/>
              <w:keepLines w:val="0"/>
              <w:suppressLineNumbers w:val="0"/>
              <w:spacing w:before="0" w:beforeAutospacing="0" w:after="0" w:afterAutospacing="0" w:line="360" w:lineRule="auto"/>
              <w:ind w:left="0" w:right="0" w:firstLine="480" w:firstLineChars="200"/>
              <w:rPr>
                <w:rFonts w:hint="default" w:eastAsia="宋体"/>
                <w:color w:val="auto"/>
                <w:sz w:val="24"/>
                <w:highlight w:val="none"/>
              </w:rPr>
            </w:pPr>
            <w:r>
              <w:rPr>
                <w:rFonts w:hint="eastAsia" w:eastAsia="宋体"/>
                <w:color w:val="auto"/>
                <w:sz w:val="24"/>
                <w:highlight w:val="none"/>
              </w:rPr>
              <w:t>综上，项目建设符合《长江经济带生态环境保护规划</w:t>
            </w:r>
            <w:r>
              <w:rPr>
                <w:rFonts w:hint="eastAsia"/>
                <w:color w:val="auto"/>
                <w:sz w:val="24"/>
                <w:highlight w:val="none"/>
                <w:lang w:eastAsia="zh-CN"/>
              </w:rPr>
              <w:t>》《</w:t>
            </w:r>
            <w:r>
              <w:rPr>
                <w:rFonts w:hint="eastAsia" w:eastAsia="宋体"/>
                <w:color w:val="auto"/>
                <w:sz w:val="24"/>
                <w:highlight w:val="none"/>
              </w:rPr>
              <w:t>长江经济带发展负面清单指南（试行，2022年版）》的管控要求。</w:t>
            </w:r>
          </w:p>
          <w:p w14:paraId="6674BA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5、</w:t>
            </w:r>
            <w:r>
              <w:rPr>
                <w:rFonts w:hint="eastAsia" w:ascii="Times New Roman" w:hAnsi="Times New Roman" w:eastAsia="宋体" w:cs="Times New Roman"/>
                <w:b/>
                <w:bCs/>
                <w:color w:val="auto"/>
                <w:highlight w:val="none"/>
                <w:lang w:val="en-US" w:eastAsia="zh-CN"/>
              </w:rPr>
              <w:t>与《四川省、重庆市长江经济带发展负面清单实施细则（试行）》的符合性分析</w:t>
            </w:r>
          </w:p>
          <w:p w14:paraId="772C168B">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本项目与《四川省、重庆市长江经济带发展负面清单实施细则（试行）》的符合性分析见下表：</w:t>
            </w:r>
          </w:p>
          <w:p w14:paraId="42C250CD">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表1-</w:t>
            </w:r>
            <w:r>
              <w:rPr>
                <w:rFonts w:hint="eastAsia" w:eastAsia="黑体" w:cs="Times New Roman"/>
                <w:b/>
                <w:bCs/>
                <w:color w:val="auto"/>
                <w:kern w:val="0"/>
                <w:sz w:val="20"/>
                <w:szCs w:val="20"/>
                <w:highlight w:val="none"/>
                <w:lang w:val="en-US" w:eastAsia="zh-CN" w:bidi="ar-SA"/>
              </w:rPr>
              <w:t>6</w:t>
            </w:r>
            <w:r>
              <w:rPr>
                <w:rFonts w:hint="eastAsia" w:ascii="Times New Roman" w:hAnsi="Times New Roman" w:eastAsia="黑体" w:cs="Times New Roman"/>
                <w:b/>
                <w:bCs/>
                <w:color w:val="auto"/>
                <w:kern w:val="0"/>
                <w:sz w:val="20"/>
                <w:szCs w:val="20"/>
                <w:highlight w:val="none"/>
                <w:lang w:val="en-US" w:eastAsia="zh-CN" w:bidi="ar-SA"/>
              </w:rPr>
              <w:t xml:space="preserve"> 与《四川省、重庆市长江经济带发展负面清单实施细则（试行）》的符合性分析</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25"/>
              <w:gridCol w:w="5113"/>
              <w:gridCol w:w="2414"/>
              <w:gridCol w:w="932"/>
            </w:tblGrid>
            <w:tr w14:paraId="6E674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noWrap w:val="0"/>
                  <w:vAlign w:val="center"/>
                </w:tcPr>
                <w:p w14:paraId="645B5EB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序号</w:t>
                  </w:r>
                </w:p>
              </w:tc>
              <w:tc>
                <w:tcPr>
                  <w:tcW w:w="2753" w:type="pct"/>
                  <w:tcBorders>
                    <w:tl2br w:val="nil"/>
                    <w:tr2bl w:val="nil"/>
                  </w:tcBorders>
                  <w:noWrap w:val="0"/>
                  <w:vAlign w:val="center"/>
                </w:tcPr>
                <w:p w14:paraId="0A72758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原文内容</w:t>
                  </w:r>
                </w:p>
              </w:tc>
              <w:tc>
                <w:tcPr>
                  <w:tcW w:w="1300" w:type="pct"/>
                  <w:tcBorders>
                    <w:tl2br w:val="nil"/>
                    <w:tr2bl w:val="nil"/>
                  </w:tcBorders>
                  <w:noWrap w:val="0"/>
                  <w:vAlign w:val="center"/>
                </w:tcPr>
                <w:p w14:paraId="77235C5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本项目情况</w:t>
                  </w:r>
                </w:p>
              </w:tc>
              <w:tc>
                <w:tcPr>
                  <w:tcW w:w="502" w:type="pct"/>
                  <w:tcBorders>
                    <w:tl2br w:val="nil"/>
                    <w:tr2bl w:val="nil"/>
                  </w:tcBorders>
                  <w:noWrap w:val="0"/>
                  <w:vAlign w:val="center"/>
                </w:tcPr>
                <w:p w14:paraId="52B847D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符合性</w:t>
                  </w:r>
                </w:p>
              </w:tc>
            </w:tr>
            <w:tr w14:paraId="6E53B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noWrap w:val="0"/>
                  <w:vAlign w:val="center"/>
                </w:tcPr>
                <w:p w14:paraId="1F36D84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2753" w:type="pct"/>
                  <w:tcBorders>
                    <w:tl2br w:val="nil"/>
                    <w:tr2bl w:val="nil"/>
                  </w:tcBorders>
                  <w:noWrap w:val="0"/>
                  <w:vAlign w:val="center"/>
                </w:tcPr>
                <w:p w14:paraId="3AFA328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第九条 禁止在饮用水</w:t>
                  </w:r>
                  <w:r>
                    <w:rPr>
                      <w:rFonts w:hint="eastAsia" w:cs="Times New Roman"/>
                      <w:b w:val="0"/>
                      <w:bCs w:val="0"/>
                      <w:color w:val="auto"/>
                      <w:kern w:val="0"/>
                      <w:sz w:val="21"/>
                      <w:szCs w:val="21"/>
                      <w:highlight w:val="none"/>
                      <w:lang w:val="en-US" w:eastAsia="zh-CN" w:bidi="ar"/>
                    </w:rPr>
                    <w:t>水源地</w:t>
                  </w:r>
                  <w:r>
                    <w:rPr>
                      <w:rFonts w:hint="eastAsia" w:ascii="Times New Roman" w:hAnsi="Times New Roman" w:eastAsia="宋体" w:cs="Times New Roman"/>
                      <w:b w:val="0"/>
                      <w:bCs w:val="0"/>
                      <w:color w:val="auto"/>
                      <w:kern w:val="0"/>
                      <w:sz w:val="21"/>
                      <w:szCs w:val="21"/>
                      <w:highlight w:val="none"/>
                      <w:lang w:val="en-US" w:eastAsia="zh-CN" w:bidi="ar"/>
                    </w:rPr>
                    <w:t>保护区的岸线和河段范围内新建、扩建对水体污染严重的建设项目，禁止改建增加排污量的建设项目。</w:t>
                  </w:r>
                </w:p>
              </w:tc>
              <w:tc>
                <w:tcPr>
                  <w:tcW w:w="1300" w:type="pct"/>
                  <w:vMerge w:val="restart"/>
                  <w:tcBorders>
                    <w:tl2br w:val="nil"/>
                    <w:tr2bl w:val="nil"/>
                  </w:tcBorders>
                  <w:noWrap w:val="0"/>
                  <w:vAlign w:val="center"/>
                </w:tcPr>
                <w:p w14:paraId="7F8C61A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本项目不在饮用水水源一级保护区、二级保护区以及准保护区范围内。</w:t>
                  </w:r>
                </w:p>
              </w:tc>
              <w:tc>
                <w:tcPr>
                  <w:tcW w:w="502" w:type="pct"/>
                  <w:tcBorders>
                    <w:tl2br w:val="nil"/>
                    <w:tr2bl w:val="nil"/>
                  </w:tcBorders>
                  <w:noWrap w:val="0"/>
                  <w:vAlign w:val="center"/>
                </w:tcPr>
                <w:p w14:paraId="16B991A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5A185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noWrap w:val="0"/>
                  <w:vAlign w:val="center"/>
                </w:tcPr>
                <w:p w14:paraId="52396AD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w:t>
                  </w:r>
                </w:p>
              </w:tc>
              <w:tc>
                <w:tcPr>
                  <w:tcW w:w="2753" w:type="pct"/>
                  <w:tcBorders>
                    <w:tl2br w:val="nil"/>
                    <w:tr2bl w:val="nil"/>
                  </w:tcBorders>
                  <w:noWrap w:val="0"/>
                  <w:vAlign w:val="center"/>
                </w:tcPr>
                <w:p w14:paraId="1057E39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第十条 饮用水水源二级保护区的岸线和河段范围内，除遵守准保护区规定外，禁止新建、改建、扩建排放污染物的投资建设项目；禁止从事对水体有污染的水产养殖等活动。</w:t>
                  </w:r>
                </w:p>
              </w:tc>
              <w:tc>
                <w:tcPr>
                  <w:tcW w:w="1300" w:type="pct"/>
                  <w:vMerge w:val="continue"/>
                  <w:tcBorders>
                    <w:tl2br w:val="nil"/>
                    <w:tr2bl w:val="nil"/>
                  </w:tcBorders>
                  <w:noWrap w:val="0"/>
                  <w:vAlign w:val="center"/>
                </w:tcPr>
                <w:p w14:paraId="4A73C6B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502" w:type="pct"/>
                  <w:tcBorders>
                    <w:tl2br w:val="nil"/>
                    <w:tr2bl w:val="nil"/>
                  </w:tcBorders>
                  <w:noWrap w:val="0"/>
                  <w:vAlign w:val="center"/>
                </w:tcPr>
                <w:p w14:paraId="27E8467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3E9E9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noWrap w:val="0"/>
                  <w:vAlign w:val="center"/>
                </w:tcPr>
                <w:p w14:paraId="3B48C9C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w:t>
                  </w:r>
                </w:p>
              </w:tc>
              <w:tc>
                <w:tcPr>
                  <w:tcW w:w="2753" w:type="pct"/>
                  <w:tcBorders>
                    <w:tl2br w:val="nil"/>
                    <w:tr2bl w:val="nil"/>
                  </w:tcBorders>
                  <w:noWrap w:val="0"/>
                  <w:vAlign w:val="center"/>
                </w:tcPr>
                <w:p w14:paraId="7D9D02D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第十六条 禁止在长江流域江河、湖泊新设、改设或者扩大排污口，经有管辖权的生态环境主管部门或者长江流域生态环境监督管理机构同意的除外。</w:t>
                  </w:r>
                </w:p>
              </w:tc>
              <w:tc>
                <w:tcPr>
                  <w:tcW w:w="1300" w:type="pct"/>
                  <w:tcBorders>
                    <w:tl2br w:val="nil"/>
                    <w:tr2bl w:val="nil"/>
                  </w:tcBorders>
                  <w:noWrap w:val="0"/>
                  <w:vAlign w:val="center"/>
                </w:tcPr>
                <w:p w14:paraId="7265328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本项目废水经预处理进入市政污水管网，不涉及新设、改设或者扩大排污口</w:t>
                  </w:r>
                </w:p>
              </w:tc>
              <w:tc>
                <w:tcPr>
                  <w:tcW w:w="502" w:type="pct"/>
                  <w:tcBorders>
                    <w:tl2br w:val="nil"/>
                    <w:tr2bl w:val="nil"/>
                  </w:tcBorders>
                  <w:noWrap w:val="0"/>
                  <w:vAlign w:val="center"/>
                </w:tcPr>
                <w:p w14:paraId="1B16A5B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420C8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noWrap w:val="0"/>
                  <w:vAlign w:val="center"/>
                </w:tcPr>
                <w:p w14:paraId="67585E0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w:t>
                  </w:r>
                </w:p>
              </w:tc>
              <w:tc>
                <w:tcPr>
                  <w:tcW w:w="2753" w:type="pct"/>
                  <w:tcBorders>
                    <w:tl2br w:val="nil"/>
                    <w:tr2bl w:val="nil"/>
                  </w:tcBorders>
                  <w:noWrap w:val="0"/>
                  <w:vAlign w:val="center"/>
                </w:tcPr>
                <w:p w14:paraId="59697A0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第十八条 禁止在长江</w:t>
                  </w:r>
                  <w:r>
                    <w:rPr>
                      <w:rFonts w:hint="eastAsia" w:cs="Times New Roman"/>
                      <w:b w:val="0"/>
                      <w:bCs w:val="0"/>
                      <w:color w:val="auto"/>
                      <w:kern w:val="0"/>
                      <w:sz w:val="21"/>
                      <w:szCs w:val="21"/>
                      <w:highlight w:val="none"/>
                      <w:lang w:val="en-US" w:eastAsia="zh-CN" w:bidi="ar"/>
                    </w:rPr>
                    <w:t>干支流</w:t>
                  </w:r>
                  <w:r>
                    <w:rPr>
                      <w:rFonts w:hint="eastAsia" w:ascii="Times New Roman" w:hAnsi="Times New Roman" w:eastAsia="宋体" w:cs="Times New Roman"/>
                      <w:b w:val="0"/>
                      <w:bCs w:val="0"/>
                      <w:color w:val="auto"/>
                      <w:kern w:val="0"/>
                      <w:sz w:val="21"/>
                      <w:szCs w:val="21"/>
                      <w:highlight w:val="none"/>
                      <w:lang w:val="en-US" w:eastAsia="zh-CN" w:bidi="ar"/>
                    </w:rPr>
                    <w:t>、重要湖泊岸线一公里范围内新建、扩建化工园区和化工项目。</w:t>
                  </w:r>
                </w:p>
              </w:tc>
              <w:tc>
                <w:tcPr>
                  <w:tcW w:w="1300" w:type="pct"/>
                  <w:tcBorders>
                    <w:tl2br w:val="nil"/>
                    <w:tr2bl w:val="nil"/>
                  </w:tcBorders>
                  <w:noWrap w:val="0"/>
                  <w:vAlign w:val="center"/>
                </w:tcPr>
                <w:p w14:paraId="138190F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本项目不属于化工园区和化工项目</w:t>
                  </w:r>
                </w:p>
              </w:tc>
              <w:tc>
                <w:tcPr>
                  <w:tcW w:w="502" w:type="pct"/>
                  <w:tcBorders>
                    <w:tl2br w:val="nil"/>
                    <w:tr2bl w:val="nil"/>
                  </w:tcBorders>
                  <w:noWrap w:val="0"/>
                  <w:vAlign w:val="center"/>
                </w:tcPr>
                <w:p w14:paraId="4303903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2A960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noWrap w:val="0"/>
                  <w:vAlign w:val="center"/>
                </w:tcPr>
                <w:p w14:paraId="0850D55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w:t>
                  </w:r>
                </w:p>
              </w:tc>
              <w:tc>
                <w:tcPr>
                  <w:tcW w:w="2753" w:type="pct"/>
                  <w:tcBorders>
                    <w:tl2br w:val="nil"/>
                    <w:tr2bl w:val="nil"/>
                  </w:tcBorders>
                  <w:noWrap w:val="0"/>
                  <w:vAlign w:val="center"/>
                </w:tcPr>
                <w:p w14:paraId="364D2DD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第十九条 禁止在长江干流岸线三公里范围内和重要支流岸线一公里范围内新建、改建、扩建尾矿库、冶炼渣库、磷石膏库，以提升安全、生态环境保护水平为目的的改建除外。</w:t>
                  </w:r>
                </w:p>
              </w:tc>
              <w:tc>
                <w:tcPr>
                  <w:tcW w:w="1300" w:type="pct"/>
                  <w:tcBorders>
                    <w:tl2br w:val="nil"/>
                    <w:tr2bl w:val="nil"/>
                  </w:tcBorders>
                  <w:noWrap w:val="0"/>
                  <w:vAlign w:val="center"/>
                </w:tcPr>
                <w:p w14:paraId="42403E0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本项目不属于尾矿库、冶炼渣库、磷石膏库等项目</w:t>
                  </w:r>
                </w:p>
              </w:tc>
              <w:tc>
                <w:tcPr>
                  <w:tcW w:w="502" w:type="pct"/>
                  <w:tcBorders>
                    <w:tl2br w:val="nil"/>
                    <w:tr2bl w:val="nil"/>
                  </w:tcBorders>
                  <w:noWrap w:val="0"/>
                  <w:vAlign w:val="center"/>
                </w:tcPr>
                <w:p w14:paraId="594BC21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64EB9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noWrap w:val="0"/>
                  <w:vAlign w:val="center"/>
                </w:tcPr>
                <w:p w14:paraId="59F9F1F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6</w:t>
                  </w:r>
                </w:p>
              </w:tc>
              <w:tc>
                <w:tcPr>
                  <w:tcW w:w="2753" w:type="pct"/>
                  <w:tcBorders>
                    <w:tl2br w:val="nil"/>
                    <w:tr2bl w:val="nil"/>
                  </w:tcBorders>
                  <w:noWrap w:val="0"/>
                  <w:vAlign w:val="center"/>
                </w:tcPr>
                <w:p w14:paraId="3A5EAB7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第二十一条 禁止在合规园区外新建、扩建钢铁、石化、化工、焦化、建材、有色、制浆造纸等高污染项目。</w:t>
                  </w:r>
                </w:p>
              </w:tc>
              <w:tc>
                <w:tcPr>
                  <w:tcW w:w="1300" w:type="pct"/>
                  <w:tcBorders>
                    <w:tl2br w:val="nil"/>
                    <w:tr2bl w:val="nil"/>
                  </w:tcBorders>
                  <w:noWrap w:val="0"/>
                  <w:vAlign w:val="center"/>
                </w:tcPr>
                <w:p w14:paraId="4A0DD3D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本项目不属于钢铁、石化、化工、焦化、建材、有色、制浆造纸等高污染项目</w:t>
                  </w:r>
                </w:p>
              </w:tc>
              <w:tc>
                <w:tcPr>
                  <w:tcW w:w="502" w:type="pct"/>
                  <w:tcBorders>
                    <w:tl2br w:val="nil"/>
                    <w:tr2bl w:val="nil"/>
                  </w:tcBorders>
                  <w:noWrap w:val="0"/>
                  <w:vAlign w:val="center"/>
                </w:tcPr>
                <w:p w14:paraId="5DC8EBF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480AB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noWrap w:val="0"/>
                  <w:vAlign w:val="center"/>
                </w:tcPr>
                <w:p w14:paraId="642D130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7</w:t>
                  </w:r>
                </w:p>
              </w:tc>
              <w:tc>
                <w:tcPr>
                  <w:tcW w:w="2753" w:type="pct"/>
                  <w:tcBorders>
                    <w:tl2br w:val="nil"/>
                    <w:tr2bl w:val="nil"/>
                  </w:tcBorders>
                  <w:noWrap w:val="0"/>
                  <w:vAlign w:val="center"/>
                </w:tcPr>
                <w:p w14:paraId="5E45DAE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300" w:type="pct"/>
                  <w:tcBorders>
                    <w:tl2br w:val="nil"/>
                    <w:tr2bl w:val="nil"/>
                  </w:tcBorders>
                  <w:noWrap w:val="0"/>
                  <w:vAlign w:val="center"/>
                </w:tcPr>
                <w:p w14:paraId="5A7858B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本项目不属于《产业结构调整指导目录》中的鼓励、限制和淘汰类，属于允许类项目</w:t>
                  </w:r>
                </w:p>
              </w:tc>
              <w:tc>
                <w:tcPr>
                  <w:tcW w:w="502" w:type="pct"/>
                  <w:tcBorders>
                    <w:tl2br w:val="nil"/>
                    <w:tr2bl w:val="nil"/>
                  </w:tcBorders>
                  <w:noWrap w:val="0"/>
                  <w:vAlign w:val="center"/>
                </w:tcPr>
                <w:p w14:paraId="12A9589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55072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noWrap w:val="0"/>
                  <w:vAlign w:val="center"/>
                </w:tcPr>
                <w:p w14:paraId="55D8237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8</w:t>
                  </w:r>
                </w:p>
              </w:tc>
              <w:tc>
                <w:tcPr>
                  <w:tcW w:w="2753" w:type="pct"/>
                  <w:tcBorders>
                    <w:tl2br w:val="nil"/>
                    <w:tr2bl w:val="nil"/>
                  </w:tcBorders>
                  <w:noWrap w:val="0"/>
                  <w:vAlign w:val="center"/>
                </w:tcPr>
                <w:p w14:paraId="4708C69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第二十六条 禁止新建、扩建不符合要求的高耗能、高排放、低水平项目。</w:t>
                  </w:r>
                </w:p>
              </w:tc>
              <w:tc>
                <w:tcPr>
                  <w:tcW w:w="1300" w:type="pct"/>
                  <w:tcBorders>
                    <w:tl2br w:val="nil"/>
                    <w:tr2bl w:val="nil"/>
                  </w:tcBorders>
                  <w:noWrap w:val="0"/>
                  <w:vAlign w:val="center"/>
                </w:tcPr>
                <w:p w14:paraId="3170FA1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本项目不属于高耗能、高排放、低水平项目</w:t>
                  </w:r>
                </w:p>
              </w:tc>
              <w:tc>
                <w:tcPr>
                  <w:tcW w:w="502" w:type="pct"/>
                  <w:tcBorders>
                    <w:tl2br w:val="nil"/>
                    <w:tr2bl w:val="nil"/>
                  </w:tcBorders>
                  <w:noWrap w:val="0"/>
                  <w:vAlign w:val="center"/>
                </w:tcPr>
                <w:p w14:paraId="324098E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bl>
          <w:p w14:paraId="1128D0B8">
            <w:pPr>
              <w:keepNext w:val="0"/>
              <w:keepLines w:val="0"/>
              <w:suppressLineNumbers w:val="0"/>
              <w:spacing w:before="0" w:beforeAutospacing="0" w:after="0" w:afterAutospacing="0" w:line="360" w:lineRule="auto"/>
              <w:ind w:left="0" w:right="0" w:firstLine="480" w:firstLineChars="200"/>
              <w:rPr>
                <w:rFonts w:hint="eastAsia" w:eastAsia="宋体"/>
                <w:color w:val="auto"/>
                <w:sz w:val="24"/>
                <w:highlight w:val="none"/>
              </w:rPr>
            </w:pPr>
            <w:r>
              <w:rPr>
                <w:rFonts w:hint="eastAsia" w:eastAsia="宋体"/>
                <w:color w:val="auto"/>
                <w:sz w:val="24"/>
                <w:highlight w:val="none"/>
              </w:rPr>
              <w:t>由</w:t>
            </w:r>
            <w:r>
              <w:rPr>
                <w:rFonts w:hint="eastAsia" w:eastAsia="宋体"/>
                <w:color w:val="auto"/>
                <w:sz w:val="24"/>
                <w:highlight w:val="none"/>
                <w:lang w:val="en-US" w:eastAsia="zh-CN"/>
              </w:rPr>
              <w:t>上表</w:t>
            </w:r>
            <w:r>
              <w:rPr>
                <w:rFonts w:hint="eastAsia" w:eastAsia="宋体"/>
                <w:color w:val="auto"/>
                <w:sz w:val="24"/>
                <w:highlight w:val="none"/>
              </w:rPr>
              <w:t>可知，项目建设符合《四川省、重庆市长江经济带发展负面清单实施细则（试行）》的相关要求。</w:t>
            </w:r>
          </w:p>
          <w:p w14:paraId="29D6182C">
            <w:pPr>
              <w:keepNext w:val="0"/>
              <w:keepLines w:val="0"/>
              <w:suppressLineNumbers w:val="0"/>
              <w:spacing w:before="0" w:beforeAutospacing="0" w:after="0" w:afterAutospacing="0" w:line="360" w:lineRule="auto"/>
              <w:ind w:left="0" w:right="0" w:firstLine="482" w:firstLineChars="200"/>
              <w:rPr>
                <w:rFonts w:hint="default" w:cs="Times New Roman"/>
                <w:b/>
                <w:color w:val="auto"/>
                <w:sz w:val="24"/>
                <w:szCs w:val="24"/>
                <w:highlight w:val="none"/>
              </w:rPr>
            </w:pPr>
            <w:r>
              <w:rPr>
                <w:rFonts w:hint="eastAsia" w:cs="Times New Roman"/>
                <w:b/>
                <w:bCs/>
                <w:color w:val="auto"/>
                <w:highlight w:val="none"/>
                <w:lang w:val="en-US" w:eastAsia="zh-CN"/>
              </w:rPr>
              <w:t>6</w:t>
            </w:r>
            <w:r>
              <w:rPr>
                <w:rFonts w:hint="eastAsia" w:ascii="Times New Roman" w:hAnsi="Times New Roman" w:eastAsia="宋体" w:cs="Times New Roman"/>
                <w:b/>
                <w:bCs/>
                <w:color w:val="auto"/>
                <w:highlight w:val="none"/>
                <w:lang w:val="en-US" w:eastAsia="zh-CN"/>
              </w:rPr>
              <w:t>、</w:t>
            </w:r>
            <w:r>
              <w:rPr>
                <w:rFonts w:hint="default" w:cs="Times New Roman"/>
                <w:b/>
                <w:color w:val="auto"/>
                <w:sz w:val="24"/>
                <w:szCs w:val="24"/>
                <w:highlight w:val="none"/>
              </w:rPr>
              <w:t>与《四川省嘉陵江流域生态环境保护条例</w:t>
            </w:r>
            <w:r>
              <w:rPr>
                <w:rFonts w:hint="eastAsia" w:cs="Times New Roman"/>
                <w:b/>
                <w:color w:val="auto"/>
                <w:sz w:val="24"/>
                <w:szCs w:val="24"/>
                <w:highlight w:val="none"/>
              </w:rPr>
              <w:t>（2024年修正）</w:t>
            </w:r>
            <w:r>
              <w:rPr>
                <w:rFonts w:hint="default" w:cs="Times New Roman"/>
                <w:b/>
                <w:color w:val="auto"/>
                <w:sz w:val="24"/>
                <w:szCs w:val="24"/>
                <w:highlight w:val="none"/>
              </w:rPr>
              <w:t>》的符合性分析</w:t>
            </w:r>
          </w:p>
          <w:p w14:paraId="096C7B16">
            <w:pPr>
              <w:keepNext w:val="0"/>
              <w:keepLines w:val="0"/>
              <w:suppressLineNumbers w:val="0"/>
              <w:spacing w:before="0" w:beforeAutospacing="0" w:after="0" w:afterAutospacing="0" w:line="360" w:lineRule="auto"/>
              <w:ind w:left="0" w:right="0" w:firstLine="480" w:firstLineChars="200"/>
              <w:rPr>
                <w:rFonts w:hint="default" w:cs="Times New Roman"/>
                <w:b/>
                <w:bCs/>
                <w:color w:val="auto"/>
                <w:sz w:val="24"/>
                <w:szCs w:val="24"/>
                <w:highlight w:val="none"/>
              </w:rPr>
            </w:pPr>
            <w:r>
              <w:rPr>
                <w:rFonts w:hint="eastAsia" w:cs="Times New Roman"/>
                <w:bCs/>
                <w:color w:val="auto"/>
                <w:sz w:val="24"/>
                <w:szCs w:val="24"/>
                <w:highlight w:val="none"/>
              </w:rPr>
              <w:t>2024年12月4日四川省第十四届人民代表大会常务委员会第十六次会议</w:t>
            </w:r>
            <w:r>
              <w:rPr>
                <w:rFonts w:hint="eastAsia" w:cs="Times New Roman"/>
                <w:bCs/>
                <w:color w:val="auto"/>
                <w:sz w:val="24"/>
                <w:szCs w:val="24"/>
                <w:highlight w:val="none"/>
                <w:lang w:val="en-US" w:eastAsia="zh-CN"/>
              </w:rPr>
              <w:t>通过了</w:t>
            </w:r>
            <w:r>
              <w:rPr>
                <w:rFonts w:hint="eastAsia" w:cs="Times New Roman"/>
                <w:bCs/>
                <w:color w:val="auto"/>
                <w:sz w:val="24"/>
                <w:szCs w:val="24"/>
                <w:highlight w:val="none"/>
              </w:rPr>
              <w:t>《关于修改四川省嘉陵江流域生态环境保护条例的决定》修正）</w:t>
            </w:r>
            <w:r>
              <w:rPr>
                <w:rFonts w:hint="eastAsia" w:cs="Times New Roman"/>
                <w:bCs/>
                <w:color w:val="auto"/>
                <w:sz w:val="24"/>
                <w:szCs w:val="24"/>
                <w:highlight w:val="none"/>
                <w:lang w:eastAsia="zh-CN"/>
              </w:rPr>
              <w:t>，</w:t>
            </w:r>
            <w:r>
              <w:rPr>
                <w:rFonts w:hint="default" w:cs="Times New Roman"/>
                <w:bCs/>
                <w:color w:val="auto"/>
                <w:sz w:val="24"/>
                <w:szCs w:val="24"/>
                <w:highlight w:val="none"/>
              </w:rPr>
              <w:t>本项目与其符合性分析见下表：</w:t>
            </w:r>
          </w:p>
          <w:p w14:paraId="24110E7D">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表1-</w:t>
            </w:r>
            <w:r>
              <w:rPr>
                <w:rFonts w:hint="eastAsia" w:eastAsia="黑体" w:cs="Times New Roman"/>
                <w:b/>
                <w:bCs/>
                <w:color w:val="auto"/>
                <w:kern w:val="0"/>
                <w:sz w:val="20"/>
                <w:szCs w:val="20"/>
                <w:highlight w:val="none"/>
                <w:lang w:val="en-US" w:eastAsia="zh-CN" w:bidi="ar-SA"/>
              </w:rPr>
              <w:t>7</w:t>
            </w:r>
            <w:r>
              <w:rPr>
                <w:rFonts w:hint="default" w:ascii="Times New Roman" w:hAnsi="Times New Roman" w:eastAsia="黑体" w:cs="Times New Roman"/>
                <w:b/>
                <w:bCs/>
                <w:color w:val="auto"/>
                <w:kern w:val="0"/>
                <w:sz w:val="20"/>
                <w:szCs w:val="20"/>
                <w:highlight w:val="none"/>
                <w:lang w:val="en-US" w:eastAsia="zh-CN" w:bidi="ar-SA"/>
              </w:rPr>
              <w:t xml:space="preserve"> 与《四川省嘉陵江流域生态环境保护条例</w:t>
            </w:r>
            <w:r>
              <w:rPr>
                <w:rFonts w:hint="eastAsia" w:ascii="Times New Roman" w:hAnsi="Times New Roman" w:eastAsia="黑体" w:cs="Times New Roman"/>
                <w:b/>
                <w:bCs/>
                <w:color w:val="auto"/>
                <w:kern w:val="0"/>
                <w:sz w:val="20"/>
                <w:szCs w:val="20"/>
                <w:highlight w:val="none"/>
                <w:lang w:val="en-US" w:eastAsia="zh-CN" w:bidi="ar-SA"/>
              </w:rPr>
              <w:t>（2024年修正）</w:t>
            </w:r>
            <w:r>
              <w:rPr>
                <w:rFonts w:hint="default" w:ascii="Times New Roman" w:hAnsi="Times New Roman" w:eastAsia="黑体" w:cs="Times New Roman"/>
                <w:b/>
                <w:bCs/>
                <w:color w:val="auto"/>
                <w:kern w:val="0"/>
                <w:sz w:val="20"/>
                <w:szCs w:val="20"/>
                <w:highlight w:val="none"/>
                <w:lang w:val="en-US" w:eastAsia="zh-CN" w:bidi="ar-SA"/>
              </w:rPr>
              <w:t>》的符合性分析</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4736"/>
              <w:gridCol w:w="2740"/>
              <w:gridCol w:w="782"/>
            </w:tblGrid>
            <w:tr w14:paraId="7634B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14:paraId="29919AA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名称</w:t>
                  </w:r>
                </w:p>
              </w:tc>
              <w:tc>
                <w:tcPr>
                  <w:tcW w:w="4373" w:type="dxa"/>
                  <w:vAlign w:val="center"/>
                </w:tcPr>
                <w:p w14:paraId="59D67A4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法律条文</w:t>
                  </w:r>
                </w:p>
              </w:tc>
              <w:tc>
                <w:tcPr>
                  <w:tcW w:w="2530" w:type="dxa"/>
                  <w:vAlign w:val="center"/>
                </w:tcPr>
                <w:p w14:paraId="141313A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本项目情况</w:t>
                  </w:r>
                </w:p>
              </w:tc>
              <w:tc>
                <w:tcPr>
                  <w:tcW w:w="722" w:type="dxa"/>
                  <w:vAlign w:val="center"/>
                </w:tcPr>
                <w:p w14:paraId="608A6F5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符合性</w:t>
                  </w:r>
                </w:p>
              </w:tc>
            </w:tr>
            <w:tr w14:paraId="7CF8F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14:paraId="4FBF480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第十七条</w:t>
                  </w:r>
                </w:p>
              </w:tc>
              <w:tc>
                <w:tcPr>
                  <w:tcW w:w="4373" w:type="dxa"/>
                  <w:vAlign w:val="center"/>
                </w:tcPr>
                <w:p w14:paraId="2307CCA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在嘉陵江干支流岸线新建、扩建化工园区和化工项目，应当符合《中华人民共和国长江保护法》和国家有关规定。</w:t>
                  </w:r>
                </w:p>
              </w:tc>
              <w:tc>
                <w:tcPr>
                  <w:tcW w:w="2530" w:type="dxa"/>
                  <w:vAlign w:val="center"/>
                </w:tcPr>
                <w:p w14:paraId="15B7C11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本项目</w:t>
                  </w:r>
                  <w:r>
                    <w:rPr>
                      <w:rFonts w:hint="eastAsia" w:ascii="Times New Roman" w:hAnsi="Times New Roman" w:eastAsia="宋体" w:cs="Times New Roman"/>
                      <w:b w:val="0"/>
                      <w:bCs w:val="0"/>
                      <w:color w:val="auto"/>
                      <w:kern w:val="0"/>
                      <w:sz w:val="21"/>
                      <w:szCs w:val="21"/>
                      <w:highlight w:val="none"/>
                      <w:lang w:val="en-US" w:eastAsia="zh-CN" w:bidi="ar"/>
                    </w:rPr>
                    <w:t>不在嘉陵江干支流岸线一公里范围内，且本项目不属于化工园区和化工项目。</w:t>
                  </w:r>
                </w:p>
              </w:tc>
              <w:tc>
                <w:tcPr>
                  <w:tcW w:w="722" w:type="dxa"/>
                  <w:vAlign w:val="center"/>
                </w:tcPr>
                <w:p w14:paraId="2D2A77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03A91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14:paraId="35D1999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第二十一条</w:t>
                  </w:r>
                </w:p>
              </w:tc>
              <w:tc>
                <w:tcPr>
                  <w:tcW w:w="4373" w:type="dxa"/>
                  <w:vAlign w:val="center"/>
                </w:tcPr>
                <w:p w14:paraId="63D0FBA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按照排污许可证的规定排放污染物；禁止未取得排污许可证或者违反排污许可证的规定排放污染物。</w:t>
                  </w:r>
                </w:p>
              </w:tc>
              <w:tc>
                <w:tcPr>
                  <w:tcW w:w="2530" w:type="dxa"/>
                  <w:vAlign w:val="center"/>
                </w:tcPr>
                <w:p w14:paraId="5D59913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项目建成后将按要求完善排污许可证的手续。</w:t>
                  </w:r>
                </w:p>
              </w:tc>
              <w:tc>
                <w:tcPr>
                  <w:tcW w:w="722" w:type="dxa"/>
                  <w:vAlign w:val="center"/>
                </w:tcPr>
                <w:p w14:paraId="74298C2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11CC1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14:paraId="6D5D643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第六十七条</w:t>
                  </w:r>
                </w:p>
              </w:tc>
              <w:tc>
                <w:tcPr>
                  <w:tcW w:w="4373" w:type="dxa"/>
                  <w:vAlign w:val="center"/>
                </w:tcPr>
                <w:p w14:paraId="065E2C2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工业集聚区管理机构应当建设污水集中处理设施和配套管网，实行雨污分流，实现废水分类收集、分质处理。排污单位对污水进行预处理后向污水集中处理设施排放的，应当符合污水集中处理设施的接纳标准。</w:t>
                  </w:r>
                </w:p>
              </w:tc>
              <w:tc>
                <w:tcPr>
                  <w:tcW w:w="2530" w:type="dxa"/>
                  <w:vAlign w:val="center"/>
                </w:tcPr>
                <w:p w14:paraId="63BF780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项目为加油加气站项目，不属于工业项目</w:t>
                  </w:r>
                </w:p>
              </w:tc>
              <w:tc>
                <w:tcPr>
                  <w:tcW w:w="722" w:type="dxa"/>
                  <w:vAlign w:val="center"/>
                </w:tcPr>
                <w:p w14:paraId="748123A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09570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14:paraId="7851535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第七十三条</w:t>
                  </w:r>
                </w:p>
              </w:tc>
              <w:tc>
                <w:tcPr>
                  <w:tcW w:w="4373" w:type="dxa"/>
                  <w:vAlign w:val="center"/>
                </w:tcPr>
                <w:p w14:paraId="043F741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禁止在嘉陵江流域河湖管理范围内倾倒、填埋、堆放、弃置、处理固体废物。</w:t>
                  </w:r>
                </w:p>
              </w:tc>
              <w:tc>
                <w:tcPr>
                  <w:tcW w:w="2530" w:type="dxa"/>
                  <w:vAlign w:val="center"/>
                </w:tcPr>
                <w:p w14:paraId="6780821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项目生活垃圾交由环卫部门处理，</w:t>
                  </w:r>
                  <w:r>
                    <w:rPr>
                      <w:rFonts w:hint="eastAsia" w:cs="Times New Roman"/>
                      <w:b w:val="0"/>
                      <w:bCs w:val="0"/>
                      <w:color w:val="auto"/>
                      <w:kern w:val="0"/>
                      <w:sz w:val="21"/>
                      <w:szCs w:val="21"/>
                      <w:highlight w:val="none"/>
                      <w:lang w:val="en-US" w:eastAsia="zh-CN" w:bidi="ar"/>
                    </w:rPr>
                    <w:t>危废暂存</w:t>
                  </w:r>
                  <w:r>
                    <w:rPr>
                      <w:rFonts w:hint="eastAsia" w:ascii="Times New Roman" w:hAnsi="Times New Roman" w:eastAsia="宋体" w:cs="Times New Roman"/>
                      <w:b w:val="0"/>
                      <w:bCs w:val="0"/>
                      <w:color w:val="auto"/>
                      <w:kern w:val="0"/>
                      <w:sz w:val="21"/>
                      <w:szCs w:val="21"/>
                      <w:highlight w:val="none"/>
                      <w:lang w:val="en-US" w:eastAsia="zh-CN" w:bidi="ar"/>
                    </w:rPr>
                    <w:t>间后，交由资质单位处理。</w:t>
                  </w:r>
                </w:p>
              </w:tc>
              <w:tc>
                <w:tcPr>
                  <w:tcW w:w="722" w:type="dxa"/>
                  <w:vAlign w:val="center"/>
                </w:tcPr>
                <w:p w14:paraId="432DCE8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0892D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7" w:type="dxa"/>
                  <w:vAlign w:val="center"/>
                </w:tcPr>
                <w:p w14:paraId="13D5570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第八十条</w:t>
                  </w:r>
                </w:p>
              </w:tc>
              <w:tc>
                <w:tcPr>
                  <w:tcW w:w="4373" w:type="dxa"/>
                  <w:vAlign w:val="center"/>
                </w:tcPr>
                <w:p w14:paraId="5381CFF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限期禁止生产、销售、进口、使用、转让严重污染水环境的工艺和设备。</w:t>
                  </w:r>
                </w:p>
              </w:tc>
              <w:tc>
                <w:tcPr>
                  <w:tcW w:w="2530" w:type="dxa"/>
                  <w:vAlign w:val="center"/>
                </w:tcPr>
                <w:p w14:paraId="59D7F66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项目所用的设备、工艺不属于严重污染水环境的工艺和设备。</w:t>
                  </w:r>
                </w:p>
              </w:tc>
              <w:tc>
                <w:tcPr>
                  <w:tcW w:w="722" w:type="dxa"/>
                  <w:vAlign w:val="center"/>
                </w:tcPr>
                <w:p w14:paraId="03370AE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bl>
          <w:p w14:paraId="7BA84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由上表可知，项目建设符合《四川省嘉陵江流域生态环境保护条例（2024年修正）》的相关要求。</w:t>
            </w:r>
          </w:p>
          <w:p w14:paraId="4C2A66DA">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highlight w:val="none"/>
                <w:lang w:val="en-US" w:eastAsia="zh-CN"/>
              </w:rPr>
            </w:pPr>
            <w:r>
              <w:rPr>
                <w:rFonts w:hint="eastAsia"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lang w:val="en-US" w:eastAsia="zh-CN"/>
              </w:rPr>
              <w:t>、与《加油站</w:t>
            </w:r>
            <w:r>
              <w:rPr>
                <w:rFonts w:hint="eastAsia" w:ascii="Times New Roman" w:hAnsi="Times New Roman" w:eastAsia="宋体" w:cs="Times New Roman"/>
                <w:b/>
                <w:bCs/>
                <w:color w:val="auto"/>
                <w:highlight w:val="none"/>
                <w:lang w:val="en-US" w:eastAsia="zh-CN"/>
              </w:rPr>
              <w:t>地下水污染防治技术指南（试行）》（环办水体函〔2017〕323号）符合性分析</w:t>
            </w:r>
          </w:p>
          <w:p w14:paraId="4010B3A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2017年3月9日，国家环境保护部办公厅发布了《关于印发&lt;加油站地下水污染防治技术指南（试行）</w:t>
            </w:r>
            <w:r>
              <w:rPr>
                <w:rFonts w:hint="eastAsia" w:cs="Times New Roman"/>
                <w:color w:val="auto"/>
                <w:sz w:val="24"/>
                <w:highlight w:val="none"/>
                <w:lang w:eastAsia="zh-CN"/>
              </w:rPr>
              <w:t>〉的通知》</w:t>
            </w:r>
            <w:r>
              <w:rPr>
                <w:rFonts w:hint="eastAsia" w:ascii="Times New Roman" w:hAnsi="Times New Roman" w:eastAsia="宋体" w:cs="Times New Roman"/>
                <w:color w:val="auto"/>
                <w:sz w:val="24"/>
                <w:highlight w:val="none"/>
              </w:rPr>
              <w:t>（环办水体函〔2017〕323号），其中要求：为防止加油站油品泄漏，污染土壤和地下水，加油站需要采取防渗漏和防渗漏检测措施；所有加油站的油罐需要更新为双层罐或者设置防渗池，双层罐和防渗池应符合《汽车加油加气加氢站技术标准》（GB50156）的要求，设置时可进行自行检查；加油站需要开展渗漏检测，设置常规地下水监测井，开展地下水常规监测。</w:t>
            </w:r>
          </w:p>
          <w:p w14:paraId="04082D9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本项目加油加气站油罐区拟设置地埋卧式双层储油罐，油罐区各双层罐符合 《汽车加油加气加氢站技术标准》（GB50156-2021）的要求；为防止加油站油品泄漏，设置液位仪、在线液位监控系统，站区内进行分区防渗，并采取相应的防渗漏检测措施等；同时，环评要求，加油站内设置常规地下水监测井，并于后期开展地下水常规监测。因此，本项目符合《加油站地下水污染防治技术指南（试行）》（环办水体函〔2017〕323号）的相关要求。</w:t>
            </w:r>
          </w:p>
          <w:p w14:paraId="5AB7A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8</w:t>
            </w:r>
            <w:r>
              <w:rPr>
                <w:rFonts w:hint="eastAsia" w:ascii="Times New Roman" w:hAnsi="Times New Roman" w:eastAsia="宋体" w:cs="Times New Roman"/>
                <w:b/>
                <w:bCs/>
                <w:color w:val="auto"/>
                <w:highlight w:val="none"/>
                <w:lang w:val="en-US" w:eastAsia="zh-CN"/>
              </w:rPr>
              <w:t>、与《“十三五”挥发性有机物污染防治工作方案》符合性分析</w:t>
            </w:r>
          </w:p>
          <w:p w14:paraId="31F867D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cs="Times New Roman"/>
                <w:color w:val="auto"/>
                <w:sz w:val="24"/>
                <w:highlight w:val="none"/>
                <w:lang w:eastAsia="zh-CN"/>
              </w:rPr>
              <w:t>环保部</w:t>
            </w:r>
            <w:r>
              <w:rPr>
                <w:rFonts w:hint="eastAsia" w:ascii="Times New Roman" w:hAnsi="Times New Roman" w:eastAsia="宋体" w:cs="Times New Roman"/>
                <w:color w:val="auto"/>
                <w:sz w:val="24"/>
                <w:highlight w:val="none"/>
              </w:rPr>
              <w:t>等6部委联合发布的《关于印发&lt;“十三五”挥发性有机物污染防治工作方案</w:t>
            </w:r>
            <w:r>
              <w:rPr>
                <w:rFonts w:hint="eastAsia" w:cs="Times New Roman"/>
                <w:color w:val="auto"/>
                <w:sz w:val="24"/>
                <w:highlight w:val="none"/>
                <w:lang w:eastAsia="zh-CN"/>
              </w:rPr>
              <w:t>〉的通知》</w:t>
            </w:r>
            <w:r>
              <w:rPr>
                <w:rFonts w:hint="eastAsia" w:ascii="Times New Roman" w:hAnsi="Times New Roman" w:eastAsia="宋体" w:cs="Times New Roman"/>
                <w:color w:val="auto"/>
                <w:sz w:val="24"/>
                <w:highlight w:val="none"/>
              </w:rPr>
              <w:t>（环大气〔2017〕121号）明确要求：加强汽油储运销油气排放控制；减少油品周转次数；严格按照排放标准要求，加快完成加油站、储油库、油罐车油气回收治理工作，重点地区全面推进行政区域内所有加油站油气回收治理。建设油气回收自动监测系统平台，储油库和年销售汽油量大于5000吨的加油站加快安装油气回收自动监测设备。制定加油站、储油库油气回收自动监测系统技术规范，企业要加强对油气回收系统外观检测和仪器检测，确保油气回收系统正常运转。</w:t>
            </w:r>
          </w:p>
          <w:p w14:paraId="5EAEC33F">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eastAsia" w:ascii="Times New Roman" w:hAnsi="Times New Roman" w:eastAsia="宋体" w:cs="Times New Roman"/>
                <w:color w:val="auto"/>
                <w:sz w:val="24"/>
                <w:highlight w:val="none"/>
              </w:rPr>
              <w:t>本项目属于加油加气站建设项目，年销售汽油1652.08t，柴油1652.4t，项目拟铺设油气回收管线，并采用带油气回收功能的加油枪，设置有油气回收处理装置，并定期委托相应资质单位对油气回收设备进行检测。因此，本项目加油加气站满足《 “十三五”挥发性有机物污染防治工作方案》中的相关要求。</w:t>
            </w:r>
          </w:p>
          <w:p w14:paraId="358A9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9</w:t>
            </w:r>
            <w:r>
              <w:rPr>
                <w:rFonts w:hint="eastAsia" w:ascii="Times New Roman" w:hAnsi="Times New Roman" w:eastAsia="宋体" w:cs="Times New Roman"/>
                <w:b/>
                <w:bCs/>
                <w:color w:val="auto"/>
                <w:highlight w:val="none"/>
                <w:lang w:val="en-US" w:eastAsia="zh-CN"/>
              </w:rPr>
              <w:t>、与《四川省灰霾污染防治办法》的符合性分析</w:t>
            </w:r>
          </w:p>
          <w:p w14:paraId="0A230D2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2015年2月25日省政府第77次常务会议审议通过了《四川省灰霾污染防治办法》 （四川省人民政府第288号令），并于2015年5月1日开始实施。其中第十三条规定：“储油（气）库、加油（气）站、原油成品油码头、原油成品油运输船舶和使用油（气）罐车等单位，应当按照国家有关规定安装油（气）回收装置并正常使用。”</w:t>
            </w:r>
          </w:p>
          <w:p w14:paraId="065607B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本项目建成投运后，拟采用油气回收性的加油枪，设置油气回收处理装置，因此，符合《四川省灰霾污染防治办法》的环境管理要求。</w:t>
            </w:r>
          </w:p>
          <w:p w14:paraId="60178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10</w:t>
            </w:r>
            <w:r>
              <w:rPr>
                <w:rFonts w:hint="eastAsia" w:ascii="Times New Roman" w:hAnsi="Times New Roman" w:eastAsia="宋体" w:cs="Times New Roman"/>
                <w:b/>
                <w:bCs/>
                <w:color w:val="auto"/>
                <w:highlight w:val="none"/>
                <w:lang w:val="en-US" w:eastAsia="zh-CN"/>
              </w:rPr>
              <w:t>、与《挥发性有机物污染防治技术政策</w:t>
            </w:r>
            <w:r>
              <w:rPr>
                <w:rFonts w:hint="eastAsia"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四川省挥发性有机物污染防治实施方案（2018</w:t>
            </w:r>
            <w:r>
              <w:rPr>
                <w:rFonts w:hint="eastAsia"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2020年）》的符合性分析</w:t>
            </w:r>
          </w:p>
          <w:p w14:paraId="7BA96EA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2013年5月24日国家环境保护部发布了《挥发性有机物污染防治技术政策》，明确要求：“储油库、加油站和油罐车宜配备相应的油气收集系统，储油库、加油站宜配备相应的油气回收系统”。</w:t>
            </w:r>
          </w:p>
          <w:p w14:paraId="1E00EB5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四川省环境保护厅颁布的《关于印发&lt;四川省挥发性有机物污染防治实施方案（2018</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2020年）</w:t>
            </w:r>
            <w:r>
              <w:rPr>
                <w:rFonts w:hint="eastAsia" w:cs="Times New Roman"/>
                <w:color w:val="auto"/>
                <w:sz w:val="24"/>
                <w:highlight w:val="none"/>
                <w:lang w:eastAsia="zh-CN"/>
              </w:rPr>
              <w:t>〉的通知》</w:t>
            </w:r>
            <w:r>
              <w:rPr>
                <w:rFonts w:hint="eastAsia" w:ascii="Times New Roman" w:hAnsi="Times New Roman" w:eastAsia="宋体" w:cs="Times New Roman"/>
                <w:color w:val="auto"/>
                <w:sz w:val="24"/>
                <w:highlight w:val="none"/>
              </w:rPr>
              <w:t>（川环发〔2018〕44号）明确要求：加强汽油储运销油气排放控制，加快完成加油站、储油库、油罐车油气回收治理工作，全面推进省内重点区域加油站油气回收治理；建设油气自动监测系统平台；制定加油站、储油库、油罐车油气回收系统操作技术规范和在线监控技术规范，企业加强系统外观检测和仪器检测，确保油气回收系统正常运转。</w:t>
            </w:r>
          </w:p>
          <w:p w14:paraId="2E24F81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本项目属于加油加气站建设项目，拟铺设油气回收管线，采用油气回收性的加油枪，设置</w:t>
            </w:r>
            <w:r>
              <w:rPr>
                <w:rFonts w:hint="default"/>
                <w:color w:val="auto"/>
                <w:sz w:val="24"/>
                <w:highlight w:val="none"/>
              </w:rPr>
              <w:t>一、二</w:t>
            </w:r>
            <w:r>
              <w:rPr>
                <w:rFonts w:hint="eastAsia"/>
                <w:color w:val="auto"/>
                <w:sz w:val="24"/>
                <w:highlight w:val="none"/>
                <w:lang w:eastAsia="zh-CN"/>
              </w:rPr>
              <w:t>、</w:t>
            </w:r>
            <w:r>
              <w:rPr>
                <w:rFonts w:hint="eastAsia"/>
                <w:color w:val="auto"/>
                <w:sz w:val="24"/>
                <w:highlight w:val="none"/>
                <w:lang w:val="en-US" w:eastAsia="zh-CN"/>
              </w:rPr>
              <w:t>三</w:t>
            </w:r>
            <w:r>
              <w:rPr>
                <w:rFonts w:hint="default"/>
                <w:color w:val="auto"/>
                <w:sz w:val="24"/>
                <w:highlight w:val="none"/>
              </w:rPr>
              <w:t>次</w:t>
            </w:r>
            <w:r>
              <w:rPr>
                <w:rFonts w:hint="eastAsia" w:ascii="Times New Roman" w:hAnsi="Times New Roman" w:eastAsia="宋体" w:cs="Times New Roman"/>
                <w:color w:val="auto"/>
                <w:sz w:val="24"/>
                <w:highlight w:val="none"/>
              </w:rPr>
              <w:t>油气回收处理装置。因此，项目建设符合《挥发性有机物污染防治技术政策》和《四川省挥发性有机物污染防治实施方案（2018</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2020年）》的相关要求。</w:t>
            </w:r>
          </w:p>
          <w:p w14:paraId="52AED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1</w:t>
            </w:r>
            <w:r>
              <w:rPr>
                <w:rFonts w:hint="eastAsia" w:cs="Times New Roman"/>
                <w:b/>
                <w:bCs/>
                <w:color w:val="auto"/>
                <w:highlight w:val="none"/>
                <w:lang w:val="en-US" w:eastAsia="zh-CN"/>
              </w:rPr>
              <w:t>1</w:t>
            </w:r>
            <w:r>
              <w:rPr>
                <w:rFonts w:hint="eastAsia" w:ascii="Times New Roman" w:hAnsi="Times New Roman" w:eastAsia="宋体" w:cs="Times New Roman"/>
                <w:b/>
                <w:bCs/>
                <w:color w:val="auto"/>
                <w:highlight w:val="none"/>
                <w:lang w:val="en-US" w:eastAsia="zh-CN"/>
              </w:rPr>
              <w:t>、与《中华人民共和国水污染防治法</w:t>
            </w:r>
            <w:r>
              <w:rPr>
                <w:rFonts w:hint="eastAsia"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水污染防治行动计划》符合性分析</w:t>
            </w:r>
          </w:p>
          <w:p w14:paraId="5BE890B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项目与《中华人民共和国水污染防治法》（2018年1月1日修订）、《水污染防治行动计划》（国发〔2015〕17 号）的符合性分析如下：</w:t>
            </w:r>
          </w:p>
          <w:p w14:paraId="2681828A">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表1-</w:t>
            </w:r>
            <w:r>
              <w:rPr>
                <w:rFonts w:hint="eastAsia" w:eastAsia="黑体" w:cs="Times New Roman"/>
                <w:b/>
                <w:bCs/>
                <w:color w:val="auto"/>
                <w:kern w:val="0"/>
                <w:sz w:val="20"/>
                <w:szCs w:val="20"/>
                <w:highlight w:val="none"/>
                <w:lang w:val="en-US" w:eastAsia="zh-CN" w:bidi="ar-SA"/>
              </w:rPr>
              <w:t>8</w:t>
            </w:r>
            <w:r>
              <w:rPr>
                <w:rFonts w:hint="eastAsia" w:ascii="Times New Roman" w:hAnsi="Times New Roman" w:eastAsia="黑体" w:cs="Times New Roman"/>
                <w:b/>
                <w:bCs/>
                <w:color w:val="auto"/>
                <w:kern w:val="0"/>
                <w:sz w:val="20"/>
                <w:szCs w:val="20"/>
                <w:highlight w:val="none"/>
                <w:lang w:val="en-US" w:eastAsia="zh-CN" w:bidi="ar-SA"/>
              </w:rPr>
              <w:t xml:space="preserve"> 与水污染防治法的符合性分析</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4473"/>
              <w:gridCol w:w="1638"/>
              <w:gridCol w:w="1245"/>
            </w:tblGrid>
            <w:tr w14:paraId="22F49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0" w:type="pct"/>
                  <w:tcBorders>
                    <w:tl2br w:val="nil"/>
                    <w:tr2bl w:val="nil"/>
                  </w:tcBorders>
                  <w:noWrap w:val="0"/>
                  <w:vAlign w:val="center"/>
                </w:tcPr>
                <w:p w14:paraId="6F1F788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项目</w:t>
                  </w:r>
                </w:p>
              </w:tc>
              <w:tc>
                <w:tcPr>
                  <w:tcW w:w="2408" w:type="pct"/>
                  <w:tcBorders>
                    <w:tl2br w:val="nil"/>
                    <w:tr2bl w:val="nil"/>
                  </w:tcBorders>
                  <w:noWrap w:val="0"/>
                  <w:vAlign w:val="center"/>
                </w:tcPr>
                <w:p w14:paraId="2C8F18C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规划要求</w:t>
                  </w:r>
                </w:p>
              </w:tc>
              <w:tc>
                <w:tcPr>
                  <w:tcW w:w="882" w:type="pct"/>
                  <w:tcBorders>
                    <w:tl2br w:val="nil"/>
                    <w:tr2bl w:val="nil"/>
                  </w:tcBorders>
                  <w:noWrap w:val="0"/>
                  <w:vAlign w:val="center"/>
                </w:tcPr>
                <w:p w14:paraId="036FB98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本项目情况</w:t>
                  </w:r>
                </w:p>
              </w:tc>
              <w:tc>
                <w:tcPr>
                  <w:tcW w:w="670" w:type="pct"/>
                  <w:tcBorders>
                    <w:tl2br w:val="nil"/>
                    <w:tr2bl w:val="nil"/>
                  </w:tcBorders>
                  <w:noWrap w:val="0"/>
                  <w:vAlign w:val="center"/>
                </w:tcPr>
                <w:p w14:paraId="0D124FC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符合性</w:t>
                  </w:r>
                </w:p>
              </w:tc>
            </w:tr>
            <w:tr w14:paraId="471DB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0" w:type="pct"/>
                  <w:tcBorders>
                    <w:tl2br w:val="nil"/>
                    <w:tr2bl w:val="nil"/>
                  </w:tcBorders>
                  <w:noWrap w:val="0"/>
                  <w:vAlign w:val="center"/>
                </w:tcPr>
                <w:p w14:paraId="1F3E80F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《中华人民共和国水污染防治法》（2018年1月1日修订）</w:t>
                  </w:r>
                </w:p>
              </w:tc>
              <w:tc>
                <w:tcPr>
                  <w:tcW w:w="2408" w:type="pct"/>
                  <w:tcBorders>
                    <w:tl2br w:val="nil"/>
                    <w:tr2bl w:val="nil"/>
                  </w:tcBorders>
                  <w:noWrap w:val="0"/>
                  <w:vAlign w:val="center"/>
                </w:tcPr>
                <w:p w14:paraId="18B69C6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第四十条 加油站等的地下油罐应当使用双层罐或者采取建造防渗池等其他有效措施，并进行防渗漏监测，防止地下水污染。</w:t>
                  </w:r>
                </w:p>
              </w:tc>
              <w:tc>
                <w:tcPr>
                  <w:tcW w:w="882" w:type="pct"/>
                  <w:vMerge w:val="restart"/>
                  <w:tcBorders>
                    <w:tl2br w:val="nil"/>
                    <w:tr2bl w:val="nil"/>
                  </w:tcBorders>
                  <w:noWrap w:val="0"/>
                  <w:vAlign w:val="center"/>
                </w:tcPr>
                <w:p w14:paraId="619F768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本项目油罐为地埋式双层卧式油罐，并设置防渗漏监测系统。</w:t>
                  </w:r>
                </w:p>
              </w:tc>
              <w:tc>
                <w:tcPr>
                  <w:tcW w:w="670" w:type="pct"/>
                  <w:tcBorders>
                    <w:tl2br w:val="nil"/>
                    <w:tr2bl w:val="nil"/>
                  </w:tcBorders>
                  <w:noWrap w:val="0"/>
                  <w:vAlign w:val="center"/>
                </w:tcPr>
                <w:p w14:paraId="2EC14E5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585DBC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0" w:type="pct"/>
                  <w:tcBorders>
                    <w:tl2br w:val="nil"/>
                    <w:tr2bl w:val="nil"/>
                  </w:tcBorders>
                  <w:noWrap w:val="0"/>
                  <w:vAlign w:val="center"/>
                </w:tcPr>
                <w:p w14:paraId="6E325E6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《水污染防治行动计划》（国发〔2015〕17号）</w:t>
                  </w:r>
                </w:p>
              </w:tc>
              <w:tc>
                <w:tcPr>
                  <w:tcW w:w="2408" w:type="pct"/>
                  <w:tcBorders>
                    <w:tl2br w:val="nil"/>
                    <w:tr2bl w:val="nil"/>
                  </w:tcBorders>
                  <w:noWrap w:val="0"/>
                  <w:vAlign w:val="center"/>
                </w:tcPr>
                <w:p w14:paraId="69B7C3F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二十四）保障饮用水水源安全。防治地下水污染。定期调查评估集中式地下水型饮用水水源补给区等区域环境状况。石化生产存贮销售企业和工业园区、矿山开采区、垃圾填埋场等区域应进行必要的防渗处理。加油站地下油罐应于2017年底前全部更新为双层罐或完成防渗池设置。报废矿井、钻井、取水井应实施封井回填。</w:t>
                  </w:r>
                </w:p>
              </w:tc>
              <w:tc>
                <w:tcPr>
                  <w:tcW w:w="882" w:type="pct"/>
                  <w:vMerge w:val="continue"/>
                  <w:tcBorders>
                    <w:tl2br w:val="nil"/>
                    <w:tr2bl w:val="nil"/>
                  </w:tcBorders>
                  <w:noWrap w:val="0"/>
                  <w:vAlign w:val="center"/>
                </w:tcPr>
                <w:p w14:paraId="742628A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670" w:type="pct"/>
                  <w:tcBorders>
                    <w:tl2br w:val="nil"/>
                    <w:tr2bl w:val="nil"/>
                  </w:tcBorders>
                  <w:noWrap w:val="0"/>
                  <w:vAlign w:val="center"/>
                </w:tcPr>
                <w:p w14:paraId="524B1C0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bl>
          <w:p w14:paraId="0C2D629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由上表可知，本项目符合《中华人民共和国水污染防治法</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水污染防治行动计划》中相关要求。</w:t>
            </w:r>
          </w:p>
          <w:p w14:paraId="381895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1</w:t>
            </w:r>
            <w:r>
              <w:rPr>
                <w:rFonts w:hint="eastAsia"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、与《土壤污染防治行动计划》（国发〔2016〕31号）符合性分析</w:t>
            </w:r>
          </w:p>
          <w:p w14:paraId="5FA22854">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表1-</w:t>
            </w:r>
            <w:r>
              <w:rPr>
                <w:rFonts w:hint="eastAsia" w:eastAsia="黑体" w:cs="Times New Roman"/>
                <w:b/>
                <w:bCs/>
                <w:color w:val="auto"/>
                <w:kern w:val="0"/>
                <w:sz w:val="20"/>
                <w:szCs w:val="20"/>
                <w:highlight w:val="none"/>
                <w:lang w:val="en-US" w:eastAsia="zh-CN" w:bidi="ar-SA"/>
              </w:rPr>
              <w:t>9</w:t>
            </w:r>
            <w:r>
              <w:rPr>
                <w:rFonts w:hint="eastAsia" w:ascii="Times New Roman" w:hAnsi="Times New Roman" w:eastAsia="黑体" w:cs="Times New Roman"/>
                <w:b/>
                <w:bCs/>
                <w:color w:val="auto"/>
                <w:kern w:val="0"/>
                <w:sz w:val="20"/>
                <w:szCs w:val="20"/>
                <w:highlight w:val="none"/>
                <w:lang w:val="en-US" w:eastAsia="zh-CN" w:bidi="ar-SA"/>
              </w:rPr>
              <w:t xml:space="preserve"> 与土壤污染防治行动计划符合性</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5107"/>
              <w:gridCol w:w="1789"/>
              <w:gridCol w:w="947"/>
            </w:tblGrid>
            <w:tr w14:paraId="2F144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tcBorders>
                    <w:tl2br w:val="nil"/>
                    <w:tr2bl w:val="nil"/>
                  </w:tcBorders>
                  <w:noWrap w:val="0"/>
                  <w:vAlign w:val="center"/>
                </w:tcPr>
                <w:p w14:paraId="4FD9E63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项目</w:t>
                  </w:r>
                </w:p>
              </w:tc>
              <w:tc>
                <w:tcPr>
                  <w:tcW w:w="2749" w:type="pct"/>
                  <w:tcBorders>
                    <w:tl2br w:val="nil"/>
                    <w:tr2bl w:val="nil"/>
                  </w:tcBorders>
                  <w:noWrap w:val="0"/>
                  <w:vAlign w:val="center"/>
                </w:tcPr>
                <w:p w14:paraId="6FD4DC0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规划要求</w:t>
                  </w:r>
                </w:p>
              </w:tc>
              <w:tc>
                <w:tcPr>
                  <w:tcW w:w="963" w:type="pct"/>
                  <w:tcBorders>
                    <w:tl2br w:val="nil"/>
                    <w:tr2bl w:val="nil"/>
                  </w:tcBorders>
                  <w:noWrap w:val="0"/>
                  <w:vAlign w:val="center"/>
                </w:tcPr>
                <w:p w14:paraId="5A1965D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本项目情况</w:t>
                  </w:r>
                </w:p>
              </w:tc>
              <w:tc>
                <w:tcPr>
                  <w:tcW w:w="510" w:type="pct"/>
                  <w:tcBorders>
                    <w:tl2br w:val="nil"/>
                    <w:tr2bl w:val="nil"/>
                  </w:tcBorders>
                  <w:noWrap w:val="0"/>
                  <w:vAlign w:val="center"/>
                </w:tcPr>
                <w:p w14:paraId="6EB5CAC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符合性</w:t>
                  </w:r>
                </w:p>
              </w:tc>
            </w:tr>
            <w:tr w14:paraId="22757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vMerge w:val="restart"/>
                  <w:tcBorders>
                    <w:tl2br w:val="nil"/>
                    <w:tr2bl w:val="nil"/>
                  </w:tcBorders>
                  <w:noWrap w:val="0"/>
                  <w:vAlign w:val="center"/>
                </w:tcPr>
                <w:p w14:paraId="426FEC9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土壤污染防治行动计划（国发〔2016〕31 号）</w:t>
                  </w:r>
                </w:p>
              </w:tc>
              <w:tc>
                <w:tcPr>
                  <w:tcW w:w="2749" w:type="pct"/>
                  <w:tcBorders>
                    <w:tl2br w:val="nil"/>
                    <w:tr2bl w:val="nil"/>
                  </w:tcBorders>
                  <w:noWrap w:val="0"/>
                  <w:vAlign w:val="center"/>
                </w:tcPr>
                <w:p w14:paraId="2B79D7A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十六）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963" w:type="pct"/>
                  <w:tcBorders>
                    <w:tl2br w:val="nil"/>
                    <w:tr2bl w:val="nil"/>
                  </w:tcBorders>
                  <w:noWrap w:val="0"/>
                  <w:vAlign w:val="center"/>
                </w:tcPr>
                <w:p w14:paraId="7DFF3EB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项目不排放重点污染物，且项目实施了分区防渗措施，严格防治污染物</w:t>
                  </w:r>
                  <w:r>
                    <w:rPr>
                      <w:rFonts w:hint="eastAsia" w:cs="Times New Roman"/>
                      <w:b w:val="0"/>
                      <w:bCs w:val="0"/>
                      <w:color w:val="auto"/>
                      <w:kern w:val="0"/>
                      <w:sz w:val="21"/>
                      <w:szCs w:val="21"/>
                      <w:highlight w:val="none"/>
                      <w:lang w:val="en-US" w:eastAsia="zh-CN" w:bidi="ar"/>
                    </w:rPr>
                    <w:t>泄漏</w:t>
                  </w:r>
                  <w:r>
                    <w:rPr>
                      <w:rFonts w:hint="eastAsia" w:ascii="Times New Roman" w:hAnsi="Times New Roman" w:eastAsia="宋体" w:cs="Times New Roman"/>
                      <w:b w:val="0"/>
                      <w:bCs w:val="0"/>
                      <w:color w:val="auto"/>
                      <w:kern w:val="0"/>
                      <w:sz w:val="21"/>
                      <w:szCs w:val="21"/>
                      <w:highlight w:val="none"/>
                      <w:lang w:val="en-US" w:eastAsia="zh-CN" w:bidi="ar"/>
                    </w:rPr>
                    <w:t>污染土壤环境。</w:t>
                  </w:r>
                </w:p>
              </w:tc>
              <w:tc>
                <w:tcPr>
                  <w:tcW w:w="510" w:type="pct"/>
                  <w:tcBorders>
                    <w:tl2br w:val="nil"/>
                    <w:tr2bl w:val="nil"/>
                  </w:tcBorders>
                  <w:noWrap w:val="0"/>
                  <w:vAlign w:val="center"/>
                </w:tcPr>
                <w:p w14:paraId="41772D2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16EDB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8" w:type="pct"/>
                  <w:vMerge w:val="continue"/>
                  <w:tcBorders>
                    <w:tl2br w:val="nil"/>
                    <w:tr2bl w:val="nil"/>
                  </w:tcBorders>
                  <w:noWrap w:val="0"/>
                  <w:vAlign w:val="center"/>
                </w:tcPr>
                <w:p w14:paraId="040868A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749" w:type="pct"/>
                  <w:tcBorders>
                    <w:tl2br w:val="nil"/>
                    <w:tr2bl w:val="nil"/>
                  </w:tcBorders>
                  <w:noWrap w:val="0"/>
                  <w:vAlign w:val="center"/>
                </w:tcPr>
                <w:p w14:paraId="6159E46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（十七）强化空间布局管控。……严格执行相关行业企业布局选址要求，禁止在居民区、学校、医疗和养老机构等周边新建有色金属冶炼、焦化等行业企业。</w:t>
                  </w:r>
                </w:p>
              </w:tc>
              <w:tc>
                <w:tcPr>
                  <w:tcW w:w="963" w:type="pct"/>
                  <w:tcBorders>
                    <w:tl2br w:val="nil"/>
                    <w:tr2bl w:val="nil"/>
                  </w:tcBorders>
                  <w:noWrap w:val="0"/>
                  <w:vAlign w:val="center"/>
                </w:tcPr>
                <w:p w14:paraId="3C7F72A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项目为加油加气站项目，不属于禁止建设的有色金属冶炼、焦化等行业企业。</w:t>
                  </w:r>
                </w:p>
              </w:tc>
              <w:tc>
                <w:tcPr>
                  <w:tcW w:w="510" w:type="pct"/>
                  <w:tcBorders>
                    <w:tl2br w:val="nil"/>
                    <w:tr2bl w:val="nil"/>
                  </w:tcBorders>
                  <w:noWrap w:val="0"/>
                  <w:vAlign w:val="center"/>
                </w:tcPr>
                <w:p w14:paraId="5338E39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bl>
          <w:p w14:paraId="1287D39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由上表可知，本项目符合《土壤污染防治行动计划》（国发〔2016〕31号）中相关要求。</w:t>
            </w:r>
          </w:p>
          <w:p w14:paraId="5EDC41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1</w:t>
            </w:r>
            <w:r>
              <w:rPr>
                <w:rFonts w:hint="eastAsia" w:cs="Times New Roman"/>
                <w:b/>
                <w:bCs/>
                <w:color w:val="auto"/>
                <w:highlight w:val="none"/>
                <w:lang w:val="en-US" w:eastAsia="zh-CN"/>
              </w:rPr>
              <w:t>3</w:t>
            </w:r>
            <w:r>
              <w:rPr>
                <w:rFonts w:hint="eastAsia" w:ascii="Times New Roman" w:hAnsi="Times New Roman" w:eastAsia="宋体" w:cs="Times New Roman"/>
                <w:b/>
                <w:bCs/>
                <w:color w:val="auto"/>
                <w:highlight w:val="none"/>
                <w:lang w:val="en-US" w:eastAsia="zh-CN"/>
              </w:rPr>
              <w:t>、与《汽车加油加气站设计与施工规范（2014年修订版）》（GB50156-2012）符合性分析</w:t>
            </w:r>
          </w:p>
          <w:p w14:paraId="1CB9BEEF">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表1-</w:t>
            </w:r>
            <w:r>
              <w:rPr>
                <w:rFonts w:hint="eastAsia" w:eastAsia="黑体" w:cs="Times New Roman"/>
                <w:b/>
                <w:bCs/>
                <w:color w:val="auto"/>
                <w:kern w:val="0"/>
                <w:sz w:val="20"/>
                <w:szCs w:val="20"/>
                <w:highlight w:val="none"/>
                <w:lang w:val="en-US" w:eastAsia="zh-CN" w:bidi="ar-SA"/>
              </w:rPr>
              <w:t>10</w:t>
            </w:r>
            <w:r>
              <w:rPr>
                <w:rFonts w:hint="eastAsia" w:ascii="Times New Roman" w:hAnsi="Times New Roman" w:eastAsia="黑体" w:cs="Times New Roman"/>
                <w:b/>
                <w:bCs/>
                <w:color w:val="auto"/>
                <w:kern w:val="0"/>
                <w:sz w:val="20"/>
                <w:szCs w:val="20"/>
                <w:highlight w:val="none"/>
                <w:lang w:val="en-US" w:eastAsia="zh-CN" w:bidi="ar-SA"/>
              </w:rPr>
              <w:t>与《汽车加油加气站设计与施工规范（2014年修订版）》的符合性表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893"/>
              <w:gridCol w:w="3929"/>
              <w:gridCol w:w="2781"/>
              <w:gridCol w:w="946"/>
            </w:tblGrid>
            <w:tr w14:paraId="407796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noWrap w:val="0"/>
                  <w:vAlign w:val="center"/>
                </w:tcPr>
                <w:p w14:paraId="58014B5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序号</w:t>
                  </w:r>
                </w:p>
              </w:tc>
              <w:tc>
                <w:tcPr>
                  <w:tcW w:w="2596" w:type="pct"/>
                  <w:gridSpan w:val="2"/>
                  <w:tcBorders>
                    <w:tl2br w:val="nil"/>
                    <w:tr2bl w:val="nil"/>
                  </w:tcBorders>
                  <w:noWrap w:val="0"/>
                  <w:vAlign w:val="center"/>
                </w:tcPr>
                <w:p w14:paraId="3B60D5D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规范要求</w:t>
                  </w:r>
                </w:p>
              </w:tc>
              <w:tc>
                <w:tcPr>
                  <w:tcW w:w="1497" w:type="pct"/>
                  <w:tcBorders>
                    <w:tl2br w:val="nil"/>
                    <w:tr2bl w:val="nil"/>
                  </w:tcBorders>
                  <w:noWrap w:val="0"/>
                  <w:vAlign w:val="center"/>
                </w:tcPr>
                <w:p w14:paraId="47864B7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本项目情况</w:t>
                  </w:r>
                </w:p>
              </w:tc>
              <w:tc>
                <w:tcPr>
                  <w:tcW w:w="509" w:type="pct"/>
                  <w:tcBorders>
                    <w:tl2br w:val="nil"/>
                    <w:tr2bl w:val="nil"/>
                  </w:tcBorders>
                  <w:noWrap w:val="0"/>
                  <w:vAlign w:val="center"/>
                </w:tcPr>
                <w:p w14:paraId="0BBBF7A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符合性</w:t>
                  </w:r>
                </w:p>
              </w:tc>
            </w:tr>
            <w:tr w14:paraId="21570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noWrap w:val="0"/>
                  <w:vAlign w:val="center"/>
                </w:tcPr>
                <w:p w14:paraId="0A6D233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481" w:type="pct"/>
                  <w:vMerge w:val="restart"/>
                  <w:tcBorders>
                    <w:tl2br w:val="nil"/>
                    <w:tr2bl w:val="nil"/>
                  </w:tcBorders>
                  <w:noWrap w:val="0"/>
                  <w:vAlign w:val="center"/>
                </w:tcPr>
                <w:p w14:paraId="2D6820C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 站址选择</w:t>
                  </w:r>
                </w:p>
              </w:tc>
              <w:tc>
                <w:tcPr>
                  <w:tcW w:w="2115" w:type="pct"/>
                  <w:tcBorders>
                    <w:tl2br w:val="nil"/>
                    <w:tr2bl w:val="nil"/>
                  </w:tcBorders>
                  <w:noWrap w:val="0"/>
                  <w:vAlign w:val="center"/>
                </w:tcPr>
                <w:p w14:paraId="7FBCD1D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加油加气站的站址选择，应符合城乡规划、环境保护和防火安全的要求，并应选在交通便利的地方。</w:t>
                  </w:r>
                </w:p>
              </w:tc>
              <w:tc>
                <w:tcPr>
                  <w:tcW w:w="1497" w:type="pct"/>
                  <w:tcBorders>
                    <w:tl2br w:val="nil"/>
                    <w:tr2bl w:val="nil"/>
                  </w:tcBorders>
                  <w:noWrap w:val="0"/>
                  <w:vAlign w:val="center"/>
                </w:tcPr>
                <w:p w14:paraId="5BCD309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本项目站址选择符合城乡规划、环境保护和防火安全的要求，项目周边有城市道路连接，交通便利</w:t>
                  </w:r>
                </w:p>
              </w:tc>
              <w:tc>
                <w:tcPr>
                  <w:tcW w:w="509" w:type="pct"/>
                  <w:tcBorders>
                    <w:tl2br w:val="nil"/>
                    <w:tr2bl w:val="nil"/>
                  </w:tcBorders>
                  <w:noWrap w:val="0"/>
                  <w:vAlign w:val="center"/>
                </w:tcPr>
                <w:p w14:paraId="3E1E4BA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0D622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noWrap w:val="0"/>
                  <w:vAlign w:val="center"/>
                </w:tcPr>
                <w:p w14:paraId="0CBB025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w:t>
                  </w:r>
                </w:p>
              </w:tc>
              <w:tc>
                <w:tcPr>
                  <w:tcW w:w="481" w:type="pct"/>
                  <w:vMerge w:val="continue"/>
                  <w:tcBorders>
                    <w:tl2br w:val="nil"/>
                    <w:tr2bl w:val="nil"/>
                  </w:tcBorders>
                  <w:noWrap w:val="0"/>
                  <w:vAlign w:val="center"/>
                </w:tcPr>
                <w:p w14:paraId="67DF2BB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15" w:type="pct"/>
                  <w:tcBorders>
                    <w:tl2br w:val="nil"/>
                    <w:tr2bl w:val="nil"/>
                  </w:tcBorders>
                  <w:noWrap w:val="0"/>
                  <w:vAlign w:val="center"/>
                </w:tcPr>
                <w:p w14:paraId="21AA1E9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在城市建成区不宜建一级加油站、一级加气站、一级加油加气合建站、CNG加气母站。</w:t>
                  </w:r>
                </w:p>
              </w:tc>
              <w:tc>
                <w:tcPr>
                  <w:tcW w:w="1497" w:type="pct"/>
                  <w:tcBorders>
                    <w:tl2br w:val="nil"/>
                    <w:tr2bl w:val="nil"/>
                  </w:tcBorders>
                  <w:noWrap w:val="0"/>
                  <w:vAlign w:val="center"/>
                </w:tcPr>
                <w:p w14:paraId="1184F46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本项目位于城市建成区内，项目属于二级加油加气合建站</w:t>
                  </w:r>
                </w:p>
              </w:tc>
              <w:tc>
                <w:tcPr>
                  <w:tcW w:w="509" w:type="pct"/>
                  <w:tcBorders>
                    <w:tl2br w:val="nil"/>
                    <w:tr2bl w:val="nil"/>
                  </w:tcBorders>
                  <w:noWrap w:val="0"/>
                  <w:vAlign w:val="center"/>
                </w:tcPr>
                <w:p w14:paraId="6F4F715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11FD9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noWrap w:val="0"/>
                  <w:vAlign w:val="center"/>
                </w:tcPr>
                <w:p w14:paraId="4DA6CA3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w:t>
                  </w:r>
                </w:p>
              </w:tc>
              <w:tc>
                <w:tcPr>
                  <w:tcW w:w="481" w:type="pct"/>
                  <w:vMerge w:val="continue"/>
                  <w:tcBorders>
                    <w:tl2br w:val="nil"/>
                    <w:tr2bl w:val="nil"/>
                  </w:tcBorders>
                  <w:noWrap w:val="0"/>
                  <w:vAlign w:val="center"/>
                </w:tcPr>
                <w:p w14:paraId="3F055DE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15" w:type="pct"/>
                  <w:tcBorders>
                    <w:tl2br w:val="nil"/>
                    <w:tr2bl w:val="nil"/>
                  </w:tcBorders>
                  <w:noWrap w:val="0"/>
                  <w:vAlign w:val="center"/>
                </w:tcPr>
                <w:p w14:paraId="7E960B4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城市建成区内的加油加气站，宜靠近城市道路，但不宜选在城市干道的交叉路口</w:t>
                  </w:r>
                  <w:r>
                    <w:rPr>
                      <w:rFonts w:hint="eastAsia" w:cs="Times New Roman"/>
                      <w:b w:val="0"/>
                      <w:bCs w:val="0"/>
                      <w:color w:val="auto"/>
                      <w:kern w:val="0"/>
                      <w:sz w:val="21"/>
                      <w:szCs w:val="21"/>
                      <w:highlight w:val="none"/>
                      <w:lang w:val="en-US" w:eastAsia="zh-CN" w:bidi="ar"/>
                    </w:rPr>
                    <w:t>附近</w:t>
                  </w:r>
                  <w:r>
                    <w:rPr>
                      <w:rFonts w:hint="eastAsia" w:ascii="Times New Roman" w:hAnsi="Times New Roman" w:eastAsia="宋体" w:cs="Times New Roman"/>
                      <w:b w:val="0"/>
                      <w:bCs w:val="0"/>
                      <w:color w:val="auto"/>
                      <w:kern w:val="0"/>
                      <w:sz w:val="21"/>
                      <w:szCs w:val="21"/>
                      <w:highlight w:val="none"/>
                      <w:lang w:val="en-US" w:eastAsia="zh-CN" w:bidi="ar"/>
                    </w:rPr>
                    <w:t>。</w:t>
                  </w:r>
                </w:p>
              </w:tc>
              <w:tc>
                <w:tcPr>
                  <w:tcW w:w="1497" w:type="pct"/>
                  <w:tcBorders>
                    <w:tl2br w:val="nil"/>
                    <w:tr2bl w:val="nil"/>
                  </w:tcBorders>
                  <w:noWrap w:val="0"/>
                  <w:vAlign w:val="center"/>
                </w:tcPr>
                <w:p w14:paraId="1003AE0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本项目靠近城市道路（环岛路），且不在城市干道的交叉路口</w:t>
                  </w:r>
                </w:p>
              </w:tc>
              <w:tc>
                <w:tcPr>
                  <w:tcW w:w="509" w:type="pct"/>
                  <w:tcBorders>
                    <w:tl2br w:val="nil"/>
                    <w:tr2bl w:val="nil"/>
                  </w:tcBorders>
                  <w:noWrap w:val="0"/>
                  <w:vAlign w:val="center"/>
                </w:tcPr>
                <w:p w14:paraId="2315D74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10148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noWrap w:val="0"/>
                  <w:vAlign w:val="center"/>
                </w:tcPr>
                <w:p w14:paraId="6FFC08B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w:t>
                  </w:r>
                </w:p>
              </w:tc>
              <w:tc>
                <w:tcPr>
                  <w:tcW w:w="481" w:type="pct"/>
                  <w:vMerge w:val="continue"/>
                  <w:tcBorders>
                    <w:tl2br w:val="nil"/>
                    <w:tr2bl w:val="nil"/>
                  </w:tcBorders>
                  <w:noWrap w:val="0"/>
                  <w:vAlign w:val="center"/>
                </w:tcPr>
                <w:p w14:paraId="578D2B3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15" w:type="pct"/>
                  <w:tcBorders>
                    <w:tl2br w:val="nil"/>
                    <w:tr2bl w:val="nil"/>
                  </w:tcBorders>
                  <w:noWrap w:val="0"/>
                  <w:vAlign w:val="center"/>
                </w:tcPr>
                <w:p w14:paraId="087782B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加油站、加油加气合建站的加油加气设备与站外建（构）筑物的安全间距规定。</w:t>
                  </w:r>
                </w:p>
              </w:tc>
              <w:tc>
                <w:tcPr>
                  <w:tcW w:w="1497" w:type="pct"/>
                  <w:tcBorders>
                    <w:tl2br w:val="nil"/>
                    <w:tr2bl w:val="nil"/>
                  </w:tcBorders>
                  <w:noWrap w:val="0"/>
                  <w:vAlign w:val="center"/>
                </w:tcPr>
                <w:p w14:paraId="32E7E08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本项目加油加气设备与站外建构筑物的安全间距满足《汽车加油加气加氢站技术标准》（GB50156-2021）的要求，见表1-1</w:t>
                  </w:r>
                  <w:r>
                    <w:rPr>
                      <w:rFonts w:hint="eastAsia" w:cs="Times New Roman"/>
                      <w:b w:val="0"/>
                      <w:bCs w:val="0"/>
                      <w:color w:val="auto"/>
                      <w:kern w:val="0"/>
                      <w:sz w:val="21"/>
                      <w:szCs w:val="21"/>
                      <w:highlight w:val="none"/>
                      <w:lang w:val="en-US" w:eastAsia="zh-CN" w:bidi="ar"/>
                    </w:rPr>
                    <w:t>4</w:t>
                  </w:r>
                  <w:r>
                    <w:rPr>
                      <w:rFonts w:hint="eastAsia" w:ascii="Times New Roman" w:hAnsi="Times New Roman" w:eastAsia="宋体" w:cs="Times New Roman"/>
                      <w:b w:val="0"/>
                      <w:bCs w:val="0"/>
                      <w:color w:val="auto"/>
                      <w:kern w:val="0"/>
                      <w:sz w:val="21"/>
                      <w:szCs w:val="21"/>
                      <w:highlight w:val="none"/>
                      <w:lang w:val="en-US" w:eastAsia="zh-CN" w:bidi="ar"/>
                    </w:rPr>
                    <w:t>和表1-1</w:t>
                  </w:r>
                  <w:r>
                    <w:rPr>
                      <w:rFonts w:hint="eastAsia" w:cs="Times New Roman"/>
                      <w:b w:val="0"/>
                      <w:bCs w:val="0"/>
                      <w:color w:val="auto"/>
                      <w:kern w:val="0"/>
                      <w:sz w:val="21"/>
                      <w:szCs w:val="21"/>
                      <w:highlight w:val="none"/>
                      <w:lang w:val="en-US" w:eastAsia="zh-CN" w:bidi="ar"/>
                    </w:rPr>
                    <w:t>5</w:t>
                  </w:r>
                </w:p>
              </w:tc>
              <w:tc>
                <w:tcPr>
                  <w:tcW w:w="509" w:type="pct"/>
                  <w:tcBorders>
                    <w:tl2br w:val="nil"/>
                    <w:tr2bl w:val="nil"/>
                  </w:tcBorders>
                  <w:noWrap w:val="0"/>
                  <w:vAlign w:val="center"/>
                </w:tcPr>
                <w:p w14:paraId="5E4913D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016A2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noWrap w:val="0"/>
                  <w:vAlign w:val="center"/>
                </w:tcPr>
                <w:p w14:paraId="3EFFD7E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w:t>
                  </w:r>
                </w:p>
              </w:tc>
              <w:tc>
                <w:tcPr>
                  <w:tcW w:w="481" w:type="pct"/>
                  <w:vMerge w:val="restart"/>
                  <w:tcBorders>
                    <w:tl2br w:val="nil"/>
                    <w:tr2bl w:val="nil"/>
                  </w:tcBorders>
                  <w:noWrap w:val="0"/>
                  <w:vAlign w:val="center"/>
                </w:tcPr>
                <w:p w14:paraId="5D9F2D3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 站内平面布置</w:t>
                  </w:r>
                </w:p>
              </w:tc>
              <w:tc>
                <w:tcPr>
                  <w:tcW w:w="2115" w:type="pct"/>
                  <w:tcBorders>
                    <w:tl2br w:val="nil"/>
                    <w:tr2bl w:val="nil"/>
                  </w:tcBorders>
                  <w:noWrap w:val="0"/>
                  <w:vAlign w:val="center"/>
                </w:tcPr>
                <w:p w14:paraId="1AFE3C8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车辆入口和出口应分开设置。</w:t>
                  </w:r>
                </w:p>
              </w:tc>
              <w:tc>
                <w:tcPr>
                  <w:tcW w:w="1497" w:type="pct"/>
                  <w:tcBorders>
                    <w:tl2br w:val="nil"/>
                    <w:tr2bl w:val="nil"/>
                  </w:tcBorders>
                  <w:noWrap w:val="0"/>
                  <w:vAlign w:val="center"/>
                </w:tcPr>
                <w:p w14:paraId="79130F3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本项目站内车辆入口和出口分开设置</w:t>
                  </w:r>
                </w:p>
              </w:tc>
              <w:tc>
                <w:tcPr>
                  <w:tcW w:w="509" w:type="pct"/>
                  <w:tcBorders>
                    <w:tl2br w:val="nil"/>
                    <w:tr2bl w:val="nil"/>
                  </w:tcBorders>
                  <w:noWrap w:val="0"/>
                  <w:vAlign w:val="center"/>
                </w:tcPr>
                <w:p w14:paraId="3EE11EC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4037A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noWrap w:val="0"/>
                  <w:vAlign w:val="center"/>
                </w:tcPr>
                <w:p w14:paraId="4CE8D82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6</w:t>
                  </w:r>
                </w:p>
              </w:tc>
              <w:tc>
                <w:tcPr>
                  <w:tcW w:w="481" w:type="pct"/>
                  <w:vMerge w:val="continue"/>
                  <w:tcBorders>
                    <w:tl2br w:val="nil"/>
                    <w:tr2bl w:val="nil"/>
                  </w:tcBorders>
                  <w:noWrap w:val="0"/>
                  <w:vAlign w:val="center"/>
                </w:tcPr>
                <w:p w14:paraId="6DD6ED8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15" w:type="pct"/>
                  <w:tcBorders>
                    <w:tl2br w:val="nil"/>
                    <w:tr2bl w:val="nil"/>
                  </w:tcBorders>
                  <w:noWrap w:val="0"/>
                  <w:vAlign w:val="center"/>
                </w:tcPr>
                <w:p w14:paraId="286382C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加油加气作业区内，不得有“明火地点”或“散发火花地点。”</w:t>
                  </w:r>
                </w:p>
              </w:tc>
              <w:tc>
                <w:tcPr>
                  <w:tcW w:w="1497" w:type="pct"/>
                  <w:tcBorders>
                    <w:tl2br w:val="nil"/>
                    <w:tr2bl w:val="nil"/>
                  </w:tcBorders>
                  <w:noWrap w:val="0"/>
                  <w:vAlign w:val="center"/>
                </w:tcPr>
                <w:p w14:paraId="38C82A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本项目加油加气作业区内，不涉及“明火地点”或“散发火花地点。</w:t>
                  </w:r>
                </w:p>
              </w:tc>
              <w:tc>
                <w:tcPr>
                  <w:tcW w:w="509" w:type="pct"/>
                  <w:tcBorders>
                    <w:tl2br w:val="nil"/>
                    <w:tr2bl w:val="nil"/>
                  </w:tcBorders>
                  <w:noWrap w:val="0"/>
                  <w:vAlign w:val="center"/>
                </w:tcPr>
                <w:p w14:paraId="69E5B61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7F1E0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noWrap w:val="0"/>
                  <w:vAlign w:val="center"/>
                </w:tcPr>
                <w:p w14:paraId="627BC82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7</w:t>
                  </w:r>
                </w:p>
              </w:tc>
              <w:tc>
                <w:tcPr>
                  <w:tcW w:w="481" w:type="pct"/>
                  <w:vMerge w:val="continue"/>
                  <w:tcBorders>
                    <w:tl2br w:val="nil"/>
                    <w:tr2bl w:val="nil"/>
                  </w:tcBorders>
                  <w:noWrap w:val="0"/>
                  <w:vAlign w:val="center"/>
                </w:tcPr>
                <w:p w14:paraId="4A26AC2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15" w:type="pct"/>
                  <w:tcBorders>
                    <w:tl2br w:val="nil"/>
                    <w:tr2bl w:val="nil"/>
                  </w:tcBorders>
                  <w:noWrap w:val="0"/>
                  <w:vAlign w:val="center"/>
                </w:tcPr>
                <w:p w14:paraId="5EDBF88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电动汽车充电设施应布置在</w:t>
                  </w:r>
                  <w:r>
                    <w:rPr>
                      <w:rFonts w:hint="eastAsia" w:cs="Times New Roman"/>
                      <w:b w:val="0"/>
                      <w:bCs w:val="0"/>
                      <w:color w:val="auto"/>
                      <w:kern w:val="0"/>
                      <w:sz w:val="21"/>
                      <w:szCs w:val="21"/>
                      <w:highlight w:val="none"/>
                      <w:lang w:val="en-US" w:eastAsia="zh-CN" w:bidi="ar"/>
                    </w:rPr>
                    <w:t>自助服务</w:t>
                  </w:r>
                  <w:r>
                    <w:rPr>
                      <w:rFonts w:hint="eastAsia" w:ascii="Times New Roman" w:hAnsi="Times New Roman" w:eastAsia="宋体" w:cs="Times New Roman"/>
                      <w:b w:val="0"/>
                      <w:bCs w:val="0"/>
                      <w:color w:val="auto"/>
                      <w:kern w:val="0"/>
                      <w:sz w:val="21"/>
                      <w:szCs w:val="21"/>
                      <w:highlight w:val="none"/>
                      <w:lang w:val="en-US" w:eastAsia="zh-CN" w:bidi="ar"/>
                    </w:rPr>
                    <w:t>区内</w:t>
                  </w:r>
                </w:p>
              </w:tc>
              <w:tc>
                <w:tcPr>
                  <w:tcW w:w="1497" w:type="pct"/>
                  <w:tcBorders>
                    <w:tl2br w:val="nil"/>
                    <w:tr2bl w:val="nil"/>
                  </w:tcBorders>
                  <w:noWrap w:val="0"/>
                  <w:vAlign w:val="center"/>
                </w:tcPr>
                <w:p w14:paraId="4681808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本项目电动汽车充电设施布置在站场停车区域内</w:t>
                  </w:r>
                </w:p>
              </w:tc>
              <w:tc>
                <w:tcPr>
                  <w:tcW w:w="509" w:type="pct"/>
                  <w:tcBorders>
                    <w:tl2br w:val="nil"/>
                    <w:tr2bl w:val="nil"/>
                  </w:tcBorders>
                  <w:noWrap w:val="0"/>
                  <w:vAlign w:val="center"/>
                </w:tcPr>
                <w:p w14:paraId="7F6A5FC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282A0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noWrap w:val="0"/>
                  <w:vAlign w:val="center"/>
                </w:tcPr>
                <w:p w14:paraId="3C51621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8</w:t>
                  </w:r>
                </w:p>
              </w:tc>
              <w:tc>
                <w:tcPr>
                  <w:tcW w:w="481" w:type="pct"/>
                  <w:vMerge w:val="continue"/>
                  <w:tcBorders>
                    <w:tl2br w:val="nil"/>
                    <w:tr2bl w:val="nil"/>
                  </w:tcBorders>
                  <w:noWrap w:val="0"/>
                  <w:vAlign w:val="center"/>
                </w:tcPr>
                <w:p w14:paraId="622EAAC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2115" w:type="pct"/>
                  <w:tcBorders>
                    <w:tl2br w:val="nil"/>
                    <w:tr2bl w:val="nil"/>
                  </w:tcBorders>
                  <w:noWrap w:val="0"/>
                  <w:vAlign w:val="center"/>
                </w:tcPr>
                <w:p w14:paraId="7330D3D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加油加气站内设施之间的防火距离规定</w:t>
                  </w:r>
                </w:p>
              </w:tc>
              <w:tc>
                <w:tcPr>
                  <w:tcW w:w="1497" w:type="pct"/>
                  <w:tcBorders>
                    <w:tl2br w:val="nil"/>
                    <w:tr2bl w:val="nil"/>
                  </w:tcBorders>
                  <w:noWrap w:val="0"/>
                  <w:vAlign w:val="center"/>
                </w:tcPr>
                <w:p w14:paraId="6971264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本项目加油加气设备与站外建构筑物的安全间距满足《汽车加油加气加氢站技术标准》（GB50156-2021）的要求，见表2-8</w:t>
                  </w:r>
                </w:p>
              </w:tc>
              <w:tc>
                <w:tcPr>
                  <w:tcW w:w="509" w:type="pct"/>
                  <w:tcBorders>
                    <w:tl2br w:val="nil"/>
                    <w:tr2bl w:val="nil"/>
                  </w:tcBorders>
                  <w:noWrap w:val="0"/>
                  <w:vAlign w:val="center"/>
                </w:tcPr>
                <w:p w14:paraId="253A089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bl>
          <w:p w14:paraId="6AF32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1</w:t>
            </w:r>
            <w:r>
              <w:rPr>
                <w:rFonts w:hint="eastAsia" w:cs="Times New Roman"/>
                <w:b/>
                <w:bCs/>
                <w:color w:val="auto"/>
                <w:highlight w:val="none"/>
                <w:lang w:val="en-US" w:eastAsia="zh-CN"/>
              </w:rPr>
              <w:t>4</w:t>
            </w:r>
            <w:r>
              <w:rPr>
                <w:rFonts w:hint="eastAsia" w:ascii="Times New Roman" w:hAnsi="Times New Roman" w:eastAsia="宋体" w:cs="Times New Roman"/>
                <w:b/>
                <w:bCs/>
                <w:color w:val="auto"/>
                <w:highlight w:val="none"/>
                <w:lang w:val="en-US" w:eastAsia="zh-CN"/>
              </w:rPr>
              <w:t>、外环境关系及选址合理性分析</w:t>
            </w:r>
          </w:p>
          <w:p w14:paraId="56B4B6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（1）外环境关系</w:t>
            </w:r>
          </w:p>
          <w:p w14:paraId="42F0F8A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本项目位于达州市通川区</w:t>
            </w:r>
            <w:r>
              <w:rPr>
                <w:rFonts w:hint="eastAsia" w:eastAsia="宋体" w:cs="Times New Roman"/>
                <w:color w:val="auto"/>
                <w:sz w:val="24"/>
                <w:szCs w:val="24"/>
                <w:highlight w:val="none"/>
                <w:lang w:val="en-US" w:eastAsia="zh-CN"/>
              </w:rPr>
              <w:t>东岳收费站出口</w:t>
            </w:r>
            <w:r>
              <w:rPr>
                <w:rFonts w:hint="eastAsia" w:ascii="Times New Roman" w:hAnsi="Times New Roman" w:eastAsia="宋体" w:cs="Times New Roman"/>
                <w:color w:val="auto"/>
                <w:sz w:val="24"/>
                <w:highlight w:val="none"/>
              </w:rPr>
              <w:t>，根据现场踏勘可知：本项目</w:t>
            </w:r>
            <w:r>
              <w:rPr>
                <w:rFonts w:hint="eastAsia" w:cs="Times New Roman"/>
                <w:color w:val="auto"/>
                <w:sz w:val="24"/>
                <w:highlight w:val="none"/>
                <w:lang w:val="en-US" w:eastAsia="zh-CN"/>
              </w:rPr>
              <w:t>南</w:t>
            </w:r>
            <w:r>
              <w:rPr>
                <w:rFonts w:hint="eastAsia" w:ascii="Times New Roman" w:hAnsi="Times New Roman" w:eastAsia="宋体" w:cs="Times New Roman"/>
                <w:color w:val="auto"/>
                <w:sz w:val="24"/>
                <w:highlight w:val="none"/>
              </w:rPr>
              <w:t>侧</w:t>
            </w:r>
            <w:r>
              <w:rPr>
                <w:rFonts w:hint="eastAsia" w:cs="Times New Roman"/>
                <w:color w:val="auto"/>
                <w:sz w:val="24"/>
                <w:highlight w:val="none"/>
                <w:lang w:val="en-US" w:eastAsia="zh-CN"/>
              </w:rPr>
              <w:t>紧邻东岳收费站；约33m</w:t>
            </w:r>
            <w:r>
              <w:rPr>
                <w:rFonts w:hint="eastAsia" w:ascii="Times New Roman" w:hAnsi="Times New Roman" w:eastAsia="宋体" w:cs="Times New Roman"/>
                <w:color w:val="auto"/>
                <w:sz w:val="24"/>
                <w:highlight w:val="none"/>
              </w:rPr>
              <w:t>处为</w:t>
            </w:r>
            <w:r>
              <w:rPr>
                <w:rFonts w:hint="eastAsia" w:cs="Times New Roman"/>
                <w:color w:val="auto"/>
                <w:sz w:val="24"/>
                <w:highlight w:val="none"/>
                <w:lang w:val="en-US" w:eastAsia="zh-CN"/>
              </w:rPr>
              <w:t>绕城高速</w:t>
            </w:r>
            <w:r>
              <w:rPr>
                <w:rFonts w:hint="eastAsia" w:ascii="Times New Roman" w:hAnsi="Times New Roman" w:eastAsia="宋体" w:cs="Times New Roman"/>
                <w:color w:val="auto"/>
                <w:sz w:val="24"/>
                <w:highlight w:val="none"/>
              </w:rPr>
              <w:t>（G</w:t>
            </w:r>
            <w:r>
              <w:rPr>
                <w:rFonts w:hint="eastAsia" w:cs="Times New Roman"/>
                <w:color w:val="auto"/>
                <w:sz w:val="24"/>
                <w:highlight w:val="none"/>
                <w:lang w:val="en-US" w:eastAsia="zh-CN"/>
              </w:rPr>
              <w:t>210</w:t>
            </w:r>
            <w:r>
              <w:rPr>
                <w:rFonts w:hint="eastAsia" w:ascii="Times New Roman" w:hAnsi="Times New Roman" w:eastAsia="宋体" w:cs="Times New Roman"/>
                <w:color w:val="auto"/>
                <w:sz w:val="24"/>
                <w:highlight w:val="none"/>
              </w:rPr>
              <w:t>），项目</w:t>
            </w:r>
            <w:r>
              <w:rPr>
                <w:rFonts w:hint="eastAsia" w:cs="Times New Roman"/>
                <w:color w:val="auto"/>
                <w:sz w:val="24"/>
                <w:highlight w:val="none"/>
                <w:lang w:val="en-US" w:eastAsia="zh-CN"/>
              </w:rPr>
              <w:t>北</w:t>
            </w:r>
            <w:r>
              <w:rPr>
                <w:rFonts w:hint="eastAsia" w:ascii="Times New Roman" w:hAnsi="Times New Roman" w:eastAsia="宋体" w:cs="Times New Roman"/>
                <w:color w:val="auto"/>
                <w:sz w:val="24"/>
                <w:highlight w:val="none"/>
              </w:rPr>
              <w:t>侧</w:t>
            </w:r>
            <w:r>
              <w:rPr>
                <w:rFonts w:hint="eastAsia" w:cs="Times New Roman"/>
                <w:color w:val="auto"/>
                <w:sz w:val="24"/>
                <w:highlight w:val="none"/>
                <w:lang w:val="en-US" w:eastAsia="zh-CN"/>
              </w:rPr>
              <w:t>约340m为李家湾居民；东北侧约430m处为方家浩居民；东侧约300m处为袁家湾；南侧为哈创工业园，约125m处为通达兴航，约140m处为德易（达州）智能制造有限公司，约170m为中科哈创(达州)科技产业发展有限公司，约190m为四川通纤新材料有限公司，约230m为四川哈工三维科技有限公司</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西南侧约430m为曲家浩居民，西侧约380m处为魏复路居民</w:t>
            </w:r>
            <w:r>
              <w:rPr>
                <w:rFonts w:hint="eastAsia" w:ascii="Times New Roman" w:hAnsi="Times New Roman" w:eastAsia="宋体" w:cs="Times New Roman"/>
                <w:color w:val="auto"/>
                <w:sz w:val="24"/>
                <w:highlight w:val="none"/>
              </w:rPr>
              <w:t>。</w:t>
            </w:r>
          </w:p>
          <w:p w14:paraId="1266BF1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项目外环境关系见表1-1</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rPr>
              <w:t>，外环境关系图见附图</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rPr>
              <w:t>。</w:t>
            </w:r>
          </w:p>
          <w:p w14:paraId="0CCC858C">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表1-1</w:t>
            </w:r>
            <w:r>
              <w:rPr>
                <w:rFonts w:hint="eastAsia" w:eastAsia="黑体" w:cs="Times New Roman"/>
                <w:b/>
                <w:bCs/>
                <w:color w:val="auto"/>
                <w:kern w:val="0"/>
                <w:sz w:val="20"/>
                <w:szCs w:val="20"/>
                <w:highlight w:val="none"/>
                <w:lang w:val="en-US" w:eastAsia="zh-CN" w:bidi="ar-SA"/>
              </w:rPr>
              <w:t>1</w:t>
            </w:r>
            <w:r>
              <w:rPr>
                <w:rFonts w:hint="eastAsia" w:ascii="Times New Roman" w:hAnsi="Times New Roman" w:eastAsia="黑体" w:cs="Times New Roman"/>
                <w:b/>
                <w:bCs/>
                <w:color w:val="auto"/>
                <w:kern w:val="0"/>
                <w:sz w:val="20"/>
                <w:szCs w:val="20"/>
                <w:highlight w:val="none"/>
                <w:lang w:val="en-US" w:eastAsia="zh-CN" w:bidi="ar-SA"/>
              </w:rPr>
              <w:t xml:space="preserve"> 项目外环境关系情况</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autofit"/>
              <w:tblCellMar>
                <w:top w:w="0" w:type="dxa"/>
                <w:left w:w="28" w:type="dxa"/>
                <w:bottom w:w="0" w:type="dxa"/>
                <w:right w:w="28" w:type="dxa"/>
              </w:tblCellMar>
            </w:tblPr>
            <w:tblGrid>
              <w:gridCol w:w="866"/>
              <w:gridCol w:w="3749"/>
              <w:gridCol w:w="1947"/>
              <w:gridCol w:w="1457"/>
              <w:gridCol w:w="1269"/>
            </w:tblGrid>
            <w:tr w14:paraId="39398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66" w:type="pct"/>
                  <w:tcBorders>
                    <w:tl2br w:val="nil"/>
                    <w:tr2bl w:val="nil"/>
                  </w:tcBorders>
                  <w:shd w:val="clear" w:color="auto" w:fill="FFFFFF"/>
                  <w:noWrap w:val="0"/>
                  <w:vAlign w:val="center"/>
                </w:tcPr>
                <w:p w14:paraId="761EE4B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序号</w:t>
                  </w:r>
                </w:p>
              </w:tc>
              <w:tc>
                <w:tcPr>
                  <w:tcW w:w="2018" w:type="pct"/>
                  <w:tcBorders>
                    <w:tl2br w:val="nil"/>
                    <w:tr2bl w:val="nil"/>
                  </w:tcBorders>
                  <w:shd w:val="clear" w:color="auto" w:fill="FFFFFF"/>
                  <w:noWrap w:val="0"/>
                  <w:vAlign w:val="center"/>
                </w:tcPr>
                <w:p w14:paraId="44700D0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名称</w:t>
                  </w:r>
                </w:p>
              </w:tc>
              <w:tc>
                <w:tcPr>
                  <w:tcW w:w="1048" w:type="pct"/>
                  <w:tcBorders>
                    <w:tl2br w:val="nil"/>
                    <w:tr2bl w:val="nil"/>
                  </w:tcBorders>
                  <w:shd w:val="clear" w:color="auto" w:fill="FFFFFF"/>
                  <w:noWrap w:val="0"/>
                  <w:vAlign w:val="center"/>
                </w:tcPr>
                <w:p w14:paraId="1DDC9E0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位置</w:t>
                  </w:r>
                </w:p>
              </w:tc>
              <w:tc>
                <w:tcPr>
                  <w:tcW w:w="784" w:type="pct"/>
                  <w:tcBorders>
                    <w:tl2br w:val="nil"/>
                    <w:tr2bl w:val="nil"/>
                  </w:tcBorders>
                  <w:shd w:val="clear" w:color="auto" w:fill="FFFFFF"/>
                  <w:noWrap w:val="0"/>
                  <w:vAlign w:val="center"/>
                </w:tcPr>
                <w:p w14:paraId="2AC342E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最近距离</w:t>
                  </w:r>
                </w:p>
              </w:tc>
              <w:tc>
                <w:tcPr>
                  <w:tcW w:w="683" w:type="pct"/>
                  <w:tcBorders>
                    <w:tl2br w:val="nil"/>
                    <w:tr2bl w:val="nil"/>
                  </w:tcBorders>
                  <w:shd w:val="clear" w:color="auto" w:fill="FFFFFF"/>
                  <w:noWrap w:val="0"/>
                  <w:vAlign w:val="center"/>
                </w:tcPr>
                <w:p w14:paraId="6D46B98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性质</w:t>
                  </w:r>
                </w:p>
              </w:tc>
            </w:tr>
            <w:tr w14:paraId="5C8B1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tcBorders>
                    <w:tl2br w:val="nil"/>
                    <w:tr2bl w:val="nil"/>
                  </w:tcBorders>
                  <w:shd w:val="clear" w:color="auto" w:fill="FFFFFF"/>
                  <w:noWrap w:val="0"/>
                  <w:vAlign w:val="center"/>
                </w:tcPr>
                <w:p w14:paraId="36AD1D5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2018" w:type="pct"/>
                  <w:tcBorders>
                    <w:tl2br w:val="nil"/>
                    <w:tr2bl w:val="nil"/>
                  </w:tcBorders>
                  <w:shd w:val="clear" w:color="auto" w:fill="FFFFFF"/>
                  <w:noWrap w:val="0"/>
                  <w:vAlign w:val="center"/>
                </w:tcPr>
                <w:p w14:paraId="41A1099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东岳收费站</w:t>
                  </w:r>
                </w:p>
              </w:tc>
              <w:tc>
                <w:tcPr>
                  <w:tcW w:w="1048" w:type="pct"/>
                  <w:tcBorders>
                    <w:tl2br w:val="nil"/>
                    <w:tr2bl w:val="nil"/>
                  </w:tcBorders>
                  <w:shd w:val="clear" w:color="auto" w:fill="FFFFFF"/>
                  <w:noWrap w:val="0"/>
                  <w:vAlign w:val="center"/>
                </w:tcPr>
                <w:p w14:paraId="75703E7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南侧</w:t>
                  </w:r>
                </w:p>
              </w:tc>
              <w:tc>
                <w:tcPr>
                  <w:tcW w:w="784" w:type="pct"/>
                  <w:tcBorders>
                    <w:tl2br w:val="nil"/>
                    <w:tr2bl w:val="nil"/>
                  </w:tcBorders>
                  <w:shd w:val="clear" w:color="auto" w:fill="FFFFFF"/>
                  <w:noWrap w:val="0"/>
                  <w:vAlign w:val="center"/>
                </w:tcPr>
                <w:p w14:paraId="3714E00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紧邻</w:t>
                  </w:r>
                </w:p>
              </w:tc>
              <w:tc>
                <w:tcPr>
                  <w:tcW w:w="683" w:type="pct"/>
                  <w:tcBorders>
                    <w:tl2br w:val="nil"/>
                    <w:tr2bl w:val="nil"/>
                  </w:tcBorders>
                  <w:shd w:val="clear" w:color="auto" w:fill="FFFFFF"/>
                  <w:noWrap w:val="0"/>
                  <w:vAlign w:val="center"/>
                </w:tcPr>
                <w:p w14:paraId="28F7E5B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收费站</w:t>
                  </w:r>
                </w:p>
              </w:tc>
            </w:tr>
            <w:tr w14:paraId="119AE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466" w:type="pct"/>
                  <w:tcBorders>
                    <w:tl2br w:val="nil"/>
                    <w:tr2bl w:val="nil"/>
                  </w:tcBorders>
                  <w:shd w:val="clear" w:color="auto" w:fill="FFFFFF"/>
                  <w:noWrap w:val="0"/>
                  <w:vAlign w:val="center"/>
                </w:tcPr>
                <w:p w14:paraId="7FD5B56A">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w:t>
                  </w:r>
                </w:p>
              </w:tc>
              <w:tc>
                <w:tcPr>
                  <w:tcW w:w="2018" w:type="pct"/>
                  <w:tcBorders>
                    <w:tl2br w:val="nil"/>
                    <w:tr2bl w:val="nil"/>
                  </w:tcBorders>
                  <w:shd w:val="clear" w:color="auto" w:fill="FFFFFF"/>
                  <w:noWrap w:val="0"/>
                  <w:vAlign w:val="center"/>
                </w:tcPr>
                <w:p w14:paraId="138A859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绕城高速（G210）</w:t>
                  </w:r>
                </w:p>
              </w:tc>
              <w:tc>
                <w:tcPr>
                  <w:tcW w:w="1048" w:type="pct"/>
                  <w:tcBorders>
                    <w:tl2br w:val="nil"/>
                    <w:tr2bl w:val="nil"/>
                  </w:tcBorders>
                  <w:shd w:val="clear" w:color="auto" w:fill="FFFFFF"/>
                  <w:noWrap w:val="0"/>
                  <w:vAlign w:val="center"/>
                </w:tcPr>
                <w:p w14:paraId="619194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南侧</w:t>
                  </w:r>
                </w:p>
              </w:tc>
              <w:tc>
                <w:tcPr>
                  <w:tcW w:w="784" w:type="pct"/>
                  <w:tcBorders>
                    <w:tl2br w:val="nil"/>
                    <w:tr2bl w:val="nil"/>
                  </w:tcBorders>
                  <w:shd w:val="clear" w:color="auto" w:fill="FFFFFF"/>
                  <w:noWrap w:val="0"/>
                  <w:vAlign w:val="center"/>
                </w:tcPr>
                <w:p w14:paraId="266727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33m</w:t>
                  </w:r>
                </w:p>
              </w:tc>
              <w:tc>
                <w:tcPr>
                  <w:tcW w:w="683" w:type="pct"/>
                  <w:tcBorders>
                    <w:tl2br w:val="nil"/>
                    <w:tr2bl w:val="nil"/>
                  </w:tcBorders>
                  <w:shd w:val="clear" w:color="auto" w:fill="FFFFFF"/>
                  <w:noWrap w:val="0"/>
                  <w:vAlign w:val="center"/>
                </w:tcPr>
                <w:p w14:paraId="7D1BCE9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高速公路</w:t>
                  </w:r>
                </w:p>
              </w:tc>
            </w:tr>
            <w:tr w14:paraId="3287C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tcBorders>
                    <w:tl2br w:val="nil"/>
                    <w:tr2bl w:val="nil"/>
                  </w:tcBorders>
                  <w:shd w:val="clear" w:color="auto" w:fill="FFFFFF"/>
                  <w:noWrap w:val="0"/>
                  <w:vAlign w:val="center"/>
                </w:tcPr>
                <w:p w14:paraId="23612E19">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w:t>
                  </w:r>
                </w:p>
              </w:tc>
              <w:tc>
                <w:tcPr>
                  <w:tcW w:w="2018" w:type="pct"/>
                  <w:tcBorders>
                    <w:tl2br w:val="nil"/>
                    <w:tr2bl w:val="nil"/>
                  </w:tcBorders>
                  <w:shd w:val="clear" w:color="auto" w:fill="FFFFFF"/>
                  <w:noWrap w:val="0"/>
                  <w:vAlign w:val="center"/>
                </w:tcPr>
                <w:p w14:paraId="6B4FF54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李家湾居民</w:t>
                  </w:r>
                </w:p>
              </w:tc>
              <w:tc>
                <w:tcPr>
                  <w:tcW w:w="1048" w:type="pct"/>
                  <w:tcBorders>
                    <w:tl2br w:val="nil"/>
                    <w:tr2bl w:val="nil"/>
                  </w:tcBorders>
                  <w:shd w:val="clear" w:color="auto" w:fill="FFFFFF"/>
                  <w:noWrap w:val="0"/>
                  <w:vAlign w:val="center"/>
                </w:tcPr>
                <w:p w14:paraId="7938E7D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北侧</w:t>
                  </w:r>
                </w:p>
              </w:tc>
              <w:tc>
                <w:tcPr>
                  <w:tcW w:w="784" w:type="pct"/>
                  <w:tcBorders>
                    <w:tl2br w:val="nil"/>
                    <w:tr2bl w:val="nil"/>
                  </w:tcBorders>
                  <w:shd w:val="clear" w:color="auto" w:fill="FFFFFF"/>
                  <w:noWrap w:val="0"/>
                  <w:vAlign w:val="center"/>
                </w:tcPr>
                <w:p w14:paraId="525D1ED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340</w:t>
                  </w:r>
                  <w:r>
                    <w:rPr>
                      <w:rFonts w:hint="eastAsia" w:ascii="Times New Roman" w:hAnsi="Times New Roman" w:eastAsia="宋体" w:cs="Times New Roman"/>
                      <w:b w:val="0"/>
                      <w:bCs w:val="0"/>
                      <w:color w:val="auto"/>
                      <w:kern w:val="0"/>
                      <w:sz w:val="21"/>
                      <w:szCs w:val="21"/>
                      <w:highlight w:val="none"/>
                      <w:lang w:val="en-US" w:eastAsia="zh-CN" w:bidi="ar"/>
                    </w:rPr>
                    <w:t>m</w:t>
                  </w:r>
                </w:p>
              </w:tc>
              <w:tc>
                <w:tcPr>
                  <w:tcW w:w="683" w:type="pct"/>
                  <w:tcBorders>
                    <w:tl2br w:val="nil"/>
                    <w:tr2bl w:val="nil"/>
                  </w:tcBorders>
                  <w:shd w:val="clear" w:color="auto" w:fill="FFFFFF"/>
                  <w:noWrap w:val="0"/>
                  <w:vAlign w:val="center"/>
                </w:tcPr>
                <w:p w14:paraId="564506E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农户</w:t>
                  </w:r>
                </w:p>
              </w:tc>
            </w:tr>
            <w:tr w14:paraId="47E68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466" w:type="pct"/>
                  <w:tcBorders>
                    <w:tl2br w:val="nil"/>
                    <w:tr2bl w:val="nil"/>
                  </w:tcBorders>
                  <w:shd w:val="clear" w:color="auto" w:fill="FFFFFF"/>
                  <w:noWrap w:val="0"/>
                  <w:vAlign w:val="center"/>
                </w:tcPr>
                <w:p w14:paraId="32AC6E8B">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w:t>
                  </w:r>
                </w:p>
              </w:tc>
              <w:tc>
                <w:tcPr>
                  <w:tcW w:w="2018" w:type="pct"/>
                  <w:tcBorders>
                    <w:tl2br w:val="nil"/>
                    <w:tr2bl w:val="nil"/>
                  </w:tcBorders>
                  <w:shd w:val="clear" w:color="auto" w:fill="FFFFFF"/>
                  <w:noWrap w:val="0"/>
                  <w:vAlign w:val="center"/>
                </w:tcPr>
                <w:p w14:paraId="6713A4D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方家浩居民</w:t>
                  </w:r>
                </w:p>
              </w:tc>
              <w:tc>
                <w:tcPr>
                  <w:tcW w:w="1048" w:type="pct"/>
                  <w:tcBorders>
                    <w:tl2br w:val="nil"/>
                    <w:tr2bl w:val="nil"/>
                  </w:tcBorders>
                  <w:shd w:val="clear" w:color="auto" w:fill="FFFFFF"/>
                  <w:noWrap w:val="0"/>
                  <w:vAlign w:val="center"/>
                </w:tcPr>
                <w:p w14:paraId="78B6463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东</w:t>
                  </w:r>
                  <w:r>
                    <w:rPr>
                      <w:rFonts w:hint="eastAsia" w:cs="Times New Roman"/>
                      <w:b w:val="0"/>
                      <w:bCs w:val="0"/>
                      <w:color w:val="auto"/>
                      <w:kern w:val="0"/>
                      <w:sz w:val="21"/>
                      <w:szCs w:val="21"/>
                      <w:highlight w:val="none"/>
                      <w:lang w:val="en-US" w:eastAsia="zh-CN" w:bidi="ar"/>
                    </w:rPr>
                    <w:t>北</w:t>
                  </w:r>
                  <w:r>
                    <w:rPr>
                      <w:rFonts w:hint="eastAsia" w:ascii="Times New Roman" w:hAnsi="Times New Roman" w:eastAsia="宋体" w:cs="Times New Roman"/>
                      <w:b w:val="0"/>
                      <w:bCs w:val="0"/>
                      <w:color w:val="auto"/>
                      <w:kern w:val="0"/>
                      <w:sz w:val="21"/>
                      <w:szCs w:val="21"/>
                      <w:highlight w:val="none"/>
                      <w:lang w:val="en-US" w:eastAsia="zh-CN" w:bidi="ar"/>
                    </w:rPr>
                    <w:t>侧</w:t>
                  </w:r>
                </w:p>
              </w:tc>
              <w:tc>
                <w:tcPr>
                  <w:tcW w:w="784" w:type="pct"/>
                  <w:tcBorders>
                    <w:tl2br w:val="nil"/>
                    <w:tr2bl w:val="nil"/>
                  </w:tcBorders>
                  <w:shd w:val="clear" w:color="auto" w:fill="FFFFFF"/>
                  <w:noWrap w:val="0"/>
                  <w:vAlign w:val="center"/>
                </w:tcPr>
                <w:p w14:paraId="274E861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430</w:t>
                  </w:r>
                  <w:r>
                    <w:rPr>
                      <w:rFonts w:hint="eastAsia" w:ascii="Times New Roman" w:hAnsi="Times New Roman" w:eastAsia="宋体" w:cs="Times New Roman"/>
                      <w:b w:val="0"/>
                      <w:bCs w:val="0"/>
                      <w:color w:val="auto"/>
                      <w:kern w:val="0"/>
                      <w:sz w:val="21"/>
                      <w:szCs w:val="21"/>
                      <w:highlight w:val="none"/>
                      <w:lang w:val="en-US" w:eastAsia="zh-CN" w:bidi="ar"/>
                    </w:rPr>
                    <w:t>m</w:t>
                  </w:r>
                </w:p>
              </w:tc>
              <w:tc>
                <w:tcPr>
                  <w:tcW w:w="683" w:type="pct"/>
                  <w:tcBorders>
                    <w:tl2br w:val="nil"/>
                    <w:tr2bl w:val="nil"/>
                  </w:tcBorders>
                  <w:shd w:val="clear" w:color="auto" w:fill="FFFFFF"/>
                  <w:noWrap w:val="0"/>
                  <w:vAlign w:val="center"/>
                </w:tcPr>
                <w:p w14:paraId="3C8B9E7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农户</w:t>
                  </w:r>
                </w:p>
              </w:tc>
            </w:tr>
            <w:tr w14:paraId="1343F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tcBorders>
                    <w:tl2br w:val="nil"/>
                    <w:tr2bl w:val="nil"/>
                  </w:tcBorders>
                  <w:shd w:val="clear" w:color="auto" w:fill="FFFFFF"/>
                  <w:noWrap w:val="0"/>
                  <w:vAlign w:val="center"/>
                </w:tcPr>
                <w:p w14:paraId="51C298DF">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w:t>
                  </w:r>
                </w:p>
              </w:tc>
              <w:tc>
                <w:tcPr>
                  <w:tcW w:w="2018" w:type="pct"/>
                  <w:tcBorders>
                    <w:tl2br w:val="nil"/>
                    <w:tr2bl w:val="nil"/>
                  </w:tcBorders>
                  <w:shd w:val="clear" w:color="auto" w:fill="FFFFFF"/>
                  <w:noWrap w:val="0"/>
                  <w:vAlign w:val="center"/>
                </w:tcPr>
                <w:p w14:paraId="6462F52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color w:val="auto"/>
                      <w:sz w:val="21"/>
                      <w:szCs w:val="21"/>
                      <w:highlight w:val="none"/>
                      <w:lang w:val="en-US" w:eastAsia="zh-CN"/>
                    </w:rPr>
                    <w:t>袁家湾居民</w:t>
                  </w:r>
                </w:p>
              </w:tc>
              <w:tc>
                <w:tcPr>
                  <w:tcW w:w="1048" w:type="pct"/>
                  <w:tcBorders>
                    <w:tl2br w:val="nil"/>
                    <w:tr2bl w:val="nil"/>
                  </w:tcBorders>
                  <w:shd w:val="clear" w:color="auto" w:fill="FFFFFF"/>
                  <w:noWrap w:val="0"/>
                  <w:vAlign w:val="center"/>
                </w:tcPr>
                <w:p w14:paraId="37507EF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东侧</w:t>
                  </w:r>
                </w:p>
              </w:tc>
              <w:tc>
                <w:tcPr>
                  <w:tcW w:w="784" w:type="pct"/>
                  <w:tcBorders>
                    <w:tl2br w:val="nil"/>
                    <w:tr2bl w:val="nil"/>
                  </w:tcBorders>
                  <w:shd w:val="clear" w:color="auto" w:fill="FFFFFF"/>
                  <w:noWrap w:val="0"/>
                  <w:vAlign w:val="center"/>
                </w:tcPr>
                <w:p w14:paraId="356DB6F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300m</w:t>
                  </w:r>
                </w:p>
              </w:tc>
              <w:tc>
                <w:tcPr>
                  <w:tcW w:w="683" w:type="pct"/>
                  <w:tcBorders>
                    <w:tl2br w:val="nil"/>
                    <w:tr2bl w:val="nil"/>
                  </w:tcBorders>
                  <w:shd w:val="clear" w:color="auto" w:fill="FFFFFF"/>
                  <w:noWrap w:val="0"/>
                  <w:vAlign w:val="center"/>
                </w:tcPr>
                <w:p w14:paraId="262342D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农户</w:t>
                  </w:r>
                </w:p>
              </w:tc>
            </w:tr>
            <w:tr w14:paraId="0A43C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tcBorders>
                    <w:tl2br w:val="nil"/>
                    <w:tr2bl w:val="nil"/>
                  </w:tcBorders>
                  <w:shd w:val="clear" w:color="auto" w:fill="FFFFFF"/>
                  <w:noWrap w:val="0"/>
                  <w:vAlign w:val="center"/>
                </w:tcPr>
                <w:p w14:paraId="17707C62">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6</w:t>
                  </w:r>
                </w:p>
              </w:tc>
              <w:tc>
                <w:tcPr>
                  <w:tcW w:w="2018" w:type="pct"/>
                  <w:tcBorders>
                    <w:tl2br w:val="nil"/>
                    <w:tr2bl w:val="nil"/>
                  </w:tcBorders>
                  <w:shd w:val="clear" w:color="auto" w:fill="FFFFFF"/>
                  <w:noWrap w:val="0"/>
                  <w:vAlign w:val="center"/>
                </w:tcPr>
                <w:p w14:paraId="42B1EF9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通达兴航</w:t>
                  </w:r>
                </w:p>
              </w:tc>
              <w:tc>
                <w:tcPr>
                  <w:tcW w:w="1048" w:type="pct"/>
                  <w:tcBorders>
                    <w:tl2br w:val="nil"/>
                    <w:tr2bl w:val="nil"/>
                  </w:tcBorders>
                  <w:shd w:val="clear" w:color="auto" w:fill="FFFFFF"/>
                  <w:noWrap w:val="0"/>
                  <w:vAlign w:val="center"/>
                </w:tcPr>
                <w:p w14:paraId="76C985B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南侧</w:t>
                  </w:r>
                </w:p>
              </w:tc>
              <w:tc>
                <w:tcPr>
                  <w:tcW w:w="784" w:type="pct"/>
                  <w:tcBorders>
                    <w:tl2br w:val="nil"/>
                    <w:tr2bl w:val="nil"/>
                  </w:tcBorders>
                  <w:shd w:val="clear" w:color="auto" w:fill="FFFFFF"/>
                  <w:noWrap w:val="0"/>
                  <w:vAlign w:val="center"/>
                </w:tcPr>
                <w:p w14:paraId="7FFBFAB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125</w:t>
                  </w:r>
                  <w:r>
                    <w:rPr>
                      <w:rFonts w:hint="eastAsia" w:ascii="Times New Roman" w:hAnsi="Times New Roman" w:eastAsia="宋体" w:cs="Times New Roman"/>
                      <w:b w:val="0"/>
                      <w:bCs w:val="0"/>
                      <w:color w:val="auto"/>
                      <w:kern w:val="0"/>
                      <w:sz w:val="21"/>
                      <w:szCs w:val="21"/>
                      <w:highlight w:val="none"/>
                      <w:lang w:val="en-US" w:eastAsia="zh-CN" w:bidi="ar"/>
                    </w:rPr>
                    <w:t>m</w:t>
                  </w:r>
                </w:p>
              </w:tc>
              <w:tc>
                <w:tcPr>
                  <w:tcW w:w="683" w:type="pct"/>
                  <w:tcBorders>
                    <w:tl2br w:val="nil"/>
                    <w:tr2bl w:val="nil"/>
                  </w:tcBorders>
                  <w:shd w:val="clear" w:color="auto" w:fill="FFFFFF"/>
                  <w:noWrap w:val="0"/>
                  <w:vAlign w:val="center"/>
                </w:tcPr>
                <w:p w14:paraId="232BD98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企业</w:t>
                  </w:r>
                </w:p>
              </w:tc>
            </w:tr>
            <w:tr w14:paraId="1C492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tcBorders>
                    <w:tl2br w:val="nil"/>
                    <w:tr2bl w:val="nil"/>
                  </w:tcBorders>
                  <w:shd w:val="clear" w:color="auto" w:fill="FFFFFF"/>
                  <w:noWrap w:val="0"/>
                  <w:vAlign w:val="center"/>
                </w:tcPr>
                <w:p w14:paraId="4D6D185B">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7</w:t>
                  </w:r>
                </w:p>
              </w:tc>
              <w:tc>
                <w:tcPr>
                  <w:tcW w:w="2018" w:type="pct"/>
                  <w:tcBorders>
                    <w:tl2br w:val="nil"/>
                    <w:tr2bl w:val="nil"/>
                  </w:tcBorders>
                  <w:shd w:val="clear" w:color="auto" w:fill="FFFFFF"/>
                  <w:noWrap w:val="0"/>
                  <w:vAlign w:val="center"/>
                </w:tcPr>
                <w:p w14:paraId="6AC5C5C4">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德易（达州）智能制造有限公司</w:t>
                  </w:r>
                </w:p>
              </w:tc>
              <w:tc>
                <w:tcPr>
                  <w:tcW w:w="1048" w:type="pct"/>
                  <w:tcBorders>
                    <w:tl2br w:val="nil"/>
                    <w:tr2bl w:val="nil"/>
                  </w:tcBorders>
                  <w:shd w:val="clear" w:color="auto" w:fill="FFFFFF"/>
                  <w:noWrap w:val="0"/>
                  <w:vAlign w:val="center"/>
                </w:tcPr>
                <w:p w14:paraId="197FF29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南侧</w:t>
                  </w:r>
                </w:p>
              </w:tc>
              <w:tc>
                <w:tcPr>
                  <w:tcW w:w="784" w:type="pct"/>
                  <w:tcBorders>
                    <w:tl2br w:val="nil"/>
                    <w:tr2bl w:val="nil"/>
                  </w:tcBorders>
                  <w:shd w:val="clear" w:color="auto" w:fill="FFFFFF"/>
                  <w:noWrap w:val="0"/>
                  <w:vAlign w:val="center"/>
                </w:tcPr>
                <w:p w14:paraId="03AA520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140</w:t>
                  </w:r>
                  <w:r>
                    <w:rPr>
                      <w:rFonts w:hint="eastAsia" w:ascii="Times New Roman" w:hAnsi="Times New Roman" w:eastAsia="宋体" w:cs="Times New Roman"/>
                      <w:b w:val="0"/>
                      <w:bCs w:val="0"/>
                      <w:color w:val="auto"/>
                      <w:kern w:val="0"/>
                      <w:sz w:val="21"/>
                      <w:szCs w:val="21"/>
                      <w:highlight w:val="none"/>
                      <w:lang w:val="en-US" w:eastAsia="zh-CN" w:bidi="ar"/>
                    </w:rPr>
                    <w:t>m</w:t>
                  </w:r>
                </w:p>
              </w:tc>
              <w:tc>
                <w:tcPr>
                  <w:tcW w:w="683" w:type="pct"/>
                  <w:tcBorders>
                    <w:tl2br w:val="nil"/>
                    <w:tr2bl w:val="nil"/>
                  </w:tcBorders>
                  <w:shd w:val="clear" w:color="auto" w:fill="FFFFFF"/>
                  <w:noWrap w:val="0"/>
                  <w:vAlign w:val="center"/>
                </w:tcPr>
                <w:p w14:paraId="5B0116E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企业</w:t>
                  </w:r>
                </w:p>
              </w:tc>
            </w:tr>
            <w:tr w14:paraId="66BB1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tcBorders>
                    <w:tl2br w:val="nil"/>
                    <w:tr2bl w:val="nil"/>
                  </w:tcBorders>
                  <w:shd w:val="clear" w:color="auto" w:fill="FFFFFF"/>
                  <w:noWrap w:val="0"/>
                  <w:vAlign w:val="center"/>
                </w:tcPr>
                <w:p w14:paraId="5669B65C">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8</w:t>
                  </w:r>
                </w:p>
              </w:tc>
              <w:tc>
                <w:tcPr>
                  <w:tcW w:w="2018" w:type="pct"/>
                  <w:tcBorders>
                    <w:tl2br w:val="nil"/>
                    <w:tr2bl w:val="nil"/>
                  </w:tcBorders>
                  <w:shd w:val="clear" w:color="auto" w:fill="FFFFFF"/>
                  <w:noWrap w:val="0"/>
                  <w:vAlign w:val="center"/>
                </w:tcPr>
                <w:p w14:paraId="58BBE3E1">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中科哈创(达州)科技产业发展有限公司</w:t>
                  </w:r>
                </w:p>
              </w:tc>
              <w:tc>
                <w:tcPr>
                  <w:tcW w:w="1048" w:type="pct"/>
                  <w:tcBorders>
                    <w:tl2br w:val="nil"/>
                    <w:tr2bl w:val="nil"/>
                  </w:tcBorders>
                  <w:shd w:val="clear" w:color="auto" w:fill="FFFFFF"/>
                  <w:noWrap w:val="0"/>
                  <w:vAlign w:val="center"/>
                </w:tcPr>
                <w:p w14:paraId="0EAC5E1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南侧</w:t>
                  </w:r>
                </w:p>
              </w:tc>
              <w:tc>
                <w:tcPr>
                  <w:tcW w:w="784" w:type="pct"/>
                  <w:tcBorders>
                    <w:tl2br w:val="nil"/>
                    <w:tr2bl w:val="nil"/>
                  </w:tcBorders>
                  <w:shd w:val="clear" w:color="auto" w:fill="FFFFFF"/>
                  <w:noWrap w:val="0"/>
                  <w:vAlign w:val="center"/>
                </w:tcPr>
                <w:p w14:paraId="4D17D3E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170</w:t>
                  </w:r>
                  <w:r>
                    <w:rPr>
                      <w:rFonts w:hint="eastAsia" w:ascii="Times New Roman" w:hAnsi="Times New Roman" w:eastAsia="宋体" w:cs="Times New Roman"/>
                      <w:b w:val="0"/>
                      <w:bCs w:val="0"/>
                      <w:color w:val="auto"/>
                      <w:kern w:val="0"/>
                      <w:sz w:val="21"/>
                      <w:szCs w:val="21"/>
                      <w:highlight w:val="none"/>
                      <w:lang w:val="en-US" w:eastAsia="zh-CN" w:bidi="ar"/>
                    </w:rPr>
                    <w:t>m</w:t>
                  </w:r>
                </w:p>
              </w:tc>
              <w:tc>
                <w:tcPr>
                  <w:tcW w:w="683" w:type="pct"/>
                  <w:tcBorders>
                    <w:tl2br w:val="nil"/>
                    <w:tr2bl w:val="nil"/>
                  </w:tcBorders>
                  <w:shd w:val="clear" w:color="auto" w:fill="FFFFFF"/>
                  <w:noWrap w:val="0"/>
                  <w:vAlign w:val="center"/>
                </w:tcPr>
                <w:p w14:paraId="4D546CE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企业</w:t>
                  </w:r>
                </w:p>
              </w:tc>
            </w:tr>
            <w:tr w14:paraId="22836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tcBorders>
                    <w:tl2br w:val="nil"/>
                    <w:tr2bl w:val="nil"/>
                  </w:tcBorders>
                  <w:shd w:val="clear" w:color="auto" w:fill="FFFFFF"/>
                  <w:noWrap w:val="0"/>
                  <w:vAlign w:val="center"/>
                </w:tcPr>
                <w:p w14:paraId="0896DE53">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9</w:t>
                  </w:r>
                </w:p>
              </w:tc>
              <w:tc>
                <w:tcPr>
                  <w:tcW w:w="2018" w:type="pct"/>
                  <w:tcBorders>
                    <w:tl2br w:val="nil"/>
                    <w:tr2bl w:val="nil"/>
                  </w:tcBorders>
                  <w:shd w:val="clear" w:color="auto" w:fill="FFFFFF"/>
                  <w:noWrap w:val="0"/>
                  <w:vAlign w:val="center"/>
                </w:tcPr>
                <w:p w14:paraId="39190402">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四川通纤新材料有限公司</w:t>
                  </w:r>
                </w:p>
              </w:tc>
              <w:tc>
                <w:tcPr>
                  <w:tcW w:w="1048" w:type="pct"/>
                  <w:tcBorders>
                    <w:tl2br w:val="nil"/>
                    <w:tr2bl w:val="nil"/>
                  </w:tcBorders>
                  <w:shd w:val="clear" w:color="auto" w:fill="FFFFFF"/>
                  <w:noWrap w:val="0"/>
                  <w:vAlign w:val="center"/>
                </w:tcPr>
                <w:p w14:paraId="3F7D55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南侧</w:t>
                  </w:r>
                </w:p>
              </w:tc>
              <w:tc>
                <w:tcPr>
                  <w:tcW w:w="784" w:type="pct"/>
                  <w:tcBorders>
                    <w:tl2br w:val="nil"/>
                    <w:tr2bl w:val="nil"/>
                  </w:tcBorders>
                  <w:shd w:val="clear" w:color="auto" w:fill="FFFFFF"/>
                  <w:noWrap w:val="0"/>
                  <w:vAlign w:val="center"/>
                </w:tcPr>
                <w:p w14:paraId="470F2183">
                  <w:pPr>
                    <w:keepNext w:val="0"/>
                    <w:keepLines w:val="0"/>
                    <w:widowControl/>
                    <w:suppressLineNumbers w:val="0"/>
                    <w:spacing w:before="0" w:beforeAutospacing="0" w:after="0" w:afterAutospacing="0"/>
                    <w:ind w:left="0" w:right="0"/>
                    <w:jc w:val="center"/>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190m</w:t>
                  </w:r>
                </w:p>
              </w:tc>
              <w:tc>
                <w:tcPr>
                  <w:tcW w:w="683" w:type="pct"/>
                  <w:tcBorders>
                    <w:tl2br w:val="nil"/>
                    <w:tr2bl w:val="nil"/>
                  </w:tcBorders>
                  <w:shd w:val="clear" w:color="auto" w:fill="FFFFFF"/>
                  <w:noWrap w:val="0"/>
                  <w:vAlign w:val="center"/>
                </w:tcPr>
                <w:p w14:paraId="13FEC4D5">
                  <w:pPr>
                    <w:keepNext w:val="0"/>
                    <w:keepLines w:val="0"/>
                    <w:widowControl/>
                    <w:suppressLineNumbers w:val="0"/>
                    <w:spacing w:before="0" w:beforeAutospacing="0" w:after="0" w:afterAutospacing="0"/>
                    <w:ind w:left="0" w:right="0"/>
                    <w:jc w:val="center"/>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企业</w:t>
                  </w:r>
                </w:p>
              </w:tc>
            </w:tr>
            <w:tr w14:paraId="462EA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466" w:type="pct"/>
                  <w:tcBorders>
                    <w:tl2br w:val="nil"/>
                    <w:tr2bl w:val="nil"/>
                  </w:tcBorders>
                  <w:shd w:val="clear" w:color="auto" w:fill="FFFFFF"/>
                  <w:noWrap w:val="0"/>
                  <w:vAlign w:val="center"/>
                </w:tcPr>
                <w:p w14:paraId="674600CE">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10</w:t>
                  </w:r>
                </w:p>
              </w:tc>
              <w:tc>
                <w:tcPr>
                  <w:tcW w:w="2018" w:type="pct"/>
                  <w:tcBorders>
                    <w:tl2br w:val="nil"/>
                    <w:tr2bl w:val="nil"/>
                  </w:tcBorders>
                  <w:shd w:val="clear" w:color="auto" w:fill="FFFFFF"/>
                  <w:noWrap w:val="0"/>
                  <w:vAlign w:val="center"/>
                </w:tcPr>
                <w:p w14:paraId="35C28E68">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四川哈工三维科技有限公司</w:t>
                  </w:r>
                </w:p>
              </w:tc>
              <w:tc>
                <w:tcPr>
                  <w:tcW w:w="1048" w:type="pct"/>
                  <w:tcBorders>
                    <w:tl2br w:val="nil"/>
                    <w:tr2bl w:val="nil"/>
                  </w:tcBorders>
                  <w:shd w:val="clear" w:color="auto" w:fill="FFFFFF"/>
                  <w:noWrap w:val="0"/>
                  <w:vAlign w:val="center"/>
                </w:tcPr>
                <w:p w14:paraId="06C0ECE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西侧</w:t>
                  </w:r>
                </w:p>
              </w:tc>
              <w:tc>
                <w:tcPr>
                  <w:tcW w:w="784" w:type="pct"/>
                  <w:tcBorders>
                    <w:tl2br w:val="nil"/>
                    <w:tr2bl w:val="nil"/>
                  </w:tcBorders>
                  <w:shd w:val="clear" w:color="auto" w:fill="FFFFFF"/>
                  <w:noWrap w:val="0"/>
                  <w:vAlign w:val="center"/>
                </w:tcPr>
                <w:p w14:paraId="77600DA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230</w:t>
                  </w:r>
                  <w:r>
                    <w:rPr>
                      <w:rFonts w:hint="eastAsia" w:ascii="Times New Roman" w:hAnsi="Times New Roman" w:eastAsia="宋体" w:cs="Times New Roman"/>
                      <w:b w:val="0"/>
                      <w:bCs w:val="0"/>
                      <w:color w:val="auto"/>
                      <w:kern w:val="0"/>
                      <w:sz w:val="21"/>
                      <w:szCs w:val="21"/>
                      <w:highlight w:val="none"/>
                      <w:lang w:val="en-US" w:eastAsia="zh-CN" w:bidi="ar"/>
                    </w:rPr>
                    <w:t>m</w:t>
                  </w:r>
                </w:p>
              </w:tc>
              <w:tc>
                <w:tcPr>
                  <w:tcW w:w="683" w:type="pct"/>
                  <w:tcBorders>
                    <w:tl2br w:val="nil"/>
                    <w:tr2bl w:val="nil"/>
                  </w:tcBorders>
                  <w:shd w:val="clear" w:color="auto" w:fill="FFFFFF"/>
                  <w:noWrap w:val="0"/>
                  <w:vAlign w:val="center"/>
                </w:tcPr>
                <w:p w14:paraId="3799FD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企业</w:t>
                  </w:r>
                </w:p>
              </w:tc>
            </w:tr>
            <w:tr w14:paraId="6477C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317" w:hRule="atLeast"/>
                <w:jc w:val="center"/>
              </w:trPr>
              <w:tc>
                <w:tcPr>
                  <w:tcW w:w="466" w:type="pct"/>
                  <w:tcBorders>
                    <w:tl2br w:val="nil"/>
                    <w:tr2bl w:val="nil"/>
                  </w:tcBorders>
                  <w:shd w:val="clear" w:color="auto" w:fill="FFFFFF"/>
                  <w:noWrap w:val="0"/>
                  <w:vAlign w:val="center"/>
                </w:tcPr>
                <w:p w14:paraId="01E0DAE2">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11</w:t>
                  </w:r>
                </w:p>
              </w:tc>
              <w:tc>
                <w:tcPr>
                  <w:tcW w:w="2018" w:type="pct"/>
                  <w:tcBorders>
                    <w:tl2br w:val="nil"/>
                    <w:tr2bl w:val="nil"/>
                  </w:tcBorders>
                  <w:shd w:val="clear" w:color="auto" w:fill="FFFFFF"/>
                  <w:noWrap w:val="0"/>
                  <w:vAlign w:val="center"/>
                </w:tcPr>
                <w:p w14:paraId="40CE781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曲家浩居民</w:t>
                  </w:r>
                </w:p>
              </w:tc>
              <w:tc>
                <w:tcPr>
                  <w:tcW w:w="1048" w:type="pct"/>
                  <w:tcBorders>
                    <w:tl2br w:val="nil"/>
                    <w:tr2bl w:val="nil"/>
                  </w:tcBorders>
                  <w:shd w:val="clear" w:color="auto" w:fill="FFFFFF"/>
                  <w:noWrap w:val="0"/>
                  <w:vAlign w:val="center"/>
                </w:tcPr>
                <w:p w14:paraId="1B44D9E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西</w:t>
                  </w:r>
                  <w:r>
                    <w:rPr>
                      <w:rFonts w:hint="eastAsia" w:cs="Times New Roman"/>
                      <w:b w:val="0"/>
                      <w:bCs w:val="0"/>
                      <w:color w:val="auto"/>
                      <w:kern w:val="0"/>
                      <w:sz w:val="21"/>
                      <w:szCs w:val="21"/>
                      <w:highlight w:val="none"/>
                      <w:lang w:val="en-US" w:eastAsia="zh-CN" w:bidi="ar"/>
                    </w:rPr>
                    <w:t>南</w:t>
                  </w:r>
                  <w:r>
                    <w:rPr>
                      <w:rFonts w:hint="eastAsia" w:ascii="Times New Roman" w:hAnsi="Times New Roman" w:eastAsia="宋体" w:cs="Times New Roman"/>
                      <w:b w:val="0"/>
                      <w:bCs w:val="0"/>
                      <w:color w:val="auto"/>
                      <w:kern w:val="0"/>
                      <w:sz w:val="21"/>
                      <w:szCs w:val="21"/>
                      <w:highlight w:val="none"/>
                      <w:lang w:val="en-US" w:eastAsia="zh-CN" w:bidi="ar"/>
                    </w:rPr>
                    <w:t>侧</w:t>
                  </w:r>
                </w:p>
              </w:tc>
              <w:tc>
                <w:tcPr>
                  <w:tcW w:w="784" w:type="pct"/>
                  <w:tcBorders>
                    <w:tl2br w:val="nil"/>
                    <w:tr2bl w:val="nil"/>
                  </w:tcBorders>
                  <w:shd w:val="clear" w:color="auto" w:fill="FFFFFF"/>
                  <w:noWrap w:val="0"/>
                  <w:vAlign w:val="center"/>
                </w:tcPr>
                <w:p w14:paraId="4AA502A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430</w:t>
                  </w:r>
                  <w:r>
                    <w:rPr>
                      <w:rFonts w:hint="eastAsia" w:ascii="Times New Roman" w:hAnsi="Times New Roman" w:eastAsia="宋体" w:cs="Times New Roman"/>
                      <w:b w:val="0"/>
                      <w:bCs w:val="0"/>
                      <w:color w:val="auto"/>
                      <w:kern w:val="0"/>
                      <w:sz w:val="21"/>
                      <w:szCs w:val="21"/>
                      <w:highlight w:val="none"/>
                      <w:lang w:val="en-US" w:eastAsia="zh-CN" w:bidi="ar"/>
                    </w:rPr>
                    <w:t>m</w:t>
                  </w:r>
                </w:p>
              </w:tc>
              <w:tc>
                <w:tcPr>
                  <w:tcW w:w="683" w:type="pct"/>
                  <w:tcBorders>
                    <w:tl2br w:val="nil"/>
                    <w:tr2bl w:val="nil"/>
                  </w:tcBorders>
                  <w:shd w:val="clear" w:color="auto" w:fill="FFFFFF"/>
                  <w:noWrap w:val="0"/>
                  <w:vAlign w:val="center"/>
                </w:tcPr>
                <w:p w14:paraId="1B1C1AF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农户</w:t>
                  </w:r>
                </w:p>
              </w:tc>
            </w:tr>
            <w:tr w14:paraId="6D245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466" w:type="pct"/>
                  <w:tcBorders>
                    <w:tl2br w:val="nil"/>
                    <w:tr2bl w:val="nil"/>
                  </w:tcBorders>
                  <w:shd w:val="clear" w:color="auto" w:fill="FFFFFF"/>
                  <w:noWrap w:val="0"/>
                  <w:vAlign w:val="center"/>
                </w:tcPr>
                <w:p w14:paraId="5CB79611">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12</w:t>
                  </w:r>
                </w:p>
              </w:tc>
              <w:tc>
                <w:tcPr>
                  <w:tcW w:w="2018" w:type="pct"/>
                  <w:tcBorders>
                    <w:tl2br w:val="nil"/>
                    <w:tr2bl w:val="nil"/>
                  </w:tcBorders>
                  <w:shd w:val="clear" w:color="auto" w:fill="FFFFFF"/>
                  <w:noWrap w:val="0"/>
                  <w:vAlign w:val="center"/>
                </w:tcPr>
                <w:p w14:paraId="032EA5A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魏复路居民</w:t>
                  </w:r>
                </w:p>
              </w:tc>
              <w:tc>
                <w:tcPr>
                  <w:tcW w:w="1048" w:type="pct"/>
                  <w:tcBorders>
                    <w:tl2br w:val="nil"/>
                    <w:tr2bl w:val="nil"/>
                  </w:tcBorders>
                  <w:shd w:val="clear" w:color="auto" w:fill="FFFFFF"/>
                  <w:noWrap w:val="0"/>
                  <w:vAlign w:val="center"/>
                </w:tcPr>
                <w:p w14:paraId="2B457B4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西侧</w:t>
                  </w:r>
                </w:p>
              </w:tc>
              <w:tc>
                <w:tcPr>
                  <w:tcW w:w="784" w:type="pct"/>
                  <w:tcBorders>
                    <w:tl2br w:val="nil"/>
                    <w:tr2bl w:val="nil"/>
                  </w:tcBorders>
                  <w:shd w:val="clear" w:color="auto" w:fill="FFFFFF"/>
                  <w:noWrap w:val="0"/>
                  <w:vAlign w:val="center"/>
                </w:tcPr>
                <w:p w14:paraId="04CCB68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w:t>
                  </w:r>
                  <w:r>
                    <w:rPr>
                      <w:rFonts w:hint="eastAsia" w:cs="Times New Roman"/>
                      <w:b w:val="0"/>
                      <w:bCs w:val="0"/>
                      <w:color w:val="auto"/>
                      <w:kern w:val="0"/>
                      <w:sz w:val="21"/>
                      <w:szCs w:val="21"/>
                      <w:highlight w:val="none"/>
                      <w:lang w:val="en-US" w:eastAsia="zh-CN" w:bidi="ar"/>
                    </w:rPr>
                    <w:t>8</w:t>
                  </w:r>
                  <w:r>
                    <w:rPr>
                      <w:rFonts w:hint="eastAsia" w:ascii="Times New Roman" w:hAnsi="Times New Roman" w:eastAsia="宋体" w:cs="Times New Roman"/>
                      <w:b w:val="0"/>
                      <w:bCs w:val="0"/>
                      <w:color w:val="auto"/>
                      <w:kern w:val="0"/>
                      <w:sz w:val="21"/>
                      <w:szCs w:val="21"/>
                      <w:highlight w:val="none"/>
                      <w:lang w:val="en-US" w:eastAsia="zh-CN" w:bidi="ar"/>
                    </w:rPr>
                    <w:t>0m</w:t>
                  </w:r>
                </w:p>
              </w:tc>
              <w:tc>
                <w:tcPr>
                  <w:tcW w:w="683" w:type="pct"/>
                  <w:tcBorders>
                    <w:tl2br w:val="nil"/>
                    <w:tr2bl w:val="nil"/>
                  </w:tcBorders>
                  <w:shd w:val="clear" w:color="auto" w:fill="FFFFFF"/>
                  <w:noWrap w:val="0"/>
                  <w:vAlign w:val="center"/>
                </w:tcPr>
                <w:p w14:paraId="6FADB0D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农户</w:t>
                  </w:r>
                </w:p>
              </w:tc>
            </w:tr>
          </w:tbl>
          <w:p w14:paraId="49452E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（2）选址合理性分析</w:t>
            </w:r>
          </w:p>
          <w:p w14:paraId="5D9CA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1）加油加气站等级划分</w:t>
            </w:r>
          </w:p>
          <w:p w14:paraId="1180C2B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该加油加气站本次新建完成投运后，站内油罐区设置</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rPr>
              <w:t>个储油罐，其中2个</w:t>
            </w:r>
            <w:r>
              <w:rPr>
                <w:rFonts w:hint="eastAsia" w:cs="Times New Roman"/>
                <w:color w:val="auto"/>
                <w:sz w:val="24"/>
                <w:highlight w:val="none"/>
                <w:lang w:val="en-US" w:eastAsia="zh-CN"/>
              </w:rPr>
              <w:t>20</w:t>
            </w:r>
            <w:r>
              <w:rPr>
                <w:rFonts w:hint="eastAsia" w:ascii="Times New Roman" w:hAnsi="Times New Roman" w:eastAsia="宋体" w:cs="Times New Roman"/>
                <w:color w:val="auto"/>
                <w:sz w:val="24"/>
                <w:highlight w:val="none"/>
              </w:rPr>
              <w:t>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储油罐（92#、95#汽油各1座），</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rPr>
              <w:t>个</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rPr>
              <w:t>0m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的储油罐（0#柴油），项目储油罐均采用玻璃纤维增强塑料双层油罐（FF罐）；设60m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LNG储罐1座，采用钢制卧式储罐。按照《汽车加油加气加氢站技术标准》（GB50156-2021）第3.0.16条加油与LNG 加气合建站等级划分的规定，本项目属于二级加油与LNG 合建站。</w:t>
            </w:r>
          </w:p>
          <w:p w14:paraId="72E88CC5">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表1-1</w:t>
            </w:r>
            <w:r>
              <w:rPr>
                <w:rFonts w:hint="eastAsia" w:eastAsia="黑体" w:cs="Times New Roman"/>
                <w:b/>
                <w:bCs/>
                <w:color w:val="auto"/>
                <w:kern w:val="0"/>
                <w:sz w:val="20"/>
                <w:szCs w:val="20"/>
                <w:highlight w:val="none"/>
                <w:lang w:val="en-US" w:eastAsia="zh-CN" w:bidi="ar-SA"/>
              </w:rPr>
              <w:t>2</w:t>
            </w:r>
            <w:r>
              <w:rPr>
                <w:rFonts w:hint="eastAsia" w:ascii="Times New Roman" w:hAnsi="Times New Roman" w:eastAsia="黑体" w:cs="Times New Roman"/>
                <w:b/>
                <w:bCs/>
                <w:color w:val="auto"/>
                <w:kern w:val="0"/>
                <w:sz w:val="20"/>
                <w:szCs w:val="20"/>
                <w:highlight w:val="none"/>
                <w:lang w:val="en-US" w:eastAsia="zh-CN" w:bidi="ar-SA"/>
              </w:rPr>
              <w:t xml:space="preserve"> 加油与 LNG 加气合建站的等级划分</w:t>
            </w:r>
          </w:p>
          <w:tbl>
            <w:tblPr>
              <w:tblStyle w:val="23"/>
              <w:tblW w:w="5000" w:type="pct"/>
              <w:tblInd w:w="3"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335"/>
              <w:gridCol w:w="6953"/>
            </w:tblGrid>
            <w:tr w14:paraId="5FA43F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257" w:type="pct"/>
                  <w:tcBorders>
                    <w:tl2br w:val="nil"/>
                    <w:tr2bl w:val="nil"/>
                  </w:tcBorders>
                  <w:noWrap w:val="0"/>
                  <w:vAlign w:val="center"/>
                </w:tcPr>
                <w:p w14:paraId="067A77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合建站等级</w:t>
                  </w:r>
                </w:p>
              </w:tc>
              <w:tc>
                <w:tcPr>
                  <w:tcW w:w="3743" w:type="pct"/>
                  <w:tcBorders>
                    <w:tl2br w:val="nil"/>
                    <w:tr2bl w:val="nil"/>
                  </w:tcBorders>
                  <w:noWrap w:val="0"/>
                  <w:vAlign w:val="center"/>
                </w:tcPr>
                <w:p w14:paraId="75D5137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油罐与 LNG 储罐总容积计算公式</w:t>
                  </w:r>
                </w:p>
              </w:tc>
            </w:tr>
            <w:tr w14:paraId="1DBF33E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257" w:type="pct"/>
                  <w:tcBorders>
                    <w:tl2br w:val="nil"/>
                    <w:tr2bl w:val="nil"/>
                  </w:tcBorders>
                  <w:noWrap w:val="0"/>
                  <w:vAlign w:val="center"/>
                </w:tcPr>
                <w:p w14:paraId="1ABD147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一级</w:t>
                  </w:r>
                </w:p>
              </w:tc>
              <w:tc>
                <w:tcPr>
                  <w:tcW w:w="3743" w:type="pct"/>
                  <w:tcBorders>
                    <w:tl2br w:val="nil"/>
                    <w:tr2bl w:val="nil"/>
                  </w:tcBorders>
                  <w:noWrap w:val="0"/>
                  <w:vAlign w:val="center"/>
                </w:tcPr>
                <w:p w14:paraId="20F4EA7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VO1/240+VLNG1/180≦1</w:t>
                  </w:r>
                </w:p>
              </w:tc>
            </w:tr>
            <w:tr w14:paraId="37D107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257" w:type="pct"/>
                  <w:tcBorders>
                    <w:tl2br w:val="nil"/>
                    <w:tr2bl w:val="nil"/>
                  </w:tcBorders>
                  <w:noWrap w:val="0"/>
                  <w:vAlign w:val="center"/>
                </w:tcPr>
                <w:p w14:paraId="7A81C42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二级</w:t>
                  </w:r>
                </w:p>
              </w:tc>
              <w:tc>
                <w:tcPr>
                  <w:tcW w:w="3743" w:type="pct"/>
                  <w:tcBorders>
                    <w:tl2br w:val="nil"/>
                    <w:tr2bl w:val="nil"/>
                  </w:tcBorders>
                  <w:noWrap w:val="0"/>
                  <w:vAlign w:val="center"/>
                </w:tcPr>
                <w:p w14:paraId="729A3A1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VO2/180+VLNG2/120≦1</w:t>
                  </w:r>
                </w:p>
              </w:tc>
            </w:tr>
            <w:tr w14:paraId="779DF9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1257" w:type="pct"/>
                  <w:tcBorders>
                    <w:tl2br w:val="nil"/>
                    <w:tr2bl w:val="nil"/>
                  </w:tcBorders>
                  <w:noWrap w:val="0"/>
                  <w:vAlign w:val="center"/>
                </w:tcPr>
                <w:p w14:paraId="2D9D7C1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三级</w:t>
                  </w:r>
                </w:p>
              </w:tc>
              <w:tc>
                <w:tcPr>
                  <w:tcW w:w="3743" w:type="pct"/>
                  <w:tcBorders>
                    <w:tl2br w:val="nil"/>
                    <w:tr2bl w:val="nil"/>
                  </w:tcBorders>
                  <w:noWrap w:val="0"/>
                  <w:vAlign w:val="center"/>
                </w:tcPr>
                <w:p w14:paraId="1F74022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VO3/120+VLNG3/60≦1</w:t>
                  </w:r>
                </w:p>
              </w:tc>
            </w:tr>
          </w:tbl>
          <w:p w14:paraId="3B7212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注：1、VO1、VO2、VO3分别为一、二、三级合建站中油品储罐总容积（m</w:t>
            </w:r>
            <w:r>
              <w:rPr>
                <w:rFonts w:hint="eastAsia" w:ascii="Times New Roman" w:hAnsi="Times New Roman" w:eastAsia="宋体" w:cs="Times New Roman"/>
                <w:b/>
                <w:bCs/>
                <w:color w:val="auto"/>
                <w:highlight w:val="none"/>
                <w:vertAlign w:val="superscript"/>
                <w:lang w:val="en-US" w:eastAsia="zh-CN"/>
              </w:rPr>
              <w:t>3</w:t>
            </w:r>
            <w:r>
              <w:rPr>
                <w:rFonts w:hint="eastAsia" w:ascii="Times New Roman" w:hAnsi="Times New Roman" w:eastAsia="宋体" w:cs="Times New Roman"/>
                <w:b/>
                <w:bCs/>
                <w:color w:val="auto"/>
                <w:highlight w:val="none"/>
                <w:lang w:val="en-US" w:eastAsia="zh-CN"/>
              </w:rPr>
              <w:t>）；VLNG1、VLNG2、VLNG3分为一、二、三级合建站中LNG储罐的总容积（m</w:t>
            </w:r>
            <w:r>
              <w:rPr>
                <w:rFonts w:hint="eastAsia" w:ascii="Times New Roman" w:hAnsi="Times New Roman" w:eastAsia="宋体" w:cs="Times New Roman"/>
                <w:b/>
                <w:bCs/>
                <w:color w:val="auto"/>
                <w:highlight w:val="none"/>
                <w:vertAlign w:val="superscript"/>
                <w:lang w:val="en-US" w:eastAsia="zh-CN"/>
              </w:rPr>
              <w:t>3</w:t>
            </w:r>
            <w:r>
              <w:rPr>
                <w:rFonts w:hint="eastAsia"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”为除号。</w:t>
            </w:r>
          </w:p>
          <w:p w14:paraId="19286E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2、柴油罐容积可折半计入油罐总容积。</w:t>
            </w:r>
          </w:p>
          <w:p w14:paraId="3617E372">
            <w:pPr>
              <w:keepNext w:val="0"/>
              <w:keepLines w:val="0"/>
              <w:suppressLineNumbers w:val="0"/>
              <w:spacing w:before="0" w:beforeAutospacing="0" w:after="0" w:afterAutospacing="0" w:line="360" w:lineRule="auto"/>
              <w:ind w:left="0" w:right="0" w:firstLine="482" w:firstLineChars="200"/>
              <w:rPr>
                <w:rFonts w:hint="eastAsia"/>
                <w:b/>
                <w:bCs/>
                <w:color w:val="auto"/>
                <w:szCs w:val="21"/>
                <w:highlight w:val="none"/>
              </w:rPr>
            </w:pPr>
            <w:r>
              <w:rPr>
                <w:rFonts w:hint="eastAsia" w:ascii="Times New Roman" w:hAnsi="Times New Roman" w:eastAsia="宋体" w:cs="Times New Roman"/>
                <w:b/>
                <w:bCs/>
                <w:color w:val="auto"/>
                <w:highlight w:val="none"/>
                <w:lang w:val="en-US" w:eastAsia="zh-CN"/>
              </w:rPr>
              <w:t>3、当油罐总容积大于90m</w:t>
            </w:r>
            <w:r>
              <w:rPr>
                <w:rFonts w:hint="eastAsia" w:ascii="Times New Roman" w:hAnsi="Times New Roman" w:eastAsia="宋体" w:cs="Times New Roman"/>
                <w:b/>
                <w:bCs/>
                <w:color w:val="auto"/>
                <w:highlight w:val="none"/>
                <w:vertAlign w:val="superscript"/>
                <w:lang w:val="en-US" w:eastAsia="zh-CN"/>
              </w:rPr>
              <w:t>3</w:t>
            </w:r>
            <w:r>
              <w:rPr>
                <w:rFonts w:hint="eastAsia" w:ascii="Times New Roman" w:hAnsi="Times New Roman" w:eastAsia="宋体" w:cs="Times New Roman"/>
                <w:b/>
                <w:bCs/>
                <w:color w:val="auto"/>
                <w:highlight w:val="none"/>
                <w:lang w:val="en-US" w:eastAsia="zh-CN"/>
              </w:rPr>
              <w:t>时，油罐单罐容积不应大于50m</w:t>
            </w:r>
            <w:r>
              <w:rPr>
                <w:rFonts w:hint="eastAsia" w:ascii="Times New Roman" w:hAnsi="Times New Roman" w:eastAsia="宋体" w:cs="Times New Roman"/>
                <w:b/>
                <w:bCs/>
                <w:color w:val="auto"/>
                <w:highlight w:val="none"/>
                <w:vertAlign w:val="superscript"/>
                <w:lang w:val="en-US" w:eastAsia="zh-CN"/>
              </w:rPr>
              <w:t>3</w:t>
            </w:r>
            <w:r>
              <w:rPr>
                <w:rFonts w:hint="eastAsia" w:ascii="Times New Roman" w:hAnsi="Times New Roman" w:eastAsia="宋体" w:cs="Times New Roman"/>
                <w:b/>
                <w:bCs/>
                <w:color w:val="auto"/>
                <w:highlight w:val="none"/>
                <w:lang w:val="en-US" w:eastAsia="zh-CN"/>
              </w:rPr>
              <w:t>；当油罐总容积小于90m</w:t>
            </w:r>
            <w:r>
              <w:rPr>
                <w:rFonts w:hint="eastAsia" w:ascii="Times New Roman" w:hAnsi="Times New Roman" w:eastAsia="宋体" w:cs="Times New Roman"/>
                <w:b/>
                <w:bCs/>
                <w:color w:val="auto"/>
                <w:highlight w:val="none"/>
                <w:vertAlign w:val="superscript"/>
                <w:lang w:val="en-US" w:eastAsia="zh-CN"/>
              </w:rPr>
              <w:t>3</w:t>
            </w:r>
            <w:r>
              <w:rPr>
                <w:rFonts w:hint="eastAsia" w:ascii="Times New Roman" w:hAnsi="Times New Roman" w:eastAsia="宋体" w:cs="Times New Roman"/>
                <w:b/>
                <w:bCs/>
                <w:color w:val="auto"/>
                <w:highlight w:val="none"/>
                <w:lang w:val="en-US" w:eastAsia="zh-CN"/>
              </w:rPr>
              <w:t>时，汽油罐单罐容积不应大于30m</w:t>
            </w:r>
            <w:r>
              <w:rPr>
                <w:rFonts w:hint="eastAsia" w:ascii="Times New Roman" w:hAnsi="Times New Roman" w:eastAsia="宋体" w:cs="Times New Roman"/>
                <w:b/>
                <w:bCs/>
                <w:color w:val="auto"/>
                <w:highlight w:val="none"/>
                <w:vertAlign w:val="superscript"/>
                <w:lang w:val="en-US" w:eastAsia="zh-CN"/>
              </w:rPr>
              <w:t>3</w:t>
            </w:r>
            <w:r>
              <w:rPr>
                <w:rFonts w:hint="eastAsia" w:ascii="Times New Roman" w:hAnsi="Times New Roman" w:eastAsia="宋体" w:cs="Times New Roman"/>
                <w:b/>
                <w:bCs/>
                <w:color w:val="auto"/>
                <w:highlight w:val="none"/>
                <w:lang w:val="en-US" w:eastAsia="zh-CN"/>
              </w:rPr>
              <w:t>，柴油罐单罐容积不应大于50m</w:t>
            </w:r>
            <w:r>
              <w:rPr>
                <w:rFonts w:hint="eastAsia" w:ascii="Times New Roman" w:hAnsi="Times New Roman" w:eastAsia="宋体" w:cs="Times New Roman"/>
                <w:b/>
                <w:bCs/>
                <w:color w:val="auto"/>
                <w:highlight w:val="none"/>
                <w:vertAlign w:val="superscript"/>
                <w:lang w:val="en-US" w:eastAsia="zh-CN"/>
              </w:rPr>
              <w:t>3</w:t>
            </w:r>
            <w:r>
              <w:rPr>
                <w:rFonts w:hint="eastAsia" w:ascii="Times New Roman" w:hAnsi="Times New Roman" w:eastAsia="宋体" w:cs="Times New Roman"/>
                <w:b/>
                <w:bCs/>
                <w:color w:val="auto"/>
                <w:highlight w:val="none"/>
                <w:lang w:val="en-US" w:eastAsia="zh-CN"/>
              </w:rPr>
              <w:t>。</w:t>
            </w:r>
          </w:p>
          <w:p w14:paraId="1E561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4、LNG储罐的单罐容积不应大于60m</w:t>
            </w:r>
            <w:r>
              <w:rPr>
                <w:rFonts w:hint="eastAsia" w:ascii="Times New Roman" w:hAnsi="Times New Roman" w:eastAsia="宋体" w:cs="Times New Roman"/>
                <w:b/>
                <w:bCs/>
                <w:color w:val="auto"/>
                <w:highlight w:val="none"/>
                <w:vertAlign w:val="superscript"/>
                <w:lang w:val="en-US" w:eastAsia="zh-CN"/>
              </w:rPr>
              <w:t>3</w:t>
            </w:r>
            <w:r>
              <w:rPr>
                <w:rFonts w:hint="eastAsia" w:ascii="Times New Roman" w:hAnsi="Times New Roman" w:eastAsia="宋体" w:cs="Times New Roman"/>
                <w:b/>
                <w:bCs/>
                <w:color w:val="auto"/>
                <w:highlight w:val="none"/>
                <w:lang w:val="en-US" w:eastAsia="zh-CN"/>
              </w:rPr>
              <w:t>。</w:t>
            </w:r>
          </w:p>
          <w:p w14:paraId="6A0F83E5">
            <w:pPr>
              <w:keepNext w:val="0"/>
              <w:keepLines w:val="0"/>
              <w:suppressLineNumbers w:val="0"/>
              <w:spacing w:before="0" w:beforeAutospacing="0" w:after="0" w:afterAutospacing="0" w:line="360" w:lineRule="auto"/>
              <w:ind w:left="0" w:right="0" w:firstLine="480" w:firstLineChars="200"/>
              <w:rPr>
                <w:rFonts w:hint="eastAsia"/>
                <w:color w:val="auto"/>
                <w:highlight w:val="none"/>
              </w:rPr>
            </w:pPr>
            <w:r>
              <w:rPr>
                <w:rFonts w:hint="default"/>
                <w:color w:val="auto"/>
                <w:sz w:val="24"/>
                <w:highlight w:val="none"/>
              </w:rPr>
              <w:t>根据表1-1</w:t>
            </w:r>
            <w:r>
              <w:rPr>
                <w:rFonts w:hint="eastAsia"/>
                <w:color w:val="auto"/>
                <w:sz w:val="24"/>
                <w:highlight w:val="none"/>
                <w:lang w:val="en-US" w:eastAsia="zh-CN"/>
              </w:rPr>
              <w:t>2</w:t>
            </w:r>
            <w:r>
              <w:rPr>
                <w:rFonts w:hint="default"/>
                <w:color w:val="auto"/>
                <w:sz w:val="24"/>
                <w:highlight w:val="none"/>
              </w:rPr>
              <w:t>可知，本项目</w:t>
            </w:r>
            <w:r>
              <w:rPr>
                <w:rFonts w:hint="eastAsia"/>
                <w:color w:val="auto"/>
                <w:sz w:val="24"/>
                <w:highlight w:val="none"/>
              </w:rPr>
              <w:t>属于</w:t>
            </w:r>
            <w:r>
              <w:rPr>
                <w:rFonts w:hint="eastAsia"/>
                <w:color w:val="auto"/>
                <w:sz w:val="24"/>
                <w:highlight w:val="none"/>
                <w:lang w:val="en-US" w:eastAsia="zh-CN"/>
              </w:rPr>
              <w:t>二</w:t>
            </w:r>
            <w:r>
              <w:rPr>
                <w:rFonts w:hint="eastAsia"/>
                <w:color w:val="auto"/>
                <w:sz w:val="24"/>
                <w:highlight w:val="none"/>
              </w:rPr>
              <w:t>级站</w:t>
            </w:r>
            <w:r>
              <w:rPr>
                <w:rFonts w:hint="eastAsia"/>
                <w:color w:val="auto"/>
                <w:sz w:val="24"/>
                <w:highlight w:val="none"/>
                <w:lang w:val="en-US" w:eastAsia="zh-CN"/>
              </w:rPr>
              <w:t>加气加油</w:t>
            </w:r>
            <w:r>
              <w:rPr>
                <w:rFonts w:hint="eastAsia"/>
                <w:color w:val="auto"/>
                <w:sz w:val="24"/>
                <w:highlight w:val="none"/>
              </w:rPr>
              <w:t>。且站内</w:t>
            </w:r>
            <w:r>
              <w:rPr>
                <w:rFonts w:hint="default"/>
                <w:color w:val="auto"/>
                <w:sz w:val="24"/>
                <w:highlight w:val="none"/>
              </w:rPr>
              <w:t>各类储罐设施容积满足《汽车加油加气加氢站技术标准》</w:t>
            </w:r>
            <w:r>
              <w:rPr>
                <w:rFonts w:hint="eastAsia"/>
                <w:color w:val="auto"/>
                <w:sz w:val="24"/>
                <w:highlight w:val="none"/>
              </w:rPr>
              <w:t>（</w:t>
            </w:r>
            <w:r>
              <w:rPr>
                <w:rFonts w:hint="default"/>
                <w:color w:val="auto"/>
                <w:sz w:val="24"/>
                <w:highlight w:val="none"/>
              </w:rPr>
              <w:t>GB50156-2021</w:t>
            </w:r>
            <w:r>
              <w:rPr>
                <w:rFonts w:hint="eastAsia"/>
                <w:color w:val="auto"/>
                <w:sz w:val="24"/>
                <w:highlight w:val="none"/>
              </w:rPr>
              <w:t>）</w:t>
            </w:r>
            <w:r>
              <w:rPr>
                <w:rFonts w:hint="default"/>
                <w:color w:val="auto"/>
                <w:sz w:val="24"/>
                <w:highlight w:val="none"/>
              </w:rPr>
              <w:t>要求</w:t>
            </w:r>
            <w:r>
              <w:rPr>
                <w:rFonts w:hint="eastAsia"/>
                <w:color w:val="auto"/>
                <w:sz w:val="24"/>
                <w:highlight w:val="none"/>
              </w:rPr>
              <w:t>。</w:t>
            </w:r>
          </w:p>
          <w:p w14:paraId="2FE5D8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2）加油加气站选址合理性分析</w:t>
            </w:r>
          </w:p>
          <w:p w14:paraId="0469E71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①</w:t>
            </w:r>
            <w:r>
              <w:rPr>
                <w:rFonts w:hint="default" w:ascii="Times New Roman" w:hAnsi="Times New Roman" w:eastAsia="宋体" w:cs="Times New Roman"/>
                <w:color w:val="auto"/>
                <w:sz w:val="24"/>
                <w:highlight w:val="none"/>
              </w:rPr>
              <w:t>本项目选址与《汽车加油加气加氢站技术标准》</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GB50156-2021</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中规定4</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站址选址</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的符合性分析见下表</w:t>
            </w:r>
            <w:r>
              <w:rPr>
                <w:rFonts w:hint="eastAsia" w:ascii="Times New Roman" w:hAnsi="Times New Roman" w:eastAsia="宋体" w:cs="Times New Roman"/>
                <w:color w:val="auto"/>
                <w:sz w:val="24"/>
                <w:highlight w:val="none"/>
              </w:rPr>
              <w:t>1-1</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所示。</w:t>
            </w:r>
          </w:p>
          <w:p w14:paraId="10D18D4C">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表1-1</w:t>
            </w:r>
            <w:r>
              <w:rPr>
                <w:rFonts w:hint="eastAsia" w:eastAsia="黑体" w:cs="Times New Roman"/>
                <w:b/>
                <w:bCs/>
                <w:color w:val="auto"/>
                <w:kern w:val="0"/>
                <w:sz w:val="20"/>
                <w:szCs w:val="20"/>
                <w:highlight w:val="none"/>
                <w:lang w:val="en-US" w:eastAsia="zh-CN" w:bidi="ar-SA"/>
              </w:rPr>
              <w:t>3</w:t>
            </w:r>
            <w:r>
              <w:rPr>
                <w:rFonts w:hint="eastAsia" w:ascii="Times New Roman" w:hAnsi="Times New Roman" w:eastAsia="黑体" w:cs="Times New Roman"/>
                <w:b/>
                <w:bCs/>
                <w:color w:val="auto"/>
                <w:kern w:val="0"/>
                <w:sz w:val="20"/>
                <w:szCs w:val="20"/>
                <w:highlight w:val="none"/>
                <w:lang w:val="en-US" w:eastAsia="zh-CN" w:bidi="ar-SA"/>
              </w:rPr>
              <w:t>项目选址与《汽车加油加气加氢站技术标准》对比表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4026"/>
              <w:gridCol w:w="3568"/>
              <w:gridCol w:w="652"/>
            </w:tblGrid>
            <w:tr w14:paraId="626D7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7" w:type="pct"/>
                  <w:gridSpan w:val="2"/>
                  <w:tcBorders>
                    <w:tl2br w:val="nil"/>
                    <w:tr2bl w:val="nil"/>
                  </w:tcBorders>
                  <w:noWrap w:val="0"/>
                  <w:vAlign w:val="center"/>
                </w:tcPr>
                <w:p w14:paraId="0F182E5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《汽车加油加气加氢站技术标准》 （GB50156-2021）规定4 站址选择</w:t>
                  </w:r>
                </w:p>
              </w:tc>
              <w:tc>
                <w:tcPr>
                  <w:tcW w:w="1921" w:type="pct"/>
                  <w:tcBorders>
                    <w:tl2br w:val="nil"/>
                    <w:tr2bl w:val="nil"/>
                  </w:tcBorders>
                  <w:noWrap w:val="0"/>
                  <w:vAlign w:val="center"/>
                </w:tcPr>
                <w:p w14:paraId="7AAFBAD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本项目情况</w:t>
                  </w:r>
                </w:p>
              </w:tc>
              <w:tc>
                <w:tcPr>
                  <w:tcW w:w="351" w:type="pct"/>
                  <w:tcBorders>
                    <w:tl2br w:val="nil"/>
                    <w:tr2bl w:val="nil"/>
                  </w:tcBorders>
                  <w:noWrap w:val="0"/>
                  <w:vAlign w:val="center"/>
                </w:tcPr>
                <w:p w14:paraId="45E7F77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符合性</w:t>
                  </w:r>
                </w:p>
              </w:tc>
            </w:tr>
            <w:tr w14:paraId="326D6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9" w:type="pct"/>
                  <w:tcBorders>
                    <w:tl2br w:val="nil"/>
                    <w:tr2bl w:val="nil"/>
                  </w:tcBorders>
                  <w:noWrap w:val="0"/>
                  <w:vAlign w:val="center"/>
                </w:tcPr>
                <w:p w14:paraId="402A5C5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4.0.1</w:t>
                  </w:r>
                </w:p>
              </w:tc>
              <w:tc>
                <w:tcPr>
                  <w:tcW w:w="2167" w:type="pct"/>
                  <w:tcBorders>
                    <w:tl2br w:val="nil"/>
                    <w:tr2bl w:val="nil"/>
                  </w:tcBorders>
                  <w:noWrap w:val="0"/>
                  <w:vAlign w:val="center"/>
                </w:tcPr>
                <w:p w14:paraId="4901BDA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加油加气加氢站的站址选择，应符合有关规划、环境保护和防火安全的要求，并应选在交通便利、用户使用方便的地点。</w:t>
                  </w:r>
                </w:p>
              </w:tc>
              <w:tc>
                <w:tcPr>
                  <w:tcW w:w="1921" w:type="pct"/>
                  <w:tcBorders>
                    <w:tl2br w:val="nil"/>
                    <w:tr2bl w:val="nil"/>
                  </w:tcBorders>
                  <w:noWrap w:val="0"/>
                  <w:vAlign w:val="center"/>
                </w:tcPr>
                <w:p w14:paraId="2A4CBE1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本项目选址位于达州市环城路二期及环凤产业大道沿线片区03-B-01-05地块，为规划的加油加气站用地，项目南</w:t>
                  </w:r>
                  <w:r>
                    <w:rPr>
                      <w:rFonts w:hint="eastAsia" w:cs="Times New Roman"/>
                      <w:b w:val="0"/>
                      <w:bCs w:val="0"/>
                      <w:color w:val="auto"/>
                      <w:kern w:val="0"/>
                      <w:sz w:val="21"/>
                      <w:szCs w:val="21"/>
                      <w:highlight w:val="none"/>
                      <w:lang w:val="en-US" w:eastAsia="zh-CN" w:bidi="ar"/>
                    </w:rPr>
                    <w:t>侧紧邻达州绕城公路</w:t>
                  </w:r>
                  <w:r>
                    <w:rPr>
                      <w:rFonts w:hint="eastAsia" w:ascii="Times New Roman" w:hAnsi="Times New Roman" w:eastAsia="宋体" w:cs="Times New Roman"/>
                      <w:b w:val="0"/>
                      <w:bCs w:val="0"/>
                      <w:color w:val="auto"/>
                      <w:kern w:val="0"/>
                      <w:sz w:val="21"/>
                      <w:szCs w:val="21"/>
                      <w:highlight w:val="none"/>
                      <w:lang w:val="en-US" w:eastAsia="zh-CN" w:bidi="ar"/>
                    </w:rPr>
                    <w:t>，交通便利，符合城乡规划、环境保护及防火安全要求。</w:t>
                  </w:r>
                </w:p>
              </w:tc>
              <w:tc>
                <w:tcPr>
                  <w:tcW w:w="351" w:type="pct"/>
                  <w:tcBorders>
                    <w:tl2br w:val="nil"/>
                    <w:tr2bl w:val="nil"/>
                  </w:tcBorders>
                  <w:noWrap w:val="0"/>
                  <w:vAlign w:val="center"/>
                </w:tcPr>
                <w:p w14:paraId="332D4F7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23111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9" w:type="pct"/>
                  <w:tcBorders>
                    <w:tl2br w:val="nil"/>
                    <w:tr2bl w:val="nil"/>
                  </w:tcBorders>
                  <w:noWrap w:val="0"/>
                  <w:vAlign w:val="center"/>
                </w:tcPr>
                <w:p w14:paraId="106E163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4.0.2</w:t>
                  </w:r>
                </w:p>
              </w:tc>
              <w:tc>
                <w:tcPr>
                  <w:tcW w:w="2167" w:type="pct"/>
                  <w:tcBorders>
                    <w:tl2br w:val="nil"/>
                    <w:tr2bl w:val="nil"/>
                  </w:tcBorders>
                  <w:noWrap w:val="0"/>
                  <w:vAlign w:val="center"/>
                </w:tcPr>
                <w:p w14:paraId="7F50FD8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在城市中心区不应建一级汽车加油加气加氢站、CNG加气母站。</w:t>
                  </w:r>
                </w:p>
              </w:tc>
              <w:tc>
                <w:tcPr>
                  <w:tcW w:w="1921" w:type="pct"/>
                  <w:tcBorders>
                    <w:tl2br w:val="nil"/>
                    <w:tr2bl w:val="nil"/>
                  </w:tcBorders>
                  <w:noWrap w:val="0"/>
                  <w:vAlign w:val="center"/>
                </w:tcPr>
                <w:p w14:paraId="7311B8D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本项目为</w:t>
                  </w:r>
                  <w:r>
                    <w:rPr>
                      <w:rFonts w:hint="eastAsia" w:cs="Times New Roman"/>
                      <w:b w:val="0"/>
                      <w:bCs w:val="0"/>
                      <w:color w:val="auto"/>
                      <w:kern w:val="0"/>
                      <w:sz w:val="21"/>
                      <w:szCs w:val="21"/>
                      <w:highlight w:val="none"/>
                      <w:lang w:val="en-US" w:eastAsia="zh-CN" w:bidi="ar"/>
                    </w:rPr>
                    <w:t>二</w:t>
                  </w:r>
                  <w:r>
                    <w:rPr>
                      <w:rFonts w:hint="eastAsia" w:ascii="Times New Roman" w:hAnsi="Times New Roman" w:eastAsia="宋体" w:cs="Times New Roman"/>
                      <w:b w:val="0"/>
                      <w:bCs w:val="0"/>
                      <w:color w:val="auto"/>
                      <w:kern w:val="0"/>
                      <w:sz w:val="21"/>
                      <w:szCs w:val="21"/>
                      <w:highlight w:val="none"/>
                      <w:lang w:val="en-US" w:eastAsia="zh-CN" w:bidi="ar"/>
                    </w:rPr>
                    <w:t>级加油加气合建站</w:t>
                  </w:r>
                </w:p>
              </w:tc>
              <w:tc>
                <w:tcPr>
                  <w:tcW w:w="351" w:type="pct"/>
                  <w:tcBorders>
                    <w:tl2br w:val="nil"/>
                    <w:tr2bl w:val="nil"/>
                  </w:tcBorders>
                  <w:noWrap w:val="0"/>
                  <w:vAlign w:val="center"/>
                </w:tcPr>
                <w:p w14:paraId="628E817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6DEE5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9" w:type="pct"/>
                  <w:tcBorders>
                    <w:tl2br w:val="nil"/>
                    <w:tr2bl w:val="nil"/>
                  </w:tcBorders>
                  <w:noWrap w:val="0"/>
                  <w:vAlign w:val="center"/>
                </w:tcPr>
                <w:p w14:paraId="64A9A6B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4.0.3</w:t>
                  </w:r>
                </w:p>
              </w:tc>
              <w:tc>
                <w:tcPr>
                  <w:tcW w:w="2167" w:type="pct"/>
                  <w:tcBorders>
                    <w:tl2br w:val="nil"/>
                    <w:tr2bl w:val="nil"/>
                  </w:tcBorders>
                  <w:noWrap w:val="0"/>
                  <w:vAlign w:val="center"/>
                </w:tcPr>
                <w:p w14:paraId="6908E30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城市建成区内的汽车加油加气加氢站宜靠近城市道路，但不宜选在城市干道的交叉路口附近。</w:t>
                  </w:r>
                </w:p>
              </w:tc>
              <w:tc>
                <w:tcPr>
                  <w:tcW w:w="1921" w:type="pct"/>
                  <w:tcBorders>
                    <w:tl2br w:val="nil"/>
                    <w:tr2bl w:val="nil"/>
                  </w:tcBorders>
                  <w:noWrap w:val="0"/>
                  <w:vAlign w:val="center"/>
                </w:tcPr>
                <w:p w14:paraId="597DFBC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本项目南</w:t>
                  </w:r>
                  <w:r>
                    <w:rPr>
                      <w:rFonts w:hint="eastAsia" w:cs="Times New Roman"/>
                      <w:b w:val="0"/>
                      <w:bCs w:val="0"/>
                      <w:color w:val="auto"/>
                      <w:kern w:val="0"/>
                      <w:sz w:val="21"/>
                      <w:szCs w:val="21"/>
                      <w:highlight w:val="none"/>
                      <w:lang w:val="en-US" w:eastAsia="zh-CN" w:bidi="ar"/>
                    </w:rPr>
                    <w:t>侧紧邻达州绕城公路</w:t>
                  </w:r>
                  <w:r>
                    <w:rPr>
                      <w:rFonts w:hint="eastAsia" w:ascii="Times New Roman" w:hAnsi="Times New Roman" w:eastAsia="宋体" w:cs="Times New Roman"/>
                      <w:b w:val="0"/>
                      <w:bCs w:val="0"/>
                      <w:color w:val="auto"/>
                      <w:kern w:val="0"/>
                      <w:sz w:val="21"/>
                      <w:szCs w:val="21"/>
                      <w:highlight w:val="none"/>
                      <w:lang w:val="en-US" w:eastAsia="zh-CN" w:bidi="ar"/>
                    </w:rPr>
                    <w:t>，且不位于道路交叉口处。</w:t>
                  </w:r>
                </w:p>
              </w:tc>
              <w:tc>
                <w:tcPr>
                  <w:tcW w:w="351" w:type="pct"/>
                  <w:tcBorders>
                    <w:tl2br w:val="nil"/>
                    <w:tr2bl w:val="nil"/>
                  </w:tcBorders>
                  <w:noWrap w:val="0"/>
                  <w:vAlign w:val="center"/>
                </w:tcPr>
                <w:p w14:paraId="016F9CE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44C11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9" w:type="pct"/>
                  <w:tcBorders>
                    <w:tl2br w:val="nil"/>
                    <w:tr2bl w:val="nil"/>
                  </w:tcBorders>
                  <w:noWrap w:val="0"/>
                  <w:vAlign w:val="center"/>
                </w:tcPr>
                <w:p w14:paraId="347EDA5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4.0.4</w:t>
                  </w:r>
                </w:p>
              </w:tc>
              <w:tc>
                <w:tcPr>
                  <w:tcW w:w="2167" w:type="pct"/>
                  <w:tcBorders>
                    <w:tl2br w:val="nil"/>
                    <w:tr2bl w:val="nil"/>
                  </w:tcBorders>
                  <w:noWrap w:val="0"/>
                  <w:vAlign w:val="center"/>
                </w:tcPr>
                <w:p w14:paraId="79FFEF5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加油站、加油加气合建站中的汽油、柴油工艺设备与站外建（构）筑物的安全间距，不应小于表4.0.4的规定。</w:t>
                  </w:r>
                </w:p>
              </w:tc>
              <w:tc>
                <w:tcPr>
                  <w:tcW w:w="1921" w:type="pct"/>
                  <w:tcBorders>
                    <w:tl2br w:val="nil"/>
                    <w:tr2bl w:val="nil"/>
                  </w:tcBorders>
                  <w:noWrap w:val="0"/>
                  <w:vAlign w:val="center"/>
                </w:tcPr>
                <w:p w14:paraId="5F86183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满足要求，具体详见表1-1</w:t>
                  </w:r>
                  <w:r>
                    <w:rPr>
                      <w:rFonts w:hint="eastAsia" w:cs="Times New Roman"/>
                      <w:b w:val="0"/>
                      <w:bCs w:val="0"/>
                      <w:color w:val="auto"/>
                      <w:kern w:val="0"/>
                      <w:sz w:val="21"/>
                      <w:szCs w:val="21"/>
                      <w:highlight w:val="none"/>
                      <w:lang w:val="en-US" w:eastAsia="zh-CN" w:bidi="ar"/>
                    </w:rPr>
                    <w:t>4</w:t>
                  </w:r>
                  <w:r>
                    <w:rPr>
                      <w:rFonts w:hint="eastAsia" w:ascii="Times New Roman" w:hAnsi="Times New Roman" w:eastAsia="宋体" w:cs="Times New Roman"/>
                      <w:b w:val="0"/>
                      <w:bCs w:val="0"/>
                      <w:color w:val="auto"/>
                      <w:kern w:val="0"/>
                      <w:sz w:val="21"/>
                      <w:szCs w:val="21"/>
                      <w:highlight w:val="none"/>
                      <w:lang w:val="en-US" w:eastAsia="zh-CN" w:bidi="ar"/>
                    </w:rPr>
                    <w:t>。</w:t>
                  </w:r>
                </w:p>
              </w:tc>
              <w:tc>
                <w:tcPr>
                  <w:tcW w:w="351" w:type="pct"/>
                  <w:tcBorders>
                    <w:tl2br w:val="nil"/>
                    <w:tr2bl w:val="nil"/>
                  </w:tcBorders>
                  <w:noWrap w:val="0"/>
                  <w:vAlign w:val="center"/>
                </w:tcPr>
                <w:p w14:paraId="748AD5D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0D42A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9" w:type="pct"/>
                  <w:tcBorders>
                    <w:tl2br w:val="nil"/>
                    <w:tr2bl w:val="nil"/>
                  </w:tcBorders>
                  <w:noWrap w:val="0"/>
                  <w:vAlign w:val="center"/>
                </w:tcPr>
                <w:p w14:paraId="5457816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4.0.7</w:t>
                  </w:r>
                </w:p>
              </w:tc>
              <w:tc>
                <w:tcPr>
                  <w:tcW w:w="2167" w:type="pct"/>
                  <w:tcBorders>
                    <w:tl2br w:val="nil"/>
                    <w:tr2bl w:val="nil"/>
                  </w:tcBorders>
                  <w:noWrap w:val="0"/>
                  <w:vAlign w:val="center"/>
                </w:tcPr>
                <w:p w14:paraId="33BEE14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LNG加气站、各类合建站中的LNG工艺设备与站外建（构）筑物的安全间距，不应小于表4.0.7的规定。</w:t>
                  </w:r>
                </w:p>
              </w:tc>
              <w:tc>
                <w:tcPr>
                  <w:tcW w:w="1921" w:type="pct"/>
                  <w:tcBorders>
                    <w:tl2br w:val="nil"/>
                    <w:tr2bl w:val="nil"/>
                  </w:tcBorders>
                  <w:noWrap w:val="0"/>
                  <w:vAlign w:val="center"/>
                </w:tcPr>
                <w:p w14:paraId="68E1A01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满足要求，具体详见表1-1</w:t>
                  </w:r>
                  <w:r>
                    <w:rPr>
                      <w:rFonts w:hint="eastAsia" w:cs="Times New Roman"/>
                      <w:b w:val="0"/>
                      <w:bCs w:val="0"/>
                      <w:color w:val="auto"/>
                      <w:kern w:val="0"/>
                      <w:sz w:val="21"/>
                      <w:szCs w:val="21"/>
                      <w:highlight w:val="none"/>
                      <w:lang w:val="en-US" w:eastAsia="zh-CN" w:bidi="ar"/>
                    </w:rPr>
                    <w:t>5</w:t>
                  </w:r>
                  <w:r>
                    <w:rPr>
                      <w:rFonts w:hint="eastAsia" w:ascii="Times New Roman" w:hAnsi="Times New Roman" w:eastAsia="宋体" w:cs="Times New Roman"/>
                      <w:b w:val="0"/>
                      <w:bCs w:val="0"/>
                      <w:color w:val="auto"/>
                      <w:kern w:val="0"/>
                      <w:sz w:val="21"/>
                      <w:szCs w:val="21"/>
                      <w:highlight w:val="none"/>
                      <w:lang w:val="en-US" w:eastAsia="zh-CN" w:bidi="ar"/>
                    </w:rPr>
                    <w:t>。</w:t>
                  </w:r>
                </w:p>
              </w:tc>
              <w:tc>
                <w:tcPr>
                  <w:tcW w:w="351" w:type="pct"/>
                  <w:tcBorders>
                    <w:tl2br w:val="nil"/>
                    <w:tr2bl w:val="nil"/>
                  </w:tcBorders>
                  <w:noWrap w:val="0"/>
                  <w:vAlign w:val="center"/>
                </w:tcPr>
                <w:p w14:paraId="7364907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10160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9" w:type="pct"/>
                  <w:tcBorders>
                    <w:tl2br w:val="nil"/>
                    <w:tr2bl w:val="nil"/>
                  </w:tcBorders>
                  <w:noWrap w:val="0"/>
                  <w:vAlign w:val="center"/>
                </w:tcPr>
                <w:p w14:paraId="0F444B4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4.0.12</w:t>
                  </w:r>
                </w:p>
              </w:tc>
              <w:tc>
                <w:tcPr>
                  <w:tcW w:w="2167" w:type="pct"/>
                  <w:tcBorders>
                    <w:tl2br w:val="nil"/>
                    <w:tr2bl w:val="nil"/>
                  </w:tcBorders>
                  <w:noWrap w:val="0"/>
                  <w:vAlign w:val="center"/>
                </w:tcPr>
                <w:p w14:paraId="1B56788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架空电力线路不应跨越加油加气加氢站的作业区。架空通信线路不应跨越加气站、加氢合建站中加氢设施的作业区。</w:t>
                  </w:r>
                </w:p>
              </w:tc>
              <w:tc>
                <w:tcPr>
                  <w:tcW w:w="1921" w:type="pct"/>
                  <w:tcBorders>
                    <w:tl2br w:val="nil"/>
                    <w:tr2bl w:val="nil"/>
                  </w:tcBorders>
                  <w:noWrap w:val="0"/>
                  <w:vAlign w:val="center"/>
                </w:tcPr>
                <w:p w14:paraId="7C52FE1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工程区不涉及架空电路线路跨越作业区。</w:t>
                  </w:r>
                </w:p>
              </w:tc>
              <w:tc>
                <w:tcPr>
                  <w:tcW w:w="351" w:type="pct"/>
                  <w:tcBorders>
                    <w:tl2br w:val="nil"/>
                    <w:tr2bl w:val="nil"/>
                  </w:tcBorders>
                  <w:noWrap w:val="0"/>
                  <w:vAlign w:val="center"/>
                </w:tcPr>
                <w:p w14:paraId="6DBC7A5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r w14:paraId="220BE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9" w:type="pct"/>
                  <w:tcBorders>
                    <w:tl2br w:val="nil"/>
                    <w:tr2bl w:val="nil"/>
                  </w:tcBorders>
                  <w:noWrap w:val="0"/>
                  <w:vAlign w:val="center"/>
                </w:tcPr>
                <w:p w14:paraId="6239A9D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4.0.13</w:t>
                  </w:r>
                </w:p>
              </w:tc>
              <w:tc>
                <w:tcPr>
                  <w:tcW w:w="2167" w:type="pct"/>
                  <w:tcBorders>
                    <w:tl2br w:val="nil"/>
                    <w:tr2bl w:val="nil"/>
                  </w:tcBorders>
                  <w:noWrap w:val="0"/>
                  <w:vAlign w:val="center"/>
                </w:tcPr>
                <w:p w14:paraId="796F9BB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与汽车加油加气加氢站无关的可燃介质管道不应穿越汽车加油加气加氢站用地范围。</w:t>
                  </w:r>
                </w:p>
              </w:tc>
              <w:tc>
                <w:tcPr>
                  <w:tcW w:w="1921" w:type="pct"/>
                  <w:tcBorders>
                    <w:tl2br w:val="nil"/>
                    <w:tr2bl w:val="nil"/>
                  </w:tcBorders>
                  <w:noWrap w:val="0"/>
                  <w:vAlign w:val="center"/>
                </w:tcPr>
                <w:p w14:paraId="709E6C8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本项目用地范围内不涉及与本项目无关的可燃介质管道。</w:t>
                  </w:r>
                </w:p>
              </w:tc>
              <w:tc>
                <w:tcPr>
                  <w:tcW w:w="351" w:type="pct"/>
                  <w:tcBorders>
                    <w:tl2br w:val="nil"/>
                    <w:tr2bl w:val="nil"/>
                  </w:tcBorders>
                  <w:noWrap w:val="0"/>
                  <w:vAlign w:val="center"/>
                </w:tcPr>
                <w:p w14:paraId="0A89612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符合</w:t>
                  </w:r>
                </w:p>
              </w:tc>
            </w:tr>
          </w:tbl>
          <w:p w14:paraId="42CB749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rPr>
              <w:t>本项目汽油</w:t>
            </w:r>
            <w:r>
              <w:rPr>
                <w:rFonts w:hint="eastAsia" w:ascii="Times New Roman" w:hAnsi="Times New Roman" w:eastAsia="宋体" w:cs="Times New Roman"/>
                <w:color w:val="auto"/>
                <w:sz w:val="24"/>
                <w:highlight w:val="none"/>
              </w:rPr>
              <w:t>、柴油工艺设备</w:t>
            </w:r>
            <w:r>
              <w:rPr>
                <w:rFonts w:hint="default" w:ascii="Times New Roman" w:hAnsi="Times New Roman" w:eastAsia="宋体" w:cs="Times New Roman"/>
                <w:color w:val="auto"/>
                <w:sz w:val="24"/>
                <w:highlight w:val="none"/>
              </w:rPr>
              <w:t>与《汽车加油加气加氢站技术标准》</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GB50156-2021</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中</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与站外建</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构</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筑物安全距离</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的符合性分析见下表</w:t>
            </w:r>
            <w:r>
              <w:rPr>
                <w:rFonts w:hint="eastAsia" w:ascii="Times New Roman" w:hAnsi="Times New Roman" w:eastAsia="宋体" w:cs="Times New Roman"/>
                <w:color w:val="auto"/>
                <w:sz w:val="24"/>
                <w:highlight w:val="none"/>
              </w:rPr>
              <w:t>1-1</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所示。</w:t>
            </w:r>
          </w:p>
          <w:p w14:paraId="5380CE26">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表1-1</w:t>
            </w:r>
            <w:r>
              <w:rPr>
                <w:rFonts w:hint="eastAsia" w:eastAsia="黑体" w:cs="Times New Roman"/>
                <w:b/>
                <w:bCs/>
                <w:color w:val="auto"/>
                <w:kern w:val="0"/>
                <w:sz w:val="20"/>
                <w:szCs w:val="20"/>
                <w:highlight w:val="none"/>
                <w:lang w:val="en-US" w:eastAsia="zh-CN" w:bidi="ar-SA"/>
              </w:rPr>
              <w:t>4</w:t>
            </w:r>
            <w:r>
              <w:rPr>
                <w:rFonts w:hint="eastAsia" w:ascii="Times New Roman" w:hAnsi="Times New Roman" w:eastAsia="黑体" w:cs="Times New Roman"/>
                <w:b/>
                <w:bCs/>
                <w:color w:val="auto"/>
                <w:kern w:val="0"/>
                <w:sz w:val="20"/>
                <w:szCs w:val="20"/>
                <w:highlight w:val="none"/>
                <w:lang w:val="en-US" w:eastAsia="zh-CN" w:bidi="ar-SA"/>
              </w:rPr>
              <w:t>项目汽油（柴油）工艺设备与站外建（构）筑物安全距离 (m)</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89"/>
              <w:gridCol w:w="1688"/>
              <w:gridCol w:w="1093"/>
              <w:gridCol w:w="1093"/>
              <w:gridCol w:w="1113"/>
              <w:gridCol w:w="1024"/>
              <w:gridCol w:w="2"/>
              <w:gridCol w:w="1022"/>
              <w:gridCol w:w="4"/>
              <w:gridCol w:w="1026"/>
              <w:gridCol w:w="634"/>
            </w:tblGrid>
            <w:tr w14:paraId="2362A6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25" w:type="pct"/>
                  <w:gridSpan w:val="2"/>
                  <w:vMerge w:val="restart"/>
                  <w:tcBorders>
                    <w:tl2br w:val="nil"/>
                    <w:tr2bl w:val="nil"/>
                  </w:tcBorders>
                  <w:noWrap w:val="0"/>
                  <w:vAlign w:val="center"/>
                </w:tcPr>
                <w:p w14:paraId="066A684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站外建（构）筑物</w:t>
                  </w:r>
                </w:p>
              </w:tc>
              <w:tc>
                <w:tcPr>
                  <w:tcW w:w="1775" w:type="pct"/>
                  <w:gridSpan w:val="3"/>
                  <w:tcBorders>
                    <w:tl2br w:val="nil"/>
                    <w:tr2bl w:val="nil"/>
                  </w:tcBorders>
                  <w:noWrap w:val="0"/>
                  <w:vAlign w:val="center"/>
                </w:tcPr>
                <w:p w14:paraId="154B223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（GB50156-2021）中二级</w:t>
                  </w:r>
                  <w:r>
                    <w:rPr>
                      <w:rFonts w:hint="eastAsia" w:cs="Times New Roman"/>
                      <w:b/>
                      <w:bCs/>
                      <w:color w:val="auto"/>
                      <w:kern w:val="0"/>
                      <w:sz w:val="21"/>
                      <w:szCs w:val="21"/>
                      <w:highlight w:val="none"/>
                      <w:lang w:val="en-US" w:eastAsia="zh-CN" w:bidi="ar"/>
                    </w:rPr>
                    <w:t>站</w:t>
                  </w:r>
                  <w:r>
                    <w:rPr>
                      <w:rFonts w:hint="eastAsia" w:ascii="Times New Roman" w:hAnsi="Times New Roman" w:eastAsia="宋体" w:cs="Times New Roman"/>
                      <w:b/>
                      <w:bCs/>
                      <w:color w:val="auto"/>
                      <w:kern w:val="0"/>
                      <w:sz w:val="21"/>
                      <w:szCs w:val="21"/>
                      <w:highlight w:val="none"/>
                      <w:lang w:val="en-US" w:eastAsia="zh-CN" w:bidi="ar"/>
                    </w:rPr>
                    <w:t>内汽柴油工艺设备安全间距</w:t>
                  </w:r>
                </w:p>
              </w:tc>
              <w:tc>
                <w:tcPr>
                  <w:tcW w:w="1656" w:type="pct"/>
                  <w:gridSpan w:val="5"/>
                  <w:tcBorders>
                    <w:tl2br w:val="nil"/>
                    <w:tr2bl w:val="nil"/>
                  </w:tcBorders>
                  <w:noWrap w:val="0"/>
                  <w:vAlign w:val="center"/>
                </w:tcPr>
                <w:p w14:paraId="7810A06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本项目（二级加油与LNG合建站）内汽油（柴油）设备</w:t>
                  </w:r>
                </w:p>
              </w:tc>
              <w:tc>
                <w:tcPr>
                  <w:tcW w:w="341" w:type="pct"/>
                  <w:vMerge w:val="restart"/>
                  <w:tcBorders>
                    <w:tl2br w:val="nil"/>
                    <w:tr2bl w:val="nil"/>
                  </w:tcBorders>
                  <w:noWrap w:val="0"/>
                  <w:vAlign w:val="center"/>
                </w:tcPr>
                <w:p w14:paraId="3870D90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是否 满足</w:t>
                  </w:r>
                </w:p>
              </w:tc>
            </w:tr>
            <w:tr w14:paraId="1AC5F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25" w:type="pct"/>
                  <w:gridSpan w:val="2"/>
                  <w:vMerge w:val="continue"/>
                  <w:tcBorders>
                    <w:tl2br w:val="nil"/>
                    <w:tr2bl w:val="nil"/>
                  </w:tcBorders>
                  <w:noWrap w:val="0"/>
                  <w:vAlign w:val="center"/>
                </w:tcPr>
                <w:p w14:paraId="352EA60A">
                  <w:pPr>
                    <w:pStyle w:val="39"/>
                    <w:keepNext w:val="0"/>
                    <w:keepLines w:val="0"/>
                    <w:suppressLineNumbers w:val="0"/>
                    <w:spacing w:before="0" w:beforeAutospacing="0" w:after="0" w:afterAutospacing="0" w:line="240" w:lineRule="exact"/>
                    <w:ind w:left="0" w:right="0"/>
                    <w:jc w:val="center"/>
                    <w:rPr>
                      <w:rFonts w:hint="default"/>
                      <w:color w:val="auto"/>
                      <w:kern w:val="2"/>
                      <w:sz w:val="21"/>
                      <w:szCs w:val="21"/>
                      <w:highlight w:val="none"/>
                      <w:lang w:eastAsia="zh-CN"/>
                    </w:rPr>
                  </w:pPr>
                </w:p>
              </w:tc>
              <w:tc>
                <w:tcPr>
                  <w:tcW w:w="588" w:type="pct"/>
                  <w:tcBorders>
                    <w:tl2br w:val="nil"/>
                    <w:tr2bl w:val="nil"/>
                  </w:tcBorders>
                  <w:noWrap w:val="0"/>
                  <w:vAlign w:val="center"/>
                </w:tcPr>
                <w:p w14:paraId="18AB0B9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埋地油罐</w:t>
                  </w:r>
                </w:p>
              </w:tc>
              <w:tc>
                <w:tcPr>
                  <w:tcW w:w="588" w:type="pct"/>
                  <w:tcBorders>
                    <w:tl2br w:val="nil"/>
                    <w:tr2bl w:val="nil"/>
                  </w:tcBorders>
                  <w:noWrap w:val="0"/>
                  <w:vAlign w:val="center"/>
                </w:tcPr>
                <w:p w14:paraId="17EF628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加油机</w:t>
                  </w:r>
                </w:p>
              </w:tc>
              <w:tc>
                <w:tcPr>
                  <w:tcW w:w="599" w:type="pct"/>
                  <w:tcBorders>
                    <w:tl2br w:val="nil"/>
                    <w:tr2bl w:val="nil"/>
                  </w:tcBorders>
                  <w:noWrap w:val="0"/>
                  <w:vAlign w:val="center"/>
                </w:tcPr>
                <w:p w14:paraId="5051E47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通气管</w:t>
                  </w:r>
                </w:p>
                <w:p w14:paraId="4389A7E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管口</w:t>
                  </w:r>
                </w:p>
              </w:tc>
              <w:tc>
                <w:tcPr>
                  <w:tcW w:w="551" w:type="pct"/>
                  <w:tcBorders>
                    <w:tl2br w:val="nil"/>
                    <w:tr2bl w:val="nil"/>
                  </w:tcBorders>
                  <w:noWrap w:val="0"/>
                  <w:vAlign w:val="center"/>
                </w:tcPr>
                <w:p w14:paraId="6CEBF96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埋地油罐</w:t>
                  </w:r>
                </w:p>
              </w:tc>
              <w:tc>
                <w:tcPr>
                  <w:tcW w:w="551" w:type="pct"/>
                  <w:gridSpan w:val="2"/>
                  <w:tcBorders>
                    <w:tl2br w:val="nil"/>
                    <w:tr2bl w:val="nil"/>
                  </w:tcBorders>
                  <w:noWrap w:val="0"/>
                  <w:vAlign w:val="center"/>
                </w:tcPr>
                <w:p w14:paraId="6839020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加油机</w:t>
                  </w:r>
                </w:p>
              </w:tc>
              <w:tc>
                <w:tcPr>
                  <w:tcW w:w="554" w:type="pct"/>
                  <w:gridSpan w:val="2"/>
                  <w:tcBorders>
                    <w:tl2br w:val="nil"/>
                    <w:tr2bl w:val="nil"/>
                  </w:tcBorders>
                  <w:noWrap w:val="0"/>
                  <w:vAlign w:val="center"/>
                </w:tcPr>
                <w:p w14:paraId="615F9EF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通气管</w:t>
                  </w:r>
                </w:p>
                <w:p w14:paraId="1EB6844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管口</w:t>
                  </w:r>
                </w:p>
              </w:tc>
              <w:tc>
                <w:tcPr>
                  <w:tcW w:w="341" w:type="pct"/>
                  <w:vMerge w:val="continue"/>
                  <w:tcBorders>
                    <w:tl2br w:val="nil"/>
                    <w:tr2bl w:val="nil"/>
                  </w:tcBorders>
                  <w:noWrap w:val="0"/>
                  <w:vAlign w:val="center"/>
                </w:tcPr>
                <w:p w14:paraId="78BA16B2">
                  <w:pPr>
                    <w:pStyle w:val="39"/>
                    <w:keepNext w:val="0"/>
                    <w:keepLines w:val="0"/>
                    <w:suppressLineNumbers w:val="0"/>
                    <w:spacing w:before="0" w:beforeAutospacing="0" w:after="0" w:afterAutospacing="0" w:line="240" w:lineRule="exact"/>
                    <w:ind w:left="0" w:right="0"/>
                    <w:jc w:val="center"/>
                    <w:rPr>
                      <w:rFonts w:hint="default"/>
                      <w:color w:val="auto"/>
                      <w:kern w:val="2"/>
                      <w:sz w:val="21"/>
                      <w:szCs w:val="21"/>
                      <w:highlight w:val="none"/>
                      <w:lang w:eastAsia="zh-CN"/>
                    </w:rPr>
                  </w:pPr>
                </w:p>
              </w:tc>
            </w:tr>
            <w:tr w14:paraId="09C93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16" w:hRule="atLeast"/>
              </w:trPr>
              <w:tc>
                <w:tcPr>
                  <w:tcW w:w="1225" w:type="pct"/>
                  <w:gridSpan w:val="2"/>
                  <w:tcBorders>
                    <w:tl2br w:val="nil"/>
                    <w:tr2bl w:val="nil"/>
                  </w:tcBorders>
                  <w:noWrap w:val="0"/>
                  <w:vAlign w:val="center"/>
                </w:tcPr>
                <w:p w14:paraId="012763D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重要公共建筑物</w:t>
                  </w:r>
                </w:p>
              </w:tc>
              <w:tc>
                <w:tcPr>
                  <w:tcW w:w="588" w:type="pct"/>
                  <w:tcBorders>
                    <w:tl2br w:val="nil"/>
                    <w:tr2bl w:val="nil"/>
                  </w:tcBorders>
                  <w:noWrap w:val="0"/>
                  <w:vAlign w:val="center"/>
                </w:tcPr>
                <w:p w14:paraId="2CE78B6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35（25）</w:t>
                  </w:r>
                </w:p>
              </w:tc>
              <w:tc>
                <w:tcPr>
                  <w:tcW w:w="588" w:type="pct"/>
                  <w:tcBorders>
                    <w:tl2br w:val="nil"/>
                    <w:tr2bl w:val="nil"/>
                  </w:tcBorders>
                  <w:noWrap w:val="0"/>
                  <w:vAlign w:val="center"/>
                </w:tcPr>
                <w:p w14:paraId="2875F91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35（25）</w:t>
                  </w:r>
                </w:p>
              </w:tc>
              <w:tc>
                <w:tcPr>
                  <w:tcW w:w="599" w:type="pct"/>
                  <w:tcBorders>
                    <w:tl2br w:val="nil"/>
                    <w:tr2bl w:val="nil"/>
                  </w:tcBorders>
                  <w:noWrap w:val="0"/>
                  <w:vAlign w:val="center"/>
                </w:tcPr>
                <w:p w14:paraId="6E8073E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35（25）</w:t>
                  </w:r>
                </w:p>
              </w:tc>
              <w:tc>
                <w:tcPr>
                  <w:tcW w:w="1656" w:type="pct"/>
                  <w:gridSpan w:val="5"/>
                  <w:tcBorders>
                    <w:tl2br w:val="nil"/>
                    <w:tr2bl w:val="nil"/>
                  </w:tcBorders>
                  <w:noWrap w:val="0"/>
                  <w:vAlign w:val="center"/>
                </w:tcPr>
                <w:p w14:paraId="143EE9E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不涉及</w:t>
                  </w:r>
                </w:p>
              </w:tc>
              <w:tc>
                <w:tcPr>
                  <w:tcW w:w="341" w:type="pct"/>
                  <w:tcBorders>
                    <w:tl2br w:val="nil"/>
                    <w:tr2bl w:val="nil"/>
                  </w:tcBorders>
                  <w:noWrap w:val="0"/>
                  <w:vAlign w:val="center"/>
                </w:tcPr>
                <w:p w14:paraId="5697078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376D4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25" w:type="pct"/>
                  <w:gridSpan w:val="2"/>
                  <w:tcBorders>
                    <w:tl2br w:val="nil"/>
                    <w:tr2bl w:val="nil"/>
                  </w:tcBorders>
                  <w:noWrap w:val="0"/>
                  <w:vAlign w:val="center"/>
                </w:tcPr>
                <w:p w14:paraId="44B5A53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明火地点或散发火花地点</w:t>
                  </w:r>
                </w:p>
              </w:tc>
              <w:tc>
                <w:tcPr>
                  <w:tcW w:w="588" w:type="pct"/>
                  <w:tcBorders>
                    <w:tl2br w:val="nil"/>
                    <w:tr2bl w:val="nil"/>
                  </w:tcBorders>
                  <w:noWrap w:val="0"/>
                  <w:vAlign w:val="center"/>
                </w:tcPr>
                <w:p w14:paraId="714B7B2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17.5（12.5）</w:t>
                  </w:r>
                </w:p>
              </w:tc>
              <w:tc>
                <w:tcPr>
                  <w:tcW w:w="588" w:type="pct"/>
                  <w:tcBorders>
                    <w:tl2br w:val="nil"/>
                    <w:tr2bl w:val="nil"/>
                  </w:tcBorders>
                  <w:noWrap w:val="0"/>
                  <w:vAlign w:val="center"/>
                </w:tcPr>
                <w:p w14:paraId="7995B22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12.5（10）</w:t>
                  </w:r>
                </w:p>
              </w:tc>
              <w:tc>
                <w:tcPr>
                  <w:tcW w:w="599" w:type="pct"/>
                  <w:tcBorders>
                    <w:tl2br w:val="nil"/>
                    <w:tr2bl w:val="nil"/>
                  </w:tcBorders>
                  <w:noWrap w:val="0"/>
                  <w:vAlign w:val="center"/>
                </w:tcPr>
                <w:p w14:paraId="7E3C5A8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12.5（10）</w:t>
                  </w:r>
                </w:p>
              </w:tc>
              <w:tc>
                <w:tcPr>
                  <w:tcW w:w="1656" w:type="pct"/>
                  <w:gridSpan w:val="5"/>
                  <w:tcBorders>
                    <w:tl2br w:val="nil"/>
                    <w:tr2bl w:val="nil"/>
                  </w:tcBorders>
                  <w:noWrap w:val="0"/>
                  <w:vAlign w:val="center"/>
                </w:tcPr>
                <w:p w14:paraId="7E39BF4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341" w:type="pct"/>
                  <w:tcBorders>
                    <w:tl2br w:val="nil"/>
                    <w:tr2bl w:val="nil"/>
                  </w:tcBorders>
                  <w:noWrap w:val="0"/>
                  <w:vAlign w:val="center"/>
                </w:tcPr>
                <w:p w14:paraId="01D25E1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3B237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317" w:type="pct"/>
                  <w:vMerge w:val="restart"/>
                  <w:tcBorders>
                    <w:tl2br w:val="nil"/>
                    <w:tr2bl w:val="nil"/>
                  </w:tcBorders>
                  <w:noWrap w:val="0"/>
                  <w:vAlign w:val="center"/>
                </w:tcPr>
                <w:p w14:paraId="648E08A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民用建筑物保护类别</w:t>
                  </w:r>
                </w:p>
              </w:tc>
              <w:tc>
                <w:tcPr>
                  <w:tcW w:w="908" w:type="pct"/>
                  <w:vMerge w:val="restart"/>
                  <w:tcBorders>
                    <w:tl2br w:val="nil"/>
                    <w:tr2bl w:val="nil"/>
                  </w:tcBorders>
                  <w:noWrap w:val="0"/>
                  <w:vAlign w:val="center"/>
                </w:tcPr>
                <w:p w14:paraId="2297FB1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一类保护物</w:t>
                  </w:r>
                </w:p>
              </w:tc>
              <w:tc>
                <w:tcPr>
                  <w:tcW w:w="588" w:type="pct"/>
                  <w:vMerge w:val="restart"/>
                  <w:tcBorders>
                    <w:tl2br w:val="nil"/>
                    <w:tr2bl w:val="nil"/>
                  </w:tcBorders>
                  <w:noWrap w:val="0"/>
                  <w:vAlign w:val="center"/>
                </w:tcPr>
                <w:p w14:paraId="230593B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14（6）</w:t>
                  </w:r>
                </w:p>
              </w:tc>
              <w:tc>
                <w:tcPr>
                  <w:tcW w:w="588" w:type="pct"/>
                  <w:vMerge w:val="restart"/>
                  <w:tcBorders>
                    <w:tl2br w:val="nil"/>
                    <w:tr2bl w:val="nil"/>
                  </w:tcBorders>
                  <w:noWrap w:val="0"/>
                  <w:vAlign w:val="center"/>
                </w:tcPr>
                <w:p w14:paraId="5DEC9C5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11（6）</w:t>
                  </w:r>
                </w:p>
              </w:tc>
              <w:tc>
                <w:tcPr>
                  <w:tcW w:w="599" w:type="pct"/>
                  <w:vMerge w:val="restart"/>
                  <w:tcBorders>
                    <w:tl2br w:val="nil"/>
                    <w:tr2bl w:val="nil"/>
                  </w:tcBorders>
                  <w:noWrap w:val="0"/>
                  <w:vAlign w:val="center"/>
                </w:tcPr>
                <w:p w14:paraId="2C51249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11（6）</w:t>
                  </w:r>
                </w:p>
              </w:tc>
              <w:tc>
                <w:tcPr>
                  <w:tcW w:w="1656" w:type="pct"/>
                  <w:gridSpan w:val="5"/>
                  <w:tcBorders>
                    <w:tl2br w:val="nil"/>
                    <w:tr2bl w:val="nil"/>
                  </w:tcBorders>
                  <w:noWrap w:val="0"/>
                  <w:vAlign w:val="center"/>
                </w:tcPr>
                <w:p w14:paraId="1E0752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李家湾居民</w:t>
                  </w:r>
                </w:p>
              </w:tc>
              <w:tc>
                <w:tcPr>
                  <w:tcW w:w="341" w:type="pct"/>
                  <w:vMerge w:val="restart"/>
                  <w:tcBorders>
                    <w:tl2br w:val="nil"/>
                    <w:tr2bl w:val="nil"/>
                  </w:tcBorders>
                  <w:noWrap w:val="0"/>
                  <w:vAlign w:val="center"/>
                </w:tcPr>
                <w:p w14:paraId="42A69A0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5E4B7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317" w:type="pct"/>
                  <w:vMerge w:val="continue"/>
                  <w:tcBorders>
                    <w:tl2br w:val="nil"/>
                    <w:tr2bl w:val="nil"/>
                  </w:tcBorders>
                  <w:noWrap w:val="0"/>
                  <w:vAlign w:val="center"/>
                </w:tcPr>
                <w:p w14:paraId="07342A2E">
                  <w:pPr>
                    <w:keepNext w:val="0"/>
                    <w:keepLines w:val="0"/>
                    <w:widowControl/>
                    <w:suppressLineNumbers w:val="0"/>
                    <w:spacing w:before="0" w:beforeAutospacing="0" w:after="0" w:afterAutospacing="0"/>
                    <w:ind w:left="0" w:right="0"/>
                    <w:jc w:val="center"/>
                    <w:rPr>
                      <w:rFonts w:hint="default"/>
                      <w:color w:val="auto"/>
                      <w:highlight w:val="none"/>
                    </w:rPr>
                  </w:pPr>
                </w:p>
              </w:tc>
              <w:tc>
                <w:tcPr>
                  <w:tcW w:w="908" w:type="pct"/>
                  <w:vMerge w:val="continue"/>
                  <w:tcBorders>
                    <w:tl2br w:val="nil"/>
                    <w:tr2bl w:val="nil"/>
                  </w:tcBorders>
                  <w:noWrap w:val="0"/>
                  <w:vAlign w:val="center"/>
                </w:tcPr>
                <w:p w14:paraId="7BC682DD">
                  <w:pPr>
                    <w:keepNext w:val="0"/>
                    <w:keepLines w:val="0"/>
                    <w:widowControl/>
                    <w:suppressLineNumbers w:val="0"/>
                    <w:spacing w:before="0" w:beforeAutospacing="0" w:after="0" w:afterAutospacing="0"/>
                    <w:ind w:left="0" w:right="0"/>
                    <w:jc w:val="center"/>
                    <w:rPr>
                      <w:rFonts w:hint="default"/>
                      <w:color w:val="auto"/>
                      <w:highlight w:val="none"/>
                    </w:rPr>
                  </w:pPr>
                </w:p>
              </w:tc>
              <w:tc>
                <w:tcPr>
                  <w:tcW w:w="588" w:type="pct"/>
                  <w:vMerge w:val="continue"/>
                  <w:tcBorders>
                    <w:tl2br w:val="nil"/>
                    <w:tr2bl w:val="nil"/>
                  </w:tcBorders>
                  <w:noWrap w:val="0"/>
                  <w:vAlign w:val="center"/>
                </w:tcPr>
                <w:p w14:paraId="37B8AB7D">
                  <w:pPr>
                    <w:keepNext w:val="0"/>
                    <w:keepLines w:val="0"/>
                    <w:widowControl/>
                    <w:suppressLineNumbers w:val="0"/>
                    <w:spacing w:before="0" w:beforeAutospacing="0" w:after="0" w:afterAutospacing="0"/>
                    <w:ind w:left="0" w:right="0"/>
                    <w:jc w:val="center"/>
                    <w:rPr>
                      <w:rFonts w:hint="default"/>
                      <w:color w:val="auto"/>
                      <w:highlight w:val="none"/>
                    </w:rPr>
                  </w:pPr>
                </w:p>
              </w:tc>
              <w:tc>
                <w:tcPr>
                  <w:tcW w:w="588" w:type="pct"/>
                  <w:vMerge w:val="continue"/>
                  <w:tcBorders>
                    <w:tl2br w:val="nil"/>
                    <w:tr2bl w:val="nil"/>
                  </w:tcBorders>
                  <w:noWrap w:val="0"/>
                  <w:vAlign w:val="center"/>
                </w:tcPr>
                <w:p w14:paraId="117DCA9F">
                  <w:pPr>
                    <w:keepNext w:val="0"/>
                    <w:keepLines w:val="0"/>
                    <w:widowControl/>
                    <w:suppressLineNumbers w:val="0"/>
                    <w:spacing w:before="0" w:beforeAutospacing="0" w:after="0" w:afterAutospacing="0"/>
                    <w:ind w:left="0" w:right="0"/>
                    <w:jc w:val="center"/>
                    <w:rPr>
                      <w:rFonts w:hint="default"/>
                      <w:color w:val="auto"/>
                      <w:highlight w:val="none"/>
                    </w:rPr>
                  </w:pPr>
                </w:p>
              </w:tc>
              <w:tc>
                <w:tcPr>
                  <w:tcW w:w="599" w:type="pct"/>
                  <w:vMerge w:val="continue"/>
                  <w:tcBorders>
                    <w:tl2br w:val="nil"/>
                    <w:tr2bl w:val="nil"/>
                  </w:tcBorders>
                  <w:noWrap w:val="0"/>
                  <w:vAlign w:val="center"/>
                </w:tcPr>
                <w:p w14:paraId="56E06031">
                  <w:pPr>
                    <w:keepNext w:val="0"/>
                    <w:keepLines w:val="0"/>
                    <w:widowControl/>
                    <w:suppressLineNumbers w:val="0"/>
                    <w:spacing w:before="0" w:beforeAutospacing="0" w:after="0" w:afterAutospacing="0"/>
                    <w:ind w:left="0" w:right="0"/>
                    <w:jc w:val="center"/>
                    <w:rPr>
                      <w:rFonts w:hint="default"/>
                      <w:color w:val="auto"/>
                      <w:highlight w:val="none"/>
                    </w:rPr>
                  </w:pPr>
                </w:p>
              </w:tc>
              <w:tc>
                <w:tcPr>
                  <w:tcW w:w="551" w:type="pct"/>
                  <w:tcBorders>
                    <w:tl2br w:val="nil"/>
                    <w:tr2bl w:val="nil"/>
                  </w:tcBorders>
                  <w:noWrap w:val="0"/>
                  <w:vAlign w:val="center"/>
                </w:tcPr>
                <w:p w14:paraId="177DC3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378（376）</w:t>
                  </w:r>
                </w:p>
              </w:tc>
              <w:tc>
                <w:tcPr>
                  <w:tcW w:w="553" w:type="pct"/>
                  <w:gridSpan w:val="3"/>
                  <w:tcBorders>
                    <w:tl2br w:val="nil"/>
                    <w:tr2bl w:val="nil"/>
                  </w:tcBorders>
                  <w:noWrap w:val="0"/>
                  <w:vAlign w:val="center"/>
                </w:tcPr>
                <w:p w14:paraId="365C3E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360（385）</w:t>
                  </w:r>
                </w:p>
              </w:tc>
              <w:tc>
                <w:tcPr>
                  <w:tcW w:w="552" w:type="pct"/>
                  <w:tcBorders>
                    <w:tl2br w:val="nil"/>
                    <w:tr2bl w:val="nil"/>
                  </w:tcBorders>
                  <w:noWrap w:val="0"/>
                  <w:vAlign w:val="center"/>
                </w:tcPr>
                <w:p w14:paraId="2086ADA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373（373）</w:t>
                  </w:r>
                </w:p>
              </w:tc>
              <w:tc>
                <w:tcPr>
                  <w:tcW w:w="341" w:type="pct"/>
                  <w:vMerge w:val="continue"/>
                  <w:tcBorders>
                    <w:tl2br w:val="nil"/>
                    <w:tr2bl w:val="nil"/>
                  </w:tcBorders>
                  <w:noWrap w:val="0"/>
                  <w:vAlign w:val="center"/>
                </w:tcPr>
                <w:p w14:paraId="649969C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p>
              </w:tc>
            </w:tr>
            <w:tr w14:paraId="651EF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17" w:type="pct"/>
                  <w:vMerge w:val="continue"/>
                  <w:tcBorders>
                    <w:tl2br w:val="nil"/>
                    <w:tr2bl w:val="nil"/>
                  </w:tcBorders>
                  <w:noWrap w:val="0"/>
                  <w:vAlign w:val="center"/>
                </w:tcPr>
                <w:p w14:paraId="0AC7849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908" w:type="pct"/>
                  <w:tcBorders>
                    <w:tl2br w:val="nil"/>
                    <w:tr2bl w:val="nil"/>
                  </w:tcBorders>
                  <w:noWrap w:val="0"/>
                  <w:vAlign w:val="center"/>
                </w:tcPr>
                <w:p w14:paraId="6D1646A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二类保护物</w:t>
                  </w:r>
                </w:p>
              </w:tc>
              <w:tc>
                <w:tcPr>
                  <w:tcW w:w="588" w:type="pct"/>
                  <w:tcBorders>
                    <w:tl2br w:val="nil"/>
                    <w:tr2bl w:val="nil"/>
                  </w:tcBorders>
                  <w:noWrap w:val="0"/>
                  <w:vAlign w:val="center"/>
                </w:tcPr>
                <w:p w14:paraId="14ED9B4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11（6）</w:t>
                  </w:r>
                </w:p>
              </w:tc>
              <w:tc>
                <w:tcPr>
                  <w:tcW w:w="588" w:type="pct"/>
                  <w:tcBorders>
                    <w:tl2br w:val="nil"/>
                    <w:tr2bl w:val="nil"/>
                  </w:tcBorders>
                  <w:noWrap w:val="0"/>
                  <w:vAlign w:val="center"/>
                </w:tcPr>
                <w:p w14:paraId="038319F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8.5（6）</w:t>
                  </w:r>
                </w:p>
              </w:tc>
              <w:tc>
                <w:tcPr>
                  <w:tcW w:w="599" w:type="pct"/>
                  <w:tcBorders>
                    <w:tl2br w:val="nil"/>
                    <w:tr2bl w:val="nil"/>
                  </w:tcBorders>
                  <w:noWrap w:val="0"/>
                  <w:vAlign w:val="center"/>
                </w:tcPr>
                <w:p w14:paraId="5A8F9EB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8.5（6）</w:t>
                  </w:r>
                </w:p>
              </w:tc>
              <w:tc>
                <w:tcPr>
                  <w:tcW w:w="1656" w:type="pct"/>
                  <w:gridSpan w:val="5"/>
                  <w:tcBorders>
                    <w:tl2br w:val="nil"/>
                    <w:tr2bl w:val="nil"/>
                  </w:tcBorders>
                  <w:noWrap w:val="0"/>
                  <w:vAlign w:val="center"/>
                </w:tcPr>
                <w:p w14:paraId="1E7600A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不涉及</w:t>
                  </w:r>
                </w:p>
              </w:tc>
              <w:tc>
                <w:tcPr>
                  <w:tcW w:w="341" w:type="pct"/>
                  <w:tcBorders>
                    <w:tl2br w:val="nil"/>
                    <w:tr2bl w:val="nil"/>
                  </w:tcBorders>
                  <w:noWrap w:val="0"/>
                  <w:vAlign w:val="center"/>
                </w:tcPr>
                <w:p w14:paraId="5792607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201ED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 w:hRule="atLeast"/>
              </w:trPr>
              <w:tc>
                <w:tcPr>
                  <w:tcW w:w="317" w:type="pct"/>
                  <w:vMerge w:val="continue"/>
                  <w:tcBorders>
                    <w:tl2br w:val="nil"/>
                    <w:tr2bl w:val="nil"/>
                  </w:tcBorders>
                  <w:noWrap w:val="0"/>
                  <w:vAlign w:val="center"/>
                </w:tcPr>
                <w:p w14:paraId="490E2E5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908" w:type="pct"/>
                  <w:vMerge w:val="restart"/>
                  <w:tcBorders>
                    <w:tl2br w:val="nil"/>
                    <w:tr2bl w:val="nil"/>
                  </w:tcBorders>
                  <w:noWrap w:val="0"/>
                  <w:vAlign w:val="center"/>
                </w:tcPr>
                <w:p w14:paraId="0FC1855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三类保护物</w:t>
                  </w:r>
                </w:p>
              </w:tc>
              <w:tc>
                <w:tcPr>
                  <w:tcW w:w="588" w:type="pct"/>
                  <w:vMerge w:val="restart"/>
                  <w:tcBorders>
                    <w:tl2br w:val="nil"/>
                    <w:tr2bl w:val="nil"/>
                  </w:tcBorders>
                  <w:noWrap w:val="0"/>
                  <w:vAlign w:val="center"/>
                </w:tcPr>
                <w:p w14:paraId="4BB68FB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8.5（6）</w:t>
                  </w:r>
                </w:p>
              </w:tc>
              <w:tc>
                <w:tcPr>
                  <w:tcW w:w="588" w:type="pct"/>
                  <w:vMerge w:val="restart"/>
                  <w:tcBorders>
                    <w:tl2br w:val="nil"/>
                    <w:tr2bl w:val="nil"/>
                  </w:tcBorders>
                  <w:noWrap w:val="0"/>
                  <w:vAlign w:val="center"/>
                </w:tcPr>
                <w:p w14:paraId="19D0DAE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7（6）</w:t>
                  </w:r>
                </w:p>
              </w:tc>
              <w:tc>
                <w:tcPr>
                  <w:tcW w:w="599" w:type="pct"/>
                  <w:vMerge w:val="restart"/>
                  <w:tcBorders>
                    <w:tl2br w:val="nil"/>
                    <w:tr2bl w:val="nil"/>
                  </w:tcBorders>
                  <w:noWrap w:val="0"/>
                  <w:vAlign w:val="center"/>
                </w:tcPr>
                <w:p w14:paraId="56B5730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7（6）</w:t>
                  </w:r>
                </w:p>
              </w:tc>
              <w:tc>
                <w:tcPr>
                  <w:tcW w:w="1656" w:type="pct"/>
                  <w:gridSpan w:val="5"/>
                  <w:tcBorders>
                    <w:tl2br w:val="nil"/>
                    <w:tr2bl w:val="nil"/>
                  </w:tcBorders>
                  <w:noWrap w:val="0"/>
                  <w:vAlign w:val="center"/>
                </w:tcPr>
                <w:p w14:paraId="7654157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东岳收费站</w:t>
                  </w:r>
                </w:p>
              </w:tc>
              <w:tc>
                <w:tcPr>
                  <w:tcW w:w="341" w:type="pct"/>
                  <w:vMerge w:val="restart"/>
                  <w:tcBorders>
                    <w:tl2br w:val="nil"/>
                    <w:tr2bl w:val="nil"/>
                  </w:tcBorders>
                  <w:noWrap w:val="0"/>
                  <w:vAlign w:val="center"/>
                </w:tcPr>
                <w:p w14:paraId="4D2404D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28F0D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 w:hRule="atLeast"/>
              </w:trPr>
              <w:tc>
                <w:tcPr>
                  <w:tcW w:w="317" w:type="pct"/>
                  <w:vMerge w:val="continue"/>
                  <w:tcBorders>
                    <w:tl2br w:val="nil"/>
                    <w:tr2bl w:val="nil"/>
                  </w:tcBorders>
                  <w:noWrap w:val="0"/>
                  <w:vAlign w:val="center"/>
                </w:tcPr>
                <w:p w14:paraId="3E81423F">
                  <w:pPr>
                    <w:keepNext w:val="0"/>
                    <w:keepLines w:val="0"/>
                    <w:widowControl/>
                    <w:suppressLineNumbers w:val="0"/>
                    <w:spacing w:before="0" w:beforeAutospacing="0" w:after="0" w:afterAutospacing="0"/>
                    <w:ind w:left="0" w:right="0"/>
                    <w:jc w:val="center"/>
                    <w:rPr>
                      <w:rFonts w:hint="default"/>
                    </w:rPr>
                  </w:pPr>
                </w:p>
              </w:tc>
              <w:tc>
                <w:tcPr>
                  <w:tcW w:w="908" w:type="pct"/>
                  <w:vMerge w:val="continue"/>
                  <w:tcBorders>
                    <w:tl2br w:val="nil"/>
                    <w:tr2bl w:val="nil"/>
                  </w:tcBorders>
                  <w:noWrap w:val="0"/>
                  <w:vAlign w:val="center"/>
                </w:tcPr>
                <w:p w14:paraId="39AA12E8">
                  <w:pPr>
                    <w:keepNext w:val="0"/>
                    <w:keepLines w:val="0"/>
                    <w:widowControl/>
                    <w:suppressLineNumbers w:val="0"/>
                    <w:spacing w:before="0" w:beforeAutospacing="0" w:after="0" w:afterAutospacing="0"/>
                    <w:ind w:left="0" w:right="0"/>
                    <w:jc w:val="center"/>
                    <w:rPr>
                      <w:rFonts w:hint="default"/>
                    </w:rPr>
                  </w:pPr>
                </w:p>
              </w:tc>
              <w:tc>
                <w:tcPr>
                  <w:tcW w:w="588" w:type="pct"/>
                  <w:vMerge w:val="continue"/>
                  <w:tcBorders>
                    <w:tl2br w:val="nil"/>
                    <w:tr2bl w:val="nil"/>
                  </w:tcBorders>
                  <w:noWrap w:val="0"/>
                  <w:vAlign w:val="center"/>
                </w:tcPr>
                <w:p w14:paraId="5E4EA7DD">
                  <w:pPr>
                    <w:keepNext w:val="0"/>
                    <w:keepLines w:val="0"/>
                    <w:widowControl/>
                    <w:suppressLineNumbers w:val="0"/>
                    <w:spacing w:before="0" w:beforeAutospacing="0" w:after="0" w:afterAutospacing="0"/>
                    <w:ind w:left="0" w:right="0"/>
                    <w:jc w:val="center"/>
                    <w:rPr>
                      <w:rFonts w:hint="default"/>
                    </w:rPr>
                  </w:pPr>
                </w:p>
              </w:tc>
              <w:tc>
                <w:tcPr>
                  <w:tcW w:w="588" w:type="pct"/>
                  <w:vMerge w:val="continue"/>
                  <w:tcBorders>
                    <w:tl2br w:val="nil"/>
                    <w:tr2bl w:val="nil"/>
                  </w:tcBorders>
                  <w:noWrap w:val="0"/>
                  <w:vAlign w:val="center"/>
                </w:tcPr>
                <w:p w14:paraId="25118BEA">
                  <w:pPr>
                    <w:keepNext w:val="0"/>
                    <w:keepLines w:val="0"/>
                    <w:widowControl/>
                    <w:suppressLineNumbers w:val="0"/>
                    <w:spacing w:before="0" w:beforeAutospacing="0" w:after="0" w:afterAutospacing="0"/>
                    <w:ind w:left="0" w:right="0"/>
                    <w:jc w:val="center"/>
                    <w:rPr>
                      <w:rFonts w:hint="default"/>
                    </w:rPr>
                  </w:pPr>
                </w:p>
              </w:tc>
              <w:tc>
                <w:tcPr>
                  <w:tcW w:w="599" w:type="pct"/>
                  <w:vMerge w:val="continue"/>
                  <w:tcBorders>
                    <w:tl2br w:val="nil"/>
                    <w:tr2bl w:val="nil"/>
                  </w:tcBorders>
                  <w:noWrap w:val="0"/>
                  <w:vAlign w:val="center"/>
                </w:tcPr>
                <w:p w14:paraId="235CE447">
                  <w:pPr>
                    <w:keepNext w:val="0"/>
                    <w:keepLines w:val="0"/>
                    <w:widowControl/>
                    <w:suppressLineNumbers w:val="0"/>
                    <w:spacing w:before="0" w:beforeAutospacing="0" w:after="0" w:afterAutospacing="0"/>
                    <w:ind w:left="0" w:right="0"/>
                    <w:jc w:val="center"/>
                    <w:rPr>
                      <w:rFonts w:hint="default"/>
                    </w:rPr>
                  </w:pPr>
                </w:p>
              </w:tc>
              <w:tc>
                <w:tcPr>
                  <w:tcW w:w="552" w:type="pct"/>
                  <w:gridSpan w:val="2"/>
                  <w:tcBorders>
                    <w:tl2br w:val="nil"/>
                    <w:tr2bl w:val="nil"/>
                  </w:tcBorders>
                  <w:noWrap w:val="0"/>
                  <w:vAlign w:val="center"/>
                </w:tcPr>
                <w:p w14:paraId="74380D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96（102）</w:t>
                  </w:r>
                </w:p>
              </w:tc>
              <w:tc>
                <w:tcPr>
                  <w:tcW w:w="552" w:type="pct"/>
                  <w:gridSpan w:val="2"/>
                  <w:tcBorders>
                    <w:tl2br w:val="nil"/>
                    <w:tr2bl w:val="nil"/>
                  </w:tcBorders>
                  <w:noWrap w:val="0"/>
                  <w:vAlign w:val="center"/>
                </w:tcPr>
                <w:p w14:paraId="5B4A6A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106（83）</w:t>
                  </w:r>
                </w:p>
              </w:tc>
              <w:tc>
                <w:tcPr>
                  <w:tcW w:w="552" w:type="pct"/>
                  <w:tcBorders>
                    <w:tl2br w:val="nil"/>
                    <w:tr2bl w:val="nil"/>
                  </w:tcBorders>
                  <w:noWrap w:val="0"/>
                  <w:vAlign w:val="center"/>
                </w:tcPr>
                <w:p w14:paraId="31B684C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107（107）</w:t>
                  </w:r>
                </w:p>
              </w:tc>
              <w:tc>
                <w:tcPr>
                  <w:tcW w:w="341" w:type="pct"/>
                  <w:vMerge w:val="continue"/>
                  <w:tcBorders>
                    <w:tl2br w:val="nil"/>
                    <w:tr2bl w:val="nil"/>
                  </w:tcBorders>
                  <w:noWrap w:val="0"/>
                  <w:vAlign w:val="center"/>
                </w:tcPr>
                <w:p w14:paraId="78915D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p>
              </w:tc>
            </w:tr>
            <w:tr w14:paraId="2D01E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25" w:type="pct"/>
                  <w:gridSpan w:val="2"/>
                  <w:tcBorders>
                    <w:tl2br w:val="nil"/>
                    <w:tr2bl w:val="nil"/>
                  </w:tcBorders>
                  <w:noWrap w:val="0"/>
                  <w:vAlign w:val="center"/>
                </w:tcPr>
                <w:p w14:paraId="50E2B2B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甲、乙类物品生产厂房、库房和甲乙类液体储罐</w:t>
                  </w:r>
                </w:p>
              </w:tc>
              <w:tc>
                <w:tcPr>
                  <w:tcW w:w="588" w:type="pct"/>
                  <w:tcBorders>
                    <w:tl2br w:val="nil"/>
                    <w:tr2bl w:val="nil"/>
                  </w:tcBorders>
                  <w:noWrap w:val="0"/>
                  <w:vAlign w:val="center"/>
                </w:tcPr>
                <w:p w14:paraId="455DE59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15.5（11）</w:t>
                  </w:r>
                </w:p>
              </w:tc>
              <w:tc>
                <w:tcPr>
                  <w:tcW w:w="588" w:type="pct"/>
                  <w:tcBorders>
                    <w:tl2br w:val="nil"/>
                    <w:tr2bl w:val="nil"/>
                  </w:tcBorders>
                  <w:noWrap w:val="0"/>
                  <w:vAlign w:val="center"/>
                </w:tcPr>
                <w:p w14:paraId="12FB947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12.5（9）</w:t>
                  </w:r>
                </w:p>
              </w:tc>
              <w:tc>
                <w:tcPr>
                  <w:tcW w:w="599" w:type="pct"/>
                  <w:tcBorders>
                    <w:tl2br w:val="nil"/>
                    <w:tr2bl w:val="nil"/>
                  </w:tcBorders>
                  <w:noWrap w:val="0"/>
                  <w:vAlign w:val="center"/>
                </w:tcPr>
                <w:p w14:paraId="43A6122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12.5（9）</w:t>
                  </w:r>
                </w:p>
              </w:tc>
              <w:tc>
                <w:tcPr>
                  <w:tcW w:w="1656" w:type="pct"/>
                  <w:gridSpan w:val="5"/>
                  <w:tcBorders>
                    <w:tl2br w:val="nil"/>
                    <w:tr2bl w:val="nil"/>
                  </w:tcBorders>
                  <w:noWrap w:val="0"/>
                  <w:vAlign w:val="center"/>
                </w:tcPr>
                <w:p w14:paraId="7960646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341" w:type="pct"/>
                  <w:tcBorders>
                    <w:tl2br w:val="nil"/>
                    <w:tr2bl w:val="nil"/>
                  </w:tcBorders>
                  <w:noWrap w:val="0"/>
                  <w:vAlign w:val="center"/>
                </w:tcPr>
                <w:p w14:paraId="290E046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76375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25" w:type="pct"/>
                  <w:gridSpan w:val="2"/>
                  <w:tcBorders>
                    <w:tl2br w:val="nil"/>
                    <w:tr2bl w:val="nil"/>
                  </w:tcBorders>
                  <w:noWrap w:val="0"/>
                  <w:vAlign w:val="center"/>
                </w:tcPr>
                <w:p w14:paraId="1D6DE3C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丙丁戊类物品生产厂</w:t>
                  </w:r>
                </w:p>
                <w:p w14:paraId="6FE9C43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房、库房和丙类液体储罐，以及单罐容积不大于50m</w:t>
                  </w:r>
                  <w:r>
                    <w:rPr>
                      <w:rFonts w:hint="eastAsia" w:ascii="Times New Roman" w:hAnsi="Times New Roman" w:eastAsia="宋体" w:cs="Times New Roman"/>
                      <w:b w:val="0"/>
                      <w:bCs w:val="0"/>
                      <w:color w:val="auto"/>
                      <w:kern w:val="0"/>
                      <w:sz w:val="21"/>
                      <w:szCs w:val="21"/>
                      <w:highlight w:val="none"/>
                      <w:vertAlign w:val="superscript"/>
                      <w:lang w:val="en-US" w:eastAsia="zh-CN" w:bidi="ar"/>
                    </w:rPr>
                    <w:t>3</w:t>
                  </w:r>
                  <w:r>
                    <w:rPr>
                      <w:rFonts w:hint="eastAsia" w:ascii="Times New Roman" w:hAnsi="Times New Roman" w:eastAsia="宋体" w:cs="Times New Roman"/>
                      <w:b w:val="0"/>
                      <w:bCs w:val="0"/>
                      <w:color w:val="auto"/>
                      <w:kern w:val="0"/>
                      <w:sz w:val="21"/>
                      <w:szCs w:val="21"/>
                      <w:highlight w:val="none"/>
                      <w:lang w:val="en-US" w:eastAsia="zh-CN" w:bidi="ar"/>
                    </w:rPr>
                    <w:t>的埋地甲乙类液体储罐</w:t>
                  </w:r>
                </w:p>
              </w:tc>
              <w:tc>
                <w:tcPr>
                  <w:tcW w:w="588" w:type="pct"/>
                  <w:tcBorders>
                    <w:tl2br w:val="nil"/>
                    <w:tr2bl w:val="nil"/>
                  </w:tcBorders>
                  <w:noWrap w:val="0"/>
                  <w:vAlign w:val="center"/>
                </w:tcPr>
                <w:p w14:paraId="0C03983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 xml:space="preserve"> 11（9）</w:t>
                  </w:r>
                </w:p>
              </w:tc>
              <w:tc>
                <w:tcPr>
                  <w:tcW w:w="588" w:type="pct"/>
                  <w:tcBorders>
                    <w:tl2br w:val="nil"/>
                    <w:tr2bl w:val="nil"/>
                  </w:tcBorders>
                  <w:noWrap w:val="0"/>
                  <w:vAlign w:val="center"/>
                </w:tcPr>
                <w:p w14:paraId="3451DC7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10.5（9）</w:t>
                  </w:r>
                </w:p>
              </w:tc>
              <w:tc>
                <w:tcPr>
                  <w:tcW w:w="599" w:type="pct"/>
                  <w:tcBorders>
                    <w:tl2br w:val="nil"/>
                    <w:tr2bl w:val="nil"/>
                  </w:tcBorders>
                  <w:noWrap w:val="0"/>
                  <w:vAlign w:val="center"/>
                </w:tcPr>
                <w:p w14:paraId="04C506B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10.5（9）</w:t>
                  </w:r>
                </w:p>
              </w:tc>
              <w:tc>
                <w:tcPr>
                  <w:tcW w:w="1656" w:type="pct"/>
                  <w:gridSpan w:val="5"/>
                  <w:tcBorders>
                    <w:tl2br w:val="nil"/>
                    <w:tr2bl w:val="nil"/>
                  </w:tcBorders>
                  <w:noWrap w:val="0"/>
                  <w:vAlign w:val="center"/>
                </w:tcPr>
                <w:p w14:paraId="06739FF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341" w:type="pct"/>
                  <w:tcBorders>
                    <w:tl2br w:val="nil"/>
                    <w:tr2bl w:val="nil"/>
                  </w:tcBorders>
                  <w:noWrap w:val="0"/>
                  <w:vAlign w:val="center"/>
                </w:tcPr>
                <w:p w14:paraId="01D2CB1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24CBF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25" w:type="pct"/>
                  <w:gridSpan w:val="2"/>
                  <w:tcBorders>
                    <w:tl2br w:val="nil"/>
                    <w:tr2bl w:val="nil"/>
                  </w:tcBorders>
                  <w:noWrap w:val="0"/>
                  <w:vAlign w:val="center"/>
                </w:tcPr>
                <w:p w14:paraId="76A9336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室外变配电站</w:t>
                  </w:r>
                </w:p>
              </w:tc>
              <w:tc>
                <w:tcPr>
                  <w:tcW w:w="588" w:type="pct"/>
                  <w:tcBorders>
                    <w:tl2br w:val="nil"/>
                    <w:tr2bl w:val="nil"/>
                  </w:tcBorders>
                  <w:noWrap w:val="0"/>
                  <w:vAlign w:val="center"/>
                </w:tcPr>
                <w:p w14:paraId="3903954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15.5（12.5）</w:t>
                  </w:r>
                </w:p>
              </w:tc>
              <w:tc>
                <w:tcPr>
                  <w:tcW w:w="588" w:type="pct"/>
                  <w:tcBorders>
                    <w:tl2br w:val="nil"/>
                    <w:tr2bl w:val="nil"/>
                  </w:tcBorders>
                  <w:noWrap w:val="0"/>
                  <w:vAlign w:val="center"/>
                </w:tcPr>
                <w:p w14:paraId="3A12DE2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12.5（12.5）</w:t>
                  </w:r>
                </w:p>
              </w:tc>
              <w:tc>
                <w:tcPr>
                  <w:tcW w:w="599" w:type="pct"/>
                  <w:tcBorders>
                    <w:tl2br w:val="nil"/>
                    <w:tr2bl w:val="nil"/>
                  </w:tcBorders>
                  <w:noWrap w:val="0"/>
                  <w:vAlign w:val="center"/>
                </w:tcPr>
                <w:p w14:paraId="38A7EEE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12.5（12.5）</w:t>
                  </w:r>
                </w:p>
              </w:tc>
              <w:tc>
                <w:tcPr>
                  <w:tcW w:w="1656" w:type="pct"/>
                  <w:gridSpan w:val="5"/>
                  <w:tcBorders>
                    <w:tl2br w:val="nil"/>
                    <w:tr2bl w:val="nil"/>
                  </w:tcBorders>
                  <w:noWrap w:val="0"/>
                  <w:vAlign w:val="center"/>
                </w:tcPr>
                <w:p w14:paraId="79C2672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341" w:type="pct"/>
                  <w:tcBorders>
                    <w:tl2br w:val="nil"/>
                    <w:tr2bl w:val="nil"/>
                  </w:tcBorders>
                  <w:noWrap w:val="0"/>
                  <w:vAlign w:val="center"/>
                </w:tcPr>
                <w:p w14:paraId="1A280DB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46A7F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25" w:type="pct"/>
                  <w:gridSpan w:val="2"/>
                  <w:tcBorders>
                    <w:tl2br w:val="nil"/>
                    <w:tr2bl w:val="nil"/>
                  </w:tcBorders>
                  <w:noWrap w:val="0"/>
                  <w:vAlign w:val="center"/>
                </w:tcPr>
                <w:p w14:paraId="66192B9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铁路、地上城市轨道线路</w:t>
                  </w:r>
                </w:p>
              </w:tc>
              <w:tc>
                <w:tcPr>
                  <w:tcW w:w="588" w:type="pct"/>
                  <w:tcBorders>
                    <w:tl2br w:val="nil"/>
                    <w:tr2bl w:val="nil"/>
                  </w:tcBorders>
                  <w:noWrap w:val="0"/>
                  <w:vAlign w:val="center"/>
                </w:tcPr>
                <w:p w14:paraId="6F43A78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15.5（15）</w:t>
                  </w:r>
                </w:p>
              </w:tc>
              <w:tc>
                <w:tcPr>
                  <w:tcW w:w="588" w:type="pct"/>
                  <w:tcBorders>
                    <w:tl2br w:val="nil"/>
                    <w:tr2bl w:val="nil"/>
                  </w:tcBorders>
                  <w:noWrap w:val="0"/>
                  <w:vAlign w:val="center"/>
                </w:tcPr>
                <w:p w14:paraId="4B6FA8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15.5（15）</w:t>
                  </w:r>
                </w:p>
              </w:tc>
              <w:tc>
                <w:tcPr>
                  <w:tcW w:w="599" w:type="pct"/>
                  <w:tcBorders>
                    <w:tl2br w:val="nil"/>
                    <w:tr2bl w:val="nil"/>
                  </w:tcBorders>
                  <w:noWrap w:val="0"/>
                  <w:vAlign w:val="center"/>
                </w:tcPr>
                <w:p w14:paraId="3A6AE1A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15.5（15）</w:t>
                  </w:r>
                </w:p>
              </w:tc>
              <w:tc>
                <w:tcPr>
                  <w:tcW w:w="1656" w:type="pct"/>
                  <w:gridSpan w:val="5"/>
                  <w:tcBorders>
                    <w:tl2br w:val="nil"/>
                    <w:tr2bl w:val="nil"/>
                  </w:tcBorders>
                  <w:noWrap w:val="0"/>
                  <w:vAlign w:val="center"/>
                </w:tcPr>
                <w:p w14:paraId="3C7E63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341" w:type="pct"/>
                  <w:tcBorders>
                    <w:tl2br w:val="nil"/>
                    <w:tr2bl w:val="nil"/>
                  </w:tcBorders>
                  <w:noWrap w:val="0"/>
                  <w:vAlign w:val="center"/>
                </w:tcPr>
                <w:p w14:paraId="469E159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7266F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25" w:type="pct"/>
                  <w:gridSpan w:val="2"/>
                  <w:vMerge w:val="restart"/>
                  <w:tcBorders>
                    <w:tl2br w:val="nil"/>
                    <w:tr2bl w:val="nil"/>
                  </w:tcBorders>
                  <w:noWrap w:val="0"/>
                  <w:vAlign w:val="center"/>
                </w:tcPr>
                <w:p w14:paraId="2C6F488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城市快速路、主干道和高速公路、一级公路、二级公路</w:t>
                  </w:r>
                </w:p>
              </w:tc>
              <w:tc>
                <w:tcPr>
                  <w:tcW w:w="588" w:type="pct"/>
                  <w:vMerge w:val="restart"/>
                  <w:tcBorders>
                    <w:tl2br w:val="nil"/>
                    <w:tr2bl w:val="nil"/>
                  </w:tcBorders>
                  <w:noWrap w:val="0"/>
                  <w:vAlign w:val="center"/>
                </w:tcPr>
                <w:p w14:paraId="5C33F08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5.5（3）</w:t>
                  </w:r>
                </w:p>
              </w:tc>
              <w:tc>
                <w:tcPr>
                  <w:tcW w:w="588" w:type="pct"/>
                  <w:vMerge w:val="restart"/>
                  <w:tcBorders>
                    <w:tl2br w:val="nil"/>
                    <w:tr2bl w:val="nil"/>
                  </w:tcBorders>
                  <w:noWrap w:val="0"/>
                  <w:vAlign w:val="center"/>
                </w:tcPr>
                <w:p w14:paraId="4B45E12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5（3）</w:t>
                  </w:r>
                </w:p>
              </w:tc>
              <w:tc>
                <w:tcPr>
                  <w:tcW w:w="599" w:type="pct"/>
                  <w:vMerge w:val="restart"/>
                  <w:tcBorders>
                    <w:tl2br w:val="nil"/>
                    <w:tr2bl w:val="nil"/>
                  </w:tcBorders>
                  <w:noWrap w:val="0"/>
                  <w:vAlign w:val="center"/>
                </w:tcPr>
                <w:p w14:paraId="0E89FF3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5（3）</w:t>
                  </w:r>
                </w:p>
              </w:tc>
              <w:tc>
                <w:tcPr>
                  <w:tcW w:w="1656" w:type="pct"/>
                  <w:gridSpan w:val="5"/>
                  <w:tcBorders>
                    <w:tl2br w:val="nil"/>
                    <w:tr2bl w:val="nil"/>
                  </w:tcBorders>
                  <w:noWrap w:val="0"/>
                  <w:vAlign w:val="center"/>
                </w:tcPr>
                <w:p w14:paraId="182A5D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达州绕城高速</w:t>
                  </w:r>
                  <w:r>
                    <w:rPr>
                      <w:rFonts w:hint="eastAsia" w:ascii="Times New Roman" w:hAnsi="Times New Roman" w:eastAsia="宋体" w:cs="Times New Roman"/>
                      <w:b w:val="0"/>
                      <w:bCs w:val="0"/>
                      <w:color w:val="auto"/>
                      <w:kern w:val="0"/>
                      <w:sz w:val="21"/>
                      <w:szCs w:val="21"/>
                      <w:highlight w:val="none"/>
                      <w:lang w:val="en-US" w:eastAsia="zh-CN" w:bidi="ar"/>
                    </w:rPr>
                    <w:t>G</w:t>
                  </w:r>
                  <w:r>
                    <w:rPr>
                      <w:rFonts w:hint="eastAsia" w:cs="Times New Roman"/>
                      <w:b w:val="0"/>
                      <w:bCs w:val="0"/>
                      <w:color w:val="auto"/>
                      <w:kern w:val="0"/>
                      <w:sz w:val="21"/>
                      <w:szCs w:val="21"/>
                      <w:highlight w:val="none"/>
                      <w:lang w:val="en-US" w:eastAsia="zh-CN" w:bidi="ar"/>
                    </w:rPr>
                    <w:t>210</w:t>
                  </w:r>
                </w:p>
              </w:tc>
              <w:tc>
                <w:tcPr>
                  <w:tcW w:w="341" w:type="pct"/>
                  <w:vMerge w:val="restart"/>
                  <w:tcBorders>
                    <w:tl2br w:val="nil"/>
                    <w:tr2bl w:val="nil"/>
                  </w:tcBorders>
                  <w:noWrap w:val="0"/>
                  <w:vAlign w:val="center"/>
                </w:tcPr>
                <w:p w14:paraId="2F81122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6FD84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25" w:type="pct"/>
                  <w:gridSpan w:val="2"/>
                  <w:vMerge w:val="continue"/>
                  <w:tcBorders>
                    <w:tl2br w:val="nil"/>
                    <w:tr2bl w:val="nil"/>
                  </w:tcBorders>
                  <w:noWrap w:val="0"/>
                  <w:vAlign w:val="center"/>
                </w:tcPr>
                <w:p w14:paraId="4B97D12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588" w:type="pct"/>
                  <w:vMerge w:val="continue"/>
                  <w:tcBorders>
                    <w:tl2br w:val="nil"/>
                    <w:tr2bl w:val="nil"/>
                  </w:tcBorders>
                  <w:noWrap w:val="0"/>
                  <w:vAlign w:val="center"/>
                </w:tcPr>
                <w:p w14:paraId="6D4D2C9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588" w:type="pct"/>
                  <w:vMerge w:val="continue"/>
                  <w:tcBorders>
                    <w:tl2br w:val="nil"/>
                    <w:tr2bl w:val="nil"/>
                  </w:tcBorders>
                  <w:noWrap w:val="0"/>
                  <w:vAlign w:val="center"/>
                </w:tcPr>
                <w:p w14:paraId="50802C2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599" w:type="pct"/>
                  <w:vMerge w:val="continue"/>
                  <w:tcBorders>
                    <w:tl2br w:val="nil"/>
                    <w:tr2bl w:val="nil"/>
                  </w:tcBorders>
                  <w:noWrap w:val="0"/>
                  <w:vAlign w:val="center"/>
                </w:tcPr>
                <w:p w14:paraId="4D88DB6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551" w:type="pct"/>
                  <w:tcBorders>
                    <w:tl2br w:val="nil"/>
                    <w:tr2bl w:val="nil"/>
                  </w:tcBorders>
                  <w:noWrap w:val="0"/>
                  <w:vAlign w:val="center"/>
                </w:tcPr>
                <w:p w14:paraId="2FE9D89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77</w:t>
                  </w:r>
                  <w:r>
                    <w:rPr>
                      <w:rFonts w:hint="eastAsia" w:ascii="Times New Roman" w:hAnsi="Times New Roman" w:eastAsia="宋体" w:cs="Times New Roman"/>
                      <w:b w:val="0"/>
                      <w:bCs w:val="0"/>
                      <w:color w:val="auto"/>
                      <w:kern w:val="0"/>
                      <w:sz w:val="21"/>
                      <w:szCs w:val="21"/>
                      <w:highlight w:val="none"/>
                      <w:lang w:val="en-US" w:eastAsia="zh-CN" w:bidi="ar"/>
                    </w:rPr>
                    <w:t>（</w:t>
                  </w:r>
                  <w:r>
                    <w:rPr>
                      <w:rFonts w:hint="eastAsia" w:cs="Times New Roman"/>
                      <w:b w:val="0"/>
                      <w:bCs w:val="0"/>
                      <w:color w:val="auto"/>
                      <w:kern w:val="0"/>
                      <w:sz w:val="21"/>
                      <w:szCs w:val="21"/>
                      <w:highlight w:val="none"/>
                      <w:lang w:val="en-US" w:eastAsia="zh-CN" w:bidi="ar"/>
                    </w:rPr>
                    <w:t>74</w:t>
                  </w:r>
                  <w:r>
                    <w:rPr>
                      <w:rFonts w:hint="eastAsia" w:ascii="Times New Roman" w:hAnsi="Times New Roman" w:eastAsia="宋体" w:cs="Times New Roman"/>
                      <w:b w:val="0"/>
                      <w:bCs w:val="0"/>
                      <w:color w:val="auto"/>
                      <w:kern w:val="0"/>
                      <w:sz w:val="21"/>
                      <w:szCs w:val="21"/>
                      <w:highlight w:val="none"/>
                      <w:lang w:val="en-US" w:eastAsia="zh-CN" w:bidi="ar"/>
                    </w:rPr>
                    <w:t>）</w:t>
                  </w:r>
                </w:p>
              </w:tc>
              <w:tc>
                <w:tcPr>
                  <w:tcW w:w="551" w:type="pct"/>
                  <w:gridSpan w:val="2"/>
                  <w:tcBorders>
                    <w:tl2br w:val="nil"/>
                    <w:tr2bl w:val="nil"/>
                  </w:tcBorders>
                  <w:noWrap w:val="0"/>
                  <w:vAlign w:val="center"/>
                </w:tcPr>
                <w:p w14:paraId="344DAC0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84</w:t>
                  </w:r>
                  <w:r>
                    <w:rPr>
                      <w:rFonts w:hint="eastAsia" w:ascii="Times New Roman" w:hAnsi="Times New Roman" w:eastAsia="宋体" w:cs="Times New Roman"/>
                      <w:b w:val="0"/>
                      <w:bCs w:val="0"/>
                      <w:color w:val="auto"/>
                      <w:kern w:val="0"/>
                      <w:sz w:val="21"/>
                      <w:szCs w:val="21"/>
                      <w:highlight w:val="none"/>
                      <w:lang w:val="en-US" w:eastAsia="zh-CN" w:bidi="ar"/>
                    </w:rPr>
                    <w:t>（</w:t>
                  </w:r>
                  <w:r>
                    <w:rPr>
                      <w:rFonts w:hint="eastAsia" w:cs="Times New Roman"/>
                      <w:b w:val="0"/>
                      <w:bCs w:val="0"/>
                      <w:color w:val="auto"/>
                      <w:kern w:val="0"/>
                      <w:sz w:val="21"/>
                      <w:szCs w:val="21"/>
                      <w:highlight w:val="none"/>
                      <w:lang w:val="en-US" w:eastAsia="zh-CN" w:bidi="ar"/>
                    </w:rPr>
                    <w:t>70</w:t>
                  </w:r>
                  <w:r>
                    <w:rPr>
                      <w:rFonts w:hint="eastAsia" w:ascii="Times New Roman" w:hAnsi="Times New Roman" w:eastAsia="宋体" w:cs="Times New Roman"/>
                      <w:b w:val="0"/>
                      <w:bCs w:val="0"/>
                      <w:color w:val="auto"/>
                      <w:kern w:val="0"/>
                      <w:sz w:val="21"/>
                      <w:szCs w:val="21"/>
                      <w:highlight w:val="none"/>
                      <w:lang w:val="en-US" w:eastAsia="zh-CN" w:bidi="ar"/>
                    </w:rPr>
                    <w:t>）</w:t>
                  </w:r>
                </w:p>
              </w:tc>
              <w:tc>
                <w:tcPr>
                  <w:tcW w:w="554" w:type="pct"/>
                  <w:gridSpan w:val="2"/>
                  <w:tcBorders>
                    <w:tl2br w:val="nil"/>
                    <w:tr2bl w:val="nil"/>
                  </w:tcBorders>
                  <w:noWrap w:val="0"/>
                  <w:vAlign w:val="center"/>
                </w:tcPr>
                <w:p w14:paraId="67663D9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85</w:t>
                  </w:r>
                  <w:r>
                    <w:rPr>
                      <w:rFonts w:hint="eastAsia" w:ascii="Times New Roman" w:hAnsi="Times New Roman" w:eastAsia="宋体" w:cs="Times New Roman"/>
                      <w:b w:val="0"/>
                      <w:bCs w:val="0"/>
                      <w:color w:val="auto"/>
                      <w:kern w:val="0"/>
                      <w:sz w:val="21"/>
                      <w:szCs w:val="21"/>
                      <w:highlight w:val="none"/>
                      <w:lang w:val="en-US" w:eastAsia="zh-CN" w:bidi="ar"/>
                    </w:rPr>
                    <w:t>（</w:t>
                  </w:r>
                  <w:r>
                    <w:rPr>
                      <w:rFonts w:hint="eastAsia" w:cs="Times New Roman"/>
                      <w:b w:val="0"/>
                      <w:bCs w:val="0"/>
                      <w:color w:val="auto"/>
                      <w:kern w:val="0"/>
                      <w:sz w:val="21"/>
                      <w:szCs w:val="21"/>
                      <w:highlight w:val="none"/>
                      <w:lang w:val="en-US" w:eastAsia="zh-CN" w:bidi="ar"/>
                    </w:rPr>
                    <w:t>71</w:t>
                  </w:r>
                  <w:r>
                    <w:rPr>
                      <w:rFonts w:hint="eastAsia" w:ascii="Times New Roman" w:hAnsi="Times New Roman" w:eastAsia="宋体" w:cs="Times New Roman"/>
                      <w:b w:val="0"/>
                      <w:bCs w:val="0"/>
                      <w:color w:val="auto"/>
                      <w:kern w:val="0"/>
                      <w:sz w:val="21"/>
                      <w:szCs w:val="21"/>
                      <w:highlight w:val="none"/>
                      <w:lang w:val="en-US" w:eastAsia="zh-CN" w:bidi="ar"/>
                    </w:rPr>
                    <w:t>）</w:t>
                  </w:r>
                </w:p>
              </w:tc>
              <w:tc>
                <w:tcPr>
                  <w:tcW w:w="341" w:type="pct"/>
                  <w:vMerge w:val="continue"/>
                  <w:tcBorders>
                    <w:tl2br w:val="nil"/>
                    <w:tr2bl w:val="nil"/>
                  </w:tcBorders>
                  <w:noWrap w:val="0"/>
                  <w:vAlign w:val="center"/>
                </w:tcPr>
                <w:p w14:paraId="53D813C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r>
            <w:tr w14:paraId="1DE4E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1225" w:type="pct"/>
                  <w:gridSpan w:val="2"/>
                  <w:tcBorders>
                    <w:tl2br w:val="nil"/>
                    <w:tr2bl w:val="nil"/>
                  </w:tcBorders>
                  <w:noWrap w:val="0"/>
                  <w:vAlign w:val="center"/>
                </w:tcPr>
                <w:p w14:paraId="325C7D4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城市次干路、支路和三级公路、四级公路</w:t>
                  </w:r>
                </w:p>
              </w:tc>
              <w:tc>
                <w:tcPr>
                  <w:tcW w:w="588" w:type="pct"/>
                  <w:tcBorders>
                    <w:tl2br w:val="nil"/>
                    <w:tr2bl w:val="nil"/>
                  </w:tcBorders>
                  <w:noWrap w:val="0"/>
                  <w:vAlign w:val="center"/>
                </w:tcPr>
                <w:p w14:paraId="7FEA31A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5（3）</w:t>
                  </w:r>
                </w:p>
              </w:tc>
              <w:tc>
                <w:tcPr>
                  <w:tcW w:w="588" w:type="pct"/>
                  <w:tcBorders>
                    <w:tl2br w:val="nil"/>
                    <w:tr2bl w:val="nil"/>
                  </w:tcBorders>
                  <w:noWrap w:val="0"/>
                  <w:vAlign w:val="center"/>
                </w:tcPr>
                <w:p w14:paraId="6703730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5（3）</w:t>
                  </w:r>
                </w:p>
              </w:tc>
              <w:tc>
                <w:tcPr>
                  <w:tcW w:w="599" w:type="pct"/>
                  <w:tcBorders>
                    <w:tl2br w:val="nil"/>
                    <w:tr2bl w:val="nil"/>
                  </w:tcBorders>
                  <w:noWrap w:val="0"/>
                  <w:vAlign w:val="center"/>
                </w:tcPr>
                <w:p w14:paraId="7618079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5（3）</w:t>
                  </w:r>
                </w:p>
              </w:tc>
              <w:tc>
                <w:tcPr>
                  <w:tcW w:w="1656" w:type="pct"/>
                  <w:gridSpan w:val="5"/>
                  <w:tcBorders>
                    <w:tl2br w:val="nil"/>
                    <w:tr2bl w:val="nil"/>
                  </w:tcBorders>
                  <w:noWrap w:val="0"/>
                  <w:vAlign w:val="center"/>
                </w:tcPr>
                <w:p w14:paraId="303F545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不涉及</w:t>
                  </w:r>
                </w:p>
              </w:tc>
              <w:tc>
                <w:tcPr>
                  <w:tcW w:w="341" w:type="pct"/>
                  <w:tcBorders>
                    <w:tl2br w:val="nil"/>
                    <w:tr2bl w:val="nil"/>
                  </w:tcBorders>
                  <w:noWrap w:val="0"/>
                  <w:vAlign w:val="center"/>
                </w:tcPr>
                <w:p w14:paraId="04CDCBC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79346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225" w:type="pct"/>
                  <w:gridSpan w:val="2"/>
                  <w:tcBorders>
                    <w:tl2br w:val="nil"/>
                    <w:tr2bl w:val="nil"/>
                  </w:tcBorders>
                  <w:noWrap w:val="0"/>
                  <w:vAlign w:val="center"/>
                </w:tcPr>
                <w:p w14:paraId="66668AE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架空通信线路</w:t>
                  </w:r>
                </w:p>
              </w:tc>
              <w:tc>
                <w:tcPr>
                  <w:tcW w:w="588" w:type="pct"/>
                  <w:tcBorders>
                    <w:tl2br w:val="nil"/>
                    <w:tr2bl w:val="nil"/>
                  </w:tcBorders>
                  <w:noWrap w:val="0"/>
                  <w:vAlign w:val="center"/>
                </w:tcPr>
                <w:p w14:paraId="46BA9D0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5（5）</w:t>
                  </w:r>
                </w:p>
              </w:tc>
              <w:tc>
                <w:tcPr>
                  <w:tcW w:w="588" w:type="pct"/>
                  <w:tcBorders>
                    <w:tl2br w:val="nil"/>
                    <w:tr2bl w:val="nil"/>
                  </w:tcBorders>
                  <w:noWrap w:val="0"/>
                  <w:vAlign w:val="center"/>
                </w:tcPr>
                <w:p w14:paraId="56743F4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5（5）</w:t>
                  </w:r>
                </w:p>
              </w:tc>
              <w:tc>
                <w:tcPr>
                  <w:tcW w:w="599" w:type="pct"/>
                  <w:tcBorders>
                    <w:tl2br w:val="nil"/>
                    <w:tr2bl w:val="nil"/>
                  </w:tcBorders>
                  <w:noWrap w:val="0"/>
                  <w:vAlign w:val="center"/>
                </w:tcPr>
                <w:p w14:paraId="003B16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5（5）</w:t>
                  </w:r>
                </w:p>
              </w:tc>
              <w:tc>
                <w:tcPr>
                  <w:tcW w:w="1656" w:type="pct"/>
                  <w:gridSpan w:val="5"/>
                  <w:tcBorders>
                    <w:tl2br w:val="nil"/>
                    <w:tr2bl w:val="nil"/>
                  </w:tcBorders>
                  <w:noWrap w:val="0"/>
                  <w:vAlign w:val="center"/>
                </w:tcPr>
                <w:p w14:paraId="541593E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341" w:type="pct"/>
                  <w:tcBorders>
                    <w:tl2br w:val="nil"/>
                    <w:tr2bl w:val="nil"/>
                  </w:tcBorders>
                  <w:noWrap w:val="0"/>
                  <w:vAlign w:val="center"/>
                </w:tcPr>
                <w:p w14:paraId="3174307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1CFF9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26" w:hRule="atLeast"/>
              </w:trPr>
              <w:tc>
                <w:tcPr>
                  <w:tcW w:w="317" w:type="pct"/>
                  <w:vMerge w:val="restart"/>
                  <w:tcBorders>
                    <w:tl2br w:val="nil"/>
                    <w:tr2bl w:val="nil"/>
                  </w:tcBorders>
                  <w:noWrap w:val="0"/>
                  <w:vAlign w:val="center"/>
                </w:tcPr>
                <w:p w14:paraId="629D856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架空电力线路</w:t>
                  </w:r>
                </w:p>
              </w:tc>
              <w:tc>
                <w:tcPr>
                  <w:tcW w:w="908" w:type="pct"/>
                  <w:tcBorders>
                    <w:tl2br w:val="nil"/>
                    <w:tr2bl w:val="nil"/>
                  </w:tcBorders>
                  <w:noWrap w:val="0"/>
                  <w:vAlign w:val="center"/>
                </w:tcPr>
                <w:p w14:paraId="1392F85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无绝缘层</w:t>
                  </w:r>
                </w:p>
              </w:tc>
              <w:tc>
                <w:tcPr>
                  <w:tcW w:w="588" w:type="pct"/>
                  <w:tcBorders>
                    <w:tl2br w:val="nil"/>
                    <w:tr2bl w:val="nil"/>
                  </w:tcBorders>
                  <w:noWrap w:val="0"/>
                  <w:vAlign w:val="center"/>
                </w:tcPr>
                <w:p w14:paraId="12DF678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1.0（0.75）H，且≥6.5</w:t>
                  </w:r>
                </w:p>
              </w:tc>
              <w:tc>
                <w:tcPr>
                  <w:tcW w:w="588" w:type="pct"/>
                  <w:tcBorders>
                    <w:tl2br w:val="nil"/>
                    <w:tr2bl w:val="nil"/>
                  </w:tcBorders>
                  <w:noWrap w:val="0"/>
                  <w:vAlign w:val="center"/>
                </w:tcPr>
                <w:p w14:paraId="542CE88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6.5（6.5）</w:t>
                  </w:r>
                </w:p>
              </w:tc>
              <w:tc>
                <w:tcPr>
                  <w:tcW w:w="599" w:type="pct"/>
                  <w:tcBorders>
                    <w:tl2br w:val="nil"/>
                    <w:tr2bl w:val="nil"/>
                  </w:tcBorders>
                  <w:noWrap w:val="0"/>
                  <w:vAlign w:val="center"/>
                </w:tcPr>
                <w:p w14:paraId="0F8D8FD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6.5（6.5）</w:t>
                  </w:r>
                </w:p>
              </w:tc>
              <w:tc>
                <w:tcPr>
                  <w:tcW w:w="552" w:type="pct"/>
                  <w:gridSpan w:val="2"/>
                  <w:vMerge w:val="restart"/>
                  <w:tcBorders>
                    <w:tl2br w:val="nil"/>
                    <w:tr2bl w:val="nil"/>
                  </w:tcBorders>
                  <w:noWrap w:val="0"/>
                  <w:vAlign w:val="center"/>
                </w:tcPr>
                <w:p w14:paraId="1BFA027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43</w:t>
                  </w:r>
                  <w:r>
                    <w:rPr>
                      <w:rFonts w:hint="eastAsia" w:ascii="Times New Roman" w:hAnsi="Times New Roman" w:eastAsia="宋体" w:cs="Times New Roman"/>
                      <w:b w:val="0"/>
                      <w:bCs w:val="0"/>
                      <w:color w:val="auto"/>
                      <w:kern w:val="0"/>
                      <w:sz w:val="21"/>
                      <w:szCs w:val="21"/>
                      <w:highlight w:val="none"/>
                      <w:lang w:val="en-US" w:eastAsia="zh-CN" w:bidi="ar"/>
                    </w:rPr>
                    <w:t>（</w:t>
                  </w:r>
                  <w:r>
                    <w:rPr>
                      <w:rFonts w:hint="eastAsia" w:cs="Times New Roman"/>
                      <w:b w:val="0"/>
                      <w:bCs w:val="0"/>
                      <w:color w:val="auto"/>
                      <w:kern w:val="0"/>
                      <w:sz w:val="21"/>
                      <w:szCs w:val="21"/>
                      <w:highlight w:val="none"/>
                      <w:lang w:val="en-US" w:eastAsia="zh-CN" w:bidi="ar"/>
                    </w:rPr>
                    <w:t>36</w:t>
                  </w:r>
                  <w:r>
                    <w:rPr>
                      <w:rFonts w:hint="eastAsia" w:ascii="Times New Roman" w:hAnsi="Times New Roman" w:eastAsia="宋体" w:cs="Times New Roman"/>
                      <w:b w:val="0"/>
                      <w:bCs w:val="0"/>
                      <w:color w:val="auto"/>
                      <w:kern w:val="0"/>
                      <w:sz w:val="21"/>
                      <w:szCs w:val="21"/>
                      <w:highlight w:val="none"/>
                      <w:lang w:val="en-US" w:eastAsia="zh-CN" w:bidi="ar"/>
                    </w:rPr>
                    <w:t>）</w:t>
                  </w:r>
                </w:p>
              </w:tc>
              <w:tc>
                <w:tcPr>
                  <w:tcW w:w="552" w:type="pct"/>
                  <w:gridSpan w:val="2"/>
                  <w:vMerge w:val="restart"/>
                  <w:tcBorders>
                    <w:tl2br w:val="nil"/>
                    <w:tr2bl w:val="nil"/>
                  </w:tcBorders>
                  <w:noWrap w:val="0"/>
                  <w:vAlign w:val="center"/>
                </w:tcPr>
                <w:p w14:paraId="64C0625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33</w:t>
                  </w:r>
                  <w:r>
                    <w:rPr>
                      <w:rFonts w:hint="eastAsia" w:ascii="Times New Roman" w:hAnsi="Times New Roman" w:eastAsia="宋体" w:cs="Times New Roman"/>
                      <w:b w:val="0"/>
                      <w:bCs w:val="0"/>
                      <w:color w:val="auto"/>
                      <w:kern w:val="0"/>
                      <w:sz w:val="21"/>
                      <w:szCs w:val="21"/>
                      <w:highlight w:val="none"/>
                      <w:lang w:val="en-US" w:eastAsia="zh-CN" w:bidi="ar"/>
                    </w:rPr>
                    <w:t>（</w:t>
                  </w:r>
                  <w:r>
                    <w:rPr>
                      <w:rFonts w:hint="eastAsia" w:cs="Times New Roman"/>
                      <w:b w:val="0"/>
                      <w:bCs w:val="0"/>
                      <w:color w:val="auto"/>
                      <w:kern w:val="0"/>
                      <w:sz w:val="21"/>
                      <w:szCs w:val="21"/>
                      <w:highlight w:val="none"/>
                      <w:lang w:val="en-US" w:eastAsia="zh-CN" w:bidi="ar"/>
                    </w:rPr>
                    <w:t>42</w:t>
                  </w:r>
                  <w:r>
                    <w:rPr>
                      <w:rFonts w:hint="eastAsia" w:ascii="Times New Roman" w:hAnsi="Times New Roman" w:eastAsia="宋体" w:cs="Times New Roman"/>
                      <w:b w:val="0"/>
                      <w:bCs w:val="0"/>
                      <w:color w:val="auto"/>
                      <w:kern w:val="0"/>
                      <w:sz w:val="21"/>
                      <w:szCs w:val="21"/>
                      <w:highlight w:val="none"/>
                      <w:lang w:val="en-US" w:eastAsia="zh-CN" w:bidi="ar"/>
                    </w:rPr>
                    <w:t>）</w:t>
                  </w:r>
                </w:p>
              </w:tc>
              <w:tc>
                <w:tcPr>
                  <w:tcW w:w="552" w:type="pct"/>
                  <w:vMerge w:val="restart"/>
                  <w:tcBorders>
                    <w:tl2br w:val="nil"/>
                    <w:tr2bl w:val="nil"/>
                  </w:tcBorders>
                  <w:noWrap w:val="0"/>
                  <w:vAlign w:val="center"/>
                </w:tcPr>
                <w:p w14:paraId="2C0BDB1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36</w:t>
                  </w:r>
                  <w:r>
                    <w:rPr>
                      <w:rFonts w:hint="eastAsia" w:ascii="Times New Roman" w:hAnsi="Times New Roman" w:eastAsia="宋体" w:cs="Times New Roman"/>
                      <w:b w:val="0"/>
                      <w:bCs w:val="0"/>
                      <w:color w:val="auto"/>
                      <w:kern w:val="0"/>
                      <w:sz w:val="21"/>
                      <w:szCs w:val="21"/>
                      <w:highlight w:val="none"/>
                      <w:lang w:val="en-US" w:eastAsia="zh-CN" w:bidi="ar"/>
                    </w:rPr>
                    <w:t>（</w:t>
                  </w:r>
                  <w:r>
                    <w:rPr>
                      <w:rFonts w:hint="eastAsia" w:cs="Times New Roman"/>
                      <w:b w:val="0"/>
                      <w:bCs w:val="0"/>
                      <w:color w:val="auto"/>
                      <w:kern w:val="0"/>
                      <w:sz w:val="21"/>
                      <w:szCs w:val="21"/>
                      <w:highlight w:val="none"/>
                      <w:lang w:val="en-US" w:eastAsia="zh-CN" w:bidi="ar"/>
                    </w:rPr>
                    <w:t>36</w:t>
                  </w:r>
                  <w:r>
                    <w:rPr>
                      <w:rFonts w:hint="eastAsia" w:ascii="Times New Roman" w:hAnsi="Times New Roman" w:eastAsia="宋体" w:cs="Times New Roman"/>
                      <w:b w:val="0"/>
                      <w:bCs w:val="0"/>
                      <w:color w:val="auto"/>
                      <w:kern w:val="0"/>
                      <w:sz w:val="21"/>
                      <w:szCs w:val="21"/>
                      <w:highlight w:val="none"/>
                      <w:lang w:val="en-US" w:eastAsia="zh-CN" w:bidi="ar"/>
                    </w:rPr>
                    <w:t>）</w:t>
                  </w:r>
                </w:p>
              </w:tc>
              <w:tc>
                <w:tcPr>
                  <w:tcW w:w="341" w:type="pct"/>
                  <w:tcBorders>
                    <w:tl2br w:val="nil"/>
                    <w:tr2bl w:val="nil"/>
                  </w:tcBorders>
                  <w:noWrap w:val="0"/>
                  <w:vAlign w:val="center"/>
                </w:tcPr>
                <w:p w14:paraId="3072404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404C7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17" w:type="pct"/>
                  <w:vMerge w:val="continue"/>
                  <w:tcBorders>
                    <w:tl2br w:val="nil"/>
                    <w:tr2bl w:val="nil"/>
                  </w:tcBorders>
                  <w:noWrap w:val="0"/>
                  <w:vAlign w:val="center"/>
                </w:tcPr>
                <w:p w14:paraId="47F849A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908" w:type="pct"/>
                  <w:tcBorders>
                    <w:tl2br w:val="nil"/>
                    <w:tr2bl w:val="nil"/>
                  </w:tcBorders>
                  <w:noWrap w:val="0"/>
                  <w:vAlign w:val="center"/>
                </w:tcPr>
                <w:p w14:paraId="1A97095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有绝缘层</w:t>
                  </w:r>
                </w:p>
              </w:tc>
              <w:tc>
                <w:tcPr>
                  <w:tcW w:w="588" w:type="pct"/>
                  <w:tcBorders>
                    <w:tl2br w:val="nil"/>
                    <w:tr2bl w:val="nil"/>
                  </w:tcBorders>
                  <w:noWrap w:val="0"/>
                  <w:vAlign w:val="center"/>
                </w:tcPr>
                <w:p w14:paraId="2F4E1F1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0.75（0.5）H，且≥5</w:t>
                  </w:r>
                </w:p>
              </w:tc>
              <w:tc>
                <w:tcPr>
                  <w:tcW w:w="588" w:type="pct"/>
                  <w:tcBorders>
                    <w:tl2br w:val="nil"/>
                    <w:tr2bl w:val="nil"/>
                  </w:tcBorders>
                  <w:noWrap w:val="0"/>
                  <w:vAlign w:val="center"/>
                </w:tcPr>
                <w:p w14:paraId="1827B99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5（5）</w:t>
                  </w:r>
                </w:p>
              </w:tc>
              <w:tc>
                <w:tcPr>
                  <w:tcW w:w="599" w:type="pct"/>
                  <w:tcBorders>
                    <w:tl2br w:val="nil"/>
                    <w:tr2bl w:val="nil"/>
                  </w:tcBorders>
                  <w:noWrap w:val="0"/>
                  <w:vAlign w:val="center"/>
                </w:tcPr>
                <w:p w14:paraId="7BB6F34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5（5）</w:t>
                  </w:r>
                </w:p>
              </w:tc>
              <w:tc>
                <w:tcPr>
                  <w:tcW w:w="1656" w:type="pct"/>
                  <w:gridSpan w:val="5"/>
                  <w:tcBorders>
                    <w:tl2br w:val="nil"/>
                    <w:tr2bl w:val="nil"/>
                  </w:tcBorders>
                  <w:noWrap w:val="0"/>
                  <w:vAlign w:val="center"/>
                </w:tcPr>
                <w:p w14:paraId="3C2C73E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341" w:type="pct"/>
                  <w:tcBorders>
                    <w:tl2br w:val="nil"/>
                    <w:tr2bl w:val="nil"/>
                  </w:tcBorders>
                  <w:noWrap w:val="0"/>
                  <w:vAlign w:val="center"/>
                </w:tcPr>
                <w:p w14:paraId="435CC65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bl>
          <w:p w14:paraId="0E7B028C">
            <w:pPr>
              <w:keepNext w:val="0"/>
              <w:keepLines w:val="0"/>
              <w:suppressLineNumbers w:val="0"/>
              <w:spacing w:before="0" w:beforeAutospacing="0" w:after="0" w:afterAutospacing="0" w:line="360" w:lineRule="auto"/>
              <w:ind w:left="0" w:right="0" w:firstLine="482" w:firstLineChars="200"/>
              <w:rPr>
                <w:rFonts w:hint="default"/>
                <w:b/>
                <w:bCs/>
                <w:color w:val="auto"/>
                <w:szCs w:val="21"/>
                <w:highlight w:val="none"/>
              </w:rPr>
            </w:pPr>
            <w:r>
              <w:rPr>
                <w:rFonts w:hint="eastAsia"/>
                <w:b/>
                <w:bCs/>
                <w:color w:val="auto"/>
                <w:szCs w:val="21"/>
                <w:highlight w:val="none"/>
              </w:rPr>
              <w:t>注：架空线塔高</w:t>
            </w:r>
            <w:r>
              <w:rPr>
                <w:rFonts w:hint="eastAsia"/>
                <w:b/>
                <w:bCs/>
                <w:color w:val="auto"/>
                <w:szCs w:val="21"/>
                <w:highlight w:val="none"/>
                <w:lang w:val="en-US" w:eastAsia="zh-CN"/>
              </w:rPr>
              <w:t>40</w:t>
            </w:r>
            <w:r>
              <w:rPr>
                <w:rFonts w:hint="default"/>
                <w:b/>
                <w:bCs/>
                <w:color w:val="auto"/>
                <w:szCs w:val="21"/>
                <w:highlight w:val="none"/>
              </w:rPr>
              <w:t>m</w:t>
            </w:r>
            <w:r>
              <w:rPr>
                <w:rFonts w:hint="eastAsia"/>
                <w:b/>
                <w:bCs/>
                <w:color w:val="auto"/>
                <w:szCs w:val="21"/>
                <w:highlight w:val="none"/>
              </w:rPr>
              <w:t>。</w:t>
            </w:r>
          </w:p>
          <w:p w14:paraId="2B31063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根据上表所述，本项目</w:t>
            </w:r>
            <w:r>
              <w:rPr>
                <w:rFonts w:hint="eastAsia" w:ascii="Times New Roman" w:hAnsi="Times New Roman" w:eastAsia="宋体" w:cs="Times New Roman"/>
                <w:color w:val="auto"/>
                <w:sz w:val="24"/>
                <w:highlight w:val="none"/>
              </w:rPr>
              <w:t>汽柴油设备</w:t>
            </w:r>
            <w:r>
              <w:rPr>
                <w:rFonts w:hint="default" w:ascii="Times New Roman" w:hAnsi="Times New Roman" w:eastAsia="宋体" w:cs="Times New Roman"/>
                <w:color w:val="auto"/>
                <w:sz w:val="24"/>
                <w:highlight w:val="none"/>
              </w:rPr>
              <w:t>选址情况能满足《</w:t>
            </w:r>
            <w:r>
              <w:rPr>
                <w:rFonts w:hint="eastAsia" w:ascii="Times New Roman" w:hAnsi="Times New Roman" w:eastAsia="宋体" w:cs="Times New Roman"/>
                <w:color w:val="auto"/>
                <w:sz w:val="24"/>
                <w:highlight w:val="none"/>
              </w:rPr>
              <w:t>汽车加油加气加氢站技术标准</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GB50156-2021</w:t>
            </w:r>
            <w:r>
              <w:rPr>
                <w:rFonts w:hint="default" w:ascii="Times New Roman" w:hAnsi="Times New Roman" w:eastAsia="宋体" w:cs="Times New Roman"/>
                <w:color w:val="auto"/>
                <w:sz w:val="24"/>
                <w:highlight w:val="none"/>
              </w:rPr>
              <w:t>）的选址要求。</w:t>
            </w:r>
          </w:p>
          <w:p w14:paraId="048B070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w:instrText>
            </w:r>
            <w:r>
              <w:rPr>
                <w:rFonts w:hint="eastAsia" w:ascii="Times New Roman" w:hAnsi="Times New Roman" w:eastAsia="宋体" w:cs="Times New Roman"/>
                <w:color w:val="auto"/>
                <w:sz w:val="24"/>
                <w:highlight w:val="none"/>
              </w:rPr>
              <w:instrText xml:space="preserve">= 3 \* GB3</w:instrText>
            </w:r>
            <w:r>
              <w:rPr>
                <w:rFonts w:hint="default" w:ascii="Times New Roman" w:hAnsi="Times New Roman" w:eastAsia="宋体" w:cs="Times New Roman"/>
                <w:color w:val="auto"/>
                <w:sz w:val="24"/>
                <w:highlight w:val="none"/>
              </w:rPr>
              <w:instrText xml:space="preserve"> </w:instrText>
            </w:r>
            <w:r>
              <w:rPr>
                <w:rFonts w:hint="default" w:ascii="Times New Roman" w:hAnsi="Times New Roman" w:eastAsia="宋体" w:cs="Times New Roman"/>
                <w:color w:val="auto"/>
                <w:sz w:val="24"/>
                <w:highlight w:val="none"/>
              </w:rPr>
              <w:fldChar w:fldCharType="separate"/>
            </w:r>
            <w:r>
              <w:rPr>
                <w:rFonts w:hint="eastAsia" w:ascii="Times New Roman" w:hAnsi="Times New Roman" w:eastAsia="宋体" w:cs="Times New Roman"/>
                <w:color w:val="auto"/>
                <w:sz w:val="24"/>
                <w:highlight w:val="none"/>
              </w:rPr>
              <w:t>③</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rPr>
              <w:t>LNG工艺设备</w:t>
            </w:r>
            <w:r>
              <w:rPr>
                <w:rFonts w:hint="default" w:ascii="Times New Roman" w:hAnsi="Times New Roman" w:eastAsia="宋体" w:cs="Times New Roman"/>
                <w:color w:val="auto"/>
                <w:sz w:val="24"/>
                <w:highlight w:val="none"/>
              </w:rPr>
              <w:t>与《汽车加油加气加氢站技术标准》</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GB50156-2021</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中</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与站外建</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构</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筑物安全距离</w:t>
            </w:r>
            <w:r>
              <w:rPr>
                <w:rFonts w:hint="eastAsia"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rPr>
              <w:t>的符合性分析见下表</w:t>
            </w:r>
            <w:r>
              <w:rPr>
                <w:rFonts w:hint="eastAsia" w:ascii="Times New Roman" w:hAnsi="Times New Roman" w:eastAsia="宋体" w:cs="Times New Roman"/>
                <w:color w:val="auto"/>
                <w:sz w:val="24"/>
                <w:highlight w:val="none"/>
              </w:rPr>
              <w:t>1-1</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所示。</w:t>
            </w:r>
          </w:p>
          <w:p w14:paraId="74559B77">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表1-1</w:t>
            </w:r>
            <w:r>
              <w:rPr>
                <w:rFonts w:hint="eastAsia" w:eastAsia="黑体" w:cs="Times New Roman"/>
                <w:b/>
                <w:bCs/>
                <w:color w:val="auto"/>
                <w:kern w:val="0"/>
                <w:sz w:val="20"/>
                <w:szCs w:val="20"/>
                <w:highlight w:val="none"/>
                <w:lang w:val="en-US" w:eastAsia="zh-CN" w:bidi="ar-SA"/>
              </w:rPr>
              <w:t>5</w:t>
            </w:r>
            <w:r>
              <w:rPr>
                <w:rFonts w:hint="eastAsia" w:ascii="Times New Roman" w:hAnsi="Times New Roman" w:eastAsia="黑体" w:cs="Times New Roman"/>
                <w:b/>
                <w:bCs/>
                <w:color w:val="auto"/>
                <w:kern w:val="0"/>
                <w:sz w:val="20"/>
                <w:szCs w:val="20"/>
                <w:highlight w:val="none"/>
                <w:lang w:val="en-US" w:eastAsia="zh-CN" w:bidi="ar-SA"/>
              </w:rPr>
              <w:t xml:space="preserve"> 项目LNG工艺设备与站外建（构）筑物安全距离 (m)</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27"/>
              <w:gridCol w:w="1494"/>
              <w:gridCol w:w="1349"/>
              <w:gridCol w:w="1492"/>
              <w:gridCol w:w="920"/>
              <w:gridCol w:w="219"/>
              <w:gridCol w:w="699"/>
              <w:gridCol w:w="2"/>
              <w:gridCol w:w="93"/>
              <w:gridCol w:w="894"/>
              <w:gridCol w:w="860"/>
              <w:gridCol w:w="539"/>
            </w:tblGrid>
            <w:tr w14:paraId="5E5B5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195" w:type="pct"/>
                  <w:gridSpan w:val="2"/>
                  <w:vMerge w:val="restart"/>
                  <w:tcBorders>
                    <w:tl2br w:val="nil"/>
                    <w:tr2bl w:val="nil"/>
                  </w:tcBorders>
                  <w:noWrap w:val="0"/>
                  <w:vAlign w:val="center"/>
                </w:tcPr>
                <w:p w14:paraId="244DED5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站外建（构）筑物</w:t>
                  </w:r>
                </w:p>
              </w:tc>
              <w:tc>
                <w:tcPr>
                  <w:tcW w:w="1529" w:type="pct"/>
                  <w:gridSpan w:val="2"/>
                  <w:tcBorders>
                    <w:tl2br w:val="nil"/>
                    <w:tr2bl w:val="nil"/>
                  </w:tcBorders>
                  <w:noWrap w:val="0"/>
                  <w:vAlign w:val="center"/>
                </w:tcPr>
                <w:p w14:paraId="260593E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（GB50156-2021）中二级</w:t>
                  </w:r>
                  <w:r>
                    <w:rPr>
                      <w:rFonts w:hint="eastAsia" w:cs="Times New Roman"/>
                      <w:b/>
                      <w:bCs/>
                      <w:color w:val="auto"/>
                      <w:kern w:val="0"/>
                      <w:sz w:val="21"/>
                      <w:szCs w:val="21"/>
                      <w:highlight w:val="none"/>
                      <w:lang w:val="en-US" w:eastAsia="zh-CN" w:bidi="ar"/>
                    </w:rPr>
                    <w:t>站</w:t>
                  </w:r>
                  <w:r>
                    <w:rPr>
                      <w:rFonts w:hint="eastAsia" w:ascii="Times New Roman" w:hAnsi="Times New Roman" w:eastAsia="宋体" w:cs="Times New Roman"/>
                      <w:b/>
                      <w:bCs/>
                      <w:color w:val="auto"/>
                      <w:kern w:val="0"/>
                      <w:sz w:val="21"/>
                      <w:szCs w:val="21"/>
                      <w:highlight w:val="none"/>
                      <w:lang w:val="en-US" w:eastAsia="zh-CN" w:bidi="ar"/>
                    </w:rPr>
                    <w:t>内LNG工艺设备安全间距</w:t>
                  </w:r>
                </w:p>
              </w:tc>
              <w:tc>
                <w:tcPr>
                  <w:tcW w:w="1984" w:type="pct"/>
                  <w:gridSpan w:val="7"/>
                  <w:tcBorders>
                    <w:tl2br w:val="nil"/>
                    <w:tr2bl w:val="nil"/>
                  </w:tcBorders>
                  <w:noWrap w:val="0"/>
                  <w:vAlign w:val="center"/>
                </w:tcPr>
                <w:p w14:paraId="6206BFC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本项目（LNG与加油站合建站）内LNG工艺设备</w:t>
                  </w:r>
                </w:p>
              </w:tc>
              <w:tc>
                <w:tcPr>
                  <w:tcW w:w="290" w:type="pct"/>
                  <w:vMerge w:val="restart"/>
                  <w:tcBorders>
                    <w:tl2br w:val="nil"/>
                    <w:tr2bl w:val="nil"/>
                  </w:tcBorders>
                  <w:noWrap w:val="0"/>
                  <w:vAlign w:val="center"/>
                </w:tcPr>
                <w:p w14:paraId="685C2B5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是否 满足</w:t>
                  </w:r>
                </w:p>
              </w:tc>
            </w:tr>
            <w:tr w14:paraId="14FE5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195" w:type="pct"/>
                  <w:gridSpan w:val="2"/>
                  <w:vMerge w:val="continue"/>
                  <w:tcBorders>
                    <w:tl2br w:val="nil"/>
                    <w:tr2bl w:val="nil"/>
                  </w:tcBorders>
                  <w:noWrap w:val="0"/>
                  <w:vAlign w:val="center"/>
                </w:tcPr>
                <w:p w14:paraId="281E34F4">
                  <w:pPr>
                    <w:pStyle w:val="39"/>
                    <w:keepNext w:val="0"/>
                    <w:keepLines w:val="0"/>
                    <w:suppressLineNumbers w:val="0"/>
                    <w:spacing w:before="0" w:beforeAutospacing="0" w:after="0" w:afterAutospacing="0" w:line="240" w:lineRule="exact"/>
                    <w:ind w:left="0" w:right="0"/>
                    <w:jc w:val="center"/>
                    <w:rPr>
                      <w:rFonts w:hint="default"/>
                      <w:color w:val="auto"/>
                      <w:kern w:val="2"/>
                      <w:sz w:val="21"/>
                      <w:szCs w:val="21"/>
                      <w:highlight w:val="none"/>
                      <w:lang w:eastAsia="zh-CN"/>
                    </w:rPr>
                  </w:pPr>
                </w:p>
              </w:tc>
              <w:tc>
                <w:tcPr>
                  <w:tcW w:w="726" w:type="pct"/>
                  <w:tcBorders>
                    <w:tl2br w:val="nil"/>
                    <w:tr2bl w:val="nil"/>
                  </w:tcBorders>
                  <w:noWrap w:val="0"/>
                  <w:vAlign w:val="center"/>
                </w:tcPr>
                <w:p w14:paraId="621CA6E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地上LNG储罐</w:t>
                  </w:r>
                </w:p>
              </w:tc>
              <w:tc>
                <w:tcPr>
                  <w:tcW w:w="803" w:type="pct"/>
                  <w:tcBorders>
                    <w:tl2br w:val="nil"/>
                    <w:tr2bl w:val="nil"/>
                  </w:tcBorders>
                  <w:noWrap w:val="0"/>
                  <w:vAlign w:val="center"/>
                </w:tcPr>
                <w:p w14:paraId="16A0A7A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防空</w:t>
                  </w:r>
                  <w:r>
                    <w:rPr>
                      <w:rFonts w:hint="eastAsia" w:cs="Times New Roman"/>
                      <w:b/>
                      <w:bCs/>
                      <w:color w:val="auto"/>
                      <w:kern w:val="0"/>
                      <w:sz w:val="21"/>
                      <w:szCs w:val="21"/>
                      <w:highlight w:val="none"/>
                      <w:lang w:val="en-US" w:eastAsia="zh-CN" w:bidi="ar"/>
                    </w:rPr>
                    <w:t>管口</w:t>
                  </w:r>
                  <w:r>
                    <w:rPr>
                      <w:rFonts w:hint="eastAsia" w:ascii="Times New Roman" w:hAnsi="Times New Roman" w:eastAsia="宋体" w:cs="Times New Roman"/>
                      <w:b/>
                      <w:bCs/>
                      <w:color w:val="auto"/>
                      <w:kern w:val="0"/>
                      <w:sz w:val="21"/>
                      <w:szCs w:val="21"/>
                      <w:highlight w:val="none"/>
                      <w:lang w:val="en-US" w:eastAsia="zh-CN" w:bidi="ar"/>
                    </w:rPr>
                    <w:t>、LNG加气机、LNG卸车点</w:t>
                  </w:r>
                </w:p>
              </w:tc>
              <w:tc>
                <w:tcPr>
                  <w:tcW w:w="613" w:type="pct"/>
                  <w:gridSpan w:val="2"/>
                  <w:tcBorders>
                    <w:tl2br w:val="nil"/>
                    <w:tr2bl w:val="nil"/>
                  </w:tcBorders>
                  <w:noWrap w:val="0"/>
                  <w:vAlign w:val="center"/>
                </w:tcPr>
                <w:p w14:paraId="7F0BABC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LNG储罐</w:t>
                  </w:r>
                </w:p>
              </w:tc>
              <w:tc>
                <w:tcPr>
                  <w:tcW w:w="427" w:type="pct"/>
                  <w:gridSpan w:val="3"/>
                  <w:tcBorders>
                    <w:tl2br w:val="nil"/>
                    <w:tr2bl w:val="nil"/>
                  </w:tcBorders>
                  <w:noWrap w:val="0"/>
                  <w:vAlign w:val="center"/>
                </w:tcPr>
                <w:p w14:paraId="793C289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 xml:space="preserve">放空管管口 </w:t>
                  </w:r>
                </w:p>
              </w:tc>
              <w:tc>
                <w:tcPr>
                  <w:tcW w:w="481" w:type="pct"/>
                  <w:tcBorders>
                    <w:tl2br w:val="nil"/>
                    <w:tr2bl w:val="nil"/>
                  </w:tcBorders>
                  <w:noWrap w:val="0"/>
                  <w:vAlign w:val="center"/>
                </w:tcPr>
                <w:p w14:paraId="71027A6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LNG加气机</w:t>
                  </w:r>
                </w:p>
              </w:tc>
              <w:tc>
                <w:tcPr>
                  <w:tcW w:w="462" w:type="pct"/>
                  <w:tcBorders>
                    <w:tl2br w:val="nil"/>
                    <w:tr2bl w:val="nil"/>
                  </w:tcBorders>
                  <w:noWrap w:val="0"/>
                  <w:vAlign w:val="center"/>
                </w:tcPr>
                <w:p w14:paraId="3721FBA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LNG卸车点</w:t>
                  </w:r>
                </w:p>
              </w:tc>
              <w:tc>
                <w:tcPr>
                  <w:tcW w:w="290" w:type="pct"/>
                  <w:vMerge w:val="continue"/>
                  <w:tcBorders>
                    <w:tl2br w:val="nil"/>
                    <w:tr2bl w:val="nil"/>
                  </w:tcBorders>
                  <w:noWrap w:val="0"/>
                  <w:vAlign w:val="center"/>
                </w:tcPr>
                <w:p w14:paraId="6CA25202">
                  <w:pPr>
                    <w:pStyle w:val="39"/>
                    <w:keepNext w:val="0"/>
                    <w:keepLines w:val="0"/>
                    <w:suppressLineNumbers w:val="0"/>
                    <w:spacing w:before="0" w:beforeAutospacing="0" w:after="0" w:afterAutospacing="0" w:line="240" w:lineRule="exact"/>
                    <w:ind w:left="0" w:right="0"/>
                    <w:jc w:val="center"/>
                    <w:rPr>
                      <w:rFonts w:hint="default"/>
                      <w:color w:val="auto"/>
                      <w:kern w:val="2"/>
                      <w:sz w:val="21"/>
                      <w:szCs w:val="21"/>
                      <w:highlight w:val="none"/>
                      <w:lang w:eastAsia="zh-CN"/>
                    </w:rPr>
                  </w:pPr>
                </w:p>
              </w:tc>
            </w:tr>
            <w:tr w14:paraId="51838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16" w:hRule="atLeast"/>
              </w:trPr>
              <w:tc>
                <w:tcPr>
                  <w:tcW w:w="1195" w:type="pct"/>
                  <w:gridSpan w:val="2"/>
                  <w:tcBorders>
                    <w:tl2br w:val="nil"/>
                    <w:tr2bl w:val="nil"/>
                  </w:tcBorders>
                  <w:noWrap w:val="0"/>
                  <w:vAlign w:val="center"/>
                </w:tcPr>
                <w:p w14:paraId="27158BD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重要公共建筑物</w:t>
                  </w:r>
                </w:p>
              </w:tc>
              <w:tc>
                <w:tcPr>
                  <w:tcW w:w="726" w:type="pct"/>
                  <w:tcBorders>
                    <w:tl2br w:val="nil"/>
                    <w:tr2bl w:val="nil"/>
                  </w:tcBorders>
                  <w:noWrap w:val="0"/>
                  <w:vAlign w:val="center"/>
                </w:tcPr>
                <w:p w14:paraId="07D0EE3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80</w:t>
                  </w:r>
                </w:p>
              </w:tc>
              <w:tc>
                <w:tcPr>
                  <w:tcW w:w="803" w:type="pct"/>
                  <w:tcBorders>
                    <w:tl2br w:val="nil"/>
                    <w:tr2bl w:val="nil"/>
                  </w:tcBorders>
                  <w:noWrap w:val="0"/>
                  <w:vAlign w:val="center"/>
                </w:tcPr>
                <w:p w14:paraId="76A731B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50</w:t>
                  </w:r>
                </w:p>
              </w:tc>
              <w:tc>
                <w:tcPr>
                  <w:tcW w:w="1984" w:type="pct"/>
                  <w:gridSpan w:val="7"/>
                  <w:tcBorders>
                    <w:tl2br w:val="nil"/>
                    <w:tr2bl w:val="nil"/>
                  </w:tcBorders>
                  <w:noWrap w:val="0"/>
                  <w:vAlign w:val="center"/>
                </w:tcPr>
                <w:p w14:paraId="5162877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不涉及</w:t>
                  </w:r>
                </w:p>
              </w:tc>
              <w:tc>
                <w:tcPr>
                  <w:tcW w:w="290" w:type="pct"/>
                  <w:tcBorders>
                    <w:tl2br w:val="nil"/>
                    <w:tr2bl w:val="nil"/>
                  </w:tcBorders>
                  <w:noWrap w:val="0"/>
                  <w:vAlign w:val="center"/>
                </w:tcPr>
                <w:p w14:paraId="5A85057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473A6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195" w:type="pct"/>
                  <w:gridSpan w:val="2"/>
                  <w:tcBorders>
                    <w:tl2br w:val="nil"/>
                    <w:tr2bl w:val="nil"/>
                  </w:tcBorders>
                  <w:noWrap w:val="0"/>
                  <w:vAlign w:val="center"/>
                </w:tcPr>
                <w:p w14:paraId="4C4F08D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明火地点或散发火花地点</w:t>
                  </w:r>
                </w:p>
              </w:tc>
              <w:tc>
                <w:tcPr>
                  <w:tcW w:w="726" w:type="pct"/>
                  <w:vMerge w:val="restart"/>
                  <w:tcBorders>
                    <w:tl2br w:val="nil"/>
                    <w:tr2bl w:val="nil"/>
                  </w:tcBorders>
                  <w:noWrap w:val="0"/>
                  <w:vAlign w:val="center"/>
                </w:tcPr>
                <w:p w14:paraId="6674940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30</w:t>
                  </w:r>
                </w:p>
              </w:tc>
              <w:tc>
                <w:tcPr>
                  <w:tcW w:w="803" w:type="pct"/>
                  <w:vMerge w:val="restart"/>
                  <w:tcBorders>
                    <w:tl2br w:val="nil"/>
                    <w:tr2bl w:val="nil"/>
                  </w:tcBorders>
                  <w:noWrap w:val="0"/>
                  <w:vAlign w:val="center"/>
                </w:tcPr>
                <w:p w14:paraId="19EEAAF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25</w:t>
                  </w:r>
                </w:p>
              </w:tc>
              <w:tc>
                <w:tcPr>
                  <w:tcW w:w="1984" w:type="pct"/>
                  <w:gridSpan w:val="7"/>
                  <w:tcBorders>
                    <w:tl2br w:val="nil"/>
                    <w:tr2bl w:val="nil"/>
                  </w:tcBorders>
                  <w:noWrap w:val="0"/>
                  <w:vAlign w:val="center"/>
                </w:tcPr>
                <w:p w14:paraId="30C5E0C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290" w:type="pct"/>
                  <w:tcBorders>
                    <w:tl2br w:val="nil"/>
                    <w:tr2bl w:val="nil"/>
                  </w:tcBorders>
                  <w:noWrap w:val="0"/>
                  <w:vAlign w:val="center"/>
                </w:tcPr>
                <w:p w14:paraId="5BD5B3E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2BD16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391" w:type="pct"/>
                  <w:vMerge w:val="restart"/>
                  <w:tcBorders>
                    <w:tl2br w:val="nil"/>
                    <w:tr2bl w:val="nil"/>
                  </w:tcBorders>
                  <w:noWrap w:val="0"/>
                  <w:vAlign w:val="center"/>
                </w:tcPr>
                <w:p w14:paraId="7C3B4C0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民用建筑物保护类别</w:t>
                  </w:r>
                </w:p>
              </w:tc>
              <w:tc>
                <w:tcPr>
                  <w:tcW w:w="804" w:type="pct"/>
                  <w:vMerge w:val="restart"/>
                  <w:tcBorders>
                    <w:tl2br w:val="nil"/>
                    <w:tr2bl w:val="nil"/>
                  </w:tcBorders>
                  <w:noWrap w:val="0"/>
                  <w:vAlign w:val="center"/>
                </w:tcPr>
                <w:p w14:paraId="62535B7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一类保护物</w:t>
                  </w:r>
                </w:p>
              </w:tc>
              <w:tc>
                <w:tcPr>
                  <w:tcW w:w="726" w:type="pct"/>
                  <w:vMerge w:val="continue"/>
                  <w:tcBorders>
                    <w:tl2br w:val="nil"/>
                    <w:tr2bl w:val="nil"/>
                  </w:tcBorders>
                  <w:noWrap w:val="0"/>
                  <w:vAlign w:val="center"/>
                </w:tcPr>
                <w:p w14:paraId="7031CE5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803" w:type="pct"/>
                  <w:vMerge w:val="continue"/>
                  <w:tcBorders>
                    <w:tl2br w:val="nil"/>
                    <w:tr2bl w:val="nil"/>
                  </w:tcBorders>
                  <w:noWrap w:val="0"/>
                  <w:vAlign w:val="center"/>
                </w:tcPr>
                <w:p w14:paraId="0F9F9A8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1984" w:type="pct"/>
                  <w:gridSpan w:val="7"/>
                  <w:tcBorders>
                    <w:tl2br w:val="nil"/>
                    <w:tr2bl w:val="nil"/>
                  </w:tcBorders>
                  <w:noWrap w:val="0"/>
                  <w:vAlign w:val="center"/>
                </w:tcPr>
                <w:p w14:paraId="1299B802">
                  <w:pPr>
                    <w:keepNext w:val="0"/>
                    <w:keepLines w:val="0"/>
                    <w:widowControl/>
                    <w:suppressLineNumbers w:val="0"/>
                    <w:spacing w:before="0" w:beforeAutospacing="0" w:after="0" w:afterAutospacing="0"/>
                    <w:ind w:left="0" w:right="0"/>
                    <w:jc w:val="center"/>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袁家湾</w:t>
                  </w:r>
                </w:p>
              </w:tc>
              <w:tc>
                <w:tcPr>
                  <w:tcW w:w="290" w:type="pct"/>
                  <w:vMerge w:val="restart"/>
                  <w:tcBorders>
                    <w:tl2br w:val="nil"/>
                    <w:tr2bl w:val="nil"/>
                  </w:tcBorders>
                  <w:noWrap w:val="0"/>
                  <w:vAlign w:val="center"/>
                </w:tcPr>
                <w:p w14:paraId="5A716FC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00138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391" w:type="pct"/>
                  <w:vMerge w:val="continue"/>
                  <w:tcBorders>
                    <w:tl2br w:val="nil"/>
                    <w:tr2bl w:val="nil"/>
                  </w:tcBorders>
                  <w:noWrap w:val="0"/>
                  <w:vAlign w:val="center"/>
                </w:tcPr>
                <w:p w14:paraId="7236A0AE">
                  <w:pPr>
                    <w:keepNext w:val="0"/>
                    <w:keepLines w:val="0"/>
                    <w:widowControl/>
                    <w:suppressLineNumbers w:val="0"/>
                    <w:spacing w:before="0" w:beforeAutospacing="0" w:after="0" w:afterAutospacing="0"/>
                    <w:ind w:left="0" w:right="0"/>
                    <w:jc w:val="center"/>
                    <w:rPr>
                      <w:rFonts w:hint="default"/>
                      <w:color w:val="auto"/>
                      <w:highlight w:val="none"/>
                    </w:rPr>
                  </w:pPr>
                </w:p>
              </w:tc>
              <w:tc>
                <w:tcPr>
                  <w:tcW w:w="804" w:type="pct"/>
                  <w:vMerge w:val="continue"/>
                  <w:tcBorders>
                    <w:tl2br w:val="nil"/>
                    <w:tr2bl w:val="nil"/>
                  </w:tcBorders>
                  <w:noWrap w:val="0"/>
                  <w:vAlign w:val="center"/>
                </w:tcPr>
                <w:p w14:paraId="37568999">
                  <w:pPr>
                    <w:keepNext w:val="0"/>
                    <w:keepLines w:val="0"/>
                    <w:widowControl/>
                    <w:suppressLineNumbers w:val="0"/>
                    <w:spacing w:before="0" w:beforeAutospacing="0" w:after="0" w:afterAutospacing="0"/>
                    <w:ind w:left="0" w:right="0"/>
                    <w:jc w:val="center"/>
                    <w:rPr>
                      <w:rFonts w:hint="default"/>
                      <w:color w:val="auto"/>
                      <w:highlight w:val="none"/>
                    </w:rPr>
                  </w:pPr>
                </w:p>
              </w:tc>
              <w:tc>
                <w:tcPr>
                  <w:tcW w:w="726" w:type="pct"/>
                  <w:vMerge w:val="continue"/>
                  <w:tcBorders>
                    <w:tl2br w:val="nil"/>
                    <w:tr2bl w:val="nil"/>
                  </w:tcBorders>
                  <w:noWrap w:val="0"/>
                  <w:vAlign w:val="center"/>
                </w:tcPr>
                <w:p w14:paraId="145FEFE0">
                  <w:pPr>
                    <w:keepNext w:val="0"/>
                    <w:keepLines w:val="0"/>
                    <w:widowControl/>
                    <w:suppressLineNumbers w:val="0"/>
                    <w:spacing w:before="0" w:beforeAutospacing="0" w:after="0" w:afterAutospacing="0"/>
                    <w:ind w:left="0" w:right="0"/>
                    <w:jc w:val="center"/>
                    <w:rPr>
                      <w:rFonts w:hint="default"/>
                      <w:color w:val="auto"/>
                      <w:highlight w:val="none"/>
                    </w:rPr>
                  </w:pPr>
                </w:p>
              </w:tc>
              <w:tc>
                <w:tcPr>
                  <w:tcW w:w="803" w:type="pct"/>
                  <w:vMerge w:val="continue"/>
                  <w:tcBorders>
                    <w:tl2br w:val="nil"/>
                    <w:tr2bl w:val="nil"/>
                  </w:tcBorders>
                  <w:noWrap w:val="0"/>
                  <w:vAlign w:val="center"/>
                </w:tcPr>
                <w:p w14:paraId="67F31490">
                  <w:pPr>
                    <w:keepNext w:val="0"/>
                    <w:keepLines w:val="0"/>
                    <w:widowControl/>
                    <w:suppressLineNumbers w:val="0"/>
                    <w:spacing w:before="0" w:beforeAutospacing="0" w:after="0" w:afterAutospacing="0"/>
                    <w:ind w:left="0" w:right="0"/>
                    <w:jc w:val="center"/>
                    <w:rPr>
                      <w:rFonts w:hint="default"/>
                      <w:color w:val="auto"/>
                      <w:highlight w:val="none"/>
                    </w:rPr>
                  </w:pPr>
                </w:p>
              </w:tc>
              <w:tc>
                <w:tcPr>
                  <w:tcW w:w="613" w:type="pct"/>
                  <w:gridSpan w:val="2"/>
                  <w:tcBorders>
                    <w:tl2br w:val="nil"/>
                    <w:tr2bl w:val="nil"/>
                  </w:tcBorders>
                  <w:noWrap w:val="0"/>
                  <w:vAlign w:val="center"/>
                </w:tcPr>
                <w:p w14:paraId="5AD35F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392</w:t>
                  </w:r>
                </w:p>
              </w:tc>
              <w:tc>
                <w:tcPr>
                  <w:tcW w:w="427" w:type="pct"/>
                  <w:gridSpan w:val="3"/>
                  <w:tcBorders>
                    <w:tl2br w:val="nil"/>
                    <w:tr2bl w:val="nil"/>
                  </w:tcBorders>
                  <w:noWrap w:val="0"/>
                  <w:vAlign w:val="center"/>
                </w:tcPr>
                <w:p w14:paraId="286181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395</w:t>
                  </w:r>
                </w:p>
              </w:tc>
              <w:tc>
                <w:tcPr>
                  <w:tcW w:w="481" w:type="pct"/>
                  <w:tcBorders>
                    <w:tl2br w:val="nil"/>
                    <w:tr2bl w:val="nil"/>
                  </w:tcBorders>
                  <w:noWrap w:val="0"/>
                  <w:vAlign w:val="center"/>
                </w:tcPr>
                <w:p w14:paraId="4D672BD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388</w:t>
                  </w:r>
                </w:p>
              </w:tc>
              <w:tc>
                <w:tcPr>
                  <w:tcW w:w="462" w:type="pct"/>
                  <w:tcBorders>
                    <w:tl2br w:val="nil"/>
                    <w:tr2bl w:val="nil"/>
                  </w:tcBorders>
                  <w:noWrap w:val="0"/>
                  <w:vAlign w:val="center"/>
                </w:tcPr>
                <w:p w14:paraId="51BC3A0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396</w:t>
                  </w:r>
                </w:p>
              </w:tc>
              <w:tc>
                <w:tcPr>
                  <w:tcW w:w="290" w:type="pct"/>
                  <w:vMerge w:val="continue"/>
                  <w:tcBorders>
                    <w:tl2br w:val="nil"/>
                    <w:tr2bl w:val="nil"/>
                  </w:tcBorders>
                  <w:noWrap w:val="0"/>
                  <w:vAlign w:val="center"/>
                </w:tcPr>
                <w:p w14:paraId="7194A45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r>
            <w:tr w14:paraId="09C06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91" w:type="pct"/>
                  <w:vMerge w:val="continue"/>
                  <w:tcBorders>
                    <w:tl2br w:val="nil"/>
                    <w:tr2bl w:val="nil"/>
                  </w:tcBorders>
                  <w:noWrap w:val="0"/>
                  <w:vAlign w:val="center"/>
                </w:tcPr>
                <w:p w14:paraId="2B9F959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804" w:type="pct"/>
                  <w:tcBorders>
                    <w:tl2br w:val="nil"/>
                    <w:tr2bl w:val="nil"/>
                  </w:tcBorders>
                  <w:noWrap w:val="0"/>
                  <w:vAlign w:val="center"/>
                </w:tcPr>
                <w:p w14:paraId="68645F2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二类保护物</w:t>
                  </w:r>
                </w:p>
              </w:tc>
              <w:tc>
                <w:tcPr>
                  <w:tcW w:w="726" w:type="pct"/>
                  <w:tcBorders>
                    <w:tl2br w:val="nil"/>
                    <w:tr2bl w:val="nil"/>
                  </w:tcBorders>
                  <w:noWrap w:val="0"/>
                  <w:vAlign w:val="center"/>
                </w:tcPr>
                <w:p w14:paraId="260EE45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20</w:t>
                  </w:r>
                </w:p>
              </w:tc>
              <w:tc>
                <w:tcPr>
                  <w:tcW w:w="803" w:type="pct"/>
                  <w:tcBorders>
                    <w:tl2br w:val="nil"/>
                    <w:tr2bl w:val="nil"/>
                  </w:tcBorders>
                  <w:noWrap w:val="0"/>
                  <w:vAlign w:val="center"/>
                </w:tcPr>
                <w:p w14:paraId="2874364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16</w:t>
                  </w:r>
                </w:p>
              </w:tc>
              <w:tc>
                <w:tcPr>
                  <w:tcW w:w="1984" w:type="pct"/>
                  <w:gridSpan w:val="7"/>
                  <w:tcBorders>
                    <w:tl2br w:val="nil"/>
                    <w:tr2bl w:val="nil"/>
                  </w:tcBorders>
                  <w:noWrap w:val="0"/>
                  <w:vAlign w:val="center"/>
                </w:tcPr>
                <w:p w14:paraId="7AB0245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290" w:type="pct"/>
                  <w:tcBorders>
                    <w:tl2br w:val="nil"/>
                    <w:tr2bl w:val="nil"/>
                  </w:tcBorders>
                  <w:noWrap w:val="0"/>
                  <w:vAlign w:val="center"/>
                </w:tcPr>
                <w:p w14:paraId="470EF52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1F40A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1" w:hRule="atLeast"/>
              </w:trPr>
              <w:tc>
                <w:tcPr>
                  <w:tcW w:w="391" w:type="pct"/>
                  <w:vMerge w:val="continue"/>
                  <w:tcBorders>
                    <w:tl2br w:val="nil"/>
                    <w:tr2bl w:val="nil"/>
                  </w:tcBorders>
                  <w:noWrap w:val="0"/>
                  <w:vAlign w:val="center"/>
                </w:tcPr>
                <w:p w14:paraId="2F116C6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804" w:type="pct"/>
                  <w:vMerge w:val="restart"/>
                  <w:tcBorders>
                    <w:tl2br w:val="nil"/>
                    <w:tr2bl w:val="nil"/>
                  </w:tcBorders>
                  <w:noWrap w:val="0"/>
                  <w:vAlign w:val="center"/>
                </w:tcPr>
                <w:p w14:paraId="153E33C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三类保护物</w:t>
                  </w:r>
                </w:p>
              </w:tc>
              <w:tc>
                <w:tcPr>
                  <w:tcW w:w="726" w:type="pct"/>
                  <w:vMerge w:val="restart"/>
                  <w:tcBorders>
                    <w:tl2br w:val="nil"/>
                    <w:tr2bl w:val="nil"/>
                  </w:tcBorders>
                  <w:noWrap w:val="0"/>
                  <w:vAlign w:val="center"/>
                </w:tcPr>
                <w:p w14:paraId="0E38C89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16</w:t>
                  </w:r>
                </w:p>
              </w:tc>
              <w:tc>
                <w:tcPr>
                  <w:tcW w:w="803" w:type="pct"/>
                  <w:vMerge w:val="restart"/>
                  <w:tcBorders>
                    <w:tl2br w:val="nil"/>
                    <w:tr2bl w:val="nil"/>
                  </w:tcBorders>
                  <w:noWrap w:val="0"/>
                  <w:vAlign w:val="center"/>
                </w:tcPr>
                <w:p w14:paraId="0006586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14</w:t>
                  </w:r>
                </w:p>
              </w:tc>
              <w:tc>
                <w:tcPr>
                  <w:tcW w:w="1984" w:type="pct"/>
                  <w:gridSpan w:val="7"/>
                  <w:tcBorders>
                    <w:tl2br w:val="nil"/>
                    <w:tr2bl w:val="nil"/>
                  </w:tcBorders>
                  <w:noWrap w:val="0"/>
                  <w:vAlign w:val="center"/>
                </w:tcPr>
                <w:p w14:paraId="72B0B9E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东岳收费站</w:t>
                  </w:r>
                </w:p>
              </w:tc>
              <w:tc>
                <w:tcPr>
                  <w:tcW w:w="290" w:type="pct"/>
                  <w:vMerge w:val="restart"/>
                  <w:tcBorders>
                    <w:tl2br w:val="nil"/>
                    <w:tr2bl w:val="nil"/>
                  </w:tcBorders>
                  <w:noWrap w:val="0"/>
                  <w:vAlign w:val="center"/>
                </w:tcPr>
                <w:p w14:paraId="0F4A26A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4796D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1" w:hRule="atLeast"/>
              </w:trPr>
              <w:tc>
                <w:tcPr>
                  <w:tcW w:w="391" w:type="pct"/>
                  <w:vMerge w:val="continue"/>
                  <w:tcBorders>
                    <w:tl2br w:val="nil"/>
                    <w:tr2bl w:val="nil"/>
                  </w:tcBorders>
                  <w:noWrap w:val="0"/>
                  <w:vAlign w:val="center"/>
                </w:tcPr>
                <w:p w14:paraId="001C4409">
                  <w:pPr>
                    <w:keepNext w:val="0"/>
                    <w:keepLines w:val="0"/>
                    <w:widowControl/>
                    <w:suppressLineNumbers w:val="0"/>
                    <w:spacing w:before="0" w:beforeAutospacing="0" w:after="0" w:afterAutospacing="0"/>
                    <w:ind w:left="0" w:right="0"/>
                    <w:jc w:val="center"/>
                    <w:rPr>
                      <w:rFonts w:hint="default"/>
                    </w:rPr>
                  </w:pPr>
                </w:p>
              </w:tc>
              <w:tc>
                <w:tcPr>
                  <w:tcW w:w="804" w:type="pct"/>
                  <w:vMerge w:val="continue"/>
                  <w:tcBorders>
                    <w:tl2br w:val="nil"/>
                    <w:tr2bl w:val="nil"/>
                  </w:tcBorders>
                  <w:noWrap w:val="0"/>
                  <w:vAlign w:val="center"/>
                </w:tcPr>
                <w:p w14:paraId="652E66C9">
                  <w:pPr>
                    <w:keepNext w:val="0"/>
                    <w:keepLines w:val="0"/>
                    <w:widowControl/>
                    <w:suppressLineNumbers w:val="0"/>
                    <w:spacing w:before="0" w:beforeAutospacing="0" w:after="0" w:afterAutospacing="0"/>
                    <w:ind w:left="0" w:right="0"/>
                    <w:jc w:val="center"/>
                    <w:rPr>
                      <w:rFonts w:hint="default"/>
                    </w:rPr>
                  </w:pPr>
                </w:p>
              </w:tc>
              <w:tc>
                <w:tcPr>
                  <w:tcW w:w="726" w:type="pct"/>
                  <w:vMerge w:val="continue"/>
                  <w:tcBorders>
                    <w:tl2br w:val="nil"/>
                    <w:tr2bl w:val="nil"/>
                  </w:tcBorders>
                  <w:noWrap w:val="0"/>
                  <w:vAlign w:val="center"/>
                </w:tcPr>
                <w:p w14:paraId="7FD0DA07">
                  <w:pPr>
                    <w:keepNext w:val="0"/>
                    <w:keepLines w:val="0"/>
                    <w:widowControl/>
                    <w:suppressLineNumbers w:val="0"/>
                    <w:spacing w:before="0" w:beforeAutospacing="0" w:after="0" w:afterAutospacing="0"/>
                    <w:ind w:left="0" w:right="0"/>
                    <w:jc w:val="center"/>
                    <w:rPr>
                      <w:rFonts w:hint="default"/>
                    </w:rPr>
                  </w:pPr>
                </w:p>
              </w:tc>
              <w:tc>
                <w:tcPr>
                  <w:tcW w:w="803" w:type="pct"/>
                  <w:vMerge w:val="continue"/>
                  <w:tcBorders>
                    <w:tl2br w:val="nil"/>
                    <w:tr2bl w:val="nil"/>
                  </w:tcBorders>
                  <w:noWrap w:val="0"/>
                  <w:vAlign w:val="center"/>
                </w:tcPr>
                <w:p w14:paraId="0DF668EC">
                  <w:pPr>
                    <w:keepNext w:val="0"/>
                    <w:keepLines w:val="0"/>
                    <w:widowControl/>
                    <w:suppressLineNumbers w:val="0"/>
                    <w:spacing w:before="0" w:beforeAutospacing="0" w:after="0" w:afterAutospacing="0"/>
                    <w:ind w:left="0" w:right="0"/>
                    <w:jc w:val="center"/>
                    <w:rPr>
                      <w:rFonts w:hint="default"/>
                    </w:rPr>
                  </w:pPr>
                </w:p>
              </w:tc>
              <w:tc>
                <w:tcPr>
                  <w:tcW w:w="613" w:type="pct"/>
                  <w:gridSpan w:val="2"/>
                  <w:tcBorders>
                    <w:tl2br w:val="nil"/>
                    <w:tr2bl w:val="nil"/>
                  </w:tcBorders>
                  <w:noWrap w:val="0"/>
                  <w:vAlign w:val="center"/>
                </w:tcPr>
                <w:p w14:paraId="4C30AC6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84</w:t>
                  </w:r>
                </w:p>
              </w:tc>
              <w:tc>
                <w:tcPr>
                  <w:tcW w:w="427" w:type="pct"/>
                  <w:gridSpan w:val="3"/>
                  <w:tcBorders>
                    <w:tl2br w:val="nil"/>
                    <w:tr2bl w:val="nil"/>
                  </w:tcBorders>
                  <w:noWrap w:val="0"/>
                  <w:vAlign w:val="center"/>
                </w:tcPr>
                <w:p w14:paraId="502957B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88</w:t>
                  </w:r>
                </w:p>
              </w:tc>
              <w:tc>
                <w:tcPr>
                  <w:tcW w:w="481" w:type="pct"/>
                  <w:tcBorders>
                    <w:tl2br w:val="nil"/>
                    <w:tr2bl w:val="nil"/>
                  </w:tcBorders>
                  <w:noWrap w:val="0"/>
                  <w:vAlign w:val="center"/>
                </w:tcPr>
                <w:p w14:paraId="1A866D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82</w:t>
                  </w:r>
                </w:p>
              </w:tc>
              <w:tc>
                <w:tcPr>
                  <w:tcW w:w="462" w:type="pct"/>
                  <w:tcBorders>
                    <w:tl2br w:val="nil"/>
                    <w:tr2bl w:val="nil"/>
                  </w:tcBorders>
                  <w:noWrap w:val="0"/>
                  <w:vAlign w:val="center"/>
                </w:tcPr>
                <w:p w14:paraId="6E75C1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100</w:t>
                  </w:r>
                </w:p>
              </w:tc>
              <w:tc>
                <w:tcPr>
                  <w:tcW w:w="290" w:type="pct"/>
                  <w:vMerge w:val="continue"/>
                  <w:tcBorders>
                    <w:tl2br w:val="nil"/>
                    <w:tr2bl w:val="nil"/>
                  </w:tcBorders>
                  <w:noWrap w:val="0"/>
                  <w:vAlign w:val="center"/>
                </w:tcPr>
                <w:p w14:paraId="20D370C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r>
            <w:tr w14:paraId="304B8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195" w:type="pct"/>
                  <w:gridSpan w:val="2"/>
                  <w:tcBorders>
                    <w:tl2br w:val="nil"/>
                    <w:tr2bl w:val="nil"/>
                  </w:tcBorders>
                  <w:noWrap w:val="0"/>
                  <w:vAlign w:val="center"/>
                </w:tcPr>
                <w:p w14:paraId="0AFC464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甲、乙类物品生产厂房、库房和甲乙类液体储罐</w:t>
                  </w:r>
                </w:p>
              </w:tc>
              <w:tc>
                <w:tcPr>
                  <w:tcW w:w="726" w:type="pct"/>
                  <w:tcBorders>
                    <w:tl2br w:val="nil"/>
                    <w:tr2bl w:val="nil"/>
                  </w:tcBorders>
                  <w:noWrap w:val="0"/>
                  <w:vAlign w:val="center"/>
                </w:tcPr>
                <w:p w14:paraId="21FA099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30</w:t>
                  </w:r>
                </w:p>
              </w:tc>
              <w:tc>
                <w:tcPr>
                  <w:tcW w:w="803" w:type="pct"/>
                  <w:tcBorders>
                    <w:tl2br w:val="nil"/>
                    <w:tr2bl w:val="nil"/>
                  </w:tcBorders>
                  <w:noWrap w:val="0"/>
                  <w:vAlign w:val="center"/>
                </w:tcPr>
                <w:p w14:paraId="7FFB1D8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25</w:t>
                  </w:r>
                </w:p>
              </w:tc>
              <w:tc>
                <w:tcPr>
                  <w:tcW w:w="1984" w:type="pct"/>
                  <w:gridSpan w:val="7"/>
                  <w:tcBorders>
                    <w:tl2br w:val="nil"/>
                    <w:tr2bl w:val="nil"/>
                  </w:tcBorders>
                  <w:noWrap w:val="0"/>
                  <w:vAlign w:val="center"/>
                </w:tcPr>
                <w:p w14:paraId="2169078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290" w:type="pct"/>
                  <w:tcBorders>
                    <w:tl2br w:val="nil"/>
                    <w:tr2bl w:val="nil"/>
                  </w:tcBorders>
                  <w:noWrap w:val="0"/>
                  <w:vAlign w:val="center"/>
                </w:tcPr>
                <w:p w14:paraId="026A94A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6BB99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195" w:type="pct"/>
                  <w:gridSpan w:val="2"/>
                  <w:tcBorders>
                    <w:tl2br w:val="nil"/>
                    <w:tr2bl w:val="nil"/>
                  </w:tcBorders>
                  <w:noWrap w:val="0"/>
                  <w:vAlign w:val="center"/>
                </w:tcPr>
                <w:p w14:paraId="47C0BE2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丙丁戊类物品生产厂</w:t>
                  </w:r>
                </w:p>
                <w:p w14:paraId="783A17A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 xml:space="preserve">房、库房和丙类液体储 罐，以及单罐容积不大 于50m3的埋地甲乙类液体储罐 </w:t>
                  </w:r>
                </w:p>
              </w:tc>
              <w:tc>
                <w:tcPr>
                  <w:tcW w:w="726" w:type="pct"/>
                  <w:tcBorders>
                    <w:tl2br w:val="nil"/>
                    <w:tr2bl w:val="nil"/>
                  </w:tcBorders>
                  <w:noWrap w:val="0"/>
                  <w:vAlign w:val="center"/>
                </w:tcPr>
                <w:p w14:paraId="3099ABC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22</w:t>
                  </w:r>
                </w:p>
              </w:tc>
              <w:tc>
                <w:tcPr>
                  <w:tcW w:w="803" w:type="pct"/>
                  <w:tcBorders>
                    <w:tl2br w:val="nil"/>
                    <w:tr2bl w:val="nil"/>
                  </w:tcBorders>
                  <w:noWrap w:val="0"/>
                  <w:vAlign w:val="center"/>
                </w:tcPr>
                <w:p w14:paraId="1DC3D56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20</w:t>
                  </w:r>
                </w:p>
              </w:tc>
              <w:tc>
                <w:tcPr>
                  <w:tcW w:w="1984" w:type="pct"/>
                  <w:gridSpan w:val="7"/>
                  <w:tcBorders>
                    <w:tl2br w:val="nil"/>
                    <w:tr2bl w:val="nil"/>
                  </w:tcBorders>
                  <w:noWrap w:val="0"/>
                  <w:vAlign w:val="center"/>
                </w:tcPr>
                <w:p w14:paraId="3892A8F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290" w:type="pct"/>
                  <w:tcBorders>
                    <w:tl2br w:val="nil"/>
                    <w:tr2bl w:val="nil"/>
                  </w:tcBorders>
                  <w:noWrap w:val="0"/>
                  <w:vAlign w:val="center"/>
                </w:tcPr>
                <w:p w14:paraId="0D3B097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2510A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195" w:type="pct"/>
                  <w:gridSpan w:val="2"/>
                  <w:tcBorders>
                    <w:tl2br w:val="nil"/>
                    <w:tr2bl w:val="nil"/>
                  </w:tcBorders>
                  <w:noWrap w:val="0"/>
                  <w:vAlign w:val="center"/>
                </w:tcPr>
                <w:p w14:paraId="7BB8478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室外变配电站</w:t>
                  </w:r>
                </w:p>
              </w:tc>
              <w:tc>
                <w:tcPr>
                  <w:tcW w:w="726" w:type="pct"/>
                  <w:tcBorders>
                    <w:tl2br w:val="nil"/>
                    <w:tr2bl w:val="nil"/>
                  </w:tcBorders>
                  <w:noWrap w:val="0"/>
                  <w:vAlign w:val="center"/>
                </w:tcPr>
                <w:p w14:paraId="1320645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35</w:t>
                  </w:r>
                </w:p>
              </w:tc>
              <w:tc>
                <w:tcPr>
                  <w:tcW w:w="803" w:type="pct"/>
                  <w:tcBorders>
                    <w:tl2br w:val="nil"/>
                    <w:tr2bl w:val="nil"/>
                  </w:tcBorders>
                  <w:noWrap w:val="0"/>
                  <w:vAlign w:val="center"/>
                </w:tcPr>
                <w:p w14:paraId="19F45FA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30</w:t>
                  </w:r>
                </w:p>
              </w:tc>
              <w:tc>
                <w:tcPr>
                  <w:tcW w:w="1984" w:type="pct"/>
                  <w:gridSpan w:val="7"/>
                  <w:tcBorders>
                    <w:tl2br w:val="nil"/>
                    <w:tr2bl w:val="nil"/>
                  </w:tcBorders>
                  <w:noWrap w:val="0"/>
                  <w:vAlign w:val="center"/>
                </w:tcPr>
                <w:p w14:paraId="0CA33B7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290" w:type="pct"/>
                  <w:tcBorders>
                    <w:tl2br w:val="nil"/>
                    <w:tr2bl w:val="nil"/>
                  </w:tcBorders>
                  <w:noWrap w:val="0"/>
                  <w:vAlign w:val="center"/>
                </w:tcPr>
                <w:p w14:paraId="1375B80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6A2A1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195" w:type="pct"/>
                  <w:gridSpan w:val="2"/>
                  <w:tcBorders>
                    <w:tl2br w:val="nil"/>
                    <w:tr2bl w:val="nil"/>
                  </w:tcBorders>
                  <w:noWrap w:val="0"/>
                  <w:vAlign w:val="center"/>
                </w:tcPr>
                <w:p w14:paraId="1A9EDA5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铁路、地上城市轨道线路</w:t>
                  </w:r>
                </w:p>
              </w:tc>
              <w:tc>
                <w:tcPr>
                  <w:tcW w:w="726" w:type="pct"/>
                  <w:tcBorders>
                    <w:tl2br w:val="nil"/>
                    <w:tr2bl w:val="nil"/>
                  </w:tcBorders>
                  <w:noWrap w:val="0"/>
                  <w:vAlign w:val="center"/>
                </w:tcPr>
                <w:p w14:paraId="6AA3A2B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60</w:t>
                  </w:r>
                </w:p>
              </w:tc>
              <w:tc>
                <w:tcPr>
                  <w:tcW w:w="803" w:type="pct"/>
                  <w:tcBorders>
                    <w:tl2br w:val="nil"/>
                    <w:tr2bl w:val="nil"/>
                  </w:tcBorders>
                  <w:noWrap w:val="0"/>
                  <w:vAlign w:val="center"/>
                </w:tcPr>
                <w:p w14:paraId="27ACC19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50</w:t>
                  </w:r>
                </w:p>
              </w:tc>
              <w:tc>
                <w:tcPr>
                  <w:tcW w:w="1984" w:type="pct"/>
                  <w:gridSpan w:val="7"/>
                  <w:tcBorders>
                    <w:tl2br w:val="nil"/>
                    <w:tr2bl w:val="nil"/>
                  </w:tcBorders>
                  <w:noWrap w:val="0"/>
                  <w:vAlign w:val="center"/>
                </w:tcPr>
                <w:p w14:paraId="682FCF1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290" w:type="pct"/>
                  <w:tcBorders>
                    <w:tl2br w:val="nil"/>
                    <w:tr2bl w:val="nil"/>
                  </w:tcBorders>
                  <w:noWrap w:val="0"/>
                  <w:vAlign w:val="center"/>
                </w:tcPr>
                <w:p w14:paraId="75CF92B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36C1D2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195" w:type="pct"/>
                  <w:gridSpan w:val="2"/>
                  <w:vMerge w:val="restart"/>
                  <w:tcBorders>
                    <w:tl2br w:val="nil"/>
                    <w:tr2bl w:val="nil"/>
                  </w:tcBorders>
                  <w:noWrap w:val="0"/>
                  <w:vAlign w:val="center"/>
                </w:tcPr>
                <w:p w14:paraId="7976128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城市快速路、主干道和高速公路、一级公路、二级公路</w:t>
                  </w:r>
                </w:p>
              </w:tc>
              <w:tc>
                <w:tcPr>
                  <w:tcW w:w="726" w:type="pct"/>
                  <w:vMerge w:val="restart"/>
                  <w:tcBorders>
                    <w:tl2br w:val="nil"/>
                    <w:tr2bl w:val="nil"/>
                  </w:tcBorders>
                  <w:noWrap w:val="0"/>
                  <w:vAlign w:val="center"/>
                </w:tcPr>
                <w:p w14:paraId="118F769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10</w:t>
                  </w:r>
                </w:p>
              </w:tc>
              <w:tc>
                <w:tcPr>
                  <w:tcW w:w="803" w:type="pct"/>
                  <w:vMerge w:val="restart"/>
                  <w:tcBorders>
                    <w:tl2br w:val="nil"/>
                    <w:tr2bl w:val="nil"/>
                  </w:tcBorders>
                  <w:noWrap w:val="0"/>
                  <w:vAlign w:val="center"/>
                </w:tcPr>
                <w:p w14:paraId="5D0583C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8</w:t>
                  </w:r>
                </w:p>
              </w:tc>
              <w:tc>
                <w:tcPr>
                  <w:tcW w:w="1984" w:type="pct"/>
                  <w:gridSpan w:val="7"/>
                  <w:tcBorders>
                    <w:tl2br w:val="nil"/>
                    <w:tr2bl w:val="nil"/>
                  </w:tcBorders>
                  <w:noWrap w:val="0"/>
                  <w:vAlign w:val="center"/>
                </w:tcPr>
                <w:p w14:paraId="21CB760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达州绕城高速</w:t>
                  </w:r>
                  <w:r>
                    <w:rPr>
                      <w:rFonts w:hint="eastAsia" w:ascii="Times New Roman" w:hAnsi="Times New Roman" w:eastAsia="宋体" w:cs="Times New Roman"/>
                      <w:b w:val="0"/>
                      <w:bCs w:val="0"/>
                      <w:color w:val="auto"/>
                      <w:kern w:val="0"/>
                      <w:sz w:val="21"/>
                      <w:szCs w:val="21"/>
                      <w:highlight w:val="none"/>
                      <w:lang w:val="en-US" w:eastAsia="zh-CN" w:bidi="ar"/>
                    </w:rPr>
                    <w:t>G</w:t>
                  </w:r>
                  <w:r>
                    <w:rPr>
                      <w:rFonts w:hint="eastAsia" w:cs="Times New Roman"/>
                      <w:b w:val="0"/>
                      <w:bCs w:val="0"/>
                      <w:color w:val="auto"/>
                      <w:kern w:val="0"/>
                      <w:sz w:val="21"/>
                      <w:szCs w:val="21"/>
                      <w:highlight w:val="none"/>
                      <w:lang w:val="en-US" w:eastAsia="zh-CN" w:bidi="ar"/>
                    </w:rPr>
                    <w:t>210</w:t>
                  </w:r>
                </w:p>
              </w:tc>
              <w:tc>
                <w:tcPr>
                  <w:tcW w:w="290" w:type="pct"/>
                  <w:vMerge w:val="restart"/>
                  <w:tcBorders>
                    <w:tl2br w:val="nil"/>
                    <w:tr2bl w:val="nil"/>
                  </w:tcBorders>
                  <w:noWrap w:val="0"/>
                  <w:vAlign w:val="center"/>
                </w:tcPr>
                <w:p w14:paraId="481BEB8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7160F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195" w:type="pct"/>
                  <w:gridSpan w:val="2"/>
                  <w:vMerge w:val="continue"/>
                  <w:tcBorders>
                    <w:tl2br w:val="nil"/>
                    <w:tr2bl w:val="nil"/>
                  </w:tcBorders>
                  <w:noWrap w:val="0"/>
                  <w:vAlign w:val="center"/>
                </w:tcPr>
                <w:p w14:paraId="41FF9AB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726" w:type="pct"/>
                  <w:vMerge w:val="continue"/>
                  <w:tcBorders>
                    <w:tl2br w:val="nil"/>
                    <w:tr2bl w:val="nil"/>
                  </w:tcBorders>
                  <w:noWrap w:val="0"/>
                  <w:vAlign w:val="center"/>
                </w:tcPr>
                <w:p w14:paraId="052C044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803" w:type="pct"/>
                  <w:vMerge w:val="continue"/>
                  <w:tcBorders>
                    <w:tl2br w:val="nil"/>
                    <w:tr2bl w:val="nil"/>
                  </w:tcBorders>
                  <w:noWrap w:val="0"/>
                  <w:vAlign w:val="center"/>
                </w:tcPr>
                <w:p w14:paraId="0E5283D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495" w:type="pct"/>
                  <w:tcBorders>
                    <w:tl2br w:val="nil"/>
                    <w:tr2bl w:val="nil"/>
                  </w:tcBorders>
                  <w:noWrap w:val="0"/>
                  <w:vAlign w:val="center"/>
                </w:tcPr>
                <w:p w14:paraId="5CCC17A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46</w:t>
                  </w:r>
                </w:p>
              </w:tc>
              <w:tc>
                <w:tcPr>
                  <w:tcW w:w="494" w:type="pct"/>
                  <w:gridSpan w:val="2"/>
                  <w:tcBorders>
                    <w:tl2br w:val="nil"/>
                    <w:tr2bl w:val="nil"/>
                  </w:tcBorders>
                  <w:noWrap w:val="0"/>
                  <w:vAlign w:val="center"/>
                </w:tcPr>
                <w:p w14:paraId="2E5A346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43</w:t>
                  </w:r>
                </w:p>
              </w:tc>
              <w:tc>
                <w:tcPr>
                  <w:tcW w:w="532" w:type="pct"/>
                  <w:gridSpan w:val="3"/>
                  <w:tcBorders>
                    <w:tl2br w:val="nil"/>
                    <w:tr2bl w:val="nil"/>
                  </w:tcBorders>
                  <w:noWrap w:val="0"/>
                  <w:vAlign w:val="center"/>
                </w:tcPr>
                <w:p w14:paraId="7E91F13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70</w:t>
                  </w:r>
                </w:p>
              </w:tc>
              <w:tc>
                <w:tcPr>
                  <w:tcW w:w="462" w:type="pct"/>
                  <w:tcBorders>
                    <w:tl2br w:val="nil"/>
                    <w:tr2bl w:val="nil"/>
                  </w:tcBorders>
                  <w:noWrap w:val="0"/>
                  <w:vAlign w:val="center"/>
                </w:tcPr>
                <w:p w14:paraId="5C627EC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50</w:t>
                  </w:r>
                </w:p>
              </w:tc>
              <w:tc>
                <w:tcPr>
                  <w:tcW w:w="290" w:type="pct"/>
                  <w:vMerge w:val="continue"/>
                  <w:tcBorders>
                    <w:tl2br w:val="nil"/>
                    <w:tr2bl w:val="nil"/>
                  </w:tcBorders>
                  <w:noWrap w:val="0"/>
                  <w:vAlign w:val="center"/>
                </w:tcPr>
                <w:p w14:paraId="32231EC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r>
            <w:tr w14:paraId="6F864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4" w:hRule="atLeast"/>
              </w:trPr>
              <w:tc>
                <w:tcPr>
                  <w:tcW w:w="1195" w:type="pct"/>
                  <w:gridSpan w:val="2"/>
                  <w:tcBorders>
                    <w:tl2br w:val="nil"/>
                    <w:tr2bl w:val="nil"/>
                  </w:tcBorders>
                  <w:noWrap w:val="0"/>
                  <w:vAlign w:val="center"/>
                </w:tcPr>
                <w:p w14:paraId="3CD038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城市次干路、支路和三级公路、四级公路</w:t>
                  </w:r>
                </w:p>
              </w:tc>
              <w:tc>
                <w:tcPr>
                  <w:tcW w:w="726" w:type="pct"/>
                  <w:tcBorders>
                    <w:tl2br w:val="nil"/>
                    <w:tr2bl w:val="nil"/>
                  </w:tcBorders>
                  <w:noWrap w:val="0"/>
                  <w:vAlign w:val="center"/>
                </w:tcPr>
                <w:p w14:paraId="6BDED86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8</w:t>
                  </w:r>
                </w:p>
              </w:tc>
              <w:tc>
                <w:tcPr>
                  <w:tcW w:w="803" w:type="pct"/>
                  <w:tcBorders>
                    <w:tl2br w:val="nil"/>
                    <w:tr2bl w:val="nil"/>
                  </w:tcBorders>
                  <w:noWrap w:val="0"/>
                  <w:vAlign w:val="center"/>
                </w:tcPr>
                <w:p w14:paraId="1EA9FF5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6</w:t>
                  </w:r>
                </w:p>
              </w:tc>
              <w:tc>
                <w:tcPr>
                  <w:tcW w:w="1984" w:type="pct"/>
                  <w:gridSpan w:val="7"/>
                  <w:tcBorders>
                    <w:tl2br w:val="nil"/>
                    <w:tr2bl w:val="nil"/>
                  </w:tcBorders>
                  <w:noWrap w:val="0"/>
                  <w:vAlign w:val="center"/>
                </w:tcPr>
                <w:p w14:paraId="79F4C0C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290" w:type="pct"/>
                  <w:tcBorders>
                    <w:tl2br w:val="nil"/>
                    <w:tr2bl w:val="nil"/>
                  </w:tcBorders>
                  <w:noWrap w:val="0"/>
                  <w:vAlign w:val="center"/>
                </w:tcPr>
                <w:p w14:paraId="337429A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11723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1195" w:type="pct"/>
                  <w:gridSpan w:val="2"/>
                  <w:tcBorders>
                    <w:tl2br w:val="nil"/>
                    <w:tr2bl w:val="nil"/>
                  </w:tcBorders>
                  <w:noWrap w:val="0"/>
                  <w:vAlign w:val="center"/>
                </w:tcPr>
                <w:p w14:paraId="366B21C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架空通信线路</w:t>
                  </w:r>
                </w:p>
              </w:tc>
              <w:tc>
                <w:tcPr>
                  <w:tcW w:w="726" w:type="pct"/>
                  <w:tcBorders>
                    <w:tl2br w:val="nil"/>
                    <w:tr2bl w:val="nil"/>
                  </w:tcBorders>
                  <w:noWrap w:val="0"/>
                  <w:vAlign w:val="center"/>
                </w:tcPr>
                <w:p w14:paraId="5CAB688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0.75H</w:t>
                  </w:r>
                </w:p>
              </w:tc>
              <w:tc>
                <w:tcPr>
                  <w:tcW w:w="803" w:type="pct"/>
                  <w:tcBorders>
                    <w:tl2br w:val="nil"/>
                    <w:tr2bl w:val="nil"/>
                  </w:tcBorders>
                  <w:noWrap w:val="0"/>
                  <w:vAlign w:val="center"/>
                </w:tcPr>
                <w:p w14:paraId="5F8EC51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0.75H</w:t>
                  </w:r>
                </w:p>
              </w:tc>
              <w:tc>
                <w:tcPr>
                  <w:tcW w:w="1984" w:type="pct"/>
                  <w:gridSpan w:val="7"/>
                  <w:tcBorders>
                    <w:tl2br w:val="nil"/>
                    <w:tr2bl w:val="nil"/>
                  </w:tcBorders>
                  <w:noWrap w:val="0"/>
                  <w:vAlign w:val="center"/>
                </w:tcPr>
                <w:p w14:paraId="1310898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290" w:type="pct"/>
                  <w:tcBorders>
                    <w:tl2br w:val="nil"/>
                    <w:tr2bl w:val="nil"/>
                  </w:tcBorders>
                  <w:noWrap w:val="0"/>
                  <w:vAlign w:val="center"/>
                </w:tcPr>
                <w:p w14:paraId="1BC8396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2EDC2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4" w:hRule="atLeast"/>
              </w:trPr>
              <w:tc>
                <w:tcPr>
                  <w:tcW w:w="391" w:type="pct"/>
                  <w:vMerge w:val="restart"/>
                  <w:tcBorders>
                    <w:tl2br w:val="nil"/>
                    <w:tr2bl w:val="nil"/>
                  </w:tcBorders>
                  <w:noWrap w:val="0"/>
                  <w:vAlign w:val="center"/>
                </w:tcPr>
                <w:p w14:paraId="4D88CA8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架空电力线路</w:t>
                  </w:r>
                </w:p>
              </w:tc>
              <w:tc>
                <w:tcPr>
                  <w:tcW w:w="804" w:type="pct"/>
                  <w:tcBorders>
                    <w:tl2br w:val="nil"/>
                    <w:tr2bl w:val="nil"/>
                  </w:tcBorders>
                  <w:noWrap w:val="0"/>
                  <w:vAlign w:val="center"/>
                </w:tcPr>
                <w:p w14:paraId="234A120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无绝缘层</w:t>
                  </w:r>
                </w:p>
              </w:tc>
              <w:tc>
                <w:tcPr>
                  <w:tcW w:w="726" w:type="pct"/>
                  <w:tcBorders>
                    <w:tl2br w:val="nil"/>
                    <w:tr2bl w:val="nil"/>
                  </w:tcBorders>
                  <w:noWrap w:val="0"/>
                  <w:vAlign w:val="center"/>
                </w:tcPr>
                <w:p w14:paraId="4A53AB0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1.5H</w:t>
                  </w:r>
                </w:p>
              </w:tc>
              <w:tc>
                <w:tcPr>
                  <w:tcW w:w="803" w:type="pct"/>
                  <w:tcBorders>
                    <w:tl2br w:val="nil"/>
                    <w:tr2bl w:val="nil"/>
                  </w:tcBorders>
                  <w:noWrap w:val="0"/>
                  <w:vAlign w:val="center"/>
                </w:tcPr>
                <w:p w14:paraId="35ABE4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1.0H</w:t>
                  </w:r>
                </w:p>
              </w:tc>
              <w:tc>
                <w:tcPr>
                  <w:tcW w:w="495" w:type="pct"/>
                  <w:tcBorders>
                    <w:tl2br w:val="nil"/>
                    <w:tr2bl w:val="nil"/>
                  </w:tcBorders>
                  <w:noWrap w:val="0"/>
                  <w:vAlign w:val="center"/>
                </w:tcPr>
                <w:p w14:paraId="54A5519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57</w:t>
                  </w:r>
                </w:p>
              </w:tc>
              <w:tc>
                <w:tcPr>
                  <w:tcW w:w="495" w:type="pct"/>
                  <w:gridSpan w:val="3"/>
                  <w:vMerge w:val="restart"/>
                  <w:tcBorders>
                    <w:tl2br w:val="nil"/>
                    <w:tr2bl w:val="nil"/>
                  </w:tcBorders>
                  <w:noWrap w:val="0"/>
                  <w:vAlign w:val="center"/>
                </w:tcPr>
                <w:p w14:paraId="67A25A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64</w:t>
                  </w:r>
                </w:p>
              </w:tc>
              <w:tc>
                <w:tcPr>
                  <w:tcW w:w="531" w:type="pct"/>
                  <w:gridSpan w:val="2"/>
                  <w:vMerge w:val="restart"/>
                  <w:tcBorders>
                    <w:tl2br w:val="nil"/>
                    <w:tr2bl w:val="nil"/>
                  </w:tcBorders>
                  <w:noWrap w:val="0"/>
                  <w:vAlign w:val="center"/>
                </w:tcPr>
                <w:p w14:paraId="458EA18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40</w:t>
                  </w:r>
                </w:p>
              </w:tc>
              <w:tc>
                <w:tcPr>
                  <w:tcW w:w="462" w:type="pct"/>
                  <w:tcBorders>
                    <w:tl2br w:val="nil"/>
                    <w:tr2bl w:val="nil"/>
                  </w:tcBorders>
                  <w:noWrap w:val="0"/>
                  <w:vAlign w:val="center"/>
                </w:tcPr>
                <w:p w14:paraId="6AD2EA1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49</w:t>
                  </w:r>
                </w:p>
              </w:tc>
              <w:tc>
                <w:tcPr>
                  <w:tcW w:w="290" w:type="pct"/>
                  <w:tcBorders>
                    <w:tl2br w:val="nil"/>
                    <w:tr2bl w:val="nil"/>
                  </w:tcBorders>
                  <w:noWrap w:val="0"/>
                  <w:vAlign w:val="center"/>
                </w:tcPr>
                <w:p w14:paraId="33835A8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r w14:paraId="571C1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91" w:type="pct"/>
                  <w:vMerge w:val="continue"/>
                  <w:tcBorders>
                    <w:tl2br w:val="nil"/>
                    <w:tr2bl w:val="nil"/>
                  </w:tcBorders>
                  <w:noWrap w:val="0"/>
                  <w:vAlign w:val="center"/>
                </w:tcPr>
                <w:p w14:paraId="705A06B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p>
              </w:tc>
              <w:tc>
                <w:tcPr>
                  <w:tcW w:w="804" w:type="pct"/>
                  <w:tcBorders>
                    <w:tl2br w:val="nil"/>
                    <w:tr2bl w:val="nil"/>
                  </w:tcBorders>
                  <w:noWrap w:val="0"/>
                  <w:vAlign w:val="center"/>
                </w:tcPr>
                <w:p w14:paraId="4EA391B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有绝缘层</w:t>
                  </w:r>
                </w:p>
              </w:tc>
              <w:tc>
                <w:tcPr>
                  <w:tcW w:w="726" w:type="pct"/>
                  <w:tcBorders>
                    <w:tl2br w:val="nil"/>
                    <w:tr2bl w:val="nil"/>
                  </w:tcBorders>
                  <w:noWrap w:val="0"/>
                  <w:vAlign w:val="center"/>
                </w:tcPr>
                <w:p w14:paraId="523F6B1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1.0H</w:t>
                  </w:r>
                </w:p>
              </w:tc>
              <w:tc>
                <w:tcPr>
                  <w:tcW w:w="803" w:type="pct"/>
                  <w:tcBorders>
                    <w:tl2br w:val="nil"/>
                    <w:tr2bl w:val="nil"/>
                  </w:tcBorders>
                  <w:noWrap w:val="0"/>
                  <w:vAlign w:val="center"/>
                </w:tcPr>
                <w:p w14:paraId="4394CB7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0.75H</w:t>
                  </w:r>
                </w:p>
              </w:tc>
              <w:tc>
                <w:tcPr>
                  <w:tcW w:w="1984" w:type="pct"/>
                  <w:gridSpan w:val="7"/>
                  <w:tcBorders>
                    <w:tl2br w:val="nil"/>
                    <w:tr2bl w:val="nil"/>
                  </w:tcBorders>
                  <w:noWrap w:val="0"/>
                  <w:vAlign w:val="center"/>
                </w:tcPr>
                <w:p w14:paraId="413FF50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不涉及</w:t>
                  </w:r>
                </w:p>
              </w:tc>
              <w:tc>
                <w:tcPr>
                  <w:tcW w:w="290" w:type="pct"/>
                  <w:tcBorders>
                    <w:tl2br w:val="nil"/>
                    <w:tr2bl w:val="nil"/>
                  </w:tcBorders>
                  <w:noWrap w:val="0"/>
                  <w:vAlign w:val="center"/>
                </w:tcPr>
                <w:p w14:paraId="77CF34D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是</w:t>
                  </w:r>
                </w:p>
              </w:tc>
            </w:tr>
          </w:tbl>
          <w:p w14:paraId="35BB106B">
            <w:pPr>
              <w:keepNext w:val="0"/>
              <w:keepLines w:val="0"/>
              <w:suppressLineNumbers w:val="0"/>
              <w:spacing w:before="0" w:beforeAutospacing="0" w:after="0" w:afterAutospacing="0" w:line="360" w:lineRule="auto"/>
              <w:ind w:left="0" w:right="0" w:firstLine="482" w:firstLineChars="200"/>
              <w:rPr>
                <w:rFonts w:hint="default"/>
                <w:b/>
                <w:bCs/>
                <w:color w:val="auto"/>
                <w:szCs w:val="21"/>
                <w:highlight w:val="none"/>
              </w:rPr>
            </w:pPr>
            <w:r>
              <w:rPr>
                <w:rFonts w:hint="eastAsia"/>
                <w:b/>
                <w:bCs/>
                <w:color w:val="auto"/>
                <w:szCs w:val="21"/>
                <w:highlight w:val="none"/>
              </w:rPr>
              <w:t>注：架空线塔高</w:t>
            </w:r>
            <w:r>
              <w:rPr>
                <w:rFonts w:hint="eastAsia"/>
                <w:b/>
                <w:bCs/>
                <w:color w:val="auto"/>
                <w:szCs w:val="21"/>
                <w:highlight w:val="none"/>
                <w:lang w:val="en-US" w:eastAsia="zh-CN"/>
              </w:rPr>
              <w:t>40</w:t>
            </w:r>
            <w:r>
              <w:rPr>
                <w:rFonts w:hint="default"/>
                <w:b/>
                <w:bCs/>
                <w:color w:val="auto"/>
                <w:szCs w:val="21"/>
                <w:highlight w:val="none"/>
              </w:rPr>
              <w:t>m</w:t>
            </w:r>
            <w:r>
              <w:rPr>
                <w:rFonts w:hint="eastAsia"/>
                <w:b/>
                <w:bCs/>
                <w:color w:val="auto"/>
                <w:szCs w:val="21"/>
                <w:highlight w:val="none"/>
              </w:rPr>
              <w:t>。</w:t>
            </w:r>
          </w:p>
          <w:p w14:paraId="32977661">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根据上表所述，本项目</w:t>
            </w:r>
            <w:r>
              <w:rPr>
                <w:rFonts w:hint="eastAsia"/>
                <w:color w:val="auto"/>
                <w:sz w:val="24"/>
                <w:highlight w:val="none"/>
              </w:rPr>
              <w:t>LNG工艺设备</w:t>
            </w:r>
            <w:r>
              <w:rPr>
                <w:rFonts w:hint="default"/>
                <w:color w:val="auto"/>
                <w:sz w:val="24"/>
                <w:highlight w:val="none"/>
              </w:rPr>
              <w:t>选址情况能满足《</w:t>
            </w:r>
            <w:r>
              <w:rPr>
                <w:rFonts w:hint="eastAsia"/>
                <w:color w:val="auto"/>
                <w:sz w:val="24"/>
                <w:highlight w:val="none"/>
              </w:rPr>
              <w:t>汽车加油加气加氢站技术标准</w:t>
            </w:r>
            <w:r>
              <w:rPr>
                <w:rFonts w:hint="default"/>
                <w:color w:val="auto"/>
                <w:sz w:val="24"/>
                <w:highlight w:val="none"/>
              </w:rPr>
              <w:t>》（</w:t>
            </w:r>
            <w:r>
              <w:rPr>
                <w:rFonts w:hint="eastAsia"/>
                <w:color w:val="auto"/>
                <w:sz w:val="24"/>
                <w:highlight w:val="none"/>
              </w:rPr>
              <w:t>GB50156-2021</w:t>
            </w:r>
            <w:r>
              <w:rPr>
                <w:rFonts w:hint="default"/>
                <w:color w:val="auto"/>
                <w:sz w:val="24"/>
                <w:highlight w:val="none"/>
              </w:rPr>
              <w:t>）的选址要求。</w:t>
            </w:r>
          </w:p>
          <w:p w14:paraId="4E67BF1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olor w:val="auto"/>
                <w:sz w:val="24"/>
                <w:highlight w:val="none"/>
              </w:rPr>
              <w:t>综上所述，本</w:t>
            </w:r>
            <w:r>
              <w:rPr>
                <w:rFonts w:hint="default"/>
                <w:color w:val="auto"/>
                <w:sz w:val="24"/>
                <w:highlight w:val="none"/>
              </w:rPr>
              <w:t>项目评价范围内无自然保护区、</w:t>
            </w:r>
            <w:r>
              <w:rPr>
                <w:rFonts w:hint="eastAsia"/>
                <w:color w:val="auto"/>
                <w:sz w:val="24"/>
                <w:highlight w:val="none"/>
              </w:rPr>
              <w:t>风景名胜区、森林公园</w:t>
            </w:r>
            <w:r>
              <w:rPr>
                <w:rFonts w:hint="default"/>
                <w:color w:val="auto"/>
                <w:sz w:val="24"/>
                <w:highlight w:val="none"/>
              </w:rPr>
              <w:t>等</w:t>
            </w:r>
            <w:r>
              <w:rPr>
                <w:rFonts w:hint="eastAsia"/>
                <w:color w:val="auto"/>
                <w:sz w:val="24"/>
                <w:highlight w:val="none"/>
              </w:rPr>
              <w:t>特殊敏感保护目标</w:t>
            </w:r>
            <w:r>
              <w:rPr>
                <w:rFonts w:hint="default"/>
                <w:color w:val="auto"/>
                <w:sz w:val="24"/>
                <w:highlight w:val="none"/>
              </w:rPr>
              <w:t>，本项目实施建设无重大外环境制约因素。</w:t>
            </w:r>
            <w:r>
              <w:rPr>
                <w:rFonts w:hint="eastAsia"/>
                <w:color w:val="auto"/>
                <w:sz w:val="24"/>
                <w:highlight w:val="none"/>
              </w:rPr>
              <w:t>项目</w:t>
            </w:r>
            <w:r>
              <w:rPr>
                <w:rFonts w:hint="default"/>
                <w:color w:val="auto"/>
                <w:sz w:val="24"/>
                <w:highlight w:val="none"/>
              </w:rPr>
              <w:t>周边</w:t>
            </w:r>
            <w:r>
              <w:rPr>
                <w:rFonts w:hint="eastAsia"/>
                <w:color w:val="auto"/>
                <w:sz w:val="24"/>
                <w:highlight w:val="none"/>
                <w:lang w:val="en-US" w:eastAsia="zh-CN"/>
              </w:rPr>
              <w:t>500m范围内</w:t>
            </w:r>
            <w:r>
              <w:rPr>
                <w:rFonts w:hint="default"/>
                <w:color w:val="auto"/>
                <w:sz w:val="24"/>
                <w:highlight w:val="none"/>
              </w:rPr>
              <w:t>存在</w:t>
            </w:r>
            <w:r>
              <w:rPr>
                <w:rFonts w:hint="eastAsia"/>
                <w:color w:val="auto"/>
                <w:sz w:val="24"/>
                <w:highlight w:val="none"/>
                <w:lang w:val="en-US" w:eastAsia="zh-CN"/>
              </w:rPr>
              <w:t>少量的</w:t>
            </w:r>
            <w:r>
              <w:rPr>
                <w:rFonts w:hint="default"/>
                <w:color w:val="auto"/>
                <w:sz w:val="24"/>
                <w:highlight w:val="none"/>
              </w:rPr>
              <w:t>居民</w:t>
            </w:r>
            <w:r>
              <w:rPr>
                <w:rFonts w:hint="eastAsia"/>
                <w:color w:val="auto"/>
                <w:sz w:val="24"/>
                <w:highlight w:val="none"/>
                <w:lang w:val="en-US" w:eastAsia="zh-CN"/>
              </w:rPr>
              <w:t>等敏感点，</w:t>
            </w:r>
            <w:r>
              <w:rPr>
                <w:rFonts w:hint="default"/>
                <w:color w:val="auto"/>
                <w:sz w:val="24"/>
                <w:highlight w:val="none"/>
              </w:rPr>
              <w:t>但防护距离符合要求，在严格落实项目的各项</w:t>
            </w:r>
            <w:r>
              <w:rPr>
                <w:rFonts w:hint="eastAsia"/>
                <w:color w:val="auto"/>
                <w:sz w:val="24"/>
                <w:highlight w:val="none"/>
              </w:rPr>
              <w:t>污染防治及风险防范</w:t>
            </w:r>
            <w:r>
              <w:rPr>
                <w:rFonts w:hint="default"/>
                <w:color w:val="auto"/>
                <w:sz w:val="24"/>
                <w:highlight w:val="none"/>
              </w:rPr>
              <w:t>措施后，</w:t>
            </w:r>
            <w:r>
              <w:rPr>
                <w:rFonts w:hint="eastAsia"/>
                <w:color w:val="auto"/>
                <w:sz w:val="24"/>
                <w:highlight w:val="none"/>
              </w:rPr>
              <w:t>项目</w:t>
            </w:r>
            <w:r>
              <w:rPr>
                <w:rFonts w:hint="default"/>
                <w:color w:val="auto"/>
                <w:sz w:val="24"/>
                <w:highlight w:val="none"/>
              </w:rPr>
              <w:t>各项污染物能</w:t>
            </w:r>
            <w:r>
              <w:rPr>
                <w:rFonts w:hint="eastAsia"/>
                <w:color w:val="auto"/>
                <w:sz w:val="24"/>
                <w:highlight w:val="none"/>
              </w:rPr>
              <w:t>做到</w:t>
            </w:r>
            <w:r>
              <w:rPr>
                <w:rFonts w:hint="default"/>
                <w:color w:val="auto"/>
                <w:sz w:val="24"/>
                <w:highlight w:val="none"/>
              </w:rPr>
              <w:t>达标排放、</w:t>
            </w:r>
            <w:r>
              <w:rPr>
                <w:rFonts w:hint="eastAsia"/>
                <w:color w:val="auto"/>
                <w:sz w:val="24"/>
                <w:highlight w:val="none"/>
              </w:rPr>
              <w:t>环境风险可控，因此</w:t>
            </w:r>
            <w:r>
              <w:rPr>
                <w:rFonts w:hint="default"/>
                <w:color w:val="auto"/>
                <w:sz w:val="24"/>
                <w:highlight w:val="none"/>
              </w:rPr>
              <w:t>从环境保护角度而言，本项目选址基本合理。</w:t>
            </w:r>
          </w:p>
        </w:tc>
      </w:tr>
    </w:tbl>
    <w:p w14:paraId="091E7A96">
      <w:pPr>
        <w:pStyle w:val="30"/>
        <w:jc w:val="center"/>
        <w:outlineLvl w:val="9"/>
        <w:rPr>
          <w:rFonts w:eastAsia="黑体"/>
          <w:b w:val="0"/>
          <w:color w:val="auto"/>
          <w:sz w:val="30"/>
          <w:szCs w:val="30"/>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p>
    <w:p w14:paraId="3C54E07A">
      <w:pPr>
        <w:pStyle w:val="30"/>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二、建设项目工程分析</w:t>
      </w:r>
    </w:p>
    <w:tbl>
      <w:tblPr>
        <w:tblStyle w:val="23"/>
        <w:tblW w:w="6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069"/>
      </w:tblGrid>
      <w:tr w14:paraId="0756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1" w:hRule="atLeast"/>
          <w:jc w:val="center"/>
        </w:trPr>
        <w:tc>
          <w:tcPr>
            <w:tcW w:w="222" w:type="dxa"/>
            <w:noWrap w:val="0"/>
            <w:vAlign w:val="center"/>
          </w:tcPr>
          <w:p w14:paraId="0A8967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建设内容</w:t>
            </w:r>
          </w:p>
        </w:tc>
        <w:tc>
          <w:tcPr>
            <w:tcW w:w="5937" w:type="dxa"/>
            <w:noWrap w:val="0"/>
            <w:vAlign w:val="center"/>
          </w:tcPr>
          <w:p w14:paraId="339C7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1、项目由来</w:t>
            </w:r>
          </w:p>
          <w:p w14:paraId="43646356">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lang w:val="en-US" w:eastAsia="zh-CN"/>
              </w:rPr>
            </w:pPr>
            <w:bookmarkStart w:id="0" w:name="_Hlk143261348"/>
            <w:r>
              <w:rPr>
                <w:rFonts w:hint="default"/>
                <w:color w:val="auto"/>
                <w:sz w:val="24"/>
                <w:highlight w:val="none"/>
                <w:lang w:val="en-US" w:eastAsia="zh-CN"/>
              </w:rPr>
              <w:t>近年来，随着中国国民经济的快速发展、交通基础设施的不断改善和机动车保有量的快速增加，加油站已成为民众生活中不可或缺的一部分。同时，随着</w:t>
            </w:r>
            <w:r>
              <w:rPr>
                <w:rFonts w:hint="eastAsia" w:eastAsia="宋体" w:cs="Times New Roman"/>
                <w:color w:val="auto"/>
                <w:sz w:val="24"/>
                <w:szCs w:val="24"/>
                <w:highlight w:val="none"/>
                <w:lang w:val="en-US" w:eastAsia="zh-CN"/>
              </w:rPr>
              <w:t>达州市环城路二期及环凤产业大道沿线片区</w:t>
            </w:r>
            <w:r>
              <w:rPr>
                <w:rFonts w:hint="default"/>
                <w:color w:val="auto"/>
                <w:sz w:val="24"/>
                <w:highlight w:val="none"/>
                <w:lang w:val="en-US" w:eastAsia="zh-CN"/>
              </w:rPr>
              <w:t>的开发建设，经济的快速发展和人民生活水平的不断提</w:t>
            </w:r>
            <w:r>
              <w:rPr>
                <w:rFonts w:hint="eastAsia"/>
                <w:color w:val="auto"/>
                <w:sz w:val="24"/>
                <w:highlight w:val="none"/>
                <w:lang w:val="en-US" w:eastAsia="zh-CN"/>
              </w:rPr>
              <w:t>高</w:t>
            </w:r>
            <w:r>
              <w:rPr>
                <w:rFonts w:hint="default"/>
                <w:color w:val="auto"/>
                <w:sz w:val="24"/>
                <w:highlight w:val="none"/>
                <w:lang w:val="en-US" w:eastAsia="zh-CN"/>
              </w:rPr>
              <w:t>，对成品油的需求量也迅速增长，作为成品油销售最前端的加油站被推到了市场最前沿。在我国，加油站经历了一个由少到多、由分散经营到规模经营、由单一经济成分向多种经济成分、由经验型管理向专业化管理、由单品种经营向多种经营转化的发展过程。</w:t>
            </w:r>
          </w:p>
          <w:p w14:paraId="670D6AAB">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lang w:val="en-US" w:eastAsia="zh-CN"/>
              </w:rPr>
            </w:pPr>
            <w:r>
              <w:rPr>
                <w:rFonts w:hint="default"/>
                <w:color w:val="auto"/>
                <w:sz w:val="24"/>
                <w:highlight w:val="none"/>
                <w:lang w:val="en-US" w:eastAsia="zh-CN"/>
              </w:rPr>
              <w:t>在此背景下，达州市通融九州能源有限公司</w:t>
            </w:r>
            <w:r>
              <w:rPr>
                <w:rFonts w:hint="eastAsia"/>
                <w:color w:val="auto"/>
                <w:sz w:val="24"/>
                <w:highlight w:val="none"/>
                <w:lang w:val="en-US" w:eastAsia="zh-CN"/>
              </w:rPr>
              <w:t>拟在</w:t>
            </w:r>
            <w:r>
              <w:rPr>
                <w:rFonts w:hint="default" w:eastAsia="宋体" w:cs="Times New Roman"/>
                <w:color w:val="auto"/>
                <w:sz w:val="24"/>
                <w:szCs w:val="24"/>
                <w:highlight w:val="none"/>
                <w:lang w:val="en-US" w:eastAsia="zh-CN"/>
              </w:rPr>
              <w:t>达州市</w:t>
            </w:r>
            <w:r>
              <w:rPr>
                <w:rFonts w:hint="eastAsia" w:eastAsia="宋体" w:cs="Times New Roman"/>
                <w:color w:val="auto"/>
                <w:sz w:val="24"/>
                <w:szCs w:val="24"/>
                <w:highlight w:val="none"/>
                <w:lang w:val="en-US" w:eastAsia="zh-CN"/>
              </w:rPr>
              <w:t>通川区东岳收费站出口</w:t>
            </w:r>
            <w:r>
              <w:rPr>
                <w:rFonts w:hint="eastAsia"/>
                <w:color w:val="auto"/>
                <w:sz w:val="24"/>
                <w:highlight w:val="none"/>
                <w:lang w:val="en-US" w:eastAsia="zh-CN"/>
              </w:rPr>
              <w:t>投资建设加油加气站项目，</w:t>
            </w:r>
            <w:r>
              <w:rPr>
                <w:rFonts w:hint="default"/>
                <w:color w:val="auto"/>
                <w:sz w:val="24"/>
                <w:highlight w:val="none"/>
                <w:lang w:val="en-US" w:eastAsia="zh-CN"/>
              </w:rPr>
              <w:t>该</w:t>
            </w:r>
            <w:r>
              <w:rPr>
                <w:rFonts w:hint="eastAsia"/>
                <w:color w:val="auto"/>
                <w:sz w:val="24"/>
                <w:highlight w:val="none"/>
                <w:lang w:val="en-US" w:eastAsia="zh-CN"/>
              </w:rPr>
              <w:t>站拟建场址位于</w:t>
            </w:r>
            <w:r>
              <w:rPr>
                <w:rFonts w:hint="eastAsia" w:eastAsia="宋体" w:cs="Times New Roman"/>
                <w:color w:val="auto"/>
                <w:sz w:val="24"/>
                <w:szCs w:val="24"/>
                <w:highlight w:val="none"/>
                <w:lang w:val="en-US" w:eastAsia="zh-CN"/>
              </w:rPr>
              <w:t>达州市环城路二期及环凤产业大道沿线片区03-B-01-05地块</w:t>
            </w:r>
            <w:r>
              <w:rPr>
                <w:rFonts w:hint="eastAsia"/>
                <w:color w:val="auto"/>
                <w:sz w:val="24"/>
                <w:highlight w:val="none"/>
                <w:lang w:val="en-US" w:eastAsia="zh-CN"/>
              </w:rPr>
              <w:t>，土地使用权面积为12009.27</w:t>
            </w:r>
            <w:r>
              <w:rPr>
                <w:rFonts w:hint="default"/>
                <w:color w:val="auto"/>
                <w:sz w:val="24"/>
                <w:highlight w:val="none"/>
                <w:lang w:val="en-US" w:eastAsia="zh-CN"/>
              </w:rPr>
              <w:t>m</w:t>
            </w:r>
            <w:r>
              <w:rPr>
                <w:rFonts w:hint="default"/>
                <w:color w:val="auto"/>
                <w:sz w:val="24"/>
                <w:highlight w:val="none"/>
                <w:vertAlign w:val="superscript"/>
                <w:lang w:val="en-US" w:eastAsia="zh-CN"/>
              </w:rPr>
              <w:t>2</w:t>
            </w:r>
            <w:r>
              <w:rPr>
                <w:rFonts w:hint="eastAsia"/>
                <w:color w:val="auto"/>
                <w:sz w:val="24"/>
                <w:highlight w:val="none"/>
                <w:lang w:val="en-US" w:eastAsia="zh-CN"/>
              </w:rPr>
              <w:t>，土地用途为加油加气站用地（</w:t>
            </w:r>
            <w:r>
              <w:rPr>
                <w:rFonts w:hint="default"/>
                <w:color w:val="auto"/>
                <w:sz w:val="24"/>
                <w:highlight w:val="none"/>
                <w:lang w:val="en-US" w:eastAsia="zh-CN"/>
              </w:rPr>
              <w:t>B41</w:t>
            </w:r>
            <w:r>
              <w:rPr>
                <w:rFonts w:hint="eastAsia"/>
                <w:color w:val="auto"/>
                <w:sz w:val="24"/>
                <w:highlight w:val="none"/>
                <w:lang w:val="en-US" w:eastAsia="zh-CN"/>
              </w:rPr>
              <w:t>），项目拟投资16340万元。并已通过通川区发展和改革局备案。</w:t>
            </w:r>
          </w:p>
          <w:bookmarkEnd w:id="0"/>
          <w:p w14:paraId="083073B5">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lang w:val="en-US" w:eastAsia="zh-CN"/>
              </w:rPr>
            </w:pPr>
            <w:r>
              <w:rPr>
                <w:rFonts w:hint="default"/>
                <w:color w:val="auto"/>
                <w:sz w:val="24"/>
                <w:highlight w:val="none"/>
                <w:lang w:val="en-US" w:eastAsia="zh-CN"/>
              </w:rPr>
              <w:t>根据《中华人民共和国环境保护法》《中华人民共和国环境影响评价法》 和《建设项目环境保护管理条例》</w:t>
            </w:r>
            <w:r>
              <w:rPr>
                <w:rFonts w:hint="eastAsia"/>
                <w:color w:val="auto"/>
                <w:sz w:val="24"/>
                <w:highlight w:val="none"/>
                <w:lang w:val="en-US" w:eastAsia="zh-CN"/>
              </w:rPr>
              <w:t>（</w:t>
            </w:r>
            <w:r>
              <w:rPr>
                <w:rFonts w:hint="default"/>
                <w:color w:val="auto"/>
                <w:sz w:val="24"/>
                <w:highlight w:val="none"/>
                <w:lang w:val="en-US" w:eastAsia="zh-CN"/>
              </w:rPr>
              <w:t>国务院令第682号</w:t>
            </w:r>
            <w:r>
              <w:rPr>
                <w:rFonts w:hint="eastAsia"/>
                <w:color w:val="auto"/>
                <w:sz w:val="24"/>
                <w:highlight w:val="none"/>
                <w:lang w:val="en-US" w:eastAsia="zh-CN"/>
              </w:rPr>
              <w:t>）</w:t>
            </w:r>
            <w:r>
              <w:rPr>
                <w:rFonts w:hint="default"/>
                <w:color w:val="auto"/>
                <w:sz w:val="24"/>
                <w:highlight w:val="none"/>
                <w:lang w:val="en-US" w:eastAsia="zh-CN"/>
              </w:rPr>
              <w:t>的要求，项目建设前应该开展环境影响评价工作；依据生态环境</w:t>
            </w:r>
            <w:r>
              <w:rPr>
                <w:rFonts w:hint="eastAsia"/>
                <w:color w:val="auto"/>
                <w:sz w:val="24"/>
                <w:highlight w:val="none"/>
                <w:lang w:val="en-US" w:eastAsia="zh-CN"/>
              </w:rPr>
              <w:t>部</w:t>
            </w:r>
            <w:r>
              <w:rPr>
                <w:rFonts w:hint="default"/>
                <w:color w:val="auto"/>
                <w:sz w:val="24"/>
                <w:highlight w:val="none"/>
                <w:lang w:val="en-US" w:eastAsia="zh-CN"/>
              </w:rPr>
              <w:t>令第16号《建设项目环境影响评价分类管理名录》（2021年版）</w:t>
            </w:r>
            <w:r>
              <w:rPr>
                <w:rFonts w:hint="eastAsia"/>
                <w:color w:val="auto"/>
                <w:sz w:val="24"/>
                <w:highlight w:val="none"/>
                <w:lang w:val="en-US" w:eastAsia="zh-CN"/>
              </w:rPr>
              <w:t>，</w:t>
            </w:r>
            <w:r>
              <w:rPr>
                <w:rFonts w:hint="default"/>
                <w:color w:val="auto"/>
                <w:sz w:val="24"/>
                <w:highlight w:val="none"/>
                <w:lang w:val="en-US" w:eastAsia="zh-CN"/>
              </w:rPr>
              <w:t>本项目</w:t>
            </w:r>
            <w:r>
              <w:rPr>
                <w:rFonts w:hint="eastAsia"/>
                <w:color w:val="auto"/>
                <w:sz w:val="24"/>
                <w:highlight w:val="none"/>
                <w:lang w:val="en-US" w:eastAsia="zh-CN"/>
              </w:rPr>
              <w:t>属于“五十</w:t>
            </w:r>
            <w:r>
              <w:rPr>
                <w:rFonts w:hint="default"/>
                <w:color w:val="auto"/>
                <w:sz w:val="24"/>
                <w:highlight w:val="none"/>
                <w:lang w:val="en-US" w:eastAsia="zh-CN"/>
              </w:rPr>
              <w:t>、</w:t>
            </w:r>
            <w:r>
              <w:rPr>
                <w:rFonts w:hint="eastAsia"/>
                <w:color w:val="auto"/>
                <w:sz w:val="24"/>
                <w:highlight w:val="none"/>
                <w:lang w:val="en-US" w:eastAsia="zh-CN"/>
              </w:rPr>
              <w:t>社会事业与服务业</w:t>
            </w:r>
            <w:r>
              <w:rPr>
                <w:rFonts w:hint="default"/>
                <w:color w:val="auto"/>
                <w:sz w:val="24"/>
                <w:highlight w:val="none"/>
                <w:lang w:val="en-US" w:eastAsia="zh-CN"/>
              </w:rPr>
              <w:t>，</w:t>
            </w:r>
            <w:r>
              <w:rPr>
                <w:rFonts w:hint="eastAsia"/>
                <w:color w:val="auto"/>
                <w:sz w:val="24"/>
                <w:highlight w:val="none"/>
                <w:lang w:val="en-US" w:eastAsia="zh-CN"/>
              </w:rPr>
              <w:t>119加油、加气站”</w:t>
            </w:r>
            <w:r>
              <w:rPr>
                <w:rFonts w:hint="default"/>
                <w:color w:val="auto"/>
                <w:sz w:val="24"/>
                <w:highlight w:val="none"/>
                <w:lang w:val="en-US" w:eastAsia="zh-CN"/>
              </w:rPr>
              <w:t>中</w:t>
            </w:r>
            <w:r>
              <w:rPr>
                <w:rFonts w:hint="eastAsia"/>
                <w:color w:val="auto"/>
                <w:sz w:val="24"/>
                <w:highlight w:val="none"/>
                <w:lang w:val="en-US" w:eastAsia="zh-CN"/>
              </w:rPr>
              <w:t>“城市建成区新建、扩建加油站；涉及环境敏感区的”</w:t>
            </w:r>
            <w:r>
              <w:rPr>
                <w:rFonts w:hint="default"/>
                <w:color w:val="auto"/>
                <w:sz w:val="24"/>
                <w:highlight w:val="none"/>
                <w:lang w:val="en-US" w:eastAsia="zh-CN"/>
              </w:rPr>
              <w:t>建设项目，应编制环境影响报告表。因此，</w:t>
            </w:r>
            <w:r>
              <w:rPr>
                <w:rFonts w:hint="default" w:ascii="Times New Roman" w:hAnsi="Times New Roman" w:eastAsia="宋体" w:cs="Times New Roman"/>
                <w:b w:val="0"/>
                <w:bCs w:val="0"/>
                <w:color w:val="auto"/>
                <w:sz w:val="24"/>
                <w:szCs w:val="24"/>
                <w:highlight w:val="none"/>
              </w:rPr>
              <w:t>达州市通融九州能源有限公司</w:t>
            </w:r>
            <w:r>
              <w:rPr>
                <w:rFonts w:hint="default"/>
                <w:color w:val="auto"/>
                <w:sz w:val="24"/>
                <w:highlight w:val="none"/>
                <w:lang w:val="en-US" w:eastAsia="zh-CN"/>
              </w:rPr>
              <w:t>委托</w:t>
            </w:r>
            <w:r>
              <w:rPr>
                <w:rFonts w:hint="default" w:ascii="Times New Roman" w:hAnsi="Times New Roman" w:eastAsia="宋体" w:cs="Times New Roman"/>
                <w:color w:val="auto"/>
                <w:sz w:val="24"/>
                <w:szCs w:val="24"/>
                <w:highlight w:val="none"/>
                <w:lang w:val="en-US" w:eastAsia="zh-CN"/>
              </w:rPr>
              <w:t>四川恒延科技咨询有限公司</w:t>
            </w:r>
            <w:r>
              <w:rPr>
                <w:rFonts w:hint="default"/>
                <w:color w:val="auto"/>
                <w:sz w:val="24"/>
                <w:highlight w:val="none"/>
                <w:lang w:val="en-US" w:eastAsia="zh-CN"/>
              </w:rPr>
              <w:t>开展拟建项目的环境影响评价工作，评价单位接受委托后，立即开展了现场踏勘、资料收集及监测工作，按照环境影响评价技术导则的要求编制完成《通川东岳收费站出口（北）加油加气站项目环境影响报告表》，现上报审批。</w:t>
            </w:r>
          </w:p>
          <w:p w14:paraId="23EB68C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项目概况</w:t>
            </w:r>
          </w:p>
          <w:p w14:paraId="6752F4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rPr>
              <w:t>项目名称：</w:t>
            </w:r>
            <w:r>
              <w:rPr>
                <w:rFonts w:hint="default"/>
                <w:color w:val="auto"/>
                <w:sz w:val="24"/>
                <w:szCs w:val="36"/>
                <w:highlight w:val="none"/>
              </w:rPr>
              <w:t>通川东岳收费站出口（北）加油加气站项目</w:t>
            </w:r>
          </w:p>
          <w:p w14:paraId="593E1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1685" w:leftChars="200" w:right="0" w:hanging="1205" w:hangingChars="5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建设单位：</w:t>
            </w:r>
            <w:r>
              <w:rPr>
                <w:rFonts w:hint="default" w:ascii="Times New Roman" w:hAnsi="Times New Roman" w:eastAsia="宋体" w:cs="Times New Roman"/>
                <w:b w:val="0"/>
                <w:bCs w:val="0"/>
                <w:color w:val="auto"/>
                <w:sz w:val="24"/>
                <w:szCs w:val="24"/>
                <w:highlight w:val="none"/>
              </w:rPr>
              <w:t>达州市通融九州能源有限公司</w:t>
            </w:r>
          </w:p>
          <w:p w14:paraId="3FFD7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1685" w:leftChars="200" w:right="0" w:hanging="1205" w:hangingChars="5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rPr>
              <w:t>建设地点：</w:t>
            </w:r>
            <w:r>
              <w:rPr>
                <w:rFonts w:hint="default" w:eastAsia="宋体" w:cs="Times New Roman"/>
                <w:color w:val="auto"/>
                <w:sz w:val="24"/>
                <w:szCs w:val="24"/>
                <w:highlight w:val="none"/>
                <w:lang w:val="en-US" w:eastAsia="zh-CN"/>
              </w:rPr>
              <w:t>四川省达州市</w:t>
            </w:r>
            <w:r>
              <w:rPr>
                <w:rFonts w:hint="eastAsia" w:eastAsia="宋体" w:cs="Times New Roman"/>
                <w:color w:val="auto"/>
                <w:sz w:val="24"/>
                <w:szCs w:val="24"/>
                <w:highlight w:val="none"/>
                <w:lang w:val="en-US" w:eastAsia="zh-CN"/>
              </w:rPr>
              <w:t>通川区东岳收费站出口</w:t>
            </w:r>
          </w:p>
          <w:p w14:paraId="054821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bCs/>
                <w:color w:val="auto"/>
                <w:sz w:val="24"/>
                <w:szCs w:val="24"/>
                <w:highlight w:val="none"/>
              </w:rPr>
              <w:t>建设性质：</w:t>
            </w:r>
            <w:r>
              <w:rPr>
                <w:rFonts w:hint="default" w:ascii="Times New Roman" w:hAnsi="Times New Roman" w:eastAsia="宋体" w:cs="Times New Roman"/>
                <w:color w:val="auto"/>
                <w:sz w:val="24"/>
                <w:szCs w:val="24"/>
                <w:highlight w:val="none"/>
              </w:rPr>
              <w:t>新建</w:t>
            </w:r>
          </w:p>
          <w:p w14:paraId="6E3412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项目投资：</w:t>
            </w:r>
            <w:r>
              <w:rPr>
                <w:rFonts w:hint="default" w:ascii="Times New Roman" w:hAnsi="Times New Roman" w:eastAsia="宋体" w:cs="Times New Roman"/>
                <w:color w:val="auto"/>
                <w:sz w:val="24"/>
                <w:szCs w:val="24"/>
                <w:highlight w:val="none"/>
              </w:rPr>
              <w:t>总投资</w:t>
            </w:r>
            <w:r>
              <w:rPr>
                <w:rFonts w:hint="eastAsia" w:cs="Times New Roman"/>
                <w:color w:val="auto"/>
                <w:sz w:val="24"/>
                <w:szCs w:val="24"/>
                <w:highlight w:val="none"/>
                <w:lang w:val="en-US" w:eastAsia="zh-CN"/>
              </w:rPr>
              <w:t>16340</w:t>
            </w:r>
            <w:r>
              <w:rPr>
                <w:rFonts w:hint="default" w:ascii="Times New Roman" w:hAnsi="Times New Roman" w:eastAsia="宋体" w:cs="Times New Roman"/>
                <w:color w:val="auto"/>
                <w:sz w:val="24"/>
                <w:szCs w:val="24"/>
                <w:highlight w:val="none"/>
                <w:lang w:val="en-US" w:eastAsia="zh-CN"/>
              </w:rPr>
              <w:t>万</w:t>
            </w:r>
            <w:r>
              <w:rPr>
                <w:rFonts w:hint="default" w:ascii="Times New Roman" w:hAnsi="Times New Roman" w:eastAsia="宋体" w:cs="Times New Roman"/>
                <w:color w:val="auto"/>
                <w:sz w:val="24"/>
                <w:szCs w:val="24"/>
                <w:highlight w:val="none"/>
              </w:rPr>
              <w:t>元</w:t>
            </w:r>
            <w:r>
              <w:rPr>
                <w:rFonts w:hint="default" w:ascii="Times New Roman" w:hAnsi="Times New Roman" w:eastAsia="宋体" w:cs="Times New Roman"/>
                <w:color w:val="auto"/>
                <w:sz w:val="24"/>
                <w:szCs w:val="24"/>
                <w:highlight w:val="none"/>
                <w:lang w:val="en-US" w:eastAsia="zh-CN"/>
              </w:rPr>
              <w:t xml:space="preserve"> </w:t>
            </w:r>
          </w:p>
          <w:p w14:paraId="50F2D0BA">
            <w:pPr>
              <w:keepNext w:val="0"/>
              <w:keepLines w:val="0"/>
              <w:suppressLineNumbers w:val="0"/>
              <w:spacing w:before="0" w:beforeAutospacing="0" w:after="0" w:afterAutospacing="0" w:line="360" w:lineRule="auto"/>
              <w:ind w:left="0" w:right="0" w:firstLine="482" w:firstLineChars="200"/>
              <w:rPr>
                <w:rFonts w:hint="default"/>
                <w:color w:val="000000" w:themeColor="text1"/>
                <w:sz w:val="24"/>
                <w:highlight w:val="none"/>
                <w14:textFill>
                  <w14:solidFill>
                    <w14:schemeClr w14:val="tx1"/>
                  </w14:solidFill>
                </w14:textFill>
              </w:rPr>
            </w:pPr>
            <w:r>
              <w:rPr>
                <w:rFonts w:hint="default" w:ascii="Times New Roman" w:hAnsi="Times New Roman" w:eastAsia="宋体" w:cs="Times New Roman"/>
                <w:b/>
                <w:bCs/>
                <w:color w:val="auto"/>
                <w:sz w:val="24"/>
                <w:szCs w:val="24"/>
                <w:highlight w:val="none"/>
              </w:rPr>
              <w:t>建设内容：</w:t>
            </w:r>
            <w:r>
              <w:rPr>
                <w:rFonts w:hint="eastAsia"/>
                <w:color w:val="000000" w:themeColor="text1"/>
                <w:sz w:val="24"/>
                <w:highlight w:val="none"/>
                <w:lang w:eastAsia="zh-CN"/>
                <w14:textFill>
                  <w14:solidFill>
                    <w14:schemeClr w14:val="tx1"/>
                  </w14:solidFill>
                </w14:textFill>
              </w:rPr>
              <w:t>本次规划用地面积为12009.27m</w:t>
            </w:r>
            <w:r>
              <w:rPr>
                <w:rFonts w:hint="eastAsia"/>
                <w:color w:val="000000" w:themeColor="text1"/>
                <w:sz w:val="24"/>
                <w:highlight w:val="none"/>
                <w:vertAlign w:val="superscript"/>
                <w:lang w:val="en-US" w:eastAsia="zh-CN"/>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(约18.01亩)，本项目为加油与LNG加气合建站。加油部分设置</w:t>
            </w:r>
            <w:r>
              <w:rPr>
                <w:rFonts w:hint="eastAsia"/>
                <w:color w:val="000000" w:themeColor="text1"/>
                <w:highlight w:val="none"/>
                <w14:textFill>
                  <w14:solidFill>
                    <w14:schemeClr w14:val="tx1"/>
                  </w14:solidFill>
                </w14:textFill>
              </w:rPr>
              <w:t>95#汽油储罐1座，容积20m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9</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#汽油储罐1座，容积20m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柴油</w:t>
            </w:r>
            <w:r>
              <w:rPr>
                <w:rFonts w:hint="eastAsia"/>
                <w:color w:val="000000" w:themeColor="text1"/>
                <w:highlight w:val="none"/>
                <w14:textFill>
                  <w14:solidFill>
                    <w14:schemeClr w14:val="tx1"/>
                  </w14:solidFill>
                </w14:textFill>
              </w:rPr>
              <w:t>储罐</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座，容积</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0m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vertAlign w:val="baseline"/>
                <w:lang w:val="en-US" w:eastAsia="zh-CN"/>
                <w14:textFill>
                  <w14:solidFill>
                    <w14:schemeClr w14:val="tx1"/>
                  </w14:solidFill>
                </w14:textFill>
              </w:rPr>
              <w:t>/座</w:t>
            </w:r>
            <w:r>
              <w:rPr>
                <w:rFonts w:hint="eastAsia"/>
                <w:color w:val="000000" w:themeColor="text1"/>
                <w:highlight w:val="none"/>
                <w:lang w:eastAsia="zh-CN"/>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柴油折半后计算容量为70m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eastAsia="zh-CN"/>
                <w14:textFill>
                  <w14:solidFill>
                    <w14:schemeClr w14:val="tx1"/>
                  </w14:solidFill>
                </w14:textFill>
              </w:rPr>
              <w:t>，LNG加气部分设置1台容积为60m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卧</w:t>
            </w:r>
            <w:r>
              <w:rPr>
                <w:rFonts w:hint="eastAsia"/>
                <w:color w:val="000000" w:themeColor="text1"/>
                <w:sz w:val="24"/>
                <w:highlight w:val="none"/>
                <w:lang w:eastAsia="zh-CN"/>
                <w14:textFill>
                  <w14:solidFill>
                    <w14:schemeClr w14:val="tx1"/>
                  </w14:solidFill>
                </w14:textFill>
              </w:rPr>
              <w:t>式LNG储罐、1台LNG潜液泵橇、2台LNG加气机。充电部分：设置1个充电主机，10个充电终端。20个充电停车位，站场设有罩棚、站房、工艺区等。根据《汽车加油加气加氢站技术标准》(GB50156-2021)第3.0.16条规定，本项目为二级加油与LNG加气合建站。</w:t>
            </w:r>
            <w:r>
              <w:rPr>
                <w:rFonts w:hint="default"/>
                <w:color w:val="000000" w:themeColor="text1"/>
                <w:sz w:val="24"/>
                <w:highlight w:val="none"/>
                <w14:textFill>
                  <w14:solidFill>
                    <w14:schemeClr w14:val="tx1"/>
                  </w14:solidFill>
                </w14:textFill>
              </w:rPr>
              <w:t>辅助工程包括卸油</w:t>
            </w:r>
            <w:r>
              <w:rPr>
                <w:rFonts w:hint="eastAsia"/>
                <w:color w:val="000000" w:themeColor="text1"/>
                <w:sz w:val="24"/>
                <w:highlight w:val="none"/>
                <w14:textFill>
                  <w14:solidFill>
                    <w14:schemeClr w14:val="tx1"/>
                  </w14:solidFill>
                </w14:textFill>
              </w:rPr>
              <w:t>区</w:t>
            </w:r>
            <w:r>
              <w:rPr>
                <w:rFonts w:hint="default"/>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LNG卸车区、</w:t>
            </w:r>
            <w:r>
              <w:rPr>
                <w:rFonts w:hint="default"/>
                <w:color w:val="000000" w:themeColor="text1"/>
                <w:sz w:val="24"/>
                <w:highlight w:val="none"/>
                <w14:textFill>
                  <w14:solidFill>
                    <w14:schemeClr w14:val="tx1"/>
                  </w14:solidFill>
                </w14:textFill>
              </w:rPr>
              <w:t>加油加气车道和安全消防系统、洗车区等；公用工程包括新建给、排水系统和供电系统等；环保工程为新建</w:t>
            </w:r>
            <w:r>
              <w:rPr>
                <w:rFonts w:hint="eastAsia"/>
                <w:color w:val="000000" w:themeColor="text1"/>
                <w:sz w:val="24"/>
                <w:highlight w:val="none"/>
                <w14:textFill>
                  <w14:solidFill>
                    <w14:schemeClr w14:val="tx1"/>
                  </w14:solidFill>
                </w14:textFill>
              </w:rPr>
              <w:t>化粪池</w:t>
            </w:r>
            <w:r>
              <w:rPr>
                <w:rFonts w:hint="default"/>
                <w:color w:val="000000" w:themeColor="text1"/>
                <w:sz w:val="24"/>
                <w:highlight w:val="none"/>
                <w14:textFill>
                  <w14:solidFill>
                    <w14:schemeClr w14:val="tx1"/>
                  </w14:solidFill>
                </w14:textFill>
              </w:rPr>
              <w:t>、隔油池、环保沟，设置一、二</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三</w:t>
            </w:r>
            <w:r>
              <w:rPr>
                <w:rFonts w:hint="default"/>
                <w:color w:val="000000" w:themeColor="text1"/>
                <w:sz w:val="24"/>
                <w:highlight w:val="none"/>
                <w14:textFill>
                  <w14:solidFill>
                    <w14:schemeClr w14:val="tx1"/>
                  </w14:solidFill>
                </w14:textFill>
              </w:rPr>
              <w:t>次油气回收系统、洗车机预留等；办公生活设施主要为新建一座二层站房</w:t>
            </w:r>
            <w:r>
              <w:rPr>
                <w:rFonts w:hint="eastAsia" w:ascii="宋体" w:hAnsi="宋体" w:eastAsia="宋体" w:cs="宋体"/>
                <w:color w:val="000000" w:themeColor="text1"/>
                <w:sz w:val="24"/>
                <w:highlight w:val="none"/>
                <w14:textFill>
                  <w14:solidFill>
                    <w14:schemeClr w14:val="tx1"/>
                  </w14:solidFill>
                </w14:textFill>
              </w:rPr>
              <w:t>(内设置办公室、储藏室、卫生间、营业厅、餐厅、会议室、休息室、配电室、站长室)</w:t>
            </w:r>
            <w:r>
              <w:rPr>
                <w:rFonts w:hint="eastAsia"/>
                <w:color w:val="000000" w:themeColor="text1"/>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框架结构</w:t>
            </w:r>
            <w:r>
              <w:rPr>
                <w:rFonts w:hint="eastAsia"/>
                <w:color w:val="000000" w:themeColor="text1"/>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耐火等级二级</w:t>
            </w:r>
            <w:r>
              <w:rPr>
                <w:rFonts w:hint="eastAsia"/>
                <w:color w:val="000000" w:themeColor="text1"/>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建筑面积为472.68m</w:t>
            </w:r>
            <w:r>
              <w:rPr>
                <w:rFonts w:hint="eastAsia"/>
                <w:color w:val="000000" w:themeColor="text1"/>
                <w:sz w:val="24"/>
                <w:highlight w:val="none"/>
                <w:vertAlign w:val="superscript"/>
                <w:lang w:val="en-US" w:eastAsia="zh-CN"/>
                <w14:textFill>
                  <w14:solidFill>
                    <w14:schemeClr w14:val="tx1"/>
                  </w14:solidFill>
                </w14:textFill>
              </w:rPr>
              <w:t>2</w:t>
            </w:r>
            <w:r>
              <w:rPr>
                <w:rFonts w:hint="eastAsia"/>
                <w:color w:val="000000" w:themeColor="text1"/>
                <w:sz w:val="24"/>
                <w:highlight w:val="none"/>
                <w:vertAlign w:val="baseline"/>
                <w:lang w:val="en-US" w:eastAsia="zh-CN"/>
                <w14:textFill>
                  <w14:solidFill>
                    <w14:schemeClr w14:val="tx1"/>
                  </w14:solidFill>
                </w14:textFill>
              </w:rPr>
              <w:t>，</w:t>
            </w:r>
            <w:r>
              <w:rPr>
                <w:rFonts w:hint="default"/>
                <w:color w:val="000000" w:themeColor="text1"/>
                <w:sz w:val="24"/>
                <w:highlight w:val="none"/>
                <w14:textFill>
                  <w14:solidFill>
                    <w14:schemeClr w14:val="tx1"/>
                  </w14:solidFill>
                </w14:textFill>
              </w:rPr>
              <w:t>高度9.00m。该加油加气站建成投运后，年售汽油</w:t>
            </w:r>
            <w:r>
              <w:rPr>
                <w:rFonts w:hint="eastAsia"/>
                <w:color w:val="000000" w:themeColor="text1"/>
                <w:sz w:val="24"/>
                <w:highlight w:val="none"/>
                <w14:textFill>
                  <w14:solidFill>
                    <w14:schemeClr w14:val="tx1"/>
                  </w14:solidFill>
                </w14:textFill>
              </w:rPr>
              <w:t>16</w:t>
            </w:r>
            <w:r>
              <w:rPr>
                <w:rFonts w:hint="eastAsia"/>
                <w:color w:val="000000" w:themeColor="text1"/>
                <w:sz w:val="24"/>
                <w:highlight w:val="none"/>
                <w:lang w:val="en-US" w:eastAsia="zh-CN"/>
                <w14:textFill>
                  <w14:solidFill>
                    <w14:schemeClr w14:val="tx1"/>
                  </w14:solidFill>
                </w14:textFill>
              </w:rPr>
              <w:t>52.08</w:t>
            </w:r>
            <w:r>
              <w:rPr>
                <w:rFonts w:hint="default"/>
                <w:color w:val="000000" w:themeColor="text1"/>
                <w:sz w:val="24"/>
                <w:highlight w:val="none"/>
                <w14:textFill>
                  <w14:solidFill>
                    <w14:schemeClr w14:val="tx1"/>
                  </w14:solidFill>
                </w14:textFill>
              </w:rPr>
              <w:t>t，柴油</w:t>
            </w:r>
            <w:r>
              <w:rPr>
                <w:rFonts w:hint="eastAsia"/>
                <w:color w:val="000000" w:themeColor="text1"/>
                <w:sz w:val="24"/>
                <w:highlight w:val="none"/>
                <w14:textFill>
                  <w14:solidFill>
                    <w14:schemeClr w14:val="tx1"/>
                  </w14:solidFill>
                </w14:textFill>
              </w:rPr>
              <w:t>1</w:t>
            </w:r>
            <w:r>
              <w:rPr>
                <w:rFonts w:hint="eastAsia"/>
                <w:color w:val="000000" w:themeColor="text1"/>
                <w:sz w:val="24"/>
                <w:highlight w:val="none"/>
                <w:lang w:val="en-US" w:eastAsia="zh-CN"/>
                <w14:textFill>
                  <w14:solidFill>
                    <w14:schemeClr w14:val="tx1"/>
                  </w14:solidFill>
                </w14:textFill>
              </w:rPr>
              <w:t>652.4</w:t>
            </w:r>
            <w:r>
              <w:rPr>
                <w:rFonts w:hint="default"/>
                <w:color w:val="000000" w:themeColor="text1"/>
                <w:sz w:val="24"/>
                <w:highlight w:val="none"/>
                <w14:textFill>
                  <w14:solidFill>
                    <w14:schemeClr w14:val="tx1"/>
                  </w14:solidFill>
                </w14:textFill>
              </w:rPr>
              <w:t>t，年售液化天然气</w:t>
            </w:r>
            <w:r>
              <w:rPr>
                <w:rFonts w:hint="eastAsia"/>
                <w:color w:val="000000" w:themeColor="text1"/>
                <w:sz w:val="24"/>
                <w:highlight w:val="none"/>
                <w:lang w:val="en-US" w:eastAsia="zh-CN"/>
                <w14:textFill>
                  <w14:solidFill>
                    <w14:schemeClr w14:val="tx1"/>
                  </w14:solidFill>
                </w14:textFill>
              </w:rPr>
              <w:t>907.26</w:t>
            </w:r>
            <w:r>
              <w:rPr>
                <w:rFonts w:hint="default"/>
                <w:color w:val="000000" w:themeColor="text1"/>
                <w:sz w:val="24"/>
                <w:highlight w:val="none"/>
                <w14:textFill>
                  <w14:solidFill>
                    <w14:schemeClr w14:val="tx1"/>
                  </w14:solidFill>
                </w14:textFill>
              </w:rPr>
              <w:t>t</w:t>
            </w:r>
            <w:r>
              <w:rPr>
                <w:rFonts w:hint="eastAsia"/>
                <w:color w:val="000000" w:themeColor="text1"/>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项目主要技术经济指标见下表2-1所示。</w:t>
            </w:r>
          </w:p>
          <w:tbl>
            <w:tblPr>
              <w:tblStyle w:val="23"/>
              <w:tblpPr w:leftFromText="180" w:rightFromText="180" w:vertAnchor="text" w:horzAnchor="page" w:tblpX="204" w:tblpY="530"/>
              <w:tblOverlap w:val="never"/>
              <w:tblW w:w="78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9"/>
              <w:gridCol w:w="2923"/>
              <w:gridCol w:w="3378"/>
            </w:tblGrid>
            <w:tr w14:paraId="3307E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21587AE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861" w:type="pct"/>
                  <w:tcBorders>
                    <w:tl2br w:val="nil"/>
                    <w:tr2bl w:val="nil"/>
                  </w:tcBorders>
                  <w:noWrap w:val="0"/>
                  <w:vAlign w:val="center"/>
                </w:tcPr>
                <w:p w14:paraId="229FDE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2151" w:type="pct"/>
                  <w:tcBorders>
                    <w:tl2br w:val="nil"/>
                    <w:tr2bl w:val="nil"/>
                  </w:tcBorders>
                  <w:noWrap w:val="0"/>
                  <w:vAlign w:val="center"/>
                </w:tcPr>
                <w:p w14:paraId="0C8F39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数量</w:t>
                  </w:r>
                </w:p>
              </w:tc>
            </w:tr>
            <w:tr w14:paraId="79F15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7E9082C6">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1</w:t>
                  </w:r>
                </w:p>
              </w:tc>
              <w:tc>
                <w:tcPr>
                  <w:tcW w:w="1861" w:type="pct"/>
                  <w:tcBorders>
                    <w:tl2br w:val="nil"/>
                    <w:tr2bl w:val="nil"/>
                  </w:tcBorders>
                  <w:noWrap w:val="0"/>
                  <w:vAlign w:val="center"/>
                </w:tcPr>
                <w:p w14:paraId="4C22A920">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站区征地面积</w:t>
                  </w:r>
                </w:p>
              </w:tc>
              <w:tc>
                <w:tcPr>
                  <w:tcW w:w="2151" w:type="pct"/>
                  <w:tcBorders>
                    <w:tl2br w:val="nil"/>
                    <w:tr2bl w:val="nil"/>
                  </w:tcBorders>
                  <w:noWrap w:val="0"/>
                  <w:vAlign w:val="center"/>
                </w:tcPr>
                <w:p w14:paraId="0279011C">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12009.27m</w:t>
                  </w:r>
                  <w:r>
                    <w:rPr>
                      <w:rFonts w:hint="default" w:ascii="Times New Roman" w:hAnsi="Times New Roman" w:eastAsia="宋体" w:cs="Times New Roman"/>
                      <w:color w:val="000000" w:themeColor="text1"/>
                      <w:kern w:val="0"/>
                      <w:sz w:val="21"/>
                      <w:szCs w:val="21"/>
                      <w:highlight w:val="none"/>
                      <w:vertAlign w:val="superscript"/>
                      <w:lang w:eastAsia="zh-CN"/>
                      <w14:textFill>
                        <w14:solidFill>
                          <w14:schemeClr w14:val="tx1"/>
                        </w14:solidFill>
                      </w14:textFill>
                    </w:rPr>
                    <w:t>2</w:t>
                  </w:r>
                </w:p>
              </w:tc>
            </w:tr>
            <w:tr w14:paraId="5DB36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416DE3B9">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2</w:t>
                  </w:r>
                </w:p>
              </w:tc>
              <w:tc>
                <w:tcPr>
                  <w:tcW w:w="1861" w:type="pct"/>
                  <w:tcBorders>
                    <w:tl2br w:val="nil"/>
                    <w:tr2bl w:val="nil"/>
                  </w:tcBorders>
                  <w:noWrap w:val="0"/>
                  <w:vAlign w:val="center"/>
                </w:tcPr>
                <w:p w14:paraId="4EC366FB">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净用地面积</w:t>
                  </w:r>
                </w:p>
              </w:tc>
              <w:tc>
                <w:tcPr>
                  <w:tcW w:w="2151" w:type="pct"/>
                  <w:tcBorders>
                    <w:tl2br w:val="nil"/>
                    <w:tr2bl w:val="nil"/>
                  </w:tcBorders>
                  <w:noWrap w:val="0"/>
                  <w:vAlign w:val="center"/>
                </w:tcPr>
                <w:p w14:paraId="1E753DE4">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12009.27m</w:t>
                  </w:r>
                  <w:r>
                    <w:rPr>
                      <w:rFonts w:hint="default" w:ascii="Times New Roman" w:hAnsi="Times New Roman" w:eastAsia="宋体" w:cs="Times New Roman"/>
                      <w:color w:val="000000" w:themeColor="text1"/>
                      <w:kern w:val="0"/>
                      <w:sz w:val="21"/>
                      <w:szCs w:val="21"/>
                      <w:highlight w:val="none"/>
                      <w:vertAlign w:val="superscript"/>
                      <w:lang w:eastAsia="zh-CN"/>
                      <w14:textFill>
                        <w14:solidFill>
                          <w14:schemeClr w14:val="tx1"/>
                        </w14:solidFill>
                      </w14:textFill>
                    </w:rPr>
                    <w:t>2</w:t>
                  </w:r>
                </w:p>
              </w:tc>
            </w:tr>
            <w:tr w14:paraId="73972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7FBB74C6">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3</w:t>
                  </w:r>
                </w:p>
              </w:tc>
              <w:tc>
                <w:tcPr>
                  <w:tcW w:w="1861" w:type="pct"/>
                  <w:tcBorders>
                    <w:tl2br w:val="nil"/>
                    <w:tr2bl w:val="nil"/>
                  </w:tcBorders>
                  <w:noWrap w:val="0"/>
                  <w:vAlign w:val="center"/>
                </w:tcPr>
                <w:p w14:paraId="1B1BE92B">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总建筑面积</w:t>
                  </w:r>
                </w:p>
              </w:tc>
              <w:tc>
                <w:tcPr>
                  <w:tcW w:w="2151" w:type="pct"/>
                  <w:tcBorders>
                    <w:tl2br w:val="nil"/>
                    <w:tr2bl w:val="nil"/>
                  </w:tcBorders>
                  <w:noWrap w:val="0"/>
                  <w:vAlign w:val="center"/>
                </w:tcPr>
                <w:p w14:paraId="1D052CD8">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1179.64m</w:t>
                  </w:r>
                  <w:r>
                    <w:rPr>
                      <w:rFonts w:hint="default" w:ascii="Times New Roman" w:hAnsi="Times New Roman" w:eastAsia="宋体" w:cs="Times New Roman"/>
                      <w:color w:val="000000" w:themeColor="text1"/>
                      <w:kern w:val="0"/>
                      <w:sz w:val="21"/>
                      <w:szCs w:val="21"/>
                      <w:highlight w:val="none"/>
                      <w:vertAlign w:val="superscript"/>
                      <w:lang w:eastAsia="zh-CN"/>
                      <w14:textFill>
                        <w14:solidFill>
                          <w14:schemeClr w14:val="tx1"/>
                        </w14:solidFill>
                      </w14:textFill>
                    </w:rPr>
                    <w:t>2</w:t>
                  </w:r>
                </w:p>
              </w:tc>
            </w:tr>
            <w:tr w14:paraId="3C62E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3F461593">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3.1</w:t>
                  </w:r>
                </w:p>
              </w:tc>
              <w:tc>
                <w:tcPr>
                  <w:tcW w:w="1861" w:type="pct"/>
                  <w:tcBorders>
                    <w:tl2br w:val="nil"/>
                    <w:tr2bl w:val="nil"/>
                  </w:tcBorders>
                  <w:noWrap w:val="0"/>
                  <w:vAlign w:val="center"/>
                </w:tcPr>
                <w:p w14:paraId="209EBE90">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站房建筑面积</w:t>
                  </w:r>
                </w:p>
              </w:tc>
              <w:tc>
                <w:tcPr>
                  <w:tcW w:w="2151" w:type="pct"/>
                  <w:tcBorders>
                    <w:tl2br w:val="nil"/>
                    <w:tr2bl w:val="nil"/>
                  </w:tcBorders>
                  <w:noWrap w:val="0"/>
                  <w:vAlign w:val="center"/>
                </w:tcPr>
                <w:p w14:paraId="36E43A7C">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472.68m</w:t>
                  </w:r>
                  <w:r>
                    <w:rPr>
                      <w:rFonts w:hint="default" w:ascii="Times New Roman" w:hAnsi="Times New Roman" w:eastAsia="宋体" w:cs="Times New Roman"/>
                      <w:color w:val="000000" w:themeColor="text1"/>
                      <w:kern w:val="0"/>
                      <w:sz w:val="21"/>
                      <w:szCs w:val="21"/>
                      <w:highlight w:val="none"/>
                      <w:vertAlign w:val="superscript"/>
                      <w:lang w:eastAsia="zh-CN"/>
                      <w14:textFill>
                        <w14:solidFill>
                          <w14:schemeClr w14:val="tx1"/>
                        </w14:solidFill>
                      </w14:textFill>
                    </w:rPr>
                    <w:t>2</w:t>
                  </w:r>
                </w:p>
              </w:tc>
            </w:tr>
            <w:tr w14:paraId="61020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5BAF5756">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3.2</w:t>
                  </w:r>
                </w:p>
              </w:tc>
              <w:tc>
                <w:tcPr>
                  <w:tcW w:w="1861" w:type="pct"/>
                  <w:tcBorders>
                    <w:tl2br w:val="nil"/>
                    <w:tr2bl w:val="nil"/>
                  </w:tcBorders>
                  <w:noWrap w:val="0"/>
                  <w:vAlign w:val="center"/>
                </w:tcPr>
                <w:p w14:paraId="0BD829F5">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罩棚建筑面积</w:t>
                  </w:r>
                </w:p>
              </w:tc>
              <w:tc>
                <w:tcPr>
                  <w:tcW w:w="2151" w:type="pct"/>
                  <w:tcBorders>
                    <w:tl2br w:val="nil"/>
                    <w:tr2bl w:val="nil"/>
                  </w:tcBorders>
                  <w:noWrap w:val="0"/>
                  <w:vAlign w:val="center"/>
                </w:tcPr>
                <w:p w14:paraId="1EE23317">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485.76m</w:t>
                  </w:r>
                  <w:r>
                    <w:rPr>
                      <w:rFonts w:hint="default" w:ascii="Times New Roman" w:hAnsi="Times New Roman" w:eastAsia="宋体" w:cs="Times New Roman"/>
                      <w:color w:val="000000" w:themeColor="text1"/>
                      <w:kern w:val="0"/>
                      <w:sz w:val="21"/>
                      <w:szCs w:val="21"/>
                      <w:highlight w:val="none"/>
                      <w:vertAlign w:val="superscript"/>
                      <w:lang w:eastAsia="zh-CN"/>
                      <w14:textFill>
                        <w14:solidFill>
                          <w14:schemeClr w14:val="tx1"/>
                        </w14:solidFill>
                      </w14:textFill>
                    </w:rPr>
                    <w:t>2</w:t>
                  </w:r>
                </w:p>
              </w:tc>
            </w:tr>
            <w:tr w14:paraId="5E7BC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02664BA8">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3.3</w:t>
                  </w:r>
                </w:p>
              </w:tc>
              <w:tc>
                <w:tcPr>
                  <w:tcW w:w="1861" w:type="pct"/>
                  <w:tcBorders>
                    <w:tl2br w:val="nil"/>
                    <w:tr2bl w:val="nil"/>
                  </w:tcBorders>
                  <w:noWrap w:val="0"/>
                  <w:vAlign w:val="center"/>
                </w:tcPr>
                <w:p w14:paraId="42FB7072">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充电棚面积</w:t>
                  </w:r>
                </w:p>
              </w:tc>
              <w:tc>
                <w:tcPr>
                  <w:tcW w:w="2151" w:type="pct"/>
                  <w:tcBorders>
                    <w:tl2br w:val="nil"/>
                    <w:tr2bl w:val="nil"/>
                  </w:tcBorders>
                  <w:noWrap w:val="0"/>
                  <w:vAlign w:val="center"/>
                </w:tcPr>
                <w:p w14:paraId="5B13D4DC">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221.2m</w:t>
                  </w:r>
                  <w:r>
                    <w:rPr>
                      <w:rFonts w:hint="default" w:ascii="Times New Roman" w:hAnsi="Times New Roman" w:eastAsia="宋体" w:cs="Times New Roman"/>
                      <w:color w:val="000000" w:themeColor="text1"/>
                      <w:kern w:val="0"/>
                      <w:sz w:val="21"/>
                      <w:szCs w:val="21"/>
                      <w:highlight w:val="none"/>
                      <w:vertAlign w:val="superscript"/>
                      <w:lang w:eastAsia="zh-CN"/>
                      <w14:textFill>
                        <w14:solidFill>
                          <w14:schemeClr w14:val="tx1"/>
                        </w14:solidFill>
                      </w14:textFill>
                    </w:rPr>
                    <w:t>2</w:t>
                  </w:r>
                </w:p>
              </w:tc>
            </w:tr>
            <w:tr w14:paraId="221EE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7D0F1AB6">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4</w:t>
                  </w:r>
                </w:p>
              </w:tc>
              <w:tc>
                <w:tcPr>
                  <w:tcW w:w="1861" w:type="pct"/>
                  <w:tcBorders>
                    <w:tl2br w:val="nil"/>
                    <w:tr2bl w:val="nil"/>
                  </w:tcBorders>
                  <w:noWrap w:val="0"/>
                  <w:vAlign w:val="center"/>
                </w:tcPr>
                <w:p w14:paraId="34643D77">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建</w:t>
                  </w:r>
                  <w:r>
                    <w:rPr>
                      <w:rFonts w:hint="eastAsia" w:cs="Times New Roman"/>
                      <w:color w:val="000000" w:themeColor="text1"/>
                      <w:kern w:val="0"/>
                      <w:sz w:val="21"/>
                      <w:szCs w:val="21"/>
                      <w:highlight w:val="none"/>
                      <w:lang w:val="en-US" w:eastAsia="zh-CN"/>
                      <w14:textFill>
                        <w14:solidFill>
                          <w14:schemeClr w14:val="tx1"/>
                        </w14:solidFill>
                      </w14:textFill>
                    </w:rPr>
                    <w:t>构</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筑物占地面积</w:t>
                  </w:r>
                </w:p>
              </w:tc>
              <w:tc>
                <w:tcPr>
                  <w:tcW w:w="2151" w:type="pct"/>
                  <w:tcBorders>
                    <w:tl2br w:val="nil"/>
                    <w:tr2bl w:val="nil"/>
                  </w:tcBorders>
                  <w:noWrap w:val="0"/>
                  <w:vAlign w:val="center"/>
                </w:tcPr>
                <w:p w14:paraId="731AB3D6">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1908.74m</w:t>
                  </w:r>
                  <w:r>
                    <w:rPr>
                      <w:rFonts w:hint="default" w:ascii="Times New Roman" w:hAnsi="Times New Roman" w:eastAsia="宋体" w:cs="Times New Roman"/>
                      <w:color w:val="000000" w:themeColor="text1"/>
                      <w:kern w:val="0"/>
                      <w:sz w:val="21"/>
                      <w:szCs w:val="21"/>
                      <w:highlight w:val="none"/>
                      <w:vertAlign w:val="superscript"/>
                      <w:lang w:eastAsia="zh-CN"/>
                      <w14:textFill>
                        <w14:solidFill>
                          <w14:schemeClr w14:val="tx1"/>
                        </w14:solidFill>
                      </w14:textFill>
                    </w:rPr>
                    <w:t>2</w:t>
                  </w:r>
                </w:p>
              </w:tc>
            </w:tr>
            <w:tr w14:paraId="084F4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147F2DFE">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4.1</w:t>
                  </w:r>
                </w:p>
              </w:tc>
              <w:tc>
                <w:tcPr>
                  <w:tcW w:w="1861" w:type="pct"/>
                  <w:tcBorders>
                    <w:tl2br w:val="nil"/>
                    <w:tr2bl w:val="nil"/>
                  </w:tcBorders>
                  <w:noWrap w:val="0"/>
                  <w:vAlign w:val="center"/>
                </w:tcPr>
                <w:p w14:paraId="6C1D5CAF">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站房占地面积</w:t>
                  </w:r>
                </w:p>
              </w:tc>
              <w:tc>
                <w:tcPr>
                  <w:tcW w:w="2151" w:type="pct"/>
                  <w:tcBorders>
                    <w:tl2br w:val="nil"/>
                    <w:tr2bl w:val="nil"/>
                  </w:tcBorders>
                  <w:noWrap w:val="0"/>
                  <w:vAlign w:val="center"/>
                </w:tcPr>
                <w:p w14:paraId="18A998DD">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236.34m</w:t>
                  </w:r>
                  <w:r>
                    <w:rPr>
                      <w:rFonts w:hint="default" w:ascii="Times New Roman" w:hAnsi="Times New Roman" w:eastAsia="宋体" w:cs="Times New Roman"/>
                      <w:color w:val="000000" w:themeColor="text1"/>
                      <w:kern w:val="0"/>
                      <w:sz w:val="21"/>
                      <w:szCs w:val="21"/>
                      <w:highlight w:val="none"/>
                      <w:vertAlign w:val="superscript"/>
                      <w:lang w:eastAsia="zh-CN"/>
                      <w14:textFill>
                        <w14:solidFill>
                          <w14:schemeClr w14:val="tx1"/>
                        </w14:solidFill>
                      </w14:textFill>
                    </w:rPr>
                    <w:t>2</w:t>
                  </w:r>
                </w:p>
              </w:tc>
            </w:tr>
            <w:tr w14:paraId="3DD49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5E819A8C">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4.2</w:t>
                  </w:r>
                </w:p>
              </w:tc>
              <w:tc>
                <w:tcPr>
                  <w:tcW w:w="1861" w:type="pct"/>
                  <w:tcBorders>
                    <w:tl2br w:val="nil"/>
                    <w:tr2bl w:val="nil"/>
                  </w:tcBorders>
                  <w:noWrap w:val="0"/>
                  <w:vAlign w:val="center"/>
                </w:tcPr>
                <w:p w14:paraId="30B26A57">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罩棚占地面积</w:t>
                  </w:r>
                </w:p>
              </w:tc>
              <w:tc>
                <w:tcPr>
                  <w:tcW w:w="2151" w:type="pct"/>
                  <w:tcBorders>
                    <w:tl2br w:val="nil"/>
                    <w:tr2bl w:val="nil"/>
                  </w:tcBorders>
                  <w:noWrap w:val="0"/>
                  <w:vAlign w:val="center"/>
                </w:tcPr>
                <w:p w14:paraId="007D579F">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1230.00m</w:t>
                  </w:r>
                  <w:r>
                    <w:rPr>
                      <w:rFonts w:hint="default" w:ascii="Times New Roman" w:hAnsi="Times New Roman" w:eastAsia="宋体" w:cs="Times New Roman"/>
                      <w:color w:val="000000" w:themeColor="text1"/>
                      <w:kern w:val="0"/>
                      <w:sz w:val="21"/>
                      <w:szCs w:val="21"/>
                      <w:highlight w:val="none"/>
                      <w:vertAlign w:val="superscript"/>
                      <w:lang w:eastAsia="zh-CN"/>
                      <w14:textFill>
                        <w14:solidFill>
                          <w14:schemeClr w14:val="tx1"/>
                        </w14:solidFill>
                      </w14:textFill>
                    </w:rPr>
                    <w:t>2</w:t>
                  </w:r>
                </w:p>
              </w:tc>
            </w:tr>
            <w:tr w14:paraId="3A6BD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6995D814">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4.3</w:t>
                  </w:r>
                </w:p>
              </w:tc>
              <w:tc>
                <w:tcPr>
                  <w:tcW w:w="1861" w:type="pct"/>
                  <w:tcBorders>
                    <w:tl2br w:val="nil"/>
                    <w:tr2bl w:val="nil"/>
                  </w:tcBorders>
                  <w:noWrap w:val="0"/>
                  <w:vAlign w:val="center"/>
                </w:tcPr>
                <w:p w14:paraId="7899696C">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充电棚占地面积</w:t>
                  </w:r>
                </w:p>
              </w:tc>
              <w:tc>
                <w:tcPr>
                  <w:tcW w:w="2151" w:type="pct"/>
                  <w:tcBorders>
                    <w:tl2br w:val="nil"/>
                    <w:tr2bl w:val="nil"/>
                  </w:tcBorders>
                  <w:noWrap w:val="0"/>
                  <w:vAlign w:val="center"/>
                </w:tcPr>
                <w:p w14:paraId="34DC92E4">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442.4m</w:t>
                  </w:r>
                  <w:r>
                    <w:rPr>
                      <w:rFonts w:hint="default" w:ascii="Times New Roman" w:hAnsi="Times New Roman" w:eastAsia="宋体" w:cs="Times New Roman"/>
                      <w:color w:val="000000" w:themeColor="text1"/>
                      <w:kern w:val="0"/>
                      <w:sz w:val="21"/>
                      <w:szCs w:val="21"/>
                      <w:highlight w:val="none"/>
                      <w:vertAlign w:val="superscript"/>
                      <w:lang w:eastAsia="zh-CN"/>
                      <w14:textFill>
                        <w14:solidFill>
                          <w14:schemeClr w14:val="tx1"/>
                        </w14:solidFill>
                      </w14:textFill>
                    </w:rPr>
                    <w:t>2</w:t>
                  </w:r>
                </w:p>
              </w:tc>
            </w:tr>
            <w:tr w14:paraId="0E515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1712173A">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5</w:t>
                  </w:r>
                </w:p>
              </w:tc>
              <w:tc>
                <w:tcPr>
                  <w:tcW w:w="1861" w:type="pct"/>
                  <w:tcBorders>
                    <w:tl2br w:val="nil"/>
                    <w:tr2bl w:val="nil"/>
                  </w:tcBorders>
                  <w:noWrap w:val="0"/>
                  <w:vAlign w:val="center"/>
                </w:tcPr>
                <w:p w14:paraId="1012E535">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建筑密度</w:t>
                  </w:r>
                </w:p>
              </w:tc>
              <w:tc>
                <w:tcPr>
                  <w:tcW w:w="2151" w:type="pct"/>
                  <w:tcBorders>
                    <w:tl2br w:val="nil"/>
                    <w:tr2bl w:val="nil"/>
                  </w:tcBorders>
                  <w:noWrap w:val="0"/>
                  <w:vAlign w:val="center"/>
                </w:tcPr>
                <w:p w14:paraId="7094417B">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15.89%</w:t>
                  </w:r>
                </w:p>
              </w:tc>
            </w:tr>
            <w:tr w14:paraId="79DDC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23F6B6A2">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6</w:t>
                  </w:r>
                </w:p>
              </w:tc>
              <w:tc>
                <w:tcPr>
                  <w:tcW w:w="1861" w:type="pct"/>
                  <w:tcBorders>
                    <w:tl2br w:val="nil"/>
                    <w:tr2bl w:val="nil"/>
                  </w:tcBorders>
                  <w:noWrap w:val="0"/>
                  <w:vAlign w:val="center"/>
                </w:tcPr>
                <w:p w14:paraId="79CCEA2E">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容积率</w:t>
                  </w:r>
                </w:p>
              </w:tc>
              <w:tc>
                <w:tcPr>
                  <w:tcW w:w="2151" w:type="pct"/>
                  <w:tcBorders>
                    <w:tl2br w:val="nil"/>
                    <w:tr2bl w:val="nil"/>
                  </w:tcBorders>
                  <w:noWrap w:val="0"/>
                  <w:vAlign w:val="center"/>
                </w:tcPr>
                <w:p w14:paraId="6FE3C45F">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0.0982</w:t>
                  </w:r>
                </w:p>
              </w:tc>
            </w:tr>
            <w:tr w14:paraId="063FC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05CB9239">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7</w:t>
                  </w:r>
                </w:p>
              </w:tc>
              <w:tc>
                <w:tcPr>
                  <w:tcW w:w="1861" w:type="pct"/>
                  <w:tcBorders>
                    <w:tl2br w:val="nil"/>
                    <w:tr2bl w:val="nil"/>
                  </w:tcBorders>
                  <w:noWrap w:val="0"/>
                  <w:vAlign w:val="center"/>
                </w:tcPr>
                <w:p w14:paraId="12564445">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站内绿地面积</w:t>
                  </w:r>
                </w:p>
              </w:tc>
              <w:tc>
                <w:tcPr>
                  <w:tcW w:w="2151" w:type="pct"/>
                  <w:tcBorders>
                    <w:tl2br w:val="nil"/>
                    <w:tr2bl w:val="nil"/>
                  </w:tcBorders>
                  <w:noWrap w:val="0"/>
                  <w:vAlign w:val="center"/>
                </w:tcPr>
                <w:p w14:paraId="52B2A0BC">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967</w:t>
                  </w:r>
                </w:p>
              </w:tc>
            </w:tr>
            <w:tr w14:paraId="65EB5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6" w:type="pct"/>
                  <w:tcBorders>
                    <w:tl2br w:val="nil"/>
                    <w:tr2bl w:val="nil"/>
                  </w:tcBorders>
                  <w:noWrap w:val="0"/>
                  <w:vAlign w:val="center"/>
                </w:tcPr>
                <w:p w14:paraId="5A8D3E4E">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8</w:t>
                  </w:r>
                </w:p>
              </w:tc>
              <w:tc>
                <w:tcPr>
                  <w:tcW w:w="1861" w:type="pct"/>
                  <w:tcBorders>
                    <w:tl2br w:val="nil"/>
                    <w:tr2bl w:val="nil"/>
                  </w:tcBorders>
                  <w:noWrap w:val="0"/>
                  <w:vAlign w:val="center"/>
                </w:tcPr>
                <w:p w14:paraId="66E6ACB1">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绿化率</w:t>
                  </w:r>
                </w:p>
              </w:tc>
              <w:tc>
                <w:tcPr>
                  <w:tcW w:w="2151" w:type="pct"/>
                  <w:tcBorders>
                    <w:tl2br w:val="nil"/>
                    <w:tr2bl w:val="nil"/>
                  </w:tcBorders>
                  <w:noWrap w:val="0"/>
                  <w:vAlign w:val="center"/>
                </w:tcPr>
                <w:p w14:paraId="530312DC">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8.05%</w:t>
                  </w:r>
                </w:p>
              </w:tc>
            </w:tr>
          </w:tbl>
          <w:p w14:paraId="5407F78D">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highlight w:val="none"/>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0"/>
                <w:szCs w:val="20"/>
                <w:highlight w:val="none"/>
                <w:lang w:val="en-US" w:eastAsia="zh-CN" w:bidi="ar-SA"/>
                <w14:textFill>
                  <w14:solidFill>
                    <w14:schemeClr w14:val="tx1"/>
                  </w14:solidFill>
                </w14:textFill>
              </w:rPr>
              <w:t>表2-1</w:t>
            </w:r>
            <w:r>
              <w:rPr>
                <w:rFonts w:hint="default" w:ascii="Times New Roman" w:hAnsi="Times New Roman" w:eastAsia="黑体" w:cs="Times New Roman"/>
                <w:b/>
                <w:bCs/>
                <w:color w:val="000000" w:themeColor="text1"/>
                <w:kern w:val="0"/>
                <w:sz w:val="20"/>
                <w:szCs w:val="20"/>
                <w:highlight w:val="none"/>
                <w:lang w:val="en-US" w:eastAsia="zh-CN" w:bidi="ar-SA"/>
                <w14:textFill>
                  <w14:solidFill>
                    <w14:schemeClr w14:val="tx1"/>
                  </w14:solidFill>
                </w14:textFill>
              </w:rPr>
              <w:t xml:space="preserve"> </w:t>
            </w:r>
            <w:r>
              <w:rPr>
                <w:rFonts w:hint="eastAsia" w:ascii="Times New Roman" w:hAnsi="Times New Roman" w:eastAsia="黑体" w:cs="Times New Roman"/>
                <w:b/>
                <w:bCs/>
                <w:color w:val="000000" w:themeColor="text1"/>
                <w:kern w:val="0"/>
                <w:sz w:val="20"/>
                <w:szCs w:val="20"/>
                <w:highlight w:val="none"/>
                <w:lang w:val="en-US" w:eastAsia="zh-CN" w:bidi="ar-SA"/>
                <w14:textFill>
                  <w14:solidFill>
                    <w14:schemeClr w14:val="tx1"/>
                  </w14:solidFill>
                </w14:textFill>
              </w:rPr>
              <w:t>项目主要综合技术经济指标表</w:t>
            </w:r>
          </w:p>
          <w:p w14:paraId="5D1D90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3、项目组成及主要环境问题</w:t>
            </w:r>
          </w:p>
          <w:p w14:paraId="076DDBDF">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highlight w:val="none"/>
                <w:lang w:val="en-US" w:eastAsia="zh-CN" w:bidi="ar-SA"/>
                <w14:textFill>
                  <w14:solidFill>
                    <w14:schemeClr w14:val="tx1"/>
                  </w14:solidFill>
                </w14:textFill>
              </w:rPr>
            </w:pPr>
            <w:r>
              <w:rPr>
                <w:rFonts w:hint="default" w:ascii="Times New Roman" w:hAnsi="Times New Roman" w:eastAsia="黑体" w:cs="Times New Roman"/>
                <w:b/>
                <w:bCs/>
                <w:color w:val="000000" w:themeColor="text1"/>
                <w:kern w:val="0"/>
                <w:sz w:val="20"/>
                <w:szCs w:val="20"/>
                <w:highlight w:val="none"/>
                <w:lang w:val="en-US" w:eastAsia="zh-CN" w:bidi="ar-SA"/>
                <w14:textFill>
                  <w14:solidFill>
                    <w14:schemeClr w14:val="tx1"/>
                  </w14:solidFill>
                </w14:textFill>
              </w:rPr>
              <w:t>表2-2  项目组成及主要环境问题</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autofit"/>
              <w:tblCellMar>
                <w:top w:w="0" w:type="dxa"/>
                <w:left w:w="108" w:type="dxa"/>
                <w:bottom w:w="0" w:type="dxa"/>
                <w:right w:w="108" w:type="dxa"/>
              </w:tblCellMar>
            </w:tblPr>
            <w:tblGrid>
              <w:gridCol w:w="567"/>
              <w:gridCol w:w="669"/>
              <w:gridCol w:w="4718"/>
              <w:gridCol w:w="1108"/>
              <w:gridCol w:w="791"/>
            </w:tblGrid>
            <w:tr w14:paraId="3A153C86">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361" w:type="pct"/>
                  <w:vMerge w:val="restart"/>
                  <w:tcBorders>
                    <w:tl2br w:val="nil"/>
                    <w:tr2bl w:val="nil"/>
                  </w:tcBorders>
                  <w:noWrap w:val="0"/>
                  <w:vAlign w:val="center"/>
                </w:tcPr>
                <w:p w14:paraId="0641468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工程分类</w:t>
                  </w:r>
                </w:p>
              </w:tc>
              <w:tc>
                <w:tcPr>
                  <w:tcW w:w="426" w:type="pct"/>
                  <w:vMerge w:val="restart"/>
                  <w:tcBorders>
                    <w:tl2br w:val="nil"/>
                    <w:tr2bl w:val="nil"/>
                  </w:tcBorders>
                  <w:noWrap w:val="0"/>
                  <w:vAlign w:val="center"/>
                </w:tcPr>
                <w:p w14:paraId="712EEE3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项目名称</w:t>
                  </w:r>
                </w:p>
              </w:tc>
              <w:tc>
                <w:tcPr>
                  <w:tcW w:w="3003" w:type="pct"/>
                  <w:vMerge w:val="restart"/>
                  <w:tcBorders>
                    <w:tl2br w:val="nil"/>
                    <w:tr2bl w:val="nil"/>
                  </w:tcBorders>
                  <w:noWrap w:val="0"/>
                  <w:vAlign w:val="center"/>
                </w:tcPr>
                <w:p w14:paraId="20BDF5C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建设内容及规模</w:t>
                  </w:r>
                </w:p>
              </w:tc>
              <w:tc>
                <w:tcPr>
                  <w:tcW w:w="1208" w:type="pct"/>
                  <w:gridSpan w:val="2"/>
                  <w:tcBorders>
                    <w:tl2br w:val="nil"/>
                    <w:tr2bl w:val="nil"/>
                  </w:tcBorders>
                  <w:noWrap w:val="0"/>
                  <w:vAlign w:val="center"/>
                </w:tcPr>
                <w:p w14:paraId="430F38C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可能产生的</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环境问题</w:t>
                  </w:r>
                </w:p>
              </w:tc>
            </w:tr>
            <w:tr w14:paraId="3DB4CC5F">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361" w:type="pct"/>
                  <w:vMerge w:val="continue"/>
                  <w:tcBorders>
                    <w:tl2br w:val="nil"/>
                    <w:tr2bl w:val="nil"/>
                  </w:tcBorders>
                  <w:noWrap w:val="0"/>
                  <w:vAlign w:val="center"/>
                </w:tcPr>
                <w:p w14:paraId="450E87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426" w:type="pct"/>
                  <w:vMerge w:val="continue"/>
                  <w:tcBorders>
                    <w:tl2br w:val="nil"/>
                    <w:tr2bl w:val="nil"/>
                  </w:tcBorders>
                  <w:noWrap w:val="0"/>
                  <w:vAlign w:val="center"/>
                </w:tcPr>
                <w:p w14:paraId="5DE4721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3003" w:type="pct"/>
                  <w:vMerge w:val="continue"/>
                  <w:tcBorders>
                    <w:tl2br w:val="nil"/>
                    <w:tr2bl w:val="nil"/>
                  </w:tcBorders>
                  <w:noWrap w:val="0"/>
                  <w:vAlign w:val="center"/>
                </w:tcPr>
                <w:p w14:paraId="715679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705" w:type="pct"/>
                  <w:tcBorders>
                    <w:tl2br w:val="nil"/>
                    <w:tr2bl w:val="nil"/>
                  </w:tcBorders>
                  <w:noWrap w:val="0"/>
                  <w:vAlign w:val="center"/>
                </w:tcPr>
                <w:p w14:paraId="03E4353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施工期</w:t>
                  </w:r>
                </w:p>
              </w:tc>
              <w:tc>
                <w:tcPr>
                  <w:tcW w:w="503" w:type="pct"/>
                  <w:tcBorders>
                    <w:tl2br w:val="nil"/>
                    <w:tr2bl w:val="nil"/>
                  </w:tcBorders>
                  <w:noWrap w:val="0"/>
                  <w:vAlign w:val="center"/>
                </w:tcPr>
                <w:p w14:paraId="7C1D12A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运营期</w:t>
                  </w:r>
                </w:p>
              </w:tc>
            </w:tr>
            <w:tr w14:paraId="3A87307A">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307" w:hRule="atLeast"/>
                <w:jc w:val="center"/>
              </w:trPr>
              <w:tc>
                <w:tcPr>
                  <w:tcW w:w="361" w:type="pct"/>
                  <w:vMerge w:val="restart"/>
                  <w:tcBorders>
                    <w:tl2br w:val="nil"/>
                    <w:tr2bl w:val="nil"/>
                  </w:tcBorders>
                  <w:noWrap w:val="0"/>
                  <w:vAlign w:val="center"/>
                </w:tcPr>
                <w:p w14:paraId="7C26D6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主体工程</w:t>
                  </w:r>
                </w:p>
              </w:tc>
              <w:tc>
                <w:tcPr>
                  <w:tcW w:w="426" w:type="pct"/>
                  <w:tcBorders>
                    <w:tl2br w:val="nil"/>
                    <w:tr2bl w:val="nil"/>
                  </w:tcBorders>
                  <w:noWrap w:val="0"/>
                  <w:vAlign w:val="center"/>
                </w:tcPr>
                <w:p w14:paraId="125CF2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加油加气区</w:t>
                  </w:r>
                </w:p>
              </w:tc>
              <w:tc>
                <w:tcPr>
                  <w:tcW w:w="3003" w:type="pct"/>
                  <w:tcBorders>
                    <w:tl2br w:val="nil"/>
                    <w:tr2bl w:val="nil"/>
                  </w:tcBorders>
                  <w:noWrap w:val="0"/>
                  <w:vAlign w:val="center"/>
                </w:tcPr>
                <w:p w14:paraId="47ECB2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罩棚及加油岛：型钢结构罩棚，投影面积</w:t>
                  </w:r>
                  <w:r>
                    <w:rPr>
                      <w:rFonts w:hint="eastAsia" w:cs="Times New Roman"/>
                      <w:snapToGrid w:val="0"/>
                      <w:color w:val="000000" w:themeColor="text1"/>
                      <w:kern w:val="0"/>
                      <w:sz w:val="21"/>
                      <w:szCs w:val="21"/>
                      <w:highlight w:val="none"/>
                      <w:lang w:val="en-US" w:eastAsia="zh-CN"/>
                      <w14:textFill>
                        <w14:solidFill>
                          <w14:schemeClr w14:val="tx1"/>
                        </w14:solidFill>
                      </w14:textFill>
                    </w:rPr>
                    <w:t>1230</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m</w:t>
                  </w:r>
                  <w:r>
                    <w:rPr>
                      <w:rFonts w:hint="default" w:ascii="Times New Roman" w:hAnsi="Times New Roman" w:eastAsia="宋体" w:cs="Times New Roman"/>
                      <w:snapToGrid w:val="0"/>
                      <w:color w:val="000000" w:themeColor="text1"/>
                      <w:kern w:val="0"/>
                      <w:sz w:val="21"/>
                      <w:szCs w:val="21"/>
                      <w:highlight w:val="none"/>
                      <w:vertAlign w:val="superscript"/>
                      <w:lang w:eastAsia="zh-CN"/>
                      <w14:textFill>
                        <w14:solidFill>
                          <w14:schemeClr w14:val="tx1"/>
                        </w14:solidFill>
                      </w14:textFill>
                    </w:rPr>
                    <w:t>2</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，建筑面积为485.76m</w:t>
                  </w:r>
                  <w:r>
                    <w:rPr>
                      <w:rFonts w:hint="default" w:ascii="Times New Roman" w:hAnsi="Times New Roman" w:eastAsia="宋体" w:cs="Times New Roman"/>
                      <w:snapToGrid w:val="0"/>
                      <w:color w:val="000000" w:themeColor="text1"/>
                      <w:kern w:val="0"/>
                      <w:sz w:val="21"/>
                      <w:szCs w:val="21"/>
                      <w:highlight w:val="none"/>
                      <w:vertAlign w:val="superscript"/>
                      <w:lang w:eastAsia="zh-CN"/>
                      <w14:textFill>
                        <w14:solidFill>
                          <w14:schemeClr w14:val="tx1"/>
                        </w14:solidFill>
                      </w14:textFill>
                    </w:rPr>
                    <w:t>2</w:t>
                  </w:r>
                  <w:r>
                    <w:rPr>
                      <w:rFonts w:hint="eastAsia" w:cs="Times New Roman"/>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罩棚总高9.00m</w:t>
                  </w:r>
                  <w:r>
                    <w:rPr>
                      <w:rFonts w:hint="eastAsia" w:cs="Times New Roman"/>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净高7.65m，檐口高1.35m。罩棚下方设置4座独立加油岛和2座独立加氢岛，加油加气岛宽度为1.50m，加油加气岛高出地坪0</w:t>
                  </w:r>
                  <w:r>
                    <w:rPr>
                      <w:rFonts w:hint="eastAsia" w:cs="Times New Roman"/>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20m</w:t>
                  </w:r>
                  <w:r>
                    <w:rPr>
                      <w:rFonts w:hint="eastAsia" w:ascii="宋体" w:hAnsi="宋体" w:eastAsia="宋体" w:cs="宋体"/>
                      <w:snapToGrid w:val="0"/>
                      <w:color w:val="000000" w:themeColor="text1"/>
                      <w:kern w:val="0"/>
                      <w:sz w:val="21"/>
                      <w:szCs w:val="21"/>
                      <w:highlight w:val="none"/>
                      <w:lang w:eastAsia="zh-CN"/>
                      <w14:textFill>
                        <w14:solidFill>
                          <w14:schemeClr w14:val="tx1"/>
                        </w14:solidFill>
                      </w14:textFill>
                    </w:rPr>
                    <w:t>(相对于场区地坪)</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。净高9.0m；罩棚下设置4座独立加油岛、2</w:t>
                  </w:r>
                  <w:r>
                    <w:rPr>
                      <w:rFonts w:hint="eastAsia" w:cs="Times New Roman"/>
                      <w:snapToGrid w:val="0"/>
                      <w:color w:val="000000" w:themeColor="text1"/>
                      <w:kern w:val="0"/>
                      <w:sz w:val="21"/>
                      <w:szCs w:val="21"/>
                      <w:highlight w:val="none"/>
                      <w:lang w:val="en-US" w:eastAsia="zh-CN"/>
                      <w14:textFill>
                        <w14:solidFill>
                          <w14:schemeClr w14:val="tx1"/>
                        </w14:solidFill>
                      </w14:textFill>
                    </w:rPr>
                    <w:t>台LNG</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加气</w:t>
                  </w:r>
                  <w:r>
                    <w:rPr>
                      <w:rFonts w:hint="eastAsia" w:cs="Times New Roman"/>
                      <w:snapToGrid w:val="0"/>
                      <w:color w:val="000000" w:themeColor="text1"/>
                      <w:kern w:val="0"/>
                      <w:sz w:val="21"/>
                      <w:szCs w:val="21"/>
                      <w:highlight w:val="none"/>
                      <w:lang w:val="en-US" w:eastAsia="zh-CN"/>
                      <w14:textFill>
                        <w14:solidFill>
                          <w14:schemeClr w14:val="tx1"/>
                        </w14:solidFill>
                      </w14:textFill>
                    </w:rPr>
                    <w:t>机</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p>
                <w:p w14:paraId="240A08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加油机：设置</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2</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台</w:t>
                  </w:r>
                  <w:r>
                    <w:rPr>
                      <w:rFonts w:hint="eastAsia" w:cs="Times New Roman"/>
                      <w:snapToGrid w:val="0"/>
                      <w:color w:val="000000" w:themeColor="text1"/>
                      <w:kern w:val="0"/>
                      <w:sz w:val="21"/>
                      <w:szCs w:val="21"/>
                      <w:highlight w:val="none"/>
                      <w:lang w:val="en-US" w:eastAsia="zh-CN"/>
                      <w14:textFill>
                        <w14:solidFill>
                          <w14:schemeClr w14:val="tx1"/>
                        </w14:solidFill>
                      </w14:textFill>
                    </w:rPr>
                    <w:t>双</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枪</w:t>
                  </w:r>
                  <w:r>
                    <w:rPr>
                      <w:rFonts w:hint="eastAsia" w:cs="Times New Roman"/>
                      <w:snapToGrid w:val="0"/>
                      <w:color w:val="000000" w:themeColor="text1"/>
                      <w:kern w:val="0"/>
                      <w:sz w:val="21"/>
                      <w:szCs w:val="21"/>
                      <w:highlight w:val="none"/>
                      <w:lang w:val="en-US" w:eastAsia="zh-CN"/>
                      <w14:textFill>
                        <w14:solidFill>
                          <w14:schemeClr w14:val="tx1"/>
                        </w14:solidFill>
                      </w14:textFill>
                    </w:rPr>
                    <w:t>双</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油品潜油泵加油机</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，2台</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四枪</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双</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油品潜油泵加油机</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并设置油气回收系统</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p>
                <w:p w14:paraId="28E5ED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加气机：设置2台</w:t>
                  </w:r>
                  <w:r>
                    <w:rPr>
                      <w:rFonts w:hint="eastAsia" w:cs="Times New Roman"/>
                      <w:snapToGrid w:val="0"/>
                      <w:color w:val="000000" w:themeColor="text1"/>
                      <w:kern w:val="0"/>
                      <w:sz w:val="21"/>
                      <w:szCs w:val="21"/>
                      <w:highlight w:val="none"/>
                      <w:lang w:val="en-US" w:eastAsia="zh-CN"/>
                      <w14:textFill>
                        <w14:solidFill>
                          <w14:schemeClr w14:val="tx1"/>
                        </w14:solidFill>
                      </w14:textFill>
                    </w:rPr>
                    <w:t>单</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枪加气机</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p>
              </w:tc>
              <w:tc>
                <w:tcPr>
                  <w:tcW w:w="705" w:type="pct"/>
                  <w:vMerge w:val="restart"/>
                  <w:tcBorders>
                    <w:tl2br w:val="nil"/>
                    <w:tr2bl w:val="nil"/>
                  </w:tcBorders>
                  <w:noWrap w:val="0"/>
                  <w:vAlign w:val="center"/>
                </w:tcPr>
                <w:p w14:paraId="15440E29">
                  <w:pPr>
                    <w:keepNext w:val="0"/>
                    <w:keepLines w:val="0"/>
                    <w:suppressLineNumbers w:val="0"/>
                    <w:bidi w:val="0"/>
                    <w:spacing w:before="0" w:beforeAutospacing="0" w:after="0" w:afterAutospacing="0"/>
                    <w:ind w:left="0" w:right="0"/>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生态环境：水土流失</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植被破坏；</w:t>
                  </w:r>
                </w:p>
                <w:p w14:paraId="50FF23DB">
                  <w:pPr>
                    <w:keepNext w:val="0"/>
                    <w:keepLines w:val="0"/>
                    <w:suppressLineNumbers w:val="0"/>
                    <w:bidi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水环境：施工废水、施工人员生活污水；</w:t>
                  </w:r>
                </w:p>
                <w:p w14:paraId="51989EB2">
                  <w:pPr>
                    <w:keepNext w:val="0"/>
                    <w:keepLines w:val="0"/>
                    <w:suppressLineNumbers w:val="0"/>
                    <w:bidi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大气环境：施工扬尘、施工机械废气</w:t>
                  </w:r>
                </w:p>
                <w:p w14:paraId="7E5B4F88">
                  <w:pPr>
                    <w:keepNext w:val="0"/>
                    <w:keepLines w:val="0"/>
                    <w:suppressLineNumbers w:val="0"/>
                    <w:bidi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声环境：施工机械和运输车辆噪声；</w:t>
                  </w:r>
                </w:p>
                <w:p w14:paraId="5FB5BA1B">
                  <w:pPr>
                    <w:keepNext w:val="0"/>
                    <w:keepLines w:val="0"/>
                    <w:suppressLineNumbers w:val="0"/>
                    <w:bidi w:val="0"/>
                    <w:spacing w:before="0" w:beforeAutospacing="0" w:after="0" w:afterAutospacing="0"/>
                    <w:ind w:left="0" w:right="0"/>
                    <w:rPr>
                      <w:rFonts w:hint="default"/>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固体废物：建筑</w:t>
                  </w:r>
                </w:p>
                <w:p w14:paraId="498DD02C">
                  <w:pPr>
                    <w:keepNext w:val="0"/>
                    <w:keepLines w:val="0"/>
                    <w:suppressLineNumbers w:val="0"/>
                    <w:bidi w:val="0"/>
                    <w:spacing w:before="0" w:beforeAutospacing="0" w:after="0" w:afterAutospacing="0"/>
                    <w:ind w:left="0" w:right="0"/>
                    <w:rPr>
                      <w:rFonts w:hint="default" w:ascii="Times New Roman" w:hAnsi="Times New Roman" w:eastAsia="宋体" w:cs="Times New Roman"/>
                      <w:snapToGrid w:val="0"/>
                      <w:color w:val="000000" w:themeColor="text1"/>
                      <w:kern w:val="0"/>
                      <w:szCs w:val="21"/>
                      <w:highlight w:val="none"/>
                      <w:lang w:eastAsia="zh-CN"/>
                      <w14:textFill>
                        <w14:solidFill>
                          <w14:schemeClr w14:val="tx1"/>
                        </w14:solidFill>
                      </w14:textFill>
                    </w:rPr>
                  </w:pPr>
                  <w:r>
                    <w:rPr>
                      <w:rFonts w:hint="default"/>
                      <w:color w:val="000000" w:themeColor="text1"/>
                      <w:sz w:val="21"/>
                      <w:szCs w:val="21"/>
                      <w:highlight w:val="none"/>
                      <w:lang w:eastAsia="zh-CN"/>
                      <w14:textFill>
                        <w14:solidFill>
                          <w14:schemeClr w14:val="tx1"/>
                        </w14:solidFill>
                      </w14:textFill>
                    </w:rPr>
                    <w:t>垃圾、施工人员生活垃圾</w:t>
                  </w:r>
                </w:p>
              </w:tc>
              <w:tc>
                <w:tcPr>
                  <w:tcW w:w="503" w:type="pct"/>
                  <w:tcBorders>
                    <w:tl2br w:val="nil"/>
                    <w:tr2bl w:val="nil"/>
                  </w:tcBorders>
                  <w:noWrap w:val="0"/>
                  <w:vAlign w:val="center"/>
                </w:tcPr>
                <w:p w14:paraId="68AF12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废气</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、噪声、固废</w:t>
                  </w:r>
                </w:p>
              </w:tc>
            </w:tr>
            <w:tr w14:paraId="6EAE5A33">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307" w:hRule="atLeast"/>
                <w:jc w:val="center"/>
              </w:trPr>
              <w:tc>
                <w:tcPr>
                  <w:tcW w:w="361" w:type="pct"/>
                  <w:vMerge w:val="continue"/>
                  <w:tcBorders>
                    <w:tl2br w:val="nil"/>
                    <w:tr2bl w:val="nil"/>
                  </w:tcBorders>
                  <w:noWrap w:val="0"/>
                  <w:vAlign w:val="center"/>
                </w:tcPr>
                <w:p w14:paraId="27A945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tcBorders>
                    <w:tl2br w:val="nil"/>
                    <w:tr2bl w:val="nil"/>
                  </w:tcBorders>
                  <w:noWrap w:val="0"/>
                  <w:vAlign w:val="center"/>
                </w:tcPr>
                <w:p w14:paraId="23C76C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储油罐</w:t>
                  </w:r>
                </w:p>
              </w:tc>
              <w:tc>
                <w:tcPr>
                  <w:tcW w:w="3003" w:type="pct"/>
                  <w:tcBorders>
                    <w:tl2br w:val="nil"/>
                    <w:tr2bl w:val="nil"/>
                  </w:tcBorders>
                  <w:noWrap w:val="0"/>
                  <w:vAlign w:val="center"/>
                </w:tcPr>
                <w:p w14:paraId="5289A6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油罐位于罩棚下部，设置2座30m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snapToGrid w:val="0"/>
                      <w:color w:val="000000" w:themeColor="text1"/>
                      <w:kern w:val="0"/>
                      <w:sz w:val="21"/>
                      <w:szCs w:val="21"/>
                      <w:highlight w:val="none"/>
                      <w:lang w:val="en-US" w:eastAsia="zh-CN"/>
                      <w14:textFill>
                        <w14:solidFill>
                          <w14:schemeClr w14:val="tx1"/>
                        </w14:solidFill>
                      </w14:textFill>
                    </w:rPr>
                    <w:t>和2座20m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snapToGrid w:val="0"/>
                      <w:color w:val="000000" w:themeColor="text1"/>
                      <w:kern w:val="0"/>
                      <w:sz w:val="21"/>
                      <w:szCs w:val="21"/>
                      <w:highlight w:val="none"/>
                      <w:lang w:val="en-US" w:eastAsia="zh-CN"/>
                      <w14:textFill>
                        <w14:solidFill>
                          <w14:schemeClr w14:val="tx1"/>
                        </w14:solidFill>
                      </w14:textFill>
                    </w:rPr>
                    <w:t>埋地式双层SF油罐，分别储存95汽油</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w:t>
                  </w:r>
                  <w:r>
                    <w:rPr>
                      <w:rFonts w:hint="eastAsia" w:cs="Times New Roman"/>
                      <w:snapToGrid w:val="0"/>
                      <w:color w:val="000000" w:themeColor="text1"/>
                      <w:kern w:val="0"/>
                      <w:sz w:val="21"/>
                      <w:szCs w:val="21"/>
                      <w:highlight w:val="none"/>
                      <w:lang w:val="en-US" w:eastAsia="zh-CN"/>
                      <w14:textFill>
                        <w14:solidFill>
                          <w14:schemeClr w14:val="tx1"/>
                        </w14:solidFill>
                      </w14:textFill>
                    </w:rPr>
                    <w:t>20m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w:t>
                  </w:r>
                  <w:r>
                    <w:rPr>
                      <w:rFonts w:hint="eastAsia" w:cs="Times New Roman"/>
                      <w:snapToGrid w:val="0"/>
                      <w:color w:val="000000" w:themeColor="text1"/>
                      <w:kern w:val="0"/>
                      <w:sz w:val="21"/>
                      <w:szCs w:val="21"/>
                      <w:highlight w:val="none"/>
                      <w:lang w:val="en-US" w:eastAsia="zh-CN"/>
                      <w14:textFill>
                        <w14:solidFill>
                          <w14:schemeClr w14:val="tx1"/>
                        </w14:solidFill>
                      </w14:textFill>
                    </w:rPr>
                    <w:t>、92#汽油</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w:t>
                  </w:r>
                  <w:r>
                    <w:rPr>
                      <w:rFonts w:hint="eastAsia" w:cs="Times New Roman"/>
                      <w:snapToGrid w:val="0"/>
                      <w:color w:val="000000" w:themeColor="text1"/>
                      <w:kern w:val="0"/>
                      <w:sz w:val="21"/>
                      <w:szCs w:val="21"/>
                      <w:highlight w:val="none"/>
                      <w:lang w:val="en-US" w:eastAsia="zh-CN"/>
                      <w14:textFill>
                        <w14:solidFill>
                          <w14:schemeClr w14:val="tx1"/>
                        </w14:solidFill>
                      </w14:textFill>
                    </w:rPr>
                    <w:t>20m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w:t>
                  </w:r>
                  <w:r>
                    <w:rPr>
                      <w:rFonts w:hint="eastAsia" w:cs="Times New Roman"/>
                      <w:snapToGrid w:val="0"/>
                      <w:color w:val="000000" w:themeColor="text1"/>
                      <w:kern w:val="0"/>
                      <w:sz w:val="21"/>
                      <w:szCs w:val="21"/>
                      <w:highlight w:val="none"/>
                      <w:lang w:val="en-US" w:eastAsia="zh-CN"/>
                      <w14:textFill>
                        <w14:solidFill>
                          <w14:schemeClr w14:val="tx1"/>
                        </w14:solidFill>
                      </w14:textFill>
                    </w:rPr>
                    <w:t>和0柴油</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w:t>
                  </w:r>
                  <w:r>
                    <w:rPr>
                      <w:rFonts w:hint="eastAsia" w:cs="Times New Roman"/>
                      <w:snapToGrid w:val="0"/>
                      <w:color w:val="000000" w:themeColor="text1"/>
                      <w:kern w:val="0"/>
                      <w:sz w:val="21"/>
                      <w:szCs w:val="21"/>
                      <w:highlight w:val="none"/>
                      <w:lang w:val="en-US" w:eastAsia="zh-CN"/>
                      <w14:textFill>
                        <w14:solidFill>
                          <w14:schemeClr w14:val="tx1"/>
                        </w14:solidFill>
                      </w14:textFill>
                    </w:rPr>
                    <w:t>60m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ascii="宋体" w:hAnsi="宋体" w:eastAsia="宋体" w:cs="宋体"/>
                      <w:snapToGrid w:val="0"/>
                      <w:color w:val="000000" w:themeColor="text1"/>
                      <w:kern w:val="0"/>
                      <w:sz w:val="21"/>
                      <w:szCs w:val="21"/>
                      <w:highlight w:val="none"/>
                      <w:lang w:val="en-US" w:eastAsia="zh-CN"/>
                      <w14:textFill>
                        <w14:solidFill>
                          <w14:schemeClr w14:val="tx1"/>
                        </w14:solidFill>
                      </w14:textFill>
                    </w:rPr>
                    <w:t>)</w:t>
                  </w:r>
                  <w:r>
                    <w:rPr>
                      <w:rFonts w:hint="eastAsia" w:cs="Times New Roman"/>
                      <w:snapToGrid w:val="0"/>
                      <w:color w:val="000000" w:themeColor="text1"/>
                      <w:kern w:val="0"/>
                      <w:sz w:val="21"/>
                      <w:szCs w:val="21"/>
                      <w:highlight w:val="none"/>
                      <w:lang w:val="en-US" w:eastAsia="zh-CN"/>
                      <w14:textFill>
                        <w14:solidFill>
                          <w14:schemeClr w14:val="tx1"/>
                        </w14:solidFill>
                      </w14:textFill>
                    </w:rPr>
                    <w:t>总容量为100m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snapToGrid w:val="0"/>
                      <w:color w:val="000000" w:themeColor="text1"/>
                      <w:kern w:val="0"/>
                      <w:sz w:val="21"/>
                      <w:szCs w:val="21"/>
                      <w:highlight w:val="none"/>
                      <w:lang w:val="en-US" w:eastAsia="zh-CN"/>
                      <w14:textFill>
                        <w14:solidFill>
                          <w14:schemeClr w14:val="tx1"/>
                        </w14:solidFill>
                      </w14:textFill>
                    </w:rPr>
                    <w:t>，柴油折半后计算容量为70m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p>
              </w:tc>
              <w:tc>
                <w:tcPr>
                  <w:tcW w:w="705" w:type="pct"/>
                  <w:vMerge w:val="continue"/>
                  <w:tcBorders>
                    <w:tl2br w:val="nil"/>
                    <w:tr2bl w:val="nil"/>
                  </w:tcBorders>
                  <w:noWrap w:val="0"/>
                  <w:vAlign w:val="center"/>
                </w:tcPr>
                <w:p w14:paraId="3504DD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58" w:leftChars="-66" w:right="-149" w:rightChars="-62" w:firstLine="0" w:firstLineChars="0"/>
                    <w:jc w:val="center"/>
                    <w:outlineLvl w:val="9"/>
                    <w:rPr>
                      <w:rFonts w:hint="default" w:cs="Times New Roman"/>
                      <w:snapToGrid w:val="0"/>
                      <w:color w:val="000000" w:themeColor="text1"/>
                      <w:kern w:val="0"/>
                      <w:sz w:val="21"/>
                      <w:szCs w:val="21"/>
                      <w:highlight w:val="none"/>
                      <w:lang w:val="en-US" w:eastAsia="zh-CN"/>
                      <w14:textFill>
                        <w14:solidFill>
                          <w14:schemeClr w14:val="tx1"/>
                        </w14:solidFill>
                      </w14:textFill>
                    </w:rPr>
                  </w:pPr>
                </w:p>
              </w:tc>
              <w:tc>
                <w:tcPr>
                  <w:tcW w:w="503" w:type="pct"/>
                  <w:tcBorders>
                    <w:tl2br w:val="nil"/>
                    <w:tr2bl w:val="nil"/>
                  </w:tcBorders>
                  <w:noWrap w:val="0"/>
                  <w:vAlign w:val="center"/>
                </w:tcPr>
                <w:p w14:paraId="6FB9D1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废气</w:t>
                  </w: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、环境风险</w:t>
                  </w:r>
                </w:p>
              </w:tc>
            </w:tr>
            <w:tr w14:paraId="12B5801F">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927" w:hRule="atLeast"/>
                <w:jc w:val="center"/>
              </w:trPr>
              <w:tc>
                <w:tcPr>
                  <w:tcW w:w="361" w:type="pct"/>
                  <w:vMerge w:val="continue"/>
                  <w:tcBorders>
                    <w:tl2br w:val="nil"/>
                    <w:tr2bl w:val="nil"/>
                  </w:tcBorders>
                  <w:noWrap w:val="0"/>
                  <w:vAlign w:val="center"/>
                </w:tcPr>
                <w:p w14:paraId="2C8FC0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tcBorders>
                    <w:tl2br w:val="nil"/>
                    <w:tr2bl w:val="nil"/>
                  </w:tcBorders>
                  <w:noWrap w:val="0"/>
                  <w:vAlign w:val="center"/>
                </w:tcPr>
                <w:p w14:paraId="2CE1EC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加气设备区</w:t>
                  </w:r>
                </w:p>
              </w:tc>
              <w:tc>
                <w:tcPr>
                  <w:tcW w:w="3003" w:type="pct"/>
                  <w:tcBorders>
                    <w:tl2br w:val="nil"/>
                    <w:tr2bl w:val="nil"/>
                  </w:tcBorders>
                  <w:noWrap w:val="0"/>
                  <w:vAlign w:val="center"/>
                </w:tcPr>
                <w:p w14:paraId="1A355C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LNG工艺区位于场地的南侧，设置1座容积为60m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snapToGrid w:val="0"/>
                      <w:color w:val="000000" w:themeColor="text1"/>
                      <w:kern w:val="0"/>
                      <w:sz w:val="21"/>
                      <w:szCs w:val="21"/>
                      <w:highlight w:val="none"/>
                      <w:lang w:val="en-US" w:eastAsia="zh-CN"/>
                      <w14:textFill>
                        <w14:solidFill>
                          <w14:schemeClr w14:val="tx1"/>
                        </w14:solidFill>
                      </w14:textFill>
                    </w:rPr>
                    <w:t>卧</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式LNG储罐、1台LNG</w:t>
                  </w:r>
                  <w:r>
                    <w:rPr>
                      <w:rFonts w:hint="eastAsia" w:cs="Times New Roman"/>
                      <w:snapToGrid w:val="0"/>
                      <w:color w:val="000000" w:themeColor="text1"/>
                      <w:kern w:val="0"/>
                      <w:sz w:val="21"/>
                      <w:szCs w:val="21"/>
                      <w:highlight w:val="none"/>
                      <w:lang w:val="en-US" w:eastAsia="zh-CN"/>
                      <w14:textFill>
                        <w14:solidFill>
                          <w14:schemeClr w14:val="tx1"/>
                        </w14:solidFill>
                      </w14:textFill>
                    </w:rPr>
                    <w:t>潜</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液泵橇、1台LNG卸车橇、1个LNG卸车位以及相应配套工艺设施。</w:t>
                  </w:r>
                </w:p>
              </w:tc>
              <w:tc>
                <w:tcPr>
                  <w:tcW w:w="705" w:type="pct"/>
                  <w:vMerge w:val="continue"/>
                  <w:tcBorders>
                    <w:tl2br w:val="nil"/>
                    <w:tr2bl w:val="nil"/>
                  </w:tcBorders>
                  <w:noWrap w:val="0"/>
                  <w:vAlign w:val="center"/>
                </w:tcPr>
                <w:p w14:paraId="5A8ED7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58" w:leftChars="-66" w:right="-149" w:rightChars="-62" w:firstLine="0" w:firstLineChars="0"/>
                    <w:jc w:val="center"/>
                    <w:outlineLvl w:val="9"/>
                    <w:rPr>
                      <w:rFonts w:hint="default" w:cs="Times New Roman"/>
                      <w:snapToGrid w:val="0"/>
                      <w:color w:val="000000" w:themeColor="text1"/>
                      <w:kern w:val="0"/>
                      <w:sz w:val="21"/>
                      <w:szCs w:val="21"/>
                      <w:highlight w:val="none"/>
                      <w:lang w:val="en-US" w:eastAsia="zh-CN"/>
                      <w14:textFill>
                        <w14:solidFill>
                          <w14:schemeClr w14:val="tx1"/>
                        </w14:solidFill>
                      </w14:textFill>
                    </w:rPr>
                  </w:pPr>
                </w:p>
              </w:tc>
              <w:tc>
                <w:tcPr>
                  <w:tcW w:w="503" w:type="pct"/>
                  <w:tcBorders>
                    <w:tl2br w:val="nil"/>
                    <w:tr2bl w:val="nil"/>
                  </w:tcBorders>
                  <w:noWrap w:val="0"/>
                  <w:vAlign w:val="center"/>
                </w:tcPr>
                <w:p w14:paraId="42D104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废气、环境风险</w:t>
                  </w:r>
                </w:p>
              </w:tc>
            </w:tr>
            <w:tr w14:paraId="5C0705AC">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897" w:hRule="atLeast"/>
                <w:jc w:val="center"/>
              </w:trPr>
              <w:tc>
                <w:tcPr>
                  <w:tcW w:w="361" w:type="pct"/>
                  <w:vMerge w:val="continue"/>
                  <w:tcBorders>
                    <w:tl2br w:val="nil"/>
                    <w:tr2bl w:val="nil"/>
                  </w:tcBorders>
                  <w:noWrap w:val="0"/>
                  <w:vAlign w:val="center"/>
                </w:tcPr>
                <w:p w14:paraId="023C7F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tcBorders>
                    <w:tl2br w:val="nil"/>
                    <w:tr2bl w:val="nil"/>
                  </w:tcBorders>
                  <w:noWrap w:val="0"/>
                  <w:vAlign w:val="center"/>
                </w:tcPr>
                <w:p w14:paraId="3752BB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汽车充电区</w:t>
                  </w:r>
                </w:p>
              </w:tc>
              <w:tc>
                <w:tcPr>
                  <w:tcW w:w="3003" w:type="pct"/>
                  <w:tcBorders>
                    <w:tl2br w:val="nil"/>
                    <w:tr2bl w:val="nil"/>
                  </w:tcBorders>
                  <w:noWrap w:val="0"/>
                  <w:vAlign w:val="center"/>
                </w:tcPr>
                <w:p w14:paraId="61C482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充电车位区位于整个场站的北和东侧，设置两座一层的充电棚，钢架结构，耐火等级二级，建筑面积为221.2m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，高度4.00m，下部设置20个充电车位。</w:t>
                  </w:r>
                </w:p>
              </w:tc>
              <w:tc>
                <w:tcPr>
                  <w:tcW w:w="705" w:type="pct"/>
                  <w:vMerge w:val="continue"/>
                  <w:tcBorders>
                    <w:tl2br w:val="nil"/>
                    <w:tr2bl w:val="nil"/>
                  </w:tcBorders>
                  <w:noWrap w:val="0"/>
                  <w:vAlign w:val="center"/>
                </w:tcPr>
                <w:p w14:paraId="501E19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158" w:leftChars="-66" w:right="-149" w:rightChars="-62" w:firstLine="0" w:firstLineChars="0"/>
                    <w:jc w:val="center"/>
                    <w:outlineLvl w:val="9"/>
                    <w:rPr>
                      <w:rFonts w:hint="default" w:cs="Times New Roman"/>
                      <w:snapToGrid w:val="0"/>
                      <w:color w:val="000000" w:themeColor="text1"/>
                      <w:kern w:val="0"/>
                      <w:sz w:val="21"/>
                      <w:szCs w:val="21"/>
                      <w:highlight w:val="none"/>
                      <w:lang w:val="en-US" w:eastAsia="zh-CN"/>
                      <w14:textFill>
                        <w14:solidFill>
                          <w14:schemeClr w14:val="tx1"/>
                        </w14:solidFill>
                      </w14:textFill>
                    </w:rPr>
                  </w:pPr>
                </w:p>
              </w:tc>
              <w:tc>
                <w:tcPr>
                  <w:tcW w:w="503" w:type="pct"/>
                  <w:tcBorders>
                    <w:tl2br w:val="nil"/>
                    <w:tr2bl w:val="nil"/>
                  </w:tcBorders>
                  <w:noWrap w:val="0"/>
                  <w:vAlign w:val="center"/>
                </w:tcPr>
                <w:p w14:paraId="6CF998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w:t>
                  </w:r>
                </w:p>
              </w:tc>
            </w:tr>
            <w:tr w14:paraId="46F60262">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06" w:hRule="atLeast"/>
                <w:jc w:val="center"/>
              </w:trPr>
              <w:tc>
                <w:tcPr>
                  <w:tcW w:w="361" w:type="pct"/>
                  <w:vMerge w:val="restart"/>
                  <w:tcBorders>
                    <w:tl2br w:val="nil"/>
                    <w:tr2bl w:val="nil"/>
                  </w:tcBorders>
                  <w:noWrap w:val="0"/>
                  <w:vAlign w:val="center"/>
                </w:tcPr>
                <w:p w14:paraId="1925C0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lang w:val="en-US"/>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辅助</w:t>
                  </w:r>
                  <w:r>
                    <w:rPr>
                      <w:rFonts w:hint="default" w:ascii="Times New Roman" w:hAnsi="Times New Roman" w:cs="Times New Roman"/>
                      <w:snapToGrid w:val="0"/>
                      <w:color w:val="000000" w:themeColor="text1"/>
                      <w:kern w:val="0"/>
                      <w:sz w:val="21"/>
                      <w:szCs w:val="21"/>
                      <w:highlight w:val="none"/>
                      <w:lang w:val="en-US"/>
                      <w14:textFill>
                        <w14:solidFill>
                          <w14:schemeClr w14:val="tx1"/>
                        </w14:solidFill>
                      </w14:textFill>
                    </w:rPr>
                    <w:t>工程</w:t>
                  </w:r>
                </w:p>
              </w:tc>
              <w:tc>
                <w:tcPr>
                  <w:tcW w:w="426" w:type="pct"/>
                  <w:tcBorders>
                    <w:tl2br w:val="nil"/>
                    <w:tr2bl w:val="nil"/>
                  </w:tcBorders>
                  <w:noWrap w:val="0"/>
                  <w:vAlign w:val="center"/>
                </w:tcPr>
                <w:p w14:paraId="476D08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卸油</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区</w:t>
                  </w:r>
                </w:p>
              </w:tc>
              <w:tc>
                <w:tcPr>
                  <w:tcW w:w="3003" w:type="pct"/>
                  <w:tcBorders>
                    <w:tl2br w:val="nil"/>
                    <w:tr2bl w:val="nil"/>
                  </w:tcBorders>
                  <w:noWrap w:val="0"/>
                  <w:vAlign w:val="center"/>
                </w:tcPr>
                <w:p w14:paraId="4923F8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卸油平台1个，露天设置。</w:t>
                  </w:r>
                </w:p>
              </w:tc>
              <w:tc>
                <w:tcPr>
                  <w:tcW w:w="705" w:type="pct"/>
                  <w:vMerge w:val="continue"/>
                  <w:tcBorders>
                    <w:tl2br w:val="nil"/>
                    <w:tr2bl w:val="nil"/>
                  </w:tcBorders>
                  <w:noWrap w:val="0"/>
                  <w:vAlign w:val="center"/>
                </w:tcPr>
                <w:p w14:paraId="30C415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503" w:type="pct"/>
                  <w:tcBorders>
                    <w:tl2br w:val="nil"/>
                    <w:tr2bl w:val="nil"/>
                  </w:tcBorders>
                  <w:noWrap w:val="0"/>
                  <w:vAlign w:val="center"/>
                </w:tcPr>
                <w:p w14:paraId="78133B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废气、噪声</w:t>
                  </w:r>
                </w:p>
              </w:tc>
            </w:tr>
            <w:tr w14:paraId="06D38042">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861" w:hRule="atLeast"/>
                <w:jc w:val="center"/>
              </w:trPr>
              <w:tc>
                <w:tcPr>
                  <w:tcW w:w="361" w:type="pct"/>
                  <w:vMerge w:val="continue"/>
                  <w:tcBorders>
                    <w:tl2br w:val="nil"/>
                    <w:tr2bl w:val="nil"/>
                  </w:tcBorders>
                  <w:noWrap w:val="0"/>
                  <w:vAlign w:val="center"/>
                </w:tcPr>
                <w:p w14:paraId="470DDC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eastAsia" w:cs="Times New Roman"/>
                      <w:snapToGrid w:val="0"/>
                      <w:color w:val="000000" w:themeColor="text1"/>
                      <w:kern w:val="0"/>
                      <w:sz w:val="21"/>
                      <w:szCs w:val="21"/>
                      <w:highlight w:val="none"/>
                      <w:lang w:val="en-US" w:eastAsia="zh-CN"/>
                      <w14:textFill>
                        <w14:solidFill>
                          <w14:schemeClr w14:val="tx1"/>
                        </w14:solidFill>
                      </w14:textFill>
                    </w:rPr>
                  </w:pPr>
                </w:p>
              </w:tc>
              <w:tc>
                <w:tcPr>
                  <w:tcW w:w="426" w:type="pct"/>
                  <w:tcBorders>
                    <w:tl2br w:val="nil"/>
                    <w:tr2bl w:val="nil"/>
                  </w:tcBorders>
                  <w:noWrap w:val="0"/>
                  <w:vAlign w:val="center"/>
                </w:tcPr>
                <w:p w14:paraId="34CBB6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LN</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G卸车</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区</w:t>
                  </w:r>
                </w:p>
              </w:tc>
              <w:tc>
                <w:tcPr>
                  <w:tcW w:w="3003" w:type="pct"/>
                  <w:tcBorders>
                    <w:tl2br w:val="nil"/>
                    <w:tr2bl w:val="nil"/>
                  </w:tcBorders>
                  <w:noWrap w:val="0"/>
                  <w:vAlign w:val="center"/>
                </w:tcPr>
                <w:p w14:paraId="10B811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卸车平台1个，露天设置。</w:t>
                  </w:r>
                </w:p>
              </w:tc>
              <w:tc>
                <w:tcPr>
                  <w:tcW w:w="705" w:type="pct"/>
                  <w:vMerge w:val="continue"/>
                  <w:tcBorders>
                    <w:tl2br w:val="nil"/>
                    <w:tr2bl w:val="nil"/>
                  </w:tcBorders>
                  <w:noWrap w:val="0"/>
                  <w:vAlign w:val="center"/>
                </w:tcPr>
                <w:p w14:paraId="237245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503" w:type="pct"/>
                  <w:tcBorders>
                    <w:tl2br w:val="nil"/>
                    <w:tr2bl w:val="nil"/>
                  </w:tcBorders>
                  <w:noWrap w:val="0"/>
                  <w:vAlign w:val="center"/>
                </w:tcPr>
                <w:p w14:paraId="699D33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废气、噪声</w:t>
                  </w:r>
                </w:p>
              </w:tc>
            </w:tr>
            <w:tr w14:paraId="6B68DFA0">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831" w:hRule="atLeast"/>
                <w:jc w:val="center"/>
              </w:trPr>
              <w:tc>
                <w:tcPr>
                  <w:tcW w:w="361" w:type="pct"/>
                  <w:vMerge w:val="continue"/>
                  <w:tcBorders>
                    <w:tl2br w:val="nil"/>
                    <w:tr2bl w:val="nil"/>
                  </w:tcBorders>
                  <w:noWrap w:val="0"/>
                  <w:vAlign w:val="center"/>
                </w:tcPr>
                <w:p w14:paraId="2635C6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eastAsia" w:cs="Times New Roman"/>
                      <w:snapToGrid w:val="0"/>
                      <w:color w:val="000000" w:themeColor="text1"/>
                      <w:kern w:val="0"/>
                      <w:sz w:val="21"/>
                      <w:szCs w:val="21"/>
                      <w:highlight w:val="none"/>
                      <w:lang w:val="en-US" w:eastAsia="zh-CN"/>
                      <w14:textFill>
                        <w14:solidFill>
                          <w14:schemeClr w14:val="tx1"/>
                        </w14:solidFill>
                      </w14:textFill>
                    </w:rPr>
                  </w:pPr>
                </w:p>
              </w:tc>
              <w:tc>
                <w:tcPr>
                  <w:tcW w:w="426" w:type="pct"/>
                  <w:tcBorders>
                    <w:tl2br w:val="nil"/>
                    <w:tr2bl w:val="nil"/>
                  </w:tcBorders>
                  <w:noWrap w:val="0"/>
                  <w:vAlign w:val="center"/>
                </w:tcPr>
                <w:p w14:paraId="09ED1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加油加气车道</w:t>
                  </w:r>
                </w:p>
              </w:tc>
              <w:tc>
                <w:tcPr>
                  <w:tcW w:w="3003" w:type="pct"/>
                  <w:tcBorders>
                    <w:tl2br w:val="nil"/>
                    <w:tr2bl w:val="nil"/>
                  </w:tcBorders>
                  <w:noWrap w:val="0"/>
                  <w:vAlign w:val="center"/>
                </w:tcPr>
                <w:p w14:paraId="180C72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行车道宽度均</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不小于</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4m，转弯半径不小于9m</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方便加油车辆及应急消防车辆进出</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p>
              </w:tc>
              <w:tc>
                <w:tcPr>
                  <w:tcW w:w="705" w:type="pct"/>
                  <w:vMerge w:val="continue"/>
                  <w:tcBorders>
                    <w:tl2br w:val="nil"/>
                    <w:tr2bl w:val="nil"/>
                  </w:tcBorders>
                  <w:noWrap w:val="0"/>
                  <w:vAlign w:val="center"/>
                </w:tcPr>
                <w:p w14:paraId="4CFE65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503" w:type="pct"/>
                  <w:tcBorders>
                    <w:tl2br w:val="nil"/>
                    <w:tr2bl w:val="nil"/>
                  </w:tcBorders>
                  <w:noWrap w:val="0"/>
                  <w:vAlign w:val="center"/>
                </w:tcPr>
                <w:p w14:paraId="37E572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汽车尾气、噪声</w:t>
                  </w:r>
                </w:p>
              </w:tc>
            </w:tr>
            <w:tr w14:paraId="4E83B945">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81" w:hRule="atLeast"/>
                <w:jc w:val="center"/>
              </w:trPr>
              <w:tc>
                <w:tcPr>
                  <w:tcW w:w="361" w:type="pct"/>
                  <w:vMerge w:val="continue"/>
                  <w:tcBorders>
                    <w:tl2br w:val="nil"/>
                    <w:tr2bl w:val="nil"/>
                  </w:tcBorders>
                  <w:noWrap w:val="0"/>
                  <w:vAlign w:val="center"/>
                </w:tcPr>
                <w:p w14:paraId="270E12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eastAsia" w:cs="Times New Roman"/>
                      <w:snapToGrid w:val="0"/>
                      <w:color w:val="000000" w:themeColor="text1"/>
                      <w:kern w:val="0"/>
                      <w:sz w:val="21"/>
                      <w:szCs w:val="21"/>
                      <w:highlight w:val="none"/>
                      <w:lang w:val="en-US" w:eastAsia="zh-CN"/>
                      <w14:textFill>
                        <w14:solidFill>
                          <w14:schemeClr w14:val="tx1"/>
                        </w14:solidFill>
                      </w14:textFill>
                    </w:rPr>
                  </w:pPr>
                </w:p>
              </w:tc>
              <w:tc>
                <w:tcPr>
                  <w:tcW w:w="426" w:type="pct"/>
                  <w:tcBorders>
                    <w:tl2br w:val="nil"/>
                    <w:tr2bl w:val="nil"/>
                  </w:tcBorders>
                  <w:noWrap w:val="0"/>
                  <w:vAlign w:val="center"/>
                </w:tcPr>
                <w:p w14:paraId="7AFB9E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洗车区</w:t>
                  </w:r>
                </w:p>
              </w:tc>
              <w:tc>
                <w:tcPr>
                  <w:tcW w:w="3003" w:type="pct"/>
                  <w:tcBorders>
                    <w:tl2br w:val="nil"/>
                    <w:tr2bl w:val="nil"/>
                  </w:tcBorders>
                  <w:noWrap w:val="0"/>
                  <w:vAlign w:val="center"/>
                </w:tcPr>
                <w:p w14:paraId="613AA0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加油加气站出口附近设通过式洗车机1台。</w:t>
                  </w:r>
                </w:p>
              </w:tc>
              <w:tc>
                <w:tcPr>
                  <w:tcW w:w="705" w:type="pct"/>
                  <w:vMerge w:val="continue"/>
                  <w:tcBorders>
                    <w:tl2br w:val="nil"/>
                    <w:tr2bl w:val="nil"/>
                  </w:tcBorders>
                  <w:noWrap w:val="0"/>
                  <w:vAlign w:val="center"/>
                </w:tcPr>
                <w:p w14:paraId="45D5C9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503" w:type="pct"/>
                  <w:tcBorders>
                    <w:tl2br w:val="nil"/>
                    <w:tr2bl w:val="nil"/>
                  </w:tcBorders>
                  <w:noWrap w:val="0"/>
                  <w:vAlign w:val="center"/>
                </w:tcPr>
                <w:p w14:paraId="4D5376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废水、噪声</w:t>
                  </w:r>
                </w:p>
              </w:tc>
            </w:tr>
            <w:tr w14:paraId="41AB69F9">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36" w:hRule="atLeast"/>
                <w:jc w:val="center"/>
              </w:trPr>
              <w:tc>
                <w:tcPr>
                  <w:tcW w:w="361" w:type="pct"/>
                  <w:vMerge w:val="continue"/>
                  <w:tcBorders>
                    <w:tl2br w:val="nil"/>
                    <w:tr2bl w:val="nil"/>
                  </w:tcBorders>
                  <w:noWrap w:val="0"/>
                  <w:vAlign w:val="center"/>
                </w:tcPr>
                <w:p w14:paraId="27932F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eastAsia" w:cs="Times New Roman"/>
                      <w:snapToGrid w:val="0"/>
                      <w:color w:val="000000" w:themeColor="text1"/>
                      <w:kern w:val="0"/>
                      <w:sz w:val="21"/>
                      <w:szCs w:val="21"/>
                      <w:highlight w:val="none"/>
                      <w:lang w:val="en-US" w:eastAsia="zh-CN"/>
                      <w14:textFill>
                        <w14:solidFill>
                          <w14:schemeClr w14:val="tx1"/>
                        </w14:solidFill>
                      </w14:textFill>
                    </w:rPr>
                  </w:pPr>
                </w:p>
              </w:tc>
              <w:tc>
                <w:tcPr>
                  <w:tcW w:w="426" w:type="pct"/>
                  <w:tcBorders>
                    <w:tl2br w:val="nil"/>
                    <w:tr2bl w:val="nil"/>
                  </w:tcBorders>
                  <w:noWrap w:val="0"/>
                  <w:vAlign w:val="center"/>
                </w:tcPr>
                <w:p w14:paraId="440F7F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防雷系统</w:t>
                  </w:r>
                </w:p>
              </w:tc>
              <w:tc>
                <w:tcPr>
                  <w:tcW w:w="3003" w:type="pct"/>
                  <w:tcBorders>
                    <w:tl2br w:val="nil"/>
                    <w:tr2bl w:val="nil"/>
                  </w:tcBorders>
                  <w:noWrap w:val="0"/>
                  <w:vAlign w:val="center"/>
                </w:tcPr>
                <w:p w14:paraId="3F79CE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站场中的防雷接地、防静电接地、电气接地以及信息接地共用一套接地装置，组成共用接地系统</w:t>
                  </w:r>
                  <w:r>
                    <w:rPr>
                      <w:rFonts w:hint="eastAsia" w:cs="Times New Roman"/>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整个闭环连接网要求联合接地电阻值&lt;4Ω，若实测达不到要求，则应增设接地体，或采取换土、采用降阻剂的方法。建构筑物利用其基础或地梁钢筋做接地体，并与站场内人工敷设的接地体组成共用接地系统。</w:t>
                  </w:r>
                </w:p>
              </w:tc>
              <w:tc>
                <w:tcPr>
                  <w:tcW w:w="705" w:type="pct"/>
                  <w:vMerge w:val="continue"/>
                  <w:tcBorders>
                    <w:tl2br w:val="nil"/>
                    <w:tr2bl w:val="nil"/>
                  </w:tcBorders>
                  <w:noWrap w:val="0"/>
                  <w:vAlign w:val="center"/>
                </w:tcPr>
                <w:p w14:paraId="6CF5CD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503" w:type="pct"/>
                  <w:tcBorders>
                    <w:tl2br w:val="nil"/>
                    <w:tr2bl w:val="nil"/>
                  </w:tcBorders>
                  <w:noWrap w:val="0"/>
                  <w:vAlign w:val="center"/>
                </w:tcPr>
                <w:p w14:paraId="7B1358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w:t>
                  </w:r>
                </w:p>
              </w:tc>
            </w:tr>
            <w:tr w14:paraId="737754A2">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36" w:hRule="atLeast"/>
                <w:jc w:val="center"/>
              </w:trPr>
              <w:tc>
                <w:tcPr>
                  <w:tcW w:w="361" w:type="pct"/>
                  <w:vMerge w:val="continue"/>
                  <w:tcBorders>
                    <w:tl2br w:val="nil"/>
                    <w:tr2bl w:val="nil"/>
                  </w:tcBorders>
                  <w:noWrap w:val="0"/>
                  <w:vAlign w:val="center"/>
                </w:tcPr>
                <w:p w14:paraId="095E9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监控</w:t>
                  </w:r>
                </w:p>
              </w:tc>
              <w:tc>
                <w:tcPr>
                  <w:tcW w:w="426" w:type="pct"/>
                  <w:tcBorders>
                    <w:tl2br w:val="nil"/>
                    <w:tr2bl w:val="nil"/>
                  </w:tcBorders>
                  <w:noWrap w:val="0"/>
                  <w:vAlign w:val="center"/>
                </w:tcPr>
                <w:p w14:paraId="6B9E8D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监控系统</w:t>
                  </w:r>
                </w:p>
              </w:tc>
              <w:tc>
                <w:tcPr>
                  <w:tcW w:w="3003" w:type="pct"/>
                  <w:tcBorders>
                    <w:tl2br w:val="nil"/>
                    <w:tr2bl w:val="nil"/>
                  </w:tcBorders>
                  <w:noWrap w:val="0"/>
                  <w:vAlign w:val="center"/>
                </w:tcPr>
                <w:p w14:paraId="5E7DE3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加油管控系统1套，LNG站控系统1套，通过以上系统完成加油/加气业务的安全自动控制及管理。充电部分及分布式光伏发电机部分均采用云平台进行管</w:t>
                  </w:r>
                  <w:r>
                    <w:rPr>
                      <w:rFonts w:hint="eastAsia" w:cs="Times New Roman"/>
                      <w:snapToGrid w:val="0"/>
                      <w:color w:val="000000" w:themeColor="text1"/>
                      <w:kern w:val="0"/>
                      <w:sz w:val="21"/>
                      <w:szCs w:val="21"/>
                      <w:highlight w:val="none"/>
                      <w:lang w:val="en-US" w:eastAsia="zh-CN"/>
                      <w14:textFill>
                        <w14:solidFill>
                          <w14:schemeClr w14:val="tx1"/>
                        </w14:solidFill>
                      </w14:textFill>
                    </w:rPr>
                    <w:t>理</w:t>
                  </w:r>
                </w:p>
              </w:tc>
              <w:tc>
                <w:tcPr>
                  <w:tcW w:w="705" w:type="pct"/>
                  <w:vMerge w:val="continue"/>
                  <w:tcBorders>
                    <w:tl2br w:val="nil"/>
                    <w:tr2bl w:val="nil"/>
                  </w:tcBorders>
                  <w:noWrap w:val="0"/>
                  <w:vAlign w:val="center"/>
                </w:tcPr>
                <w:p w14:paraId="350157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503" w:type="pct"/>
                  <w:tcBorders>
                    <w:tl2br w:val="nil"/>
                    <w:tr2bl w:val="nil"/>
                  </w:tcBorders>
                  <w:noWrap w:val="0"/>
                  <w:vAlign w:val="center"/>
                </w:tcPr>
                <w:p w14:paraId="613AB2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w:t>
                  </w:r>
                </w:p>
              </w:tc>
            </w:tr>
            <w:tr w14:paraId="668ED30D">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929" w:hRule="atLeast"/>
                <w:jc w:val="center"/>
              </w:trPr>
              <w:tc>
                <w:tcPr>
                  <w:tcW w:w="361" w:type="pct"/>
                  <w:vMerge w:val="continue"/>
                  <w:tcBorders>
                    <w:tl2br w:val="nil"/>
                    <w:tr2bl w:val="nil"/>
                  </w:tcBorders>
                  <w:noWrap w:val="0"/>
                  <w:vAlign w:val="center"/>
                </w:tcPr>
                <w:p w14:paraId="7FDC9C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eastAsia" w:cs="Times New Roman"/>
                      <w:snapToGrid w:val="0"/>
                      <w:color w:val="000000" w:themeColor="text1"/>
                      <w:kern w:val="0"/>
                      <w:sz w:val="21"/>
                      <w:szCs w:val="21"/>
                      <w:highlight w:val="none"/>
                      <w:lang w:val="en-US" w:eastAsia="zh-CN"/>
                      <w14:textFill>
                        <w14:solidFill>
                          <w14:schemeClr w14:val="tx1"/>
                        </w14:solidFill>
                      </w14:textFill>
                    </w:rPr>
                  </w:pPr>
                </w:p>
              </w:tc>
              <w:tc>
                <w:tcPr>
                  <w:tcW w:w="426" w:type="pct"/>
                  <w:tcBorders>
                    <w:tl2br w:val="nil"/>
                    <w:tr2bl w:val="nil"/>
                  </w:tcBorders>
                  <w:shd w:val="clear" w:color="auto" w:fill="auto"/>
                  <w:noWrap w:val="0"/>
                  <w:vAlign w:val="center"/>
                </w:tcPr>
                <w:p w14:paraId="47DB61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消防设施</w:t>
                  </w:r>
                </w:p>
              </w:tc>
              <w:tc>
                <w:tcPr>
                  <w:tcW w:w="3003" w:type="pct"/>
                  <w:tcBorders>
                    <w:tl2br w:val="nil"/>
                    <w:tr2bl w:val="nil"/>
                  </w:tcBorders>
                  <w:shd w:val="clear" w:color="auto" w:fill="auto"/>
                  <w:noWrap w:val="0"/>
                  <w:vAlign w:val="center"/>
                </w:tcPr>
                <w:p w14:paraId="2E6D65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设置一套成品一体化消防泵</w:t>
                  </w:r>
                  <w:r>
                    <w:rPr>
                      <w:rFonts w:hint="eastAsia" w:cs="Times New Roman"/>
                      <w:snapToGrid w:val="0"/>
                      <w:color w:val="000000" w:themeColor="text1"/>
                      <w:kern w:val="0"/>
                      <w:sz w:val="21"/>
                      <w:szCs w:val="21"/>
                      <w:highlight w:val="none"/>
                      <w:lang w:eastAsia="zh-CN"/>
                      <w14:textFill>
                        <w14:solidFill>
                          <w14:schemeClr w14:val="tx1"/>
                        </w14:solidFill>
                      </w14:textFill>
                    </w:rPr>
                    <w:t>并在站内修建1座独立消防水池（</w:t>
                  </w:r>
                  <w:r>
                    <w:rPr>
                      <w:rFonts w:hint="eastAsia" w:cs="Times New Roman"/>
                      <w:snapToGrid w:val="0"/>
                      <w:color w:val="000000" w:themeColor="text1"/>
                      <w:kern w:val="0"/>
                      <w:sz w:val="21"/>
                      <w:szCs w:val="21"/>
                      <w:highlight w:val="none"/>
                      <w:lang w:val="en-US" w:eastAsia="zh-CN"/>
                      <w14:textFill>
                        <w14:solidFill>
                          <w14:schemeClr w14:val="tx1"/>
                        </w14:solidFill>
                      </w14:textFill>
                    </w:rPr>
                    <w:t>水池水源由市政供应</w:t>
                  </w:r>
                  <w:r>
                    <w:rPr>
                      <w:rFonts w:hint="eastAsia" w:cs="Times New Roman"/>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设置2m</w:t>
                  </w:r>
                  <w:r>
                    <w:rPr>
                      <w:rFonts w:hint="default" w:ascii="Times New Roman" w:hAnsi="Times New Roman" w:eastAsia="宋体" w:cs="Times New Roman"/>
                      <w:snapToGrid w:val="0"/>
                      <w:color w:val="000000" w:themeColor="text1"/>
                      <w:kern w:val="0"/>
                      <w:sz w:val="21"/>
                      <w:szCs w:val="21"/>
                      <w:highlight w:val="none"/>
                      <w:vertAlign w:val="superscript"/>
                      <w:lang w:eastAsia="zh-CN"/>
                      <w14:textFill>
                        <w14:solidFill>
                          <w14:schemeClr w14:val="tx1"/>
                        </w14:solidFill>
                      </w14:textFill>
                    </w:rPr>
                    <w:t>3</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消防沙箱1个，灭火毯5张，5kg手提式干粉灭火器</w:t>
                  </w:r>
                  <w:r>
                    <w:rPr>
                      <w:rFonts w:hint="eastAsia" w:cs="Times New Roman"/>
                      <w:snapToGrid w:val="0"/>
                      <w:color w:val="000000" w:themeColor="text1"/>
                      <w:kern w:val="0"/>
                      <w:sz w:val="21"/>
                      <w:szCs w:val="21"/>
                      <w:highlight w:val="none"/>
                      <w:lang w:val="en-US" w:eastAsia="zh-CN"/>
                      <w14:textFill>
                        <w14:solidFill>
                          <w14:schemeClr w14:val="tx1"/>
                        </w14:solidFill>
                      </w14:textFill>
                    </w:rPr>
                    <w:t>46</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具、35kg推车式干粉灭火器</w:t>
                  </w:r>
                  <w:r>
                    <w:rPr>
                      <w:rFonts w:hint="eastAsia" w:cs="Times New Roman"/>
                      <w:snapToGrid w:val="0"/>
                      <w:color w:val="000000" w:themeColor="text1"/>
                      <w:kern w:val="0"/>
                      <w:sz w:val="21"/>
                      <w:szCs w:val="21"/>
                      <w:highlight w:val="none"/>
                      <w:lang w:val="en-US" w:eastAsia="zh-CN"/>
                      <w14:textFill>
                        <w14:solidFill>
                          <w14:schemeClr w14:val="tx1"/>
                        </w14:solidFill>
                      </w14:textFill>
                    </w:rPr>
                    <w:t>7</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具，</w:t>
                  </w:r>
                  <w:r>
                    <w:rPr>
                      <w:rFonts w:hint="eastAsia" w:cs="Times New Roman"/>
                      <w:snapToGrid w:val="0"/>
                      <w:color w:val="000000" w:themeColor="text1"/>
                      <w:kern w:val="0"/>
                      <w:sz w:val="21"/>
                      <w:szCs w:val="21"/>
                      <w:highlight w:val="none"/>
                      <w:lang w:val="en-US" w:eastAsia="zh-CN"/>
                      <w14:textFill>
                        <w14:solidFill>
                          <w14:schemeClr w14:val="tx1"/>
                        </w14:solidFill>
                      </w14:textFill>
                    </w:rPr>
                    <w:t>23个灭火箱</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以及报警器等消防器材</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p>
              </w:tc>
              <w:tc>
                <w:tcPr>
                  <w:tcW w:w="705" w:type="pct"/>
                  <w:vMerge w:val="continue"/>
                  <w:tcBorders>
                    <w:tl2br w:val="nil"/>
                    <w:tr2bl w:val="nil"/>
                  </w:tcBorders>
                  <w:noWrap w:val="0"/>
                  <w:vAlign w:val="center"/>
                </w:tcPr>
                <w:p w14:paraId="2E78AC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14:textFill>
                        <w14:solidFill>
                          <w14:schemeClr w14:val="tx1"/>
                        </w14:solidFill>
                      </w14:textFill>
                    </w:rPr>
                  </w:pPr>
                </w:p>
              </w:tc>
              <w:tc>
                <w:tcPr>
                  <w:tcW w:w="503" w:type="pct"/>
                  <w:tcBorders>
                    <w:tl2br w:val="nil"/>
                    <w:tr2bl w:val="nil"/>
                  </w:tcBorders>
                  <w:noWrap w:val="0"/>
                  <w:vAlign w:val="center"/>
                </w:tcPr>
                <w:p w14:paraId="19FDCA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废水</w:t>
                  </w:r>
                </w:p>
              </w:tc>
            </w:tr>
            <w:tr w14:paraId="19A845C4">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361" w:type="pct"/>
                  <w:vMerge w:val="restart"/>
                  <w:tcBorders>
                    <w:tl2br w:val="nil"/>
                    <w:tr2bl w:val="nil"/>
                  </w:tcBorders>
                  <w:noWrap w:val="0"/>
                  <w:vAlign w:val="center"/>
                </w:tcPr>
                <w:p w14:paraId="134261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公用工程</w:t>
                  </w:r>
                </w:p>
              </w:tc>
              <w:tc>
                <w:tcPr>
                  <w:tcW w:w="426" w:type="pct"/>
                  <w:tcBorders>
                    <w:tl2br w:val="nil"/>
                    <w:tr2bl w:val="nil"/>
                  </w:tcBorders>
                  <w:noWrap w:val="0"/>
                  <w:vAlign w:val="center"/>
                </w:tcPr>
                <w:p w14:paraId="27E10EE2">
                  <w:pPr>
                    <w:pStyle w:val="53"/>
                    <w:keepNext w:val="0"/>
                    <w:keepLines w:val="0"/>
                    <w:suppressLineNumbers w:val="0"/>
                    <w:tabs>
                      <w:tab w:val="left" w:pos="420"/>
                      <w:tab w:val="left" w:pos="870"/>
                      <w:tab w:val="left" w:pos="3150"/>
                    </w:tabs>
                    <w:spacing w:before="0" w:beforeAutospacing="0" w:after="0" w:afterAutospacing="0"/>
                    <w:ind w:left="0" w:leftChars="0" w:right="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给水系统</w:t>
                  </w:r>
                </w:p>
              </w:tc>
              <w:tc>
                <w:tcPr>
                  <w:tcW w:w="3003" w:type="pct"/>
                  <w:tcBorders>
                    <w:tl2br w:val="nil"/>
                    <w:tr2bl w:val="nil"/>
                  </w:tcBorders>
                  <w:noWrap w:val="0"/>
                  <w:vAlign w:val="center"/>
                </w:tcPr>
                <w:p w14:paraId="2227E451">
                  <w:pPr>
                    <w:keepNext w:val="0"/>
                    <w:keepLines w:val="0"/>
                    <w:suppressLineNumbers w:val="0"/>
                    <w:spacing w:before="0" w:beforeAutospacing="0" w:after="0" w:afterAutospacing="0"/>
                    <w:ind w:left="0" w:right="0"/>
                    <w:jc w:val="left"/>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给水由市政给水管网供给</w:t>
                  </w:r>
                </w:p>
              </w:tc>
              <w:tc>
                <w:tcPr>
                  <w:tcW w:w="705" w:type="pct"/>
                  <w:vMerge w:val="continue"/>
                  <w:tcBorders>
                    <w:tl2br w:val="nil"/>
                    <w:tr2bl w:val="nil"/>
                  </w:tcBorders>
                  <w:noWrap w:val="0"/>
                  <w:vAlign w:val="center"/>
                </w:tcPr>
                <w:p w14:paraId="5F22FC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503" w:type="pct"/>
                  <w:tcBorders>
                    <w:tl2br w:val="nil"/>
                    <w:tr2bl w:val="nil"/>
                  </w:tcBorders>
                  <w:noWrap w:val="0"/>
                  <w:vAlign w:val="center"/>
                </w:tcPr>
                <w:p w14:paraId="005744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w:t>
                  </w:r>
                </w:p>
              </w:tc>
            </w:tr>
            <w:tr w14:paraId="195B46EF">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361" w:type="pct"/>
                  <w:vMerge w:val="continue"/>
                  <w:tcBorders>
                    <w:tl2br w:val="nil"/>
                    <w:tr2bl w:val="nil"/>
                  </w:tcBorders>
                  <w:noWrap w:val="0"/>
                  <w:vAlign w:val="center"/>
                </w:tcPr>
                <w:p w14:paraId="356241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tcBorders>
                    <w:tl2br w:val="nil"/>
                    <w:tr2bl w:val="nil"/>
                  </w:tcBorders>
                  <w:noWrap w:val="0"/>
                  <w:vAlign w:val="center"/>
                </w:tcPr>
                <w:p w14:paraId="2C97AA1B">
                  <w:pPr>
                    <w:pStyle w:val="53"/>
                    <w:keepNext w:val="0"/>
                    <w:keepLines w:val="0"/>
                    <w:suppressLineNumbers w:val="0"/>
                    <w:tabs>
                      <w:tab w:val="left" w:pos="420"/>
                      <w:tab w:val="left" w:pos="870"/>
                      <w:tab w:val="left" w:pos="3150"/>
                    </w:tabs>
                    <w:spacing w:before="0" w:beforeAutospacing="0" w:after="0" w:afterAutospacing="0"/>
                    <w:ind w:left="0" w:leftChars="0" w:right="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排水系统</w:t>
                  </w:r>
                </w:p>
              </w:tc>
              <w:tc>
                <w:tcPr>
                  <w:tcW w:w="3003" w:type="pct"/>
                  <w:tcBorders>
                    <w:tl2br w:val="nil"/>
                    <w:tr2bl w:val="nil"/>
                  </w:tcBorders>
                  <w:noWrap w:val="0"/>
                  <w:vAlign w:val="center"/>
                </w:tcPr>
                <w:p w14:paraId="35E226F1">
                  <w:pPr>
                    <w:keepNext w:val="0"/>
                    <w:keepLines w:val="0"/>
                    <w:suppressLineNumbers w:val="0"/>
                    <w:spacing w:before="0" w:beforeAutospacing="0" w:after="0" w:afterAutospacing="0"/>
                    <w:ind w:left="0" w:right="0"/>
                    <w:jc w:val="left"/>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站内排水采用雨污分流制，废水经站内预处理后排入市政污水管网。</w:t>
                  </w:r>
                </w:p>
              </w:tc>
              <w:tc>
                <w:tcPr>
                  <w:tcW w:w="705" w:type="pct"/>
                  <w:vMerge w:val="continue"/>
                  <w:tcBorders>
                    <w:tl2br w:val="nil"/>
                    <w:tr2bl w:val="nil"/>
                  </w:tcBorders>
                  <w:noWrap w:val="0"/>
                  <w:vAlign w:val="center"/>
                </w:tcPr>
                <w:p w14:paraId="3DEA4A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503" w:type="pct"/>
                  <w:tcBorders>
                    <w:tl2br w:val="nil"/>
                    <w:tr2bl w:val="nil"/>
                  </w:tcBorders>
                  <w:noWrap w:val="0"/>
                  <w:vAlign w:val="center"/>
                </w:tcPr>
                <w:p w14:paraId="768B0C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w:t>
                  </w:r>
                </w:p>
              </w:tc>
            </w:tr>
            <w:tr w14:paraId="102FDB7F">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547" w:hRule="atLeast"/>
                <w:jc w:val="center"/>
              </w:trPr>
              <w:tc>
                <w:tcPr>
                  <w:tcW w:w="361" w:type="pct"/>
                  <w:vMerge w:val="continue"/>
                  <w:tcBorders>
                    <w:tl2br w:val="nil"/>
                    <w:tr2bl w:val="nil"/>
                  </w:tcBorders>
                  <w:noWrap w:val="0"/>
                  <w:vAlign w:val="center"/>
                </w:tcPr>
                <w:p w14:paraId="4DA67E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tcBorders>
                    <w:tl2br w:val="nil"/>
                    <w:tr2bl w:val="nil"/>
                  </w:tcBorders>
                  <w:noWrap w:val="0"/>
                  <w:vAlign w:val="center"/>
                </w:tcPr>
                <w:p w14:paraId="53A51659">
                  <w:pPr>
                    <w:pStyle w:val="53"/>
                    <w:keepNext w:val="0"/>
                    <w:keepLines w:val="0"/>
                    <w:suppressLineNumbers w:val="0"/>
                    <w:tabs>
                      <w:tab w:val="left" w:pos="420"/>
                      <w:tab w:val="left" w:pos="870"/>
                      <w:tab w:val="left" w:pos="3150"/>
                    </w:tabs>
                    <w:spacing w:before="0" w:beforeAutospacing="0" w:after="0" w:afterAutospacing="0"/>
                    <w:ind w:left="0" w:leftChars="0" w:right="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供电</w:t>
                  </w:r>
                </w:p>
              </w:tc>
              <w:tc>
                <w:tcPr>
                  <w:tcW w:w="3003" w:type="pct"/>
                  <w:tcBorders>
                    <w:tl2br w:val="nil"/>
                    <w:tr2bl w:val="nil"/>
                  </w:tcBorders>
                  <w:noWrap w:val="0"/>
                  <w:vAlign w:val="center"/>
                </w:tcPr>
                <w:p w14:paraId="3FB130D1">
                  <w:pPr>
                    <w:keepNext w:val="0"/>
                    <w:keepLines w:val="0"/>
                    <w:suppressLineNumbers w:val="0"/>
                    <w:spacing w:before="0" w:beforeAutospacing="0" w:after="0" w:afterAutospacing="0"/>
                    <w:ind w:left="0" w:right="0"/>
                    <w:jc w:val="left"/>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供电由市政电网供给，厂区拟设</w:t>
                  </w:r>
                  <w:r>
                    <w:rPr>
                      <w:rFonts w:hint="eastAsia" w:cs="Times New Roman"/>
                      <w:snapToGrid w:val="0"/>
                      <w:color w:val="000000" w:themeColor="text1"/>
                      <w:kern w:val="0"/>
                      <w:sz w:val="21"/>
                      <w:szCs w:val="21"/>
                      <w:highlight w:val="none"/>
                      <w:lang w:val="en-US" w:eastAsia="zh-CN" w:bidi="ar-SA"/>
                      <w14:textFill>
                        <w14:solidFill>
                          <w14:schemeClr w14:val="tx1"/>
                        </w14:solidFill>
                      </w14:textFill>
                    </w:rPr>
                    <w:t>撬装</w:t>
                  </w:r>
                  <w:r>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t>柴油发电机1台，位于站房内。</w:t>
                  </w:r>
                </w:p>
              </w:tc>
              <w:tc>
                <w:tcPr>
                  <w:tcW w:w="705" w:type="pct"/>
                  <w:vMerge w:val="continue"/>
                  <w:tcBorders>
                    <w:tl2br w:val="nil"/>
                    <w:tr2bl w:val="nil"/>
                  </w:tcBorders>
                  <w:noWrap w:val="0"/>
                  <w:vAlign w:val="center"/>
                </w:tcPr>
                <w:p w14:paraId="0EE0DB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503" w:type="pct"/>
                  <w:tcBorders>
                    <w:tl2br w:val="nil"/>
                    <w:tr2bl w:val="nil"/>
                  </w:tcBorders>
                  <w:noWrap w:val="0"/>
                  <w:vAlign w:val="center"/>
                </w:tcPr>
                <w:p w14:paraId="409283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w:t>
                  </w:r>
                </w:p>
              </w:tc>
            </w:tr>
            <w:tr w14:paraId="3CC5E099">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77" w:hRule="atLeast"/>
                <w:jc w:val="center"/>
              </w:trPr>
              <w:tc>
                <w:tcPr>
                  <w:tcW w:w="361" w:type="pct"/>
                  <w:tcBorders>
                    <w:tl2br w:val="nil"/>
                    <w:tr2bl w:val="nil"/>
                  </w:tcBorders>
                  <w:shd w:val="clear" w:color="auto" w:fill="auto"/>
                  <w:noWrap w:val="0"/>
                  <w:vAlign w:val="center"/>
                </w:tcPr>
                <w:p w14:paraId="0BB702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办公及生活设施</w:t>
                  </w:r>
                </w:p>
              </w:tc>
              <w:tc>
                <w:tcPr>
                  <w:tcW w:w="426" w:type="pct"/>
                  <w:tcBorders>
                    <w:tl2br w:val="nil"/>
                    <w:tr2bl w:val="nil"/>
                  </w:tcBorders>
                  <w:shd w:val="clear" w:color="auto" w:fill="auto"/>
                  <w:noWrap w:val="0"/>
                  <w:vAlign w:val="center"/>
                </w:tcPr>
                <w:p w14:paraId="1975BE34">
                  <w:pPr>
                    <w:pStyle w:val="53"/>
                    <w:keepNext w:val="0"/>
                    <w:keepLines w:val="0"/>
                    <w:suppressLineNumbers w:val="0"/>
                    <w:tabs>
                      <w:tab w:val="left" w:pos="420"/>
                      <w:tab w:val="left" w:pos="870"/>
                      <w:tab w:val="left" w:pos="3150"/>
                    </w:tabs>
                    <w:spacing w:before="0" w:beforeAutospacing="0" w:after="0" w:afterAutospacing="0"/>
                    <w:ind w:left="0" w:leftChars="0" w:right="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站房</w:t>
                  </w:r>
                </w:p>
              </w:tc>
              <w:tc>
                <w:tcPr>
                  <w:tcW w:w="3003" w:type="pct"/>
                  <w:tcBorders>
                    <w:tl2br w:val="nil"/>
                    <w:tr2bl w:val="nil"/>
                  </w:tcBorders>
                  <w:shd w:val="clear" w:color="auto" w:fill="auto"/>
                  <w:noWrap w:val="0"/>
                  <w:vAlign w:val="center"/>
                </w:tcPr>
                <w:p w14:paraId="381DC46B">
                  <w:pPr>
                    <w:keepNext w:val="0"/>
                    <w:keepLines w:val="0"/>
                    <w:suppressLineNumbers w:val="0"/>
                    <w:spacing w:before="0" w:beforeAutospacing="0" w:after="0" w:afterAutospacing="0"/>
                    <w:ind w:left="0" w:right="0"/>
                    <w:jc w:val="left"/>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1栋二层框架结构站房，建筑面积为472.68m</w:t>
                  </w:r>
                  <w:r>
                    <w:rPr>
                      <w:rFonts w:hint="default"/>
                      <w:color w:val="000000" w:themeColor="text1"/>
                      <w:sz w:val="21"/>
                      <w:szCs w:val="21"/>
                      <w:highlight w:val="none"/>
                      <w:vertAlign w:val="super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，内设办公室、储藏室、卫生间、营业厅、餐厅、会议室、休息室、配电室、站长室等办公生活设施。</w:t>
                  </w:r>
                </w:p>
              </w:tc>
              <w:tc>
                <w:tcPr>
                  <w:tcW w:w="705" w:type="pct"/>
                  <w:vMerge w:val="continue"/>
                  <w:tcBorders>
                    <w:tl2br w:val="nil"/>
                    <w:tr2bl w:val="nil"/>
                  </w:tcBorders>
                  <w:shd w:val="clear" w:color="auto" w:fill="auto"/>
                  <w:noWrap w:val="0"/>
                  <w:vAlign w:val="center"/>
                </w:tcPr>
                <w:p w14:paraId="371771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outlineLvl w:val="9"/>
                    <w:rPr>
                      <w:rFonts w:hint="eastAsia"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p>
              </w:tc>
              <w:tc>
                <w:tcPr>
                  <w:tcW w:w="503" w:type="pct"/>
                  <w:tcBorders>
                    <w:tl2br w:val="nil"/>
                    <w:tr2bl w:val="nil"/>
                  </w:tcBorders>
                  <w:shd w:val="clear" w:color="auto" w:fill="auto"/>
                  <w:noWrap w:val="0"/>
                  <w:vAlign w:val="center"/>
                </w:tcPr>
                <w:p w14:paraId="73D4E9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leftChars="0" w:right="0" w:rightChars="0"/>
                    <w:jc w:val="center"/>
                    <w:outlineLvl w:val="9"/>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bidi="ar-SA"/>
                      <w14:textFill>
                        <w14:solidFill>
                          <w14:schemeClr w14:val="tx1"/>
                        </w14:solidFill>
                      </w14:textFill>
                    </w:rPr>
                    <w:t>/</w:t>
                  </w:r>
                </w:p>
              </w:tc>
            </w:tr>
            <w:tr w14:paraId="36D98BDF">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90" w:hRule="atLeast"/>
                <w:jc w:val="center"/>
              </w:trPr>
              <w:tc>
                <w:tcPr>
                  <w:tcW w:w="361" w:type="pct"/>
                  <w:vMerge w:val="restart"/>
                  <w:tcBorders>
                    <w:tl2br w:val="nil"/>
                    <w:tr2bl w:val="nil"/>
                  </w:tcBorders>
                  <w:noWrap w:val="0"/>
                  <w:vAlign w:val="center"/>
                </w:tcPr>
                <w:p w14:paraId="0B10C3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环保工程</w:t>
                  </w:r>
                </w:p>
              </w:tc>
              <w:tc>
                <w:tcPr>
                  <w:tcW w:w="426" w:type="pct"/>
                  <w:vMerge w:val="restart"/>
                  <w:tcBorders>
                    <w:tl2br w:val="nil"/>
                    <w:tr2bl w:val="nil"/>
                  </w:tcBorders>
                  <w:noWrap w:val="0"/>
                  <w:vAlign w:val="center"/>
                </w:tcPr>
                <w:p w14:paraId="57174A6E">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废水处理</w:t>
                  </w:r>
                  <w:r>
                    <w:rPr>
                      <w:rFonts w:hint="default" w:ascii="Times New Roman" w:hAnsi="Times New Roman" w:cs="Times New Roman"/>
                      <w:snapToGrid w:val="0"/>
                      <w:color w:val="000000" w:themeColor="text1"/>
                      <w:kern w:val="0"/>
                      <w:sz w:val="21"/>
                      <w:szCs w:val="21"/>
                      <w:highlight w:val="none"/>
                      <w:lang w:eastAsia="zh-CN"/>
                      <w14:textFill>
                        <w14:solidFill>
                          <w14:schemeClr w14:val="tx1"/>
                        </w14:solidFill>
                      </w14:textFill>
                    </w:rPr>
                    <w:t>设施</w:t>
                  </w:r>
                </w:p>
              </w:tc>
              <w:tc>
                <w:tcPr>
                  <w:tcW w:w="3003" w:type="pct"/>
                  <w:tcBorders>
                    <w:tl2br w:val="nil"/>
                    <w:tr2bl w:val="nil"/>
                  </w:tcBorders>
                  <w:noWrap w:val="0"/>
                  <w:vAlign w:val="center"/>
                </w:tcPr>
                <w:p w14:paraId="702F6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生活污水：设置化粪池1座，容积</w:t>
                  </w:r>
                  <w:r>
                    <w:rPr>
                      <w:rFonts w:hint="eastAsia" w:cs="Times New Roman"/>
                      <w:snapToGrid w:val="0"/>
                      <w:color w:val="000000" w:themeColor="text1"/>
                      <w:kern w:val="0"/>
                      <w:sz w:val="21"/>
                      <w:szCs w:val="21"/>
                      <w:highlight w:val="none"/>
                      <w:lang w:val="en-US" w:eastAsia="zh-CN"/>
                      <w14:textFill>
                        <w14:solidFill>
                          <w14:schemeClr w14:val="tx1"/>
                        </w14:solidFill>
                      </w14:textFill>
                    </w:rPr>
                    <w:t>4</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m</w:t>
                  </w:r>
                  <w:r>
                    <w:rPr>
                      <w:rFonts w:hint="eastAsia" w:ascii="Times New Roman" w:hAnsi="Times New Roman"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，化粪池出水排至市政污水管网。</w:t>
                  </w:r>
                </w:p>
              </w:tc>
              <w:tc>
                <w:tcPr>
                  <w:tcW w:w="705" w:type="pct"/>
                  <w:vMerge w:val="continue"/>
                  <w:tcBorders>
                    <w:tl2br w:val="nil"/>
                    <w:tr2bl w:val="nil"/>
                  </w:tcBorders>
                  <w:noWrap w:val="0"/>
                  <w:vAlign w:val="center"/>
                </w:tcPr>
                <w:p w14:paraId="52A20069">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503" w:type="pct"/>
                  <w:tcBorders>
                    <w:tl2br w:val="nil"/>
                    <w:tr2bl w:val="nil"/>
                  </w:tcBorders>
                  <w:noWrap w:val="0"/>
                  <w:vAlign w:val="center"/>
                </w:tcPr>
                <w:p w14:paraId="6053101B">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污泥</w:t>
                  </w:r>
                </w:p>
              </w:tc>
            </w:tr>
            <w:tr w14:paraId="141AE997">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882" w:hRule="atLeast"/>
                <w:jc w:val="center"/>
              </w:trPr>
              <w:tc>
                <w:tcPr>
                  <w:tcW w:w="361" w:type="pct"/>
                  <w:vMerge w:val="continue"/>
                  <w:tcBorders>
                    <w:tl2br w:val="nil"/>
                    <w:tr2bl w:val="nil"/>
                  </w:tcBorders>
                  <w:noWrap w:val="0"/>
                  <w:vAlign w:val="center"/>
                </w:tcPr>
                <w:p w14:paraId="3B8D9A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vMerge w:val="continue"/>
                  <w:tcBorders>
                    <w:tl2br w:val="nil"/>
                    <w:tr2bl w:val="nil"/>
                  </w:tcBorders>
                  <w:noWrap w:val="0"/>
                  <w:vAlign w:val="center"/>
                </w:tcPr>
                <w:p w14:paraId="1C8D5552">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3003" w:type="pct"/>
                  <w:tcBorders>
                    <w:tl2br w:val="nil"/>
                    <w:tr2bl w:val="nil"/>
                  </w:tcBorders>
                  <w:noWrap w:val="0"/>
                  <w:vAlign w:val="center"/>
                </w:tcPr>
                <w:p w14:paraId="0771DC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地</w:t>
                  </w:r>
                  <w:r>
                    <w:rPr>
                      <w:rFonts w:hint="eastAsia" w:cs="Times New Roman"/>
                      <w:snapToGrid w:val="0"/>
                      <w:color w:val="000000" w:themeColor="text1"/>
                      <w:kern w:val="0"/>
                      <w:sz w:val="21"/>
                      <w:szCs w:val="21"/>
                      <w:highlight w:val="none"/>
                      <w:lang w:val="en-US" w:eastAsia="zh-CN"/>
                      <w14:textFill>
                        <w14:solidFill>
                          <w14:schemeClr w14:val="tx1"/>
                        </w14:solidFill>
                      </w14:textFill>
                    </w:rPr>
                    <w:t>面</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冲洗废水：隔油沉淀池1座，容积</w:t>
                  </w:r>
                  <w:r>
                    <w:rPr>
                      <w:rFonts w:hint="eastAsia" w:cs="Times New Roman"/>
                      <w:snapToGrid w:val="0"/>
                      <w:color w:val="000000" w:themeColor="text1"/>
                      <w:kern w:val="0"/>
                      <w:sz w:val="21"/>
                      <w:szCs w:val="21"/>
                      <w:highlight w:val="none"/>
                      <w:lang w:val="en-US" w:eastAsia="zh-CN"/>
                      <w14:textFill>
                        <w14:solidFill>
                          <w14:schemeClr w14:val="tx1"/>
                        </w14:solidFill>
                      </w14:textFill>
                    </w:rPr>
                    <w:t>为</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1m</w:t>
                  </w:r>
                  <w:r>
                    <w:rPr>
                      <w:rFonts w:hint="eastAsia" w:ascii="Times New Roman" w:hAnsi="Times New Roman"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，废水经隔油沉淀处理后排入化粪池，与生活污水一并排入市政污水管网。</w:t>
                  </w:r>
                </w:p>
              </w:tc>
              <w:tc>
                <w:tcPr>
                  <w:tcW w:w="705" w:type="pct"/>
                  <w:vMerge w:val="continue"/>
                  <w:tcBorders>
                    <w:tl2br w:val="nil"/>
                    <w:tr2bl w:val="nil"/>
                  </w:tcBorders>
                  <w:noWrap w:val="0"/>
                  <w:vAlign w:val="center"/>
                </w:tcPr>
                <w:p w14:paraId="69EF9F0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503" w:type="pct"/>
                  <w:tcBorders>
                    <w:tl2br w:val="nil"/>
                    <w:tr2bl w:val="nil"/>
                  </w:tcBorders>
                  <w:noWrap w:val="0"/>
                  <w:vAlign w:val="center"/>
                </w:tcPr>
                <w:p w14:paraId="6ABAC71D">
                  <w:pPr>
                    <w:keepNext w:val="0"/>
                    <w:keepLines w:val="0"/>
                    <w:suppressLineNumbers w:val="0"/>
                    <w:spacing w:before="0" w:beforeAutospacing="0" w:after="0" w:afterAutospacing="0"/>
                    <w:ind w:left="0" w:right="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废油</w:t>
                  </w:r>
                  <w:r>
                    <w:rPr>
                      <w:rFonts w:hint="default"/>
                      <w:color w:val="000000" w:themeColor="text1"/>
                      <w:sz w:val="21"/>
                      <w:szCs w:val="21"/>
                      <w:highlight w:val="none"/>
                      <w14:textFill>
                        <w14:solidFill>
                          <w14:schemeClr w14:val="tx1"/>
                        </w14:solidFill>
                      </w14:textFill>
                    </w:rPr>
                    <w:t>泥</w:t>
                  </w:r>
                </w:p>
              </w:tc>
            </w:tr>
            <w:tr w14:paraId="767F7152">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882" w:hRule="atLeast"/>
                <w:jc w:val="center"/>
              </w:trPr>
              <w:tc>
                <w:tcPr>
                  <w:tcW w:w="361" w:type="pct"/>
                  <w:vMerge w:val="continue"/>
                  <w:tcBorders>
                    <w:tl2br w:val="nil"/>
                    <w:tr2bl w:val="nil"/>
                  </w:tcBorders>
                  <w:noWrap w:val="0"/>
                  <w:vAlign w:val="center"/>
                </w:tcPr>
                <w:p w14:paraId="37A94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vMerge w:val="continue"/>
                  <w:tcBorders>
                    <w:tl2br w:val="nil"/>
                    <w:tr2bl w:val="nil"/>
                  </w:tcBorders>
                  <w:noWrap w:val="0"/>
                  <w:vAlign w:val="center"/>
                </w:tcPr>
                <w:p w14:paraId="5D3B4D5D">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3003" w:type="pct"/>
                  <w:tcBorders>
                    <w:tl2br w:val="nil"/>
                    <w:tr2bl w:val="nil"/>
                  </w:tcBorders>
                  <w:noWrap w:val="0"/>
                  <w:vAlign w:val="center"/>
                </w:tcPr>
                <w:p w14:paraId="5064B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洗车废水：本项目在站内洗车区设置1套洗车废水处理系统（处理规模为5m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snapToGrid w:val="0"/>
                      <w:color w:val="000000" w:themeColor="text1"/>
                      <w:kern w:val="0"/>
                      <w:sz w:val="21"/>
                      <w:szCs w:val="21"/>
                      <w:highlight w:val="none"/>
                      <w:lang w:val="en-US" w:eastAsia="zh-CN"/>
                      <w14:textFill>
                        <w14:solidFill>
                          <w14:schemeClr w14:val="tx1"/>
                        </w14:solidFill>
                      </w14:textFill>
                    </w:rPr>
                    <w:t>/d，洗车机隔油沉淀池容积为1m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snapToGrid w:val="0"/>
                      <w:color w:val="000000" w:themeColor="text1"/>
                      <w:kern w:val="0"/>
                      <w:sz w:val="21"/>
                      <w:szCs w:val="21"/>
                      <w:highlight w:val="none"/>
                      <w:lang w:val="en-US" w:eastAsia="zh-CN"/>
                      <w14:textFill>
                        <w14:solidFill>
                          <w14:schemeClr w14:val="tx1"/>
                        </w14:solidFill>
                      </w14:textFill>
                    </w:rPr>
                    <w:t>，清水池容积为3m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snapToGrid w:val="0"/>
                      <w:color w:val="000000" w:themeColor="text1"/>
                      <w:kern w:val="0"/>
                      <w:sz w:val="21"/>
                      <w:szCs w:val="21"/>
                      <w:highlight w:val="none"/>
                      <w:lang w:val="en-US" w:eastAsia="zh-CN"/>
                      <w14:textFill>
                        <w14:solidFill>
                          <w14:schemeClr w14:val="tx1"/>
                        </w14:solidFill>
                      </w14:textFill>
                    </w:rPr>
                    <w:t>），洗车机废水通过排水沟汇集于隔油沉淀池中隔油沉淀，再经过原水泵将废水提升至一体化光催化氧化洗车水循环系统（采用“絮凝沉淀+光催化氧化”工艺）内处理，处理后的水储存于清洗池中回用。</w:t>
                  </w:r>
                </w:p>
              </w:tc>
              <w:tc>
                <w:tcPr>
                  <w:tcW w:w="705" w:type="pct"/>
                  <w:vMerge w:val="continue"/>
                  <w:tcBorders>
                    <w:tl2br w:val="nil"/>
                    <w:tr2bl w:val="nil"/>
                  </w:tcBorders>
                  <w:noWrap w:val="0"/>
                  <w:vAlign w:val="center"/>
                </w:tcPr>
                <w:p w14:paraId="570608A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503" w:type="pct"/>
                  <w:tcBorders>
                    <w:tl2br w:val="nil"/>
                    <w:tr2bl w:val="nil"/>
                  </w:tcBorders>
                  <w:noWrap w:val="0"/>
                  <w:vAlign w:val="center"/>
                </w:tcPr>
                <w:p w14:paraId="5B11D795">
                  <w:pPr>
                    <w:keepNext w:val="0"/>
                    <w:keepLines w:val="0"/>
                    <w:suppressLineNumbers w:val="0"/>
                    <w:spacing w:before="0" w:beforeAutospacing="0" w:after="0" w:afterAutospacing="0"/>
                    <w:ind w:left="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废油</w:t>
                  </w:r>
                  <w:r>
                    <w:rPr>
                      <w:rFonts w:hint="default"/>
                      <w:color w:val="000000" w:themeColor="text1"/>
                      <w:sz w:val="21"/>
                      <w:szCs w:val="21"/>
                      <w:highlight w:val="none"/>
                      <w14:textFill>
                        <w14:solidFill>
                          <w14:schemeClr w14:val="tx1"/>
                        </w14:solidFill>
                      </w14:textFill>
                    </w:rPr>
                    <w:t>泥</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废活性炭</w:t>
                  </w:r>
                </w:p>
              </w:tc>
            </w:tr>
            <w:tr w14:paraId="246DE6B8">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73" w:hRule="atLeast"/>
                <w:jc w:val="center"/>
              </w:trPr>
              <w:tc>
                <w:tcPr>
                  <w:tcW w:w="361" w:type="pct"/>
                  <w:vMerge w:val="continue"/>
                  <w:tcBorders>
                    <w:tl2br w:val="nil"/>
                    <w:tr2bl w:val="nil"/>
                  </w:tcBorders>
                  <w:noWrap w:val="0"/>
                  <w:vAlign w:val="center"/>
                </w:tcPr>
                <w:p w14:paraId="50F8DF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vMerge w:val="continue"/>
                  <w:tcBorders>
                    <w:tl2br w:val="nil"/>
                    <w:tr2bl w:val="nil"/>
                  </w:tcBorders>
                  <w:noWrap w:val="0"/>
                  <w:vAlign w:val="center"/>
                </w:tcPr>
                <w:p w14:paraId="0EB90CB8">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3003" w:type="pct"/>
                  <w:tcBorders>
                    <w:tl2br w:val="nil"/>
                    <w:tr2bl w:val="nil"/>
                  </w:tcBorders>
                  <w:noWrap w:val="0"/>
                  <w:vAlign w:val="center"/>
                </w:tcPr>
                <w:p w14:paraId="39A4F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初期雨水：加油加气站罩棚区四周</w:t>
                  </w:r>
                  <w:r>
                    <w:rPr>
                      <w:rFonts w:hint="eastAsia" w:cs="Times New Roman"/>
                      <w:snapToGrid w:val="0"/>
                      <w:color w:val="000000" w:themeColor="text1"/>
                      <w:kern w:val="0"/>
                      <w:sz w:val="21"/>
                      <w:szCs w:val="21"/>
                      <w:highlight w:val="none"/>
                      <w:lang w:val="en-US" w:eastAsia="zh-CN"/>
                      <w14:textFill>
                        <w14:solidFill>
                          <w14:schemeClr w14:val="tx1"/>
                        </w14:solidFill>
                      </w14:textFill>
                    </w:rPr>
                    <w:t>设置</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环保沟，项目建成</w:t>
                  </w:r>
                  <w:r>
                    <w:rPr>
                      <w:rFonts w:hint="eastAsia" w:cs="Times New Roman"/>
                      <w:snapToGrid w:val="0"/>
                      <w:color w:val="000000" w:themeColor="text1"/>
                      <w:kern w:val="0"/>
                      <w:sz w:val="21"/>
                      <w:szCs w:val="21"/>
                      <w:highlight w:val="none"/>
                      <w:lang w:val="en-US" w:eastAsia="zh-CN"/>
                      <w14:textFill>
                        <w14:solidFill>
                          <w14:schemeClr w14:val="tx1"/>
                        </w14:solidFill>
                      </w14:textFill>
                    </w:rPr>
                    <w:t>运营</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后，站内初期雨水利用地坪自然坡度散流通过环保沟收集进入</w:t>
                  </w:r>
                  <w:r>
                    <w:rPr>
                      <w:rFonts w:hint="eastAsia" w:cs="Times New Roman"/>
                      <w:snapToGrid w:val="0"/>
                      <w:color w:val="000000" w:themeColor="text1"/>
                      <w:kern w:val="0"/>
                      <w:sz w:val="21"/>
                      <w:szCs w:val="21"/>
                      <w:highlight w:val="none"/>
                      <w:lang w:val="en-US" w:eastAsia="zh-CN"/>
                      <w14:textFill>
                        <w14:solidFill>
                          <w14:schemeClr w14:val="tx1"/>
                        </w14:solidFill>
                      </w14:textFill>
                    </w:rPr>
                    <w:t>初期雨水</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隔油池</w:t>
                  </w:r>
                  <w:r>
                    <w:rPr>
                      <w:rFonts w:hint="eastAsia" w:cs="Times New Roman"/>
                      <w:snapToGrid w:val="0"/>
                      <w:color w:val="000000" w:themeColor="text1"/>
                      <w:kern w:val="0"/>
                      <w:sz w:val="21"/>
                      <w:szCs w:val="21"/>
                      <w:highlight w:val="none"/>
                      <w:lang w:val="en-US" w:eastAsia="zh-CN"/>
                      <w14:textFill>
                        <w14:solidFill>
                          <w14:schemeClr w14:val="tx1"/>
                        </w14:solidFill>
                      </w14:textFill>
                    </w:rPr>
                    <w:t>（7m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snapToGrid w:val="0"/>
                      <w:color w:val="000000" w:themeColor="text1"/>
                      <w:kern w:val="0"/>
                      <w:sz w:val="21"/>
                      <w:szCs w:val="21"/>
                      <w:highlight w:val="none"/>
                      <w:lang w:val="en-US" w:eastAsia="zh-CN"/>
                      <w14:textFill>
                        <w14:solidFill>
                          <w14:schemeClr w14:val="tx1"/>
                        </w14:solidFill>
                      </w14:textFill>
                    </w:rPr>
                    <w:t>）</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经隔油沉淀后排入站外道路边沟。</w:t>
                  </w:r>
                </w:p>
              </w:tc>
              <w:tc>
                <w:tcPr>
                  <w:tcW w:w="705" w:type="pct"/>
                  <w:vMerge w:val="continue"/>
                  <w:tcBorders>
                    <w:tl2br w:val="nil"/>
                    <w:tr2bl w:val="nil"/>
                  </w:tcBorders>
                  <w:noWrap w:val="0"/>
                  <w:vAlign w:val="center"/>
                </w:tcPr>
                <w:p w14:paraId="67E2EF7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8" w:lineRule="auto"/>
                    <w:ind w:left="0" w:right="0"/>
                    <w:jc w:val="center"/>
                    <w:outlineLvl w:val="9"/>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503" w:type="pct"/>
                  <w:tcBorders>
                    <w:tl2br w:val="nil"/>
                    <w:tr2bl w:val="nil"/>
                  </w:tcBorders>
                  <w:noWrap w:val="0"/>
                  <w:vAlign w:val="center"/>
                </w:tcPr>
                <w:p w14:paraId="2C0398F4">
                  <w:pPr>
                    <w:keepNext w:val="0"/>
                    <w:keepLines w:val="0"/>
                    <w:suppressLineNumbers w:val="0"/>
                    <w:spacing w:before="0" w:beforeAutospacing="0" w:after="0" w:afterAutospacing="0"/>
                    <w:ind w:left="0" w:right="0"/>
                    <w:jc w:val="center"/>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废油</w:t>
                  </w:r>
                  <w:r>
                    <w:rPr>
                      <w:rFonts w:hint="default"/>
                      <w:color w:val="000000" w:themeColor="text1"/>
                      <w:sz w:val="21"/>
                      <w:szCs w:val="21"/>
                      <w:highlight w:val="none"/>
                      <w14:textFill>
                        <w14:solidFill>
                          <w14:schemeClr w14:val="tx1"/>
                        </w14:solidFill>
                      </w14:textFill>
                    </w:rPr>
                    <w:t>泥</w:t>
                  </w:r>
                </w:p>
              </w:tc>
            </w:tr>
            <w:tr w14:paraId="5350229E">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063" w:hRule="atLeast"/>
                <w:jc w:val="center"/>
              </w:trPr>
              <w:tc>
                <w:tcPr>
                  <w:tcW w:w="361" w:type="pct"/>
                  <w:vMerge w:val="continue"/>
                  <w:tcBorders>
                    <w:tl2br w:val="nil"/>
                    <w:tr2bl w:val="nil"/>
                  </w:tcBorders>
                  <w:noWrap w:val="0"/>
                  <w:vAlign w:val="center"/>
                </w:tcPr>
                <w:p w14:paraId="6CADFE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vMerge w:val="restart"/>
                  <w:tcBorders>
                    <w:tl2br w:val="nil"/>
                    <w:tr2bl w:val="nil"/>
                  </w:tcBorders>
                  <w:noWrap w:val="0"/>
                  <w:vAlign w:val="center"/>
                </w:tcPr>
                <w:p w14:paraId="75878D56">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废气处理</w:t>
                  </w:r>
                  <w:r>
                    <w:rPr>
                      <w:rFonts w:hint="default" w:ascii="Times New Roman" w:hAnsi="Times New Roman" w:cs="Times New Roman"/>
                      <w:snapToGrid w:val="0"/>
                      <w:color w:val="000000" w:themeColor="text1"/>
                      <w:kern w:val="0"/>
                      <w:sz w:val="21"/>
                      <w:szCs w:val="21"/>
                      <w:highlight w:val="none"/>
                      <w:lang w:eastAsia="zh-CN"/>
                      <w14:textFill>
                        <w14:solidFill>
                          <w14:schemeClr w14:val="tx1"/>
                        </w14:solidFill>
                      </w14:textFill>
                    </w:rPr>
                    <w:t>设施</w:t>
                  </w:r>
                </w:p>
              </w:tc>
              <w:tc>
                <w:tcPr>
                  <w:tcW w:w="3003" w:type="pct"/>
                  <w:tcBorders>
                    <w:tl2br w:val="nil"/>
                    <w:tr2bl w:val="nil"/>
                  </w:tcBorders>
                  <w:noWrap w:val="0"/>
                  <w:vAlign w:val="top"/>
                </w:tcPr>
                <w:p w14:paraId="0EC13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安装一次、二次、三次油气回收系统及配套的输油管线，储油罐设置</w:t>
                  </w:r>
                  <w:r>
                    <w:rPr>
                      <w:rFonts w:hint="eastAsia" w:cs="Times New Roman"/>
                      <w:color w:val="000000" w:themeColor="text1"/>
                      <w:sz w:val="21"/>
                      <w:szCs w:val="21"/>
                      <w:highlight w:val="none"/>
                      <w:shd w:val="clear" w:color="auto" w:fill="FFFFFF"/>
                      <w:lang w:val="en-US" w:eastAsia="zh-CN"/>
                      <w14:textFill>
                        <w14:solidFill>
                          <w14:schemeClr w14:val="tx1"/>
                        </w14:solidFill>
                      </w14:textFill>
                    </w:rPr>
                    <w:t>离地高度9m以上</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的通气立管，管口设置呼吸阀。</w:t>
                  </w:r>
                </w:p>
              </w:tc>
              <w:tc>
                <w:tcPr>
                  <w:tcW w:w="705" w:type="pct"/>
                  <w:vMerge w:val="continue"/>
                  <w:tcBorders>
                    <w:tl2br w:val="nil"/>
                    <w:tr2bl w:val="nil"/>
                  </w:tcBorders>
                  <w:noWrap w:val="0"/>
                  <w:vAlign w:val="center"/>
                </w:tcPr>
                <w:p w14:paraId="3EB7C0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p>
              </w:tc>
              <w:tc>
                <w:tcPr>
                  <w:tcW w:w="503" w:type="pct"/>
                  <w:tcBorders>
                    <w:tl2br w:val="nil"/>
                    <w:tr2bl w:val="nil"/>
                  </w:tcBorders>
                  <w:noWrap w:val="0"/>
                  <w:vAlign w:val="center"/>
                </w:tcPr>
                <w:p w14:paraId="3DC531BC">
                  <w:pPr>
                    <w:keepNext w:val="0"/>
                    <w:keepLines w:val="0"/>
                    <w:suppressLineNumbers w:val="0"/>
                    <w:spacing w:before="0" w:beforeAutospacing="0" w:after="0" w:afterAutospacing="0"/>
                    <w:ind w:left="0" w:right="0"/>
                    <w:jc w:val="cente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废活性炭</w:t>
                  </w:r>
                </w:p>
              </w:tc>
            </w:tr>
            <w:tr w14:paraId="3E549996">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16" w:hRule="atLeast"/>
                <w:jc w:val="center"/>
              </w:trPr>
              <w:tc>
                <w:tcPr>
                  <w:tcW w:w="361" w:type="pct"/>
                  <w:vMerge w:val="continue"/>
                  <w:tcBorders>
                    <w:tl2br w:val="nil"/>
                    <w:tr2bl w:val="nil"/>
                  </w:tcBorders>
                  <w:noWrap w:val="0"/>
                  <w:vAlign w:val="center"/>
                </w:tcPr>
                <w:p w14:paraId="094A7D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vMerge w:val="continue"/>
                  <w:tcBorders>
                    <w:tl2br w:val="nil"/>
                    <w:tr2bl w:val="nil"/>
                  </w:tcBorders>
                  <w:noWrap w:val="0"/>
                  <w:vAlign w:val="center"/>
                </w:tcPr>
                <w:p w14:paraId="684A7DB5">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3003" w:type="pct"/>
                  <w:tcBorders>
                    <w:tl2br w:val="nil"/>
                    <w:tr2bl w:val="nil"/>
                  </w:tcBorders>
                  <w:noWrap w:val="0"/>
                  <w:vAlign w:val="top"/>
                </w:tcPr>
                <w:p w14:paraId="68D0A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拟设</w:t>
                  </w:r>
                  <w:r>
                    <w:rPr>
                      <w:rFonts w:hint="eastAsia" w:cs="Times New Roman"/>
                      <w:snapToGrid w:val="0"/>
                      <w:color w:val="000000" w:themeColor="text1"/>
                      <w:kern w:val="0"/>
                      <w:sz w:val="21"/>
                      <w:szCs w:val="21"/>
                      <w:highlight w:val="none"/>
                      <w:lang w:val="en-US" w:eastAsia="zh-CN"/>
                      <w14:textFill>
                        <w14:solidFill>
                          <w14:schemeClr w14:val="tx1"/>
                        </w14:solidFill>
                      </w14:textFill>
                    </w:rPr>
                    <w:t>撬装柴油</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发电机1台，发电机废气通过自带的烟气净化装置处理后达标排放。</w:t>
                  </w:r>
                </w:p>
              </w:tc>
              <w:tc>
                <w:tcPr>
                  <w:tcW w:w="705" w:type="pct"/>
                  <w:vMerge w:val="continue"/>
                  <w:tcBorders>
                    <w:tl2br w:val="nil"/>
                    <w:tr2bl w:val="nil"/>
                  </w:tcBorders>
                  <w:noWrap w:val="0"/>
                  <w:vAlign w:val="center"/>
                </w:tcPr>
                <w:p w14:paraId="3B5D42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p>
              </w:tc>
              <w:tc>
                <w:tcPr>
                  <w:tcW w:w="503" w:type="pct"/>
                  <w:tcBorders>
                    <w:tl2br w:val="nil"/>
                    <w:tr2bl w:val="nil"/>
                  </w:tcBorders>
                  <w:noWrap w:val="0"/>
                  <w:vAlign w:val="center"/>
                </w:tcPr>
                <w:p w14:paraId="3AF89DC2">
                  <w:pPr>
                    <w:keepNext w:val="0"/>
                    <w:keepLines w:val="0"/>
                    <w:suppressLineNumbers w:val="0"/>
                    <w:spacing w:before="0" w:beforeAutospacing="0" w:after="0" w:afterAutospacing="0"/>
                    <w:ind w:left="0" w:right="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67FAC776">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82" w:hRule="atLeast"/>
                <w:jc w:val="center"/>
              </w:trPr>
              <w:tc>
                <w:tcPr>
                  <w:tcW w:w="361" w:type="pct"/>
                  <w:vMerge w:val="continue"/>
                  <w:tcBorders>
                    <w:tl2br w:val="nil"/>
                    <w:tr2bl w:val="nil"/>
                  </w:tcBorders>
                  <w:noWrap w:val="0"/>
                  <w:vAlign w:val="center"/>
                </w:tcPr>
                <w:p w14:paraId="41A11B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vMerge w:val="continue"/>
                  <w:tcBorders>
                    <w:tl2br w:val="nil"/>
                    <w:tr2bl w:val="nil"/>
                  </w:tcBorders>
                  <w:noWrap w:val="0"/>
                  <w:vAlign w:val="center"/>
                </w:tcPr>
                <w:p w14:paraId="636F1534">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3003" w:type="pct"/>
                  <w:tcBorders>
                    <w:tl2br w:val="nil"/>
                    <w:tr2bl w:val="nil"/>
                  </w:tcBorders>
                  <w:noWrap w:val="0"/>
                  <w:vAlign w:val="top"/>
                </w:tcPr>
                <w:p w14:paraId="25DD1E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埋地油罐区设置通气立管，</w:t>
                  </w:r>
                  <w:r>
                    <w:rPr>
                      <w:rFonts w:hint="eastAsia" w:cs="Times New Roman"/>
                      <w:color w:val="000000" w:themeColor="text1"/>
                      <w:sz w:val="21"/>
                      <w:szCs w:val="21"/>
                      <w:highlight w:val="none"/>
                      <w:shd w:val="clear" w:color="auto" w:fill="FFFFFF"/>
                      <w:lang w:val="en-US" w:eastAsia="zh-CN"/>
                      <w14:textFill>
                        <w14:solidFill>
                          <w14:schemeClr w14:val="tx1"/>
                        </w14:solidFill>
                      </w14:textFill>
                    </w:rPr>
                    <w:t>离地高度为9</w:t>
                  </w:r>
                  <w:r>
                    <w:rPr>
                      <w:rFonts w:hint="default" w:ascii="Times New Roman" w:hAnsi="Times New Roman" w:cs="Times New Roman"/>
                      <w:color w:val="000000" w:themeColor="text1"/>
                      <w:sz w:val="21"/>
                      <w:szCs w:val="21"/>
                      <w:highlight w:val="none"/>
                      <w:shd w:val="clear" w:color="auto" w:fill="FFFFFF"/>
                      <w14:textFill>
                        <w14:solidFill>
                          <w14:schemeClr w14:val="tx1"/>
                        </w14:solidFill>
                      </w14:textFill>
                    </w:rPr>
                    <w:t>m以上</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，管口设置呼吸阀。</w:t>
                  </w:r>
                </w:p>
              </w:tc>
              <w:tc>
                <w:tcPr>
                  <w:tcW w:w="705" w:type="pct"/>
                  <w:vMerge w:val="continue"/>
                  <w:tcBorders>
                    <w:tl2br w:val="nil"/>
                    <w:tr2bl w:val="nil"/>
                  </w:tcBorders>
                  <w:noWrap w:val="0"/>
                  <w:vAlign w:val="center"/>
                </w:tcPr>
                <w:p w14:paraId="101D17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p>
              </w:tc>
              <w:tc>
                <w:tcPr>
                  <w:tcW w:w="503" w:type="pct"/>
                  <w:tcBorders>
                    <w:tl2br w:val="nil"/>
                    <w:tr2bl w:val="nil"/>
                  </w:tcBorders>
                  <w:noWrap w:val="0"/>
                  <w:vAlign w:val="center"/>
                </w:tcPr>
                <w:p w14:paraId="184FEA8F">
                  <w:pPr>
                    <w:keepNext w:val="0"/>
                    <w:keepLines w:val="0"/>
                    <w:suppressLineNumbers w:val="0"/>
                    <w:spacing w:before="0" w:beforeAutospacing="0" w:after="0" w:afterAutospacing="0"/>
                    <w:ind w:left="0" w:right="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52D567E4">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30" w:hRule="atLeast"/>
                <w:jc w:val="center"/>
              </w:trPr>
              <w:tc>
                <w:tcPr>
                  <w:tcW w:w="361" w:type="pct"/>
                  <w:vMerge w:val="continue"/>
                  <w:tcBorders>
                    <w:tl2br w:val="nil"/>
                    <w:tr2bl w:val="nil"/>
                  </w:tcBorders>
                  <w:noWrap w:val="0"/>
                  <w:vAlign w:val="center"/>
                </w:tcPr>
                <w:p w14:paraId="303B8E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vMerge w:val="continue"/>
                  <w:tcBorders>
                    <w:tl2br w:val="nil"/>
                    <w:tr2bl w:val="nil"/>
                  </w:tcBorders>
                  <w:noWrap w:val="0"/>
                  <w:vAlign w:val="center"/>
                </w:tcPr>
                <w:p w14:paraId="433CEAB3">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3003" w:type="pct"/>
                  <w:tcBorders>
                    <w:tl2br w:val="nil"/>
                    <w:tr2bl w:val="nil"/>
                  </w:tcBorders>
                  <w:noWrap w:val="0"/>
                  <w:vAlign w:val="top"/>
                </w:tcPr>
                <w:p w14:paraId="263F8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4" w:lineRule="auto"/>
                    <w:ind w:left="0" w:right="0"/>
                    <w:jc w:val="left"/>
                    <w:textAlignment w:val="auto"/>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LNG储罐区设置放散管1根，高度为</w:t>
                  </w:r>
                  <w:r>
                    <w:rPr>
                      <w:rFonts w:hint="eastAsia" w:cs="Times New Roman"/>
                      <w:snapToGrid w:val="0"/>
                      <w:color w:val="000000" w:themeColor="text1"/>
                      <w:kern w:val="0"/>
                      <w:sz w:val="21"/>
                      <w:szCs w:val="21"/>
                      <w:highlight w:val="none"/>
                      <w:lang w:val="en-US" w:eastAsia="zh-CN"/>
                      <w14:textFill>
                        <w14:solidFill>
                          <w14:schemeClr w14:val="tx1"/>
                        </w14:solidFill>
                      </w14:textFill>
                    </w:rPr>
                    <w:t>10</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m。</w:t>
                  </w:r>
                </w:p>
              </w:tc>
              <w:tc>
                <w:tcPr>
                  <w:tcW w:w="705" w:type="pct"/>
                  <w:vMerge w:val="continue"/>
                  <w:tcBorders>
                    <w:tl2br w:val="nil"/>
                    <w:tr2bl w:val="nil"/>
                  </w:tcBorders>
                  <w:noWrap w:val="0"/>
                  <w:vAlign w:val="center"/>
                </w:tcPr>
                <w:p w14:paraId="36B2C2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p>
              </w:tc>
              <w:tc>
                <w:tcPr>
                  <w:tcW w:w="503" w:type="pct"/>
                  <w:tcBorders>
                    <w:tl2br w:val="nil"/>
                    <w:tr2bl w:val="nil"/>
                  </w:tcBorders>
                  <w:noWrap w:val="0"/>
                  <w:vAlign w:val="center"/>
                </w:tcPr>
                <w:p w14:paraId="731908A4">
                  <w:pPr>
                    <w:keepNext w:val="0"/>
                    <w:keepLines w:val="0"/>
                    <w:suppressLineNumbers w:val="0"/>
                    <w:spacing w:before="0" w:beforeAutospacing="0" w:after="0" w:afterAutospacing="0"/>
                    <w:ind w:left="0" w:right="0"/>
                    <w:jc w:val="center"/>
                    <w:rPr>
                      <w:rFonts w:hint="eastAsia" w:cs="Times New Roman"/>
                      <w:snapToGrid w:val="0"/>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2E7C3155">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125" w:hRule="atLeast"/>
                <w:jc w:val="center"/>
              </w:trPr>
              <w:tc>
                <w:tcPr>
                  <w:tcW w:w="361" w:type="pct"/>
                  <w:vMerge w:val="continue"/>
                  <w:tcBorders>
                    <w:tl2br w:val="nil"/>
                    <w:tr2bl w:val="nil"/>
                  </w:tcBorders>
                  <w:noWrap w:val="0"/>
                  <w:vAlign w:val="center"/>
                </w:tcPr>
                <w:p w14:paraId="058056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tcBorders>
                    <w:tl2br w:val="nil"/>
                    <w:tr2bl w:val="nil"/>
                  </w:tcBorders>
                  <w:noWrap w:val="0"/>
                  <w:vAlign w:val="center"/>
                </w:tcPr>
                <w:p w14:paraId="7F091430">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噪声治理</w:t>
                  </w:r>
                  <w:r>
                    <w:rPr>
                      <w:rFonts w:hint="default" w:ascii="Times New Roman" w:hAnsi="Times New Roman" w:cs="Times New Roman"/>
                      <w:snapToGrid w:val="0"/>
                      <w:color w:val="000000" w:themeColor="text1"/>
                      <w:kern w:val="0"/>
                      <w:sz w:val="21"/>
                      <w:szCs w:val="21"/>
                      <w:highlight w:val="none"/>
                      <w:lang w:eastAsia="zh-CN"/>
                      <w14:textFill>
                        <w14:solidFill>
                          <w14:schemeClr w14:val="tx1"/>
                        </w14:solidFill>
                      </w14:textFill>
                    </w:rPr>
                    <w:t>设施</w:t>
                  </w:r>
                </w:p>
              </w:tc>
              <w:tc>
                <w:tcPr>
                  <w:tcW w:w="3003" w:type="pct"/>
                  <w:tcBorders>
                    <w:tl2br w:val="nil"/>
                    <w:tr2bl w:val="nil"/>
                  </w:tcBorders>
                  <w:noWrap w:val="0"/>
                  <w:vAlign w:val="center"/>
                </w:tcPr>
                <w:p w14:paraId="4CF5BD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left"/>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b w:val="0"/>
                      <w:bCs w:val="0"/>
                      <w:snapToGrid w:val="0"/>
                      <w:color w:val="000000" w:themeColor="text1"/>
                      <w:kern w:val="0"/>
                      <w:sz w:val="21"/>
                      <w:szCs w:val="21"/>
                      <w:highlight w:val="none"/>
                      <w:lang w:eastAsia="zh-CN"/>
                      <w14:textFill>
                        <w14:solidFill>
                          <w14:schemeClr w14:val="tx1"/>
                        </w14:solidFill>
                      </w14:textFill>
                    </w:rPr>
                    <w:t>选用低噪声设备，合理布局，产噪较大设备采取混凝土基座减震。加强日常管理，设备定期维护、检修。</w:t>
                  </w:r>
                </w:p>
              </w:tc>
              <w:tc>
                <w:tcPr>
                  <w:tcW w:w="705" w:type="pct"/>
                  <w:vMerge w:val="continue"/>
                  <w:tcBorders>
                    <w:tl2br w:val="nil"/>
                    <w:tr2bl w:val="nil"/>
                  </w:tcBorders>
                  <w:noWrap w:val="0"/>
                  <w:vAlign w:val="center"/>
                </w:tcPr>
                <w:p w14:paraId="55B16B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p>
              </w:tc>
              <w:tc>
                <w:tcPr>
                  <w:tcW w:w="503" w:type="pct"/>
                  <w:tcBorders>
                    <w:tl2br w:val="nil"/>
                    <w:tr2bl w:val="nil"/>
                  </w:tcBorders>
                  <w:noWrap w:val="0"/>
                  <w:vAlign w:val="center"/>
                </w:tcPr>
                <w:p w14:paraId="35C3BF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w:t>
                  </w:r>
                </w:p>
              </w:tc>
            </w:tr>
            <w:tr w14:paraId="143206D4">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30" w:hRule="atLeast"/>
                <w:jc w:val="center"/>
              </w:trPr>
              <w:tc>
                <w:tcPr>
                  <w:tcW w:w="361" w:type="pct"/>
                  <w:vMerge w:val="continue"/>
                  <w:tcBorders>
                    <w:tl2br w:val="nil"/>
                    <w:tr2bl w:val="nil"/>
                  </w:tcBorders>
                  <w:noWrap w:val="0"/>
                  <w:vAlign w:val="center"/>
                </w:tcPr>
                <w:p w14:paraId="6C5254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vMerge w:val="restart"/>
                  <w:tcBorders>
                    <w:tl2br w:val="nil"/>
                    <w:tr2bl w:val="nil"/>
                  </w:tcBorders>
                  <w:noWrap w:val="0"/>
                  <w:vAlign w:val="center"/>
                </w:tcPr>
                <w:p w14:paraId="74F236F0">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14:textFill>
                        <w14:solidFill>
                          <w14:schemeClr w14:val="tx1"/>
                        </w14:solidFill>
                      </w14:textFill>
                    </w:rPr>
                    <w:t>固废处置</w:t>
                  </w:r>
                  <w:r>
                    <w:rPr>
                      <w:rFonts w:hint="default" w:ascii="Times New Roman" w:hAnsi="Times New Roman" w:cs="Times New Roman"/>
                      <w:snapToGrid w:val="0"/>
                      <w:color w:val="000000" w:themeColor="text1"/>
                      <w:kern w:val="0"/>
                      <w:sz w:val="21"/>
                      <w:szCs w:val="21"/>
                      <w:highlight w:val="none"/>
                      <w:lang w:eastAsia="zh-CN"/>
                      <w14:textFill>
                        <w14:solidFill>
                          <w14:schemeClr w14:val="tx1"/>
                        </w14:solidFill>
                      </w14:textFill>
                    </w:rPr>
                    <w:t>设施</w:t>
                  </w:r>
                </w:p>
              </w:tc>
              <w:tc>
                <w:tcPr>
                  <w:tcW w:w="3003" w:type="pct"/>
                  <w:tcBorders>
                    <w:tl2br w:val="nil"/>
                    <w:tr2bl w:val="nil"/>
                  </w:tcBorders>
                  <w:noWrap w:val="0"/>
                  <w:vAlign w:val="center"/>
                </w:tcPr>
                <w:p w14:paraId="28B8C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
                      <w:bCs/>
                      <w:snapToGrid w:val="0"/>
                      <w:color w:val="000000" w:themeColor="text1"/>
                      <w:kern w:val="0"/>
                      <w:sz w:val="21"/>
                      <w:szCs w:val="21"/>
                      <w:highlight w:val="none"/>
                      <w:lang w:val="en-US" w:eastAsia="zh-CN"/>
                      <w14:textFill>
                        <w14:solidFill>
                          <w14:schemeClr w14:val="tx1"/>
                        </w14:solidFill>
                      </w14:textFill>
                    </w:rPr>
                    <w:t>危废</w:t>
                  </w:r>
                  <w:r>
                    <w:rPr>
                      <w:rFonts w:hint="eastAsia" w:cs="Times New Roman"/>
                      <w:b w:val="0"/>
                      <w:bCs w:val="0"/>
                      <w:snapToGrid w:val="0"/>
                      <w:color w:val="000000" w:themeColor="text1"/>
                      <w:kern w:val="0"/>
                      <w:sz w:val="21"/>
                      <w:szCs w:val="21"/>
                      <w:highlight w:val="none"/>
                      <w:lang w:val="en-US" w:eastAsia="zh-CN"/>
                      <w14:textFill>
                        <w14:solidFill>
                          <w14:schemeClr w14:val="tx1"/>
                        </w14:solidFill>
                      </w14:textFill>
                    </w:rPr>
                    <w:t>：在站房内厂区北侧新建1间危废暂存间，面积约2m</w:t>
                  </w:r>
                  <w:r>
                    <w:rPr>
                      <w:rFonts w:hint="eastAsia" w:cs="Times New Roman"/>
                      <w:b w:val="0"/>
                      <w:bCs w:val="0"/>
                      <w:snapToGrid w:val="0"/>
                      <w:color w:val="000000" w:themeColor="text1"/>
                      <w:kern w:val="0"/>
                      <w:sz w:val="21"/>
                      <w:szCs w:val="21"/>
                      <w:highlight w:val="none"/>
                      <w:vertAlign w:val="superscript"/>
                      <w:lang w:val="en-US" w:eastAsia="zh-CN"/>
                      <w14:textFill>
                        <w14:solidFill>
                          <w14:schemeClr w14:val="tx1"/>
                        </w14:solidFill>
                      </w14:textFill>
                    </w:rPr>
                    <w:t>2</w:t>
                  </w:r>
                  <w:r>
                    <w:rPr>
                      <w:rFonts w:hint="eastAsia" w:cs="Times New Roman"/>
                      <w:b w:val="0"/>
                      <w:bCs w:val="0"/>
                      <w:snapToGrid w:val="0"/>
                      <w:color w:val="000000" w:themeColor="text1"/>
                      <w:kern w:val="0"/>
                      <w:sz w:val="21"/>
                      <w:szCs w:val="21"/>
                      <w:highlight w:val="none"/>
                      <w:lang w:val="en-US" w:eastAsia="zh-CN"/>
                      <w14:textFill>
                        <w14:solidFill>
                          <w14:schemeClr w14:val="tx1"/>
                        </w14:solidFill>
                      </w14:textFill>
                    </w:rPr>
                    <w:t>，用于危险废物暂存，要求做到地面防风、防晒、防雨、防漏、防渗、防腐，并设置相关标识标牌，建立危险废物台账，并设置相关标识、标牌。</w:t>
                  </w:r>
                </w:p>
              </w:tc>
              <w:tc>
                <w:tcPr>
                  <w:tcW w:w="705" w:type="pct"/>
                  <w:vMerge w:val="continue"/>
                  <w:tcBorders>
                    <w:tl2br w:val="nil"/>
                    <w:tr2bl w:val="nil"/>
                  </w:tcBorders>
                  <w:noWrap w:val="0"/>
                  <w:vAlign w:val="center"/>
                </w:tcPr>
                <w:p w14:paraId="291080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p>
              </w:tc>
              <w:tc>
                <w:tcPr>
                  <w:tcW w:w="503" w:type="pct"/>
                  <w:tcBorders>
                    <w:tl2br w:val="nil"/>
                    <w:tr2bl w:val="nil"/>
                  </w:tcBorders>
                  <w:noWrap w:val="0"/>
                  <w:vAlign w:val="center"/>
                </w:tcPr>
                <w:p w14:paraId="4FE62E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环境风险</w:t>
                  </w:r>
                </w:p>
              </w:tc>
            </w:tr>
            <w:tr w14:paraId="6A779D07">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30" w:hRule="atLeast"/>
                <w:jc w:val="center"/>
              </w:trPr>
              <w:tc>
                <w:tcPr>
                  <w:tcW w:w="361" w:type="pct"/>
                  <w:vMerge w:val="continue"/>
                  <w:tcBorders>
                    <w:tl2br w:val="nil"/>
                    <w:tr2bl w:val="nil"/>
                  </w:tcBorders>
                  <w:noWrap w:val="0"/>
                  <w:vAlign w:val="center"/>
                </w:tcPr>
                <w:p w14:paraId="451810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vMerge w:val="continue"/>
                  <w:tcBorders>
                    <w:tl2br w:val="nil"/>
                    <w:tr2bl w:val="nil"/>
                  </w:tcBorders>
                  <w:noWrap w:val="0"/>
                  <w:vAlign w:val="center"/>
                </w:tcPr>
                <w:p w14:paraId="6511DCF4">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3003" w:type="pct"/>
                  <w:tcBorders>
                    <w:tl2br w:val="nil"/>
                    <w:tr2bl w:val="nil"/>
                  </w:tcBorders>
                  <w:noWrap w:val="0"/>
                  <w:vAlign w:val="center"/>
                </w:tcPr>
                <w:p w14:paraId="67DDAC0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left"/>
                    <w:textAlignment w:val="auto"/>
                    <w:rPr>
                      <w:rFonts w:hint="default"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一般固废</w:t>
                  </w:r>
                  <w:r>
                    <w:rPr>
                      <w:rFonts w:hint="default" w:ascii="Times New Roman" w:hAnsi="Times New Roman" w:cs="Times New Roman"/>
                      <w:b/>
                      <w:color w:val="000000" w:themeColor="text1"/>
                      <w:sz w:val="21"/>
                      <w:szCs w:val="21"/>
                      <w:highlight w:val="none"/>
                      <w14:textFill>
                        <w14:solidFill>
                          <w14:schemeClr w14:val="tx1"/>
                        </w14:solidFill>
                      </w14:textFill>
                    </w:rPr>
                    <w:t>：</w:t>
                  </w:r>
                  <w:r>
                    <w:rPr>
                      <w:rFonts w:hint="default" w:ascii="Times New Roman" w:hAnsi="Times New Roman" w:cs="Times New Roman"/>
                      <w:b w:val="0"/>
                      <w:bCs/>
                      <w:color w:val="000000" w:themeColor="text1"/>
                      <w:sz w:val="21"/>
                      <w:szCs w:val="21"/>
                      <w:highlight w:val="none"/>
                      <w14:textFill>
                        <w14:solidFill>
                          <w14:schemeClr w14:val="tx1"/>
                        </w14:solidFill>
                      </w14:textFill>
                    </w:rPr>
                    <w:t>设置生活垃圾</w:t>
                  </w:r>
                  <w:r>
                    <w:rPr>
                      <w:rFonts w:hint="eastAsia" w:cs="Times New Roman"/>
                      <w:b w:val="0"/>
                      <w:bCs/>
                      <w:color w:val="000000" w:themeColor="text1"/>
                      <w:sz w:val="21"/>
                      <w:szCs w:val="21"/>
                      <w:highlight w:val="none"/>
                      <w:lang w:eastAsia="zh-CN"/>
                      <w14:textFill>
                        <w14:solidFill>
                          <w14:schemeClr w14:val="tx1"/>
                        </w14:solidFill>
                      </w14:textFill>
                    </w:rPr>
                    <w:t>收集</w:t>
                  </w:r>
                  <w:r>
                    <w:rPr>
                      <w:rFonts w:hint="default" w:ascii="Times New Roman" w:hAnsi="Times New Roman" w:cs="Times New Roman"/>
                      <w:b w:val="0"/>
                      <w:bCs/>
                      <w:color w:val="000000" w:themeColor="text1"/>
                      <w:sz w:val="21"/>
                      <w:szCs w:val="21"/>
                      <w:highlight w:val="none"/>
                      <w14:textFill>
                        <w14:solidFill>
                          <w14:schemeClr w14:val="tx1"/>
                        </w14:solidFill>
                      </w14:textFill>
                    </w:rPr>
                    <w:t>桶，生活垃圾收集后交由环卫部门统一清运。</w:t>
                  </w:r>
                </w:p>
              </w:tc>
              <w:tc>
                <w:tcPr>
                  <w:tcW w:w="705" w:type="pct"/>
                  <w:vMerge w:val="continue"/>
                  <w:tcBorders>
                    <w:tl2br w:val="nil"/>
                    <w:tr2bl w:val="nil"/>
                  </w:tcBorders>
                  <w:noWrap w:val="0"/>
                  <w:vAlign w:val="center"/>
                </w:tcPr>
                <w:p w14:paraId="6C2F5E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val="en-US" w:eastAsia="zh-CN" w:bidi="ar-SA"/>
                      <w14:textFill>
                        <w14:solidFill>
                          <w14:schemeClr w14:val="tx1"/>
                        </w14:solidFill>
                      </w14:textFill>
                    </w:rPr>
                  </w:pPr>
                </w:p>
              </w:tc>
              <w:tc>
                <w:tcPr>
                  <w:tcW w:w="503" w:type="pct"/>
                  <w:tcBorders>
                    <w:tl2br w:val="nil"/>
                    <w:tr2bl w:val="nil"/>
                  </w:tcBorders>
                  <w:noWrap w:val="0"/>
                  <w:vAlign w:val="center"/>
                </w:tcPr>
                <w:p w14:paraId="3BD885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cs="Times New Roman"/>
                      <w:snapToGrid w:val="0"/>
                      <w:color w:val="000000" w:themeColor="text1"/>
                      <w:kern w:val="0"/>
                      <w:sz w:val="21"/>
                      <w:szCs w:val="21"/>
                      <w:highlight w:val="none"/>
                      <w:lang w:val="en-US" w:eastAsia="zh-CN"/>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w:t>
                  </w:r>
                </w:p>
              </w:tc>
            </w:tr>
            <w:tr w14:paraId="090314D4">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102" w:hRule="atLeast"/>
                <w:jc w:val="center"/>
              </w:trPr>
              <w:tc>
                <w:tcPr>
                  <w:tcW w:w="361" w:type="pct"/>
                  <w:vMerge w:val="continue"/>
                  <w:tcBorders>
                    <w:tl2br w:val="nil"/>
                    <w:tr2bl w:val="nil"/>
                  </w:tcBorders>
                  <w:noWrap w:val="0"/>
                  <w:vAlign w:val="center"/>
                </w:tcPr>
                <w:p w14:paraId="78BBFA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vMerge w:val="restart"/>
                  <w:tcBorders>
                    <w:tl2br w:val="nil"/>
                    <w:tr2bl w:val="nil"/>
                  </w:tcBorders>
                  <w:noWrap w:val="0"/>
                  <w:vAlign w:val="center"/>
                </w:tcPr>
                <w:p w14:paraId="1E95EBCE">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eastAsia="zh-CN"/>
                      <w14:textFill>
                        <w14:solidFill>
                          <w14:schemeClr w14:val="tx1"/>
                        </w14:solidFill>
                      </w14:textFill>
                    </w:rPr>
                    <w:t>地下水</w:t>
                  </w:r>
                  <w:r>
                    <w:rPr>
                      <w:rFonts w:hint="eastAsia" w:ascii="Times New Roman" w:cs="Times New Roman"/>
                      <w:snapToGrid w:val="0"/>
                      <w:color w:val="000000" w:themeColor="text1"/>
                      <w:kern w:val="0"/>
                      <w:sz w:val="21"/>
                      <w:szCs w:val="21"/>
                      <w:highlight w:val="none"/>
                      <w:lang w:eastAsia="zh-CN"/>
                      <w14:textFill>
                        <w14:solidFill>
                          <w14:schemeClr w14:val="tx1"/>
                        </w14:solidFill>
                      </w14:textFill>
                    </w:rPr>
                    <w:t>、</w:t>
                  </w:r>
                  <w:r>
                    <w:rPr>
                      <w:rFonts w:hint="eastAsia" w:ascii="Times New Roman" w:cs="Times New Roman"/>
                      <w:snapToGrid w:val="0"/>
                      <w:color w:val="000000" w:themeColor="text1"/>
                      <w:kern w:val="0"/>
                      <w:sz w:val="21"/>
                      <w:szCs w:val="21"/>
                      <w:highlight w:val="none"/>
                      <w:lang w:val="en-US" w:eastAsia="zh-CN"/>
                      <w14:textFill>
                        <w14:solidFill>
                          <w14:schemeClr w14:val="tx1"/>
                        </w14:solidFill>
                      </w14:textFill>
                    </w:rPr>
                    <w:t>土壤污染防治措施</w:t>
                  </w:r>
                </w:p>
              </w:tc>
              <w:tc>
                <w:tcPr>
                  <w:tcW w:w="3003" w:type="pct"/>
                  <w:tcBorders>
                    <w:tl2br w:val="nil"/>
                    <w:tr2bl w:val="nil"/>
                  </w:tcBorders>
                  <w:noWrap w:val="0"/>
                  <w:vAlign w:val="center"/>
                </w:tcPr>
                <w:p w14:paraId="44A00D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重点防渗区：</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危废暂存间</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地面采用防渗混凝土+防渗层为2mm厚高密度聚乙烯，或至少2mm厚的</w:t>
                  </w:r>
                  <w:r>
                    <w:rPr>
                      <w:rFonts w:hint="eastAsia" w:cs="Times New Roman"/>
                      <w:snapToGrid w:val="0"/>
                      <w:color w:val="000000" w:themeColor="text1"/>
                      <w:kern w:val="0"/>
                      <w:sz w:val="21"/>
                      <w:szCs w:val="21"/>
                      <w:highlight w:val="none"/>
                      <w:lang w:eastAsia="zh-CN"/>
                      <w14:textFill>
                        <w14:solidFill>
                          <w14:schemeClr w14:val="tx1"/>
                        </w14:solidFill>
                      </w14:textFill>
                    </w:rPr>
                    <w:t>其他人工</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材料，确保防渗技术要求满足等效</w:t>
                  </w:r>
                  <w:r>
                    <w:rPr>
                      <w:rFonts w:hint="eastAsia" w:cs="Times New Roman"/>
                      <w:snapToGrid w:val="0"/>
                      <w:color w:val="000000" w:themeColor="text1"/>
                      <w:kern w:val="0"/>
                      <w:sz w:val="21"/>
                      <w:szCs w:val="21"/>
                      <w:highlight w:val="none"/>
                      <w:lang w:eastAsia="zh-CN"/>
                      <w14:textFill>
                        <w14:solidFill>
                          <w14:schemeClr w14:val="tx1"/>
                        </w14:solidFill>
                      </w14:textFill>
                    </w:rPr>
                    <w:t>黏土</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防渗层Mb≥6.0m，K≤10</w:t>
                  </w:r>
                  <w:r>
                    <w:rPr>
                      <w:rFonts w:hint="eastAsia" w:cs="Times New Roman"/>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vertAlign w:val="superscript"/>
                      <w:lang w:eastAsia="zh-CN"/>
                      <w14:textFill>
                        <w14:solidFill>
                          <w14:schemeClr w14:val="tx1"/>
                        </w14:solidFill>
                      </w14:textFill>
                    </w:rPr>
                    <w:t>10</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cm/s的要求。</w:t>
                  </w:r>
                  <w:r>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加油区、</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油罐区、加油管道、</w:t>
                  </w:r>
                  <w:r>
                    <w:rPr>
                      <w:rFonts w:hint="eastAsia" w:cs="Times New Roman"/>
                      <w:snapToGrid w:val="0"/>
                      <w:color w:val="000000" w:themeColor="text1"/>
                      <w:kern w:val="0"/>
                      <w:sz w:val="21"/>
                      <w:szCs w:val="21"/>
                      <w:highlight w:val="none"/>
                      <w:lang w:val="en-US" w:eastAsia="zh-CN"/>
                      <w14:textFill>
                        <w14:solidFill>
                          <w14:schemeClr w14:val="tx1"/>
                        </w14:solidFill>
                      </w14:textFill>
                    </w:rPr>
                    <w:t>撬装柴油发电机区</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采取了防渗混凝土，采取的防渗措施可达到防渗层渗透系数≤10</w:t>
                  </w:r>
                  <w:r>
                    <w:rPr>
                      <w:rFonts w:hint="eastAsia" w:cs="Times New Roman"/>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vertAlign w:val="superscript"/>
                      <w:lang w:eastAsia="zh-CN"/>
                      <w14:textFill>
                        <w14:solidFill>
                          <w14:schemeClr w14:val="tx1"/>
                        </w14:solidFill>
                      </w14:textFill>
                    </w:rPr>
                    <w:t>7</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cm/s要求。</w:t>
                  </w:r>
                </w:p>
                <w:p w14:paraId="177DD6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一般防渗区：</w:t>
                  </w:r>
                  <w:r>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洗车区、隔油池、化粪池</w:t>
                  </w:r>
                  <w:r>
                    <w:rPr>
                      <w:rFonts w:hint="eastAsia" w:cs="Times New Roman" w:eastAsiaTheme="minorEastAsia"/>
                      <w:color w:val="000000" w:themeColor="text1"/>
                      <w:sz w:val="21"/>
                      <w:szCs w:val="21"/>
                      <w:highlight w:val="none"/>
                      <w:lang w:val="en-US" w:eastAsia="zh-CN"/>
                      <w14:textFill>
                        <w14:solidFill>
                          <w14:schemeClr w14:val="tx1"/>
                        </w14:solidFill>
                      </w14:textFill>
                    </w:rPr>
                    <w:t>等，</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采</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取C30防渗混凝土+黏土防渗层，确保防渗技术要求满足等效</w:t>
                  </w:r>
                  <w:r>
                    <w:rPr>
                      <w:rFonts w:hint="eastAsia" w:cs="Times New Roman"/>
                      <w:snapToGrid w:val="0"/>
                      <w:color w:val="000000" w:themeColor="text1"/>
                      <w:kern w:val="0"/>
                      <w:sz w:val="21"/>
                      <w:szCs w:val="21"/>
                      <w:highlight w:val="none"/>
                      <w:lang w:eastAsia="zh-CN"/>
                      <w14:textFill>
                        <w14:solidFill>
                          <w14:schemeClr w14:val="tx1"/>
                        </w14:solidFill>
                      </w14:textFill>
                    </w:rPr>
                    <w:t>黏土</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防渗层Mb≥</w:t>
                  </w: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5</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m</w:t>
                  </w:r>
                  <w:r>
                    <w:rPr>
                      <w:rFonts w:hint="eastAsia"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K≤10</w:t>
                  </w:r>
                  <w:r>
                    <w:rPr>
                      <w:rFonts w:hint="eastAsia" w:cs="Times New Roman"/>
                      <w:snapToGrid w:val="0"/>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snapToGrid w:val="0"/>
                      <w:color w:val="000000" w:themeColor="text1"/>
                      <w:kern w:val="0"/>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cm/s的要求</w:t>
                  </w:r>
                  <w:r>
                    <w:rPr>
                      <w:rFonts w:hint="eastAsia" w:cs="Times New Roman"/>
                      <w:snapToGrid w:val="0"/>
                      <w:color w:val="000000" w:themeColor="text1"/>
                      <w:kern w:val="0"/>
                      <w:sz w:val="21"/>
                      <w:szCs w:val="21"/>
                      <w:highlight w:val="none"/>
                      <w:lang w:eastAsia="zh-CN"/>
                      <w14:textFill>
                        <w14:solidFill>
                          <w14:schemeClr w14:val="tx1"/>
                        </w14:solidFill>
                      </w14:textFill>
                    </w:rPr>
                    <w:t>；</w:t>
                  </w:r>
                </w:p>
                <w:p w14:paraId="17A7A9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t>简单防渗区：</w:t>
                  </w:r>
                  <w:r>
                    <w:rPr>
                      <w:rFonts w:hint="default" w:ascii="Times New Roman" w:hAnsi="Times New Roman" w:eastAsia="宋体" w:cs="Times New Roman"/>
                      <w:b w:val="0"/>
                      <w:bCs w:val="0"/>
                      <w:snapToGrid w:val="0"/>
                      <w:color w:val="000000" w:themeColor="text1"/>
                      <w:kern w:val="0"/>
                      <w:sz w:val="21"/>
                      <w:szCs w:val="21"/>
                      <w:highlight w:val="none"/>
                      <w:lang w:val="en-US" w:eastAsia="zh-CN"/>
                      <w14:textFill>
                        <w14:solidFill>
                          <w14:schemeClr w14:val="tx1"/>
                        </w14:solidFill>
                      </w14:textFill>
                    </w:rPr>
                    <w:t>场区站房及站内道路地面等除绿化带以外的其他区域</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等采取水泥地面硬化。</w:t>
                  </w:r>
                </w:p>
              </w:tc>
              <w:tc>
                <w:tcPr>
                  <w:tcW w:w="705" w:type="pct"/>
                  <w:vMerge w:val="continue"/>
                  <w:tcBorders>
                    <w:tl2br w:val="nil"/>
                    <w:tr2bl w:val="nil"/>
                  </w:tcBorders>
                  <w:noWrap w:val="0"/>
                  <w:vAlign w:val="center"/>
                </w:tcPr>
                <w:p w14:paraId="4DE8DA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503" w:type="pct"/>
                  <w:tcBorders>
                    <w:tl2br w:val="nil"/>
                    <w:tr2bl w:val="nil"/>
                  </w:tcBorders>
                  <w:noWrap w:val="0"/>
                  <w:vAlign w:val="center"/>
                </w:tcPr>
                <w:p w14:paraId="680C20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pPr>
                  <w:r>
                    <w:rPr>
                      <w:rFonts w:hint="default"/>
                      <w:snapToGrid w:val="0"/>
                      <w:color w:val="000000" w:themeColor="text1"/>
                      <w:kern w:val="0"/>
                      <w:sz w:val="21"/>
                      <w:highlight w:val="none"/>
                      <w14:textFill>
                        <w14:solidFill>
                          <w14:schemeClr w14:val="tx1"/>
                        </w14:solidFill>
                      </w14:textFill>
                    </w:rPr>
                    <w:t>环境风险</w:t>
                  </w:r>
                </w:p>
              </w:tc>
            </w:tr>
            <w:tr w14:paraId="2BBCD4A0">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867" w:hRule="atLeast"/>
                <w:jc w:val="center"/>
              </w:trPr>
              <w:tc>
                <w:tcPr>
                  <w:tcW w:w="361" w:type="pct"/>
                  <w:vMerge w:val="continue"/>
                  <w:tcBorders>
                    <w:tl2br w:val="nil"/>
                    <w:tr2bl w:val="nil"/>
                  </w:tcBorders>
                  <w:noWrap w:val="0"/>
                  <w:vAlign w:val="center"/>
                </w:tcPr>
                <w:p w14:paraId="4107E2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vMerge w:val="continue"/>
                  <w:tcBorders>
                    <w:tl2br w:val="nil"/>
                    <w:tr2bl w:val="nil"/>
                  </w:tcBorders>
                  <w:noWrap w:val="0"/>
                  <w:vAlign w:val="center"/>
                </w:tcPr>
                <w:p w14:paraId="46BF281D">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lang w:eastAsia="zh-CN"/>
                      <w14:textFill>
                        <w14:solidFill>
                          <w14:schemeClr w14:val="tx1"/>
                        </w14:solidFill>
                      </w14:textFill>
                    </w:rPr>
                  </w:pPr>
                </w:p>
              </w:tc>
              <w:tc>
                <w:tcPr>
                  <w:tcW w:w="3003" w:type="pct"/>
                  <w:tcBorders>
                    <w:tl2br w:val="nil"/>
                    <w:tr2bl w:val="nil"/>
                  </w:tcBorders>
                  <w:noWrap w:val="0"/>
                  <w:vAlign w:val="center"/>
                </w:tcPr>
                <w:p w14:paraId="509C34D4">
                  <w:pPr>
                    <w:keepNext w:val="0"/>
                    <w:keepLines w:val="0"/>
                    <w:suppressLineNumbers w:val="0"/>
                    <w:spacing w:before="0" w:beforeAutospacing="0" w:after="0" w:afterAutospacing="0"/>
                    <w:ind w:left="0" w:right="0"/>
                    <w:jc w:val="left"/>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站内埋地油罐</w:t>
                  </w:r>
                  <w:r>
                    <w:rPr>
                      <w:rFonts w:hint="default"/>
                      <w:color w:val="000000" w:themeColor="text1"/>
                      <w:sz w:val="21"/>
                      <w:szCs w:val="21"/>
                      <w:highlight w:val="none"/>
                      <w14:textFill>
                        <w14:solidFill>
                          <w14:schemeClr w14:val="tx1"/>
                        </w14:solidFill>
                      </w14:textFill>
                    </w:rPr>
                    <w:t>按照国家标准《地下金属油罐防水防腐技术规范》的有关规定进行设计、施工；站内加油管道表面进行试压和防腐处理</w:t>
                  </w:r>
                  <w:r>
                    <w:rPr>
                      <w:rFonts w:hint="eastAsia"/>
                      <w:color w:val="000000" w:themeColor="text1"/>
                      <w:sz w:val="21"/>
                      <w:szCs w:val="21"/>
                      <w:highlight w:val="none"/>
                      <w14:textFill>
                        <w14:solidFill>
                          <w14:schemeClr w14:val="tx1"/>
                        </w14:solidFill>
                      </w14:textFill>
                    </w:rPr>
                    <w:t>。</w:t>
                  </w:r>
                </w:p>
              </w:tc>
              <w:tc>
                <w:tcPr>
                  <w:tcW w:w="705" w:type="pct"/>
                  <w:vMerge w:val="continue"/>
                  <w:tcBorders>
                    <w:tl2br w:val="nil"/>
                    <w:tr2bl w:val="nil"/>
                  </w:tcBorders>
                  <w:noWrap w:val="0"/>
                  <w:vAlign w:val="center"/>
                </w:tcPr>
                <w:p w14:paraId="280D15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503" w:type="pct"/>
                  <w:tcBorders>
                    <w:tl2br w:val="nil"/>
                    <w:tr2bl w:val="nil"/>
                  </w:tcBorders>
                  <w:noWrap w:val="0"/>
                  <w:vAlign w:val="center"/>
                </w:tcPr>
                <w:p w14:paraId="642824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eastAsia="宋体"/>
                      <w:snapToGrid w:val="0"/>
                      <w:color w:val="000000" w:themeColor="text1"/>
                      <w:kern w:val="0"/>
                      <w:sz w:val="21"/>
                      <w:highlight w:val="none"/>
                      <w:lang w:val="en-US" w:eastAsia="zh-CN"/>
                      <w14:textFill>
                        <w14:solidFill>
                          <w14:schemeClr w14:val="tx1"/>
                        </w14:solidFill>
                      </w14:textFill>
                    </w:rPr>
                  </w:pPr>
                  <w:r>
                    <w:rPr>
                      <w:rFonts w:hint="eastAsia"/>
                      <w:snapToGrid w:val="0"/>
                      <w:color w:val="000000" w:themeColor="text1"/>
                      <w:kern w:val="0"/>
                      <w:sz w:val="21"/>
                      <w:highlight w:val="none"/>
                      <w:lang w:val="en-US" w:eastAsia="zh-CN"/>
                      <w14:textFill>
                        <w14:solidFill>
                          <w14:schemeClr w14:val="tx1"/>
                        </w14:solidFill>
                      </w14:textFill>
                    </w:rPr>
                    <w:t>/</w:t>
                  </w:r>
                </w:p>
              </w:tc>
            </w:tr>
            <w:tr w14:paraId="501A7045">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67" w:hRule="atLeast"/>
                <w:jc w:val="center"/>
              </w:trPr>
              <w:tc>
                <w:tcPr>
                  <w:tcW w:w="361" w:type="pct"/>
                  <w:vMerge w:val="continue"/>
                  <w:tcBorders>
                    <w:tl2br w:val="nil"/>
                    <w:tr2bl w:val="nil"/>
                  </w:tcBorders>
                  <w:noWrap w:val="0"/>
                  <w:vAlign w:val="center"/>
                </w:tcPr>
                <w:p w14:paraId="57CE37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vMerge w:val="continue"/>
                  <w:tcBorders>
                    <w:tl2br w:val="nil"/>
                    <w:tr2bl w:val="nil"/>
                  </w:tcBorders>
                  <w:noWrap w:val="0"/>
                  <w:vAlign w:val="center"/>
                </w:tcPr>
                <w:p w14:paraId="16A4C87F">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lang w:eastAsia="zh-CN"/>
                      <w14:textFill>
                        <w14:solidFill>
                          <w14:schemeClr w14:val="tx1"/>
                        </w14:solidFill>
                      </w14:textFill>
                    </w:rPr>
                  </w:pPr>
                </w:p>
              </w:tc>
              <w:tc>
                <w:tcPr>
                  <w:tcW w:w="3003" w:type="pct"/>
                  <w:tcBorders>
                    <w:tl2br w:val="nil"/>
                    <w:tr2bl w:val="nil"/>
                  </w:tcBorders>
                  <w:noWrap w:val="0"/>
                  <w:vAlign w:val="center"/>
                </w:tcPr>
                <w:p w14:paraId="79FA7C04">
                  <w:pPr>
                    <w:keepNext w:val="0"/>
                    <w:keepLines w:val="0"/>
                    <w:suppressLineNumbers w:val="0"/>
                    <w:spacing w:before="0" w:beforeAutospacing="0" w:after="0" w:afterAutospacing="0"/>
                    <w:ind w:left="0" w:right="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设地下水监测井1座，定期进行地下水常规监测。</w:t>
                  </w:r>
                </w:p>
              </w:tc>
              <w:tc>
                <w:tcPr>
                  <w:tcW w:w="705" w:type="pct"/>
                  <w:vMerge w:val="continue"/>
                  <w:tcBorders>
                    <w:tl2br w:val="nil"/>
                    <w:tr2bl w:val="nil"/>
                  </w:tcBorders>
                  <w:noWrap w:val="0"/>
                  <w:vAlign w:val="center"/>
                </w:tcPr>
                <w:p w14:paraId="173955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503" w:type="pct"/>
                  <w:tcBorders>
                    <w:tl2br w:val="nil"/>
                    <w:tr2bl w:val="nil"/>
                  </w:tcBorders>
                  <w:noWrap w:val="0"/>
                  <w:vAlign w:val="center"/>
                </w:tcPr>
                <w:p w14:paraId="4C5F91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eastAsia="宋体"/>
                      <w:snapToGrid w:val="0"/>
                      <w:color w:val="000000" w:themeColor="text1"/>
                      <w:kern w:val="0"/>
                      <w:sz w:val="21"/>
                      <w:highlight w:val="none"/>
                      <w:lang w:val="en-US" w:eastAsia="zh-CN"/>
                      <w14:textFill>
                        <w14:solidFill>
                          <w14:schemeClr w14:val="tx1"/>
                        </w14:solidFill>
                      </w14:textFill>
                    </w:rPr>
                  </w:pPr>
                  <w:r>
                    <w:rPr>
                      <w:rFonts w:hint="eastAsia"/>
                      <w:snapToGrid w:val="0"/>
                      <w:color w:val="000000" w:themeColor="text1"/>
                      <w:kern w:val="0"/>
                      <w:sz w:val="21"/>
                      <w:highlight w:val="none"/>
                      <w:lang w:val="en-US" w:eastAsia="zh-CN"/>
                      <w14:textFill>
                        <w14:solidFill>
                          <w14:schemeClr w14:val="tx1"/>
                        </w14:solidFill>
                      </w14:textFill>
                    </w:rPr>
                    <w:t>/</w:t>
                  </w:r>
                </w:p>
              </w:tc>
            </w:tr>
            <w:tr w14:paraId="035AF12B">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837" w:hRule="atLeast"/>
                <w:jc w:val="center"/>
              </w:trPr>
              <w:tc>
                <w:tcPr>
                  <w:tcW w:w="361" w:type="pct"/>
                  <w:vMerge w:val="continue"/>
                  <w:tcBorders>
                    <w:tl2br w:val="nil"/>
                    <w:tr2bl w:val="nil"/>
                  </w:tcBorders>
                  <w:noWrap w:val="0"/>
                  <w:vAlign w:val="center"/>
                </w:tcPr>
                <w:p w14:paraId="159E85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000000" w:themeColor="text1"/>
                      <w:kern w:val="0"/>
                      <w:sz w:val="21"/>
                      <w:szCs w:val="21"/>
                      <w:highlight w:val="none"/>
                      <w14:textFill>
                        <w14:solidFill>
                          <w14:schemeClr w14:val="tx1"/>
                        </w14:solidFill>
                      </w14:textFill>
                    </w:rPr>
                  </w:pPr>
                </w:p>
              </w:tc>
              <w:tc>
                <w:tcPr>
                  <w:tcW w:w="426" w:type="pct"/>
                  <w:vMerge w:val="continue"/>
                  <w:tcBorders>
                    <w:tl2br w:val="nil"/>
                    <w:tr2bl w:val="nil"/>
                  </w:tcBorders>
                  <w:noWrap w:val="0"/>
                  <w:vAlign w:val="center"/>
                </w:tcPr>
                <w:p w14:paraId="4F2F7A47">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outlineLvl w:val="9"/>
                    <w:rPr>
                      <w:rFonts w:hint="default" w:ascii="Times New Roman" w:hAnsi="Times New Roman" w:cs="Times New Roman"/>
                      <w:snapToGrid w:val="0"/>
                      <w:color w:val="000000" w:themeColor="text1"/>
                      <w:kern w:val="0"/>
                      <w:sz w:val="21"/>
                      <w:szCs w:val="21"/>
                      <w:highlight w:val="none"/>
                      <w:lang w:eastAsia="zh-CN"/>
                      <w14:textFill>
                        <w14:solidFill>
                          <w14:schemeClr w14:val="tx1"/>
                        </w14:solidFill>
                      </w14:textFill>
                    </w:rPr>
                  </w:pPr>
                </w:p>
              </w:tc>
              <w:tc>
                <w:tcPr>
                  <w:tcW w:w="3003" w:type="pct"/>
                  <w:tcBorders>
                    <w:tl2br w:val="nil"/>
                    <w:tr2bl w:val="nil"/>
                  </w:tcBorders>
                  <w:noWrap w:val="0"/>
                  <w:vAlign w:val="center"/>
                </w:tcPr>
                <w:p w14:paraId="1BBC3D10">
                  <w:pPr>
                    <w:keepNext w:val="0"/>
                    <w:keepLines w:val="0"/>
                    <w:suppressLineNumbers w:val="0"/>
                    <w:spacing w:before="0" w:beforeAutospacing="0" w:after="0" w:afterAutospacing="0"/>
                    <w:ind w:left="0" w:right="0"/>
                    <w:jc w:val="left"/>
                    <w:rPr>
                      <w:rFonts w:hint="default" w:ascii="Times New Roman" w:hAnsi="Times New Roman" w:eastAsia="宋体" w:cs="Times New Roman"/>
                      <w:b/>
                      <w:bCs/>
                      <w:snapToGrid w:val="0"/>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设置在线液位渗漏检测报警仪等监控系统、液位报警装置、油罐渗漏检测报警仪等</w:t>
                  </w:r>
                  <w:r>
                    <w:rPr>
                      <w:rFonts w:hint="eastAsia"/>
                      <w:color w:val="000000" w:themeColor="text1"/>
                      <w:sz w:val="21"/>
                      <w:szCs w:val="21"/>
                      <w:highlight w:val="none"/>
                      <w14:textFill>
                        <w14:solidFill>
                          <w14:schemeClr w14:val="tx1"/>
                        </w14:solidFill>
                      </w14:textFill>
                    </w:rPr>
                    <w:t>。</w:t>
                  </w:r>
                </w:p>
              </w:tc>
              <w:tc>
                <w:tcPr>
                  <w:tcW w:w="705" w:type="pct"/>
                  <w:vMerge w:val="continue"/>
                  <w:tcBorders>
                    <w:tl2br w:val="nil"/>
                    <w:tr2bl w:val="nil"/>
                  </w:tcBorders>
                  <w:noWrap w:val="0"/>
                  <w:vAlign w:val="center"/>
                </w:tcPr>
                <w:p w14:paraId="37EAAB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pPr>
                </w:p>
              </w:tc>
              <w:tc>
                <w:tcPr>
                  <w:tcW w:w="503" w:type="pct"/>
                  <w:tcBorders>
                    <w:tl2br w:val="nil"/>
                    <w:tr2bl w:val="nil"/>
                  </w:tcBorders>
                  <w:noWrap w:val="0"/>
                  <w:vAlign w:val="center"/>
                </w:tcPr>
                <w:p w14:paraId="244B35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eastAsia="宋体"/>
                      <w:snapToGrid w:val="0"/>
                      <w:color w:val="000000" w:themeColor="text1"/>
                      <w:kern w:val="0"/>
                      <w:sz w:val="21"/>
                      <w:highlight w:val="none"/>
                      <w:lang w:val="en-US" w:eastAsia="zh-CN"/>
                      <w14:textFill>
                        <w14:solidFill>
                          <w14:schemeClr w14:val="tx1"/>
                        </w14:solidFill>
                      </w14:textFill>
                    </w:rPr>
                  </w:pPr>
                  <w:r>
                    <w:rPr>
                      <w:rFonts w:hint="eastAsia"/>
                      <w:snapToGrid w:val="0"/>
                      <w:color w:val="000000" w:themeColor="text1"/>
                      <w:kern w:val="0"/>
                      <w:sz w:val="21"/>
                      <w:highlight w:val="none"/>
                      <w:lang w:val="en-US" w:eastAsia="zh-CN"/>
                      <w14:textFill>
                        <w14:solidFill>
                          <w14:schemeClr w14:val="tx1"/>
                        </w14:solidFill>
                      </w14:textFill>
                    </w:rPr>
                    <w:t>/</w:t>
                  </w:r>
                </w:p>
              </w:tc>
            </w:tr>
            <w:tr w14:paraId="4FA61FAB">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87" w:hRule="atLeast"/>
                <w:jc w:val="center"/>
              </w:trPr>
              <w:tc>
                <w:tcPr>
                  <w:tcW w:w="361" w:type="pct"/>
                  <w:vMerge w:val="continue"/>
                  <w:tcBorders>
                    <w:tl2br w:val="nil"/>
                    <w:tr2bl w:val="nil"/>
                  </w:tcBorders>
                  <w:noWrap w:val="0"/>
                  <w:vAlign w:val="center"/>
                </w:tcPr>
                <w:p w14:paraId="0BB0F4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auto"/>
                      <w:kern w:val="0"/>
                      <w:sz w:val="21"/>
                      <w:szCs w:val="21"/>
                      <w:highlight w:val="none"/>
                    </w:rPr>
                  </w:pPr>
                </w:p>
              </w:tc>
              <w:tc>
                <w:tcPr>
                  <w:tcW w:w="426" w:type="pct"/>
                  <w:tcBorders>
                    <w:tl2br w:val="nil"/>
                    <w:tr2bl w:val="nil"/>
                  </w:tcBorders>
                  <w:shd w:val="clear" w:color="auto" w:fill="auto"/>
                  <w:noWrap w:val="0"/>
                  <w:vAlign w:val="center"/>
                </w:tcPr>
                <w:p w14:paraId="1BE0F3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风险防范</w:t>
                  </w:r>
                </w:p>
              </w:tc>
              <w:tc>
                <w:tcPr>
                  <w:tcW w:w="3003" w:type="pct"/>
                  <w:tcBorders>
                    <w:tl2br w:val="nil"/>
                    <w:tr2bl w:val="nil"/>
                  </w:tcBorders>
                  <w:shd w:val="clear" w:color="auto" w:fill="auto"/>
                  <w:noWrap w:val="0"/>
                  <w:vAlign w:val="center"/>
                </w:tcPr>
                <w:p w14:paraId="3E1DF32D">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用双层油罐、采取分区防渗等措施；安装泄漏报警装置；配备灭火器、消防砂池等消防器材；加强站区进出车辆管理以及各类设备输油管线的维护；站区设置安全警示标识，加强员工安全培训，编制《事故应急预案》等</w:t>
                  </w:r>
                  <w:r>
                    <w:rPr>
                      <w:rFonts w:hint="eastAsia"/>
                      <w:color w:val="auto"/>
                      <w:sz w:val="21"/>
                      <w:szCs w:val="21"/>
                      <w:highlight w:val="none"/>
                    </w:rPr>
                    <w:t>。</w:t>
                  </w:r>
                </w:p>
              </w:tc>
              <w:tc>
                <w:tcPr>
                  <w:tcW w:w="705" w:type="pct"/>
                  <w:vMerge w:val="continue"/>
                  <w:tcBorders>
                    <w:tl2br w:val="nil"/>
                    <w:tr2bl w:val="nil"/>
                  </w:tcBorders>
                  <w:noWrap w:val="0"/>
                  <w:vAlign w:val="center"/>
                </w:tcPr>
                <w:p w14:paraId="64C29F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auto"/>
                      <w:kern w:val="0"/>
                      <w:sz w:val="21"/>
                      <w:szCs w:val="21"/>
                      <w:highlight w:val="none"/>
                      <w:lang w:eastAsia="zh-CN"/>
                    </w:rPr>
                  </w:pPr>
                </w:p>
              </w:tc>
              <w:tc>
                <w:tcPr>
                  <w:tcW w:w="503" w:type="pct"/>
                  <w:tcBorders>
                    <w:tl2br w:val="nil"/>
                    <w:tr2bl w:val="nil"/>
                  </w:tcBorders>
                  <w:noWrap w:val="0"/>
                  <w:vAlign w:val="center"/>
                </w:tcPr>
                <w:p w14:paraId="01B3BB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eastAsia" w:eastAsia="宋体"/>
                      <w:snapToGrid w:val="0"/>
                      <w:color w:val="auto"/>
                      <w:kern w:val="0"/>
                      <w:sz w:val="21"/>
                      <w:highlight w:val="none"/>
                      <w:lang w:val="en-US" w:eastAsia="zh-CN"/>
                    </w:rPr>
                  </w:pPr>
                  <w:r>
                    <w:rPr>
                      <w:rFonts w:hint="eastAsia"/>
                      <w:snapToGrid w:val="0"/>
                      <w:color w:val="auto"/>
                      <w:kern w:val="0"/>
                      <w:sz w:val="21"/>
                      <w:highlight w:val="none"/>
                      <w:lang w:val="en-US" w:eastAsia="zh-CN"/>
                    </w:rPr>
                    <w:t>/</w:t>
                  </w:r>
                </w:p>
              </w:tc>
            </w:tr>
            <w:tr w14:paraId="7E771329">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87" w:hRule="atLeast"/>
                <w:jc w:val="center"/>
              </w:trPr>
              <w:tc>
                <w:tcPr>
                  <w:tcW w:w="361" w:type="pct"/>
                  <w:vMerge w:val="continue"/>
                  <w:tcBorders>
                    <w:tl2br w:val="nil"/>
                    <w:tr2bl w:val="nil"/>
                  </w:tcBorders>
                  <w:noWrap w:val="0"/>
                  <w:vAlign w:val="center"/>
                </w:tcPr>
                <w:p w14:paraId="4B6A43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outlineLvl w:val="9"/>
                    <w:rPr>
                      <w:rFonts w:hint="default" w:ascii="Times New Roman" w:hAnsi="Times New Roman" w:cs="Times New Roman"/>
                      <w:snapToGrid w:val="0"/>
                      <w:color w:val="auto"/>
                      <w:kern w:val="0"/>
                      <w:sz w:val="21"/>
                      <w:szCs w:val="21"/>
                      <w:highlight w:val="none"/>
                    </w:rPr>
                  </w:pPr>
                </w:p>
              </w:tc>
              <w:tc>
                <w:tcPr>
                  <w:tcW w:w="426" w:type="pct"/>
                  <w:tcBorders>
                    <w:tl2br w:val="nil"/>
                    <w:tr2bl w:val="nil"/>
                  </w:tcBorders>
                  <w:shd w:val="clear" w:color="auto" w:fill="auto"/>
                  <w:noWrap w:val="0"/>
                  <w:vAlign w:val="center"/>
                </w:tcPr>
                <w:p w14:paraId="7949B2DD">
                  <w:pPr>
                    <w:keepNext w:val="0"/>
                    <w:keepLines w:val="0"/>
                    <w:suppressLineNumbers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绿化</w:t>
                  </w:r>
                </w:p>
              </w:tc>
              <w:tc>
                <w:tcPr>
                  <w:tcW w:w="3003" w:type="pct"/>
                  <w:tcBorders>
                    <w:tl2br w:val="nil"/>
                    <w:tr2bl w:val="nil"/>
                  </w:tcBorders>
                  <w:shd w:val="clear" w:color="auto" w:fill="auto"/>
                  <w:noWrap w:val="0"/>
                  <w:vAlign w:val="center"/>
                </w:tcPr>
                <w:p w14:paraId="61EFB9A7">
                  <w:pPr>
                    <w:keepNext w:val="0"/>
                    <w:keepLines w:val="0"/>
                    <w:suppressLineNumbers w:val="0"/>
                    <w:spacing w:before="0" w:beforeAutospacing="0" w:after="0" w:afterAutospacing="0"/>
                    <w:ind w:left="0" w:right="0"/>
                    <w:jc w:val="left"/>
                    <w:rPr>
                      <w:rFonts w:hint="default"/>
                      <w:color w:val="auto"/>
                      <w:sz w:val="21"/>
                      <w:szCs w:val="21"/>
                      <w:highlight w:val="none"/>
                    </w:rPr>
                  </w:pPr>
                  <w:r>
                    <w:rPr>
                      <w:rFonts w:hint="default"/>
                      <w:color w:val="auto"/>
                      <w:sz w:val="21"/>
                      <w:szCs w:val="21"/>
                      <w:highlight w:val="none"/>
                    </w:rPr>
                    <w:t>绿化面积约9</w:t>
                  </w:r>
                  <w:r>
                    <w:rPr>
                      <w:rFonts w:hint="eastAsia"/>
                      <w:color w:val="auto"/>
                      <w:sz w:val="21"/>
                      <w:szCs w:val="21"/>
                      <w:highlight w:val="none"/>
                      <w:lang w:val="en-US" w:eastAsia="zh-CN"/>
                    </w:rPr>
                    <w:t>67</w:t>
                  </w:r>
                  <w:r>
                    <w:rPr>
                      <w:rFonts w:hint="default"/>
                      <w:color w:val="auto"/>
                      <w:sz w:val="21"/>
                      <w:szCs w:val="21"/>
                      <w:highlight w:val="none"/>
                    </w:rPr>
                    <w:t>m</w:t>
                  </w:r>
                  <w:r>
                    <w:rPr>
                      <w:rFonts w:hint="default"/>
                      <w:color w:val="auto"/>
                      <w:sz w:val="21"/>
                      <w:szCs w:val="21"/>
                      <w:highlight w:val="none"/>
                      <w:vertAlign w:val="superscript"/>
                    </w:rPr>
                    <w:t>2</w:t>
                  </w:r>
                  <w:r>
                    <w:rPr>
                      <w:rFonts w:hint="default"/>
                      <w:color w:val="auto"/>
                      <w:sz w:val="21"/>
                      <w:szCs w:val="21"/>
                      <w:highlight w:val="none"/>
                    </w:rPr>
                    <w:t>，绿化率</w:t>
                  </w:r>
                  <w:r>
                    <w:rPr>
                      <w:rFonts w:hint="eastAsia"/>
                      <w:color w:val="auto"/>
                      <w:sz w:val="21"/>
                      <w:szCs w:val="21"/>
                      <w:highlight w:val="none"/>
                      <w:lang w:val="en-US" w:eastAsia="zh-CN"/>
                    </w:rPr>
                    <w:t>8.05</w:t>
                  </w:r>
                  <w:r>
                    <w:rPr>
                      <w:rFonts w:hint="default"/>
                      <w:color w:val="auto"/>
                      <w:sz w:val="21"/>
                      <w:szCs w:val="21"/>
                      <w:highlight w:val="none"/>
                    </w:rPr>
                    <w:t>%</w:t>
                  </w:r>
                  <w:r>
                    <w:rPr>
                      <w:rFonts w:hint="eastAsia"/>
                      <w:color w:val="auto"/>
                      <w:sz w:val="21"/>
                      <w:szCs w:val="21"/>
                      <w:highlight w:val="none"/>
                    </w:rPr>
                    <w:t>。</w:t>
                  </w:r>
                </w:p>
              </w:tc>
              <w:tc>
                <w:tcPr>
                  <w:tcW w:w="705" w:type="pct"/>
                  <w:vMerge w:val="continue"/>
                  <w:tcBorders>
                    <w:tl2br w:val="nil"/>
                    <w:tr2bl w:val="nil"/>
                  </w:tcBorders>
                  <w:noWrap w:val="0"/>
                  <w:vAlign w:val="center"/>
                </w:tcPr>
                <w:p w14:paraId="7DE640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ascii="Times New Roman" w:hAnsi="Times New Roman" w:eastAsia="宋体" w:cs="Times New Roman"/>
                      <w:snapToGrid w:val="0"/>
                      <w:color w:val="auto"/>
                      <w:kern w:val="0"/>
                      <w:sz w:val="21"/>
                      <w:szCs w:val="21"/>
                      <w:highlight w:val="none"/>
                      <w:lang w:eastAsia="zh-CN"/>
                    </w:rPr>
                  </w:pPr>
                </w:p>
              </w:tc>
              <w:tc>
                <w:tcPr>
                  <w:tcW w:w="503" w:type="pct"/>
                  <w:tcBorders>
                    <w:tl2br w:val="nil"/>
                    <w:tr2bl w:val="nil"/>
                  </w:tcBorders>
                  <w:noWrap w:val="0"/>
                  <w:vAlign w:val="center"/>
                </w:tcPr>
                <w:p w14:paraId="22DDEA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0" w:right="0"/>
                    <w:jc w:val="center"/>
                    <w:outlineLvl w:val="9"/>
                    <w:rPr>
                      <w:rFonts w:hint="default"/>
                      <w:snapToGrid w:val="0"/>
                      <w:color w:val="auto"/>
                      <w:kern w:val="0"/>
                      <w:sz w:val="21"/>
                      <w:highlight w:val="none"/>
                      <w:lang w:val="en-US" w:eastAsia="zh-CN"/>
                    </w:rPr>
                  </w:pPr>
                  <w:r>
                    <w:rPr>
                      <w:rFonts w:hint="eastAsia"/>
                      <w:snapToGrid w:val="0"/>
                      <w:color w:val="auto"/>
                      <w:kern w:val="0"/>
                      <w:sz w:val="21"/>
                      <w:highlight w:val="none"/>
                      <w:lang w:val="en-US" w:eastAsia="zh-CN"/>
                    </w:rPr>
                    <w:t>/</w:t>
                  </w:r>
                </w:p>
              </w:tc>
            </w:tr>
          </w:tbl>
          <w:p w14:paraId="728848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rightChars="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w:t>
            </w:r>
            <w:r>
              <w:rPr>
                <w:rFonts w:hint="eastAsia" w:ascii="Times New Roman" w:hAnsi="Times New Roman" w:eastAsia="宋体" w:cs="Times New Roman"/>
                <w:b/>
                <w:color w:val="auto"/>
                <w:sz w:val="24"/>
                <w:szCs w:val="24"/>
                <w:highlight w:val="none"/>
              </w:rPr>
              <w:t>产品方案及产能</w:t>
            </w:r>
          </w:p>
          <w:p w14:paraId="05A762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val="0"/>
                <w:bCs/>
                <w:color w:val="auto"/>
                <w:sz w:val="24"/>
                <w:szCs w:val="24"/>
                <w:highlight w:val="none"/>
                <w:lang w:val="en-US" w:eastAsia="zh-CN"/>
              </w:rPr>
              <w:t>本项目是对成品油及液化天然气的销售，汽油、柴油及液化天然气均在站内暂存后即外售，不进行生产加工，在站内暂存的油品量如下表所示。</w:t>
            </w:r>
            <w:r>
              <w:rPr>
                <w:rFonts w:hint="default" w:ascii="Times New Roman" w:hAnsi="Times New Roman" w:eastAsia="宋体" w:cs="Times New Roman"/>
                <w:b w:val="0"/>
                <w:bCs/>
                <w:color w:val="auto"/>
                <w:sz w:val="24"/>
                <w:szCs w:val="24"/>
                <w:highlight w:val="none"/>
              </w:rPr>
              <w:t xml:space="preserve"> </w:t>
            </w:r>
          </w:p>
          <w:p w14:paraId="6D50E2D7">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bidi="ar-SA"/>
              </w:rPr>
            </w:pPr>
          </w:p>
          <w:p w14:paraId="2FC56D09">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表2-</w:t>
            </w:r>
            <w:r>
              <w:rPr>
                <w:rFonts w:hint="eastAsia" w:ascii="Times New Roman" w:hAnsi="Times New Roman" w:eastAsia="黑体" w:cs="Times New Roman"/>
                <w:b/>
                <w:bCs/>
                <w:color w:val="auto"/>
                <w:kern w:val="0"/>
                <w:sz w:val="20"/>
                <w:szCs w:val="20"/>
                <w:highlight w:val="none"/>
                <w:lang w:val="en-US" w:eastAsia="zh-CN" w:bidi="ar-SA"/>
              </w:rPr>
              <w:t>3</w:t>
            </w:r>
            <w:r>
              <w:rPr>
                <w:rFonts w:hint="default" w:ascii="Times New Roman" w:hAnsi="Times New Roman" w:eastAsia="黑体" w:cs="Times New Roman"/>
                <w:b/>
                <w:bCs/>
                <w:color w:val="auto"/>
                <w:kern w:val="0"/>
                <w:sz w:val="20"/>
                <w:szCs w:val="20"/>
                <w:highlight w:val="none"/>
                <w:lang w:val="en-US" w:eastAsia="zh-CN" w:bidi="ar-SA"/>
              </w:rPr>
              <w:t xml:space="preserve"> 产品</w:t>
            </w:r>
            <w:r>
              <w:rPr>
                <w:rFonts w:hint="eastAsia" w:ascii="Times New Roman" w:hAnsi="Times New Roman" w:eastAsia="黑体" w:cs="Times New Roman"/>
                <w:b/>
                <w:bCs/>
                <w:color w:val="auto"/>
                <w:kern w:val="0"/>
                <w:sz w:val="20"/>
                <w:szCs w:val="20"/>
                <w:highlight w:val="none"/>
                <w:lang w:val="en-US" w:eastAsia="zh-CN" w:bidi="ar-SA"/>
              </w:rPr>
              <w:t>方案</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1066"/>
              <w:gridCol w:w="1200"/>
              <w:gridCol w:w="1589"/>
              <w:gridCol w:w="1311"/>
              <w:gridCol w:w="1325"/>
            </w:tblGrid>
            <w:tr w14:paraId="49103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8" w:type="dxa"/>
                  <w:tcBorders>
                    <w:tl2br w:val="nil"/>
                    <w:tr2bl w:val="nil"/>
                  </w:tcBorders>
                  <w:noWrap w:val="0"/>
                  <w:vAlign w:val="center"/>
                </w:tcPr>
                <w:p w14:paraId="55F07E1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产品方案</w:t>
                  </w:r>
                </w:p>
              </w:tc>
              <w:tc>
                <w:tcPr>
                  <w:tcW w:w="1066" w:type="dxa"/>
                  <w:tcBorders>
                    <w:tl2br w:val="nil"/>
                    <w:tr2bl w:val="nil"/>
                  </w:tcBorders>
                  <w:noWrap w:val="0"/>
                  <w:vAlign w:val="center"/>
                </w:tcPr>
                <w:p w14:paraId="599C9A7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型号</w:t>
                  </w:r>
                </w:p>
              </w:tc>
              <w:tc>
                <w:tcPr>
                  <w:tcW w:w="1200" w:type="dxa"/>
                  <w:tcBorders>
                    <w:tl2br w:val="nil"/>
                    <w:tr2bl w:val="nil"/>
                  </w:tcBorders>
                  <w:noWrap w:val="0"/>
                  <w:vAlign w:val="center"/>
                </w:tcPr>
                <w:p w14:paraId="2FCC0F2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储罐体积（m</w:t>
                  </w:r>
                  <w:r>
                    <w:rPr>
                      <w:rFonts w:hint="eastAsia" w:ascii="Times New Roman" w:hAnsi="Times New Roman" w:eastAsia="宋体" w:cs="Times New Roman"/>
                      <w:b/>
                      <w:bCs/>
                      <w:color w:val="auto"/>
                      <w:sz w:val="21"/>
                      <w:szCs w:val="21"/>
                      <w:highlight w:val="none"/>
                      <w:vertAlign w:val="superscript"/>
                      <w:lang w:val="en-US" w:eastAsia="zh-CN"/>
                    </w:rPr>
                    <w:t>3</w:t>
                  </w:r>
                  <w:r>
                    <w:rPr>
                      <w:rFonts w:hint="eastAsia" w:ascii="Times New Roman" w:hAnsi="Times New Roman" w:eastAsia="宋体" w:cs="Times New Roman"/>
                      <w:b/>
                      <w:bCs/>
                      <w:color w:val="auto"/>
                      <w:sz w:val="21"/>
                      <w:szCs w:val="21"/>
                      <w:highlight w:val="none"/>
                      <w:lang w:val="en-US" w:eastAsia="zh-CN"/>
                    </w:rPr>
                    <w:t>）</w:t>
                  </w:r>
                </w:p>
              </w:tc>
              <w:tc>
                <w:tcPr>
                  <w:tcW w:w="1590" w:type="dxa"/>
                  <w:tcBorders>
                    <w:tl2br w:val="nil"/>
                    <w:tr2bl w:val="nil"/>
                  </w:tcBorders>
                  <w:noWrap w:val="0"/>
                  <w:vAlign w:val="center"/>
                </w:tcPr>
                <w:p w14:paraId="1686E61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储存量（充装系数取90%，m</w:t>
                  </w:r>
                  <w:r>
                    <w:rPr>
                      <w:rFonts w:hint="eastAsia" w:ascii="Times New Roman" w:hAnsi="Times New Roman" w:eastAsia="宋体" w:cs="Times New Roman"/>
                      <w:b/>
                      <w:bCs/>
                      <w:color w:val="auto"/>
                      <w:sz w:val="21"/>
                      <w:szCs w:val="21"/>
                      <w:highlight w:val="none"/>
                      <w:vertAlign w:val="superscript"/>
                      <w:lang w:val="en-US" w:eastAsia="zh-CN"/>
                    </w:rPr>
                    <w:t>3</w:t>
                  </w:r>
                  <w:r>
                    <w:rPr>
                      <w:rFonts w:hint="eastAsia" w:ascii="Times New Roman" w:hAnsi="Times New Roman" w:eastAsia="宋体" w:cs="Times New Roman"/>
                      <w:b/>
                      <w:bCs/>
                      <w:color w:val="auto"/>
                      <w:sz w:val="21"/>
                      <w:szCs w:val="21"/>
                      <w:highlight w:val="none"/>
                      <w:lang w:val="en-US" w:eastAsia="zh-CN"/>
                    </w:rPr>
                    <w:t>）</w:t>
                  </w:r>
                </w:p>
              </w:tc>
              <w:tc>
                <w:tcPr>
                  <w:tcW w:w="1311" w:type="dxa"/>
                  <w:tcBorders>
                    <w:tl2br w:val="nil"/>
                    <w:tr2bl w:val="nil"/>
                  </w:tcBorders>
                  <w:noWrap w:val="0"/>
                  <w:vAlign w:val="center"/>
                </w:tcPr>
                <w:p w14:paraId="7544C9DB">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年销售量（m</w:t>
                  </w:r>
                  <w:r>
                    <w:rPr>
                      <w:rFonts w:hint="default" w:ascii="Times New Roman" w:hAnsi="Times New Roman" w:eastAsia="宋体" w:cs="Times New Roman"/>
                      <w:b/>
                      <w:bCs/>
                      <w:color w:val="auto"/>
                      <w:sz w:val="21"/>
                      <w:szCs w:val="21"/>
                      <w:highlight w:val="none"/>
                      <w:vertAlign w:val="superscript"/>
                      <w:lang w:val="en-US" w:eastAsia="zh-CN"/>
                    </w:rPr>
                    <w:t>3</w:t>
                  </w:r>
                  <w:r>
                    <w:rPr>
                      <w:rFonts w:hint="eastAsia" w:ascii="Times New Roman" w:hAnsi="Times New Roman" w:eastAsia="宋体" w:cs="Times New Roman"/>
                      <w:b/>
                      <w:bCs/>
                      <w:color w:val="auto"/>
                      <w:sz w:val="21"/>
                      <w:szCs w:val="21"/>
                      <w:highlight w:val="none"/>
                      <w:lang w:val="en-US" w:eastAsia="zh-CN"/>
                    </w:rPr>
                    <w:t>）</w:t>
                  </w:r>
                </w:p>
              </w:tc>
              <w:tc>
                <w:tcPr>
                  <w:tcW w:w="1325" w:type="dxa"/>
                  <w:tcBorders>
                    <w:tl2br w:val="nil"/>
                    <w:tr2bl w:val="nil"/>
                  </w:tcBorders>
                  <w:noWrap w:val="0"/>
                  <w:vAlign w:val="center"/>
                </w:tcPr>
                <w:p w14:paraId="31941B2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年销售量（</w:t>
                  </w:r>
                  <w:r>
                    <w:rPr>
                      <w:rFonts w:hint="default" w:ascii="Times New Roman" w:hAnsi="Times New Roman" w:eastAsia="宋体" w:cs="Times New Roman"/>
                      <w:b/>
                      <w:bCs/>
                      <w:color w:val="auto"/>
                      <w:sz w:val="21"/>
                      <w:szCs w:val="21"/>
                      <w:highlight w:val="none"/>
                      <w:lang w:val="en-US" w:eastAsia="zh-CN"/>
                    </w:rPr>
                    <w:t>t</w:t>
                  </w:r>
                  <w:r>
                    <w:rPr>
                      <w:rFonts w:hint="eastAsia" w:ascii="Times New Roman" w:hAnsi="Times New Roman" w:eastAsia="宋体" w:cs="Times New Roman"/>
                      <w:b/>
                      <w:bCs/>
                      <w:color w:val="auto"/>
                      <w:sz w:val="21"/>
                      <w:szCs w:val="21"/>
                      <w:highlight w:val="none"/>
                      <w:lang w:val="en-US" w:eastAsia="zh-CN"/>
                    </w:rPr>
                    <w:t>）</w:t>
                  </w:r>
                </w:p>
              </w:tc>
            </w:tr>
            <w:tr w14:paraId="7A063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8" w:type="dxa"/>
                  <w:tcBorders>
                    <w:tl2br w:val="nil"/>
                    <w:tr2bl w:val="nil"/>
                  </w:tcBorders>
                  <w:noWrap w:val="0"/>
                  <w:vAlign w:val="center"/>
                </w:tcPr>
                <w:p w14:paraId="2D5C48E6">
                  <w:pPr>
                    <w:keepNext w:val="0"/>
                    <w:keepLines w:val="0"/>
                    <w:widowControl/>
                    <w:suppressLineNumbers w:val="0"/>
                    <w:spacing w:before="0" w:beforeAutospacing="0" w:after="0" w:afterAutospacing="0" w:line="240" w:lineRule="exact"/>
                    <w:ind w:left="0" w:right="0"/>
                    <w:jc w:val="center"/>
                    <w:rPr>
                      <w:rFonts w:hint="eastAsia"/>
                      <w:color w:val="auto"/>
                      <w:kern w:val="0"/>
                      <w:sz w:val="21"/>
                      <w:szCs w:val="21"/>
                      <w:highlight w:val="none"/>
                    </w:rPr>
                  </w:pPr>
                  <w:r>
                    <w:rPr>
                      <w:rFonts w:hint="eastAsia"/>
                      <w:color w:val="auto"/>
                      <w:kern w:val="0"/>
                      <w:sz w:val="21"/>
                      <w:szCs w:val="21"/>
                      <w:highlight w:val="none"/>
                    </w:rPr>
                    <w:t>汽油</w:t>
                  </w:r>
                </w:p>
              </w:tc>
              <w:tc>
                <w:tcPr>
                  <w:tcW w:w="1066" w:type="dxa"/>
                  <w:tcBorders>
                    <w:tl2br w:val="nil"/>
                    <w:tr2bl w:val="nil"/>
                  </w:tcBorders>
                  <w:noWrap w:val="0"/>
                  <w:vAlign w:val="center"/>
                </w:tcPr>
                <w:p w14:paraId="06C23888">
                  <w:pPr>
                    <w:keepNext w:val="0"/>
                    <w:keepLines w:val="0"/>
                    <w:widowControl/>
                    <w:suppressLineNumbers w:val="0"/>
                    <w:spacing w:before="0" w:beforeAutospacing="0" w:after="0" w:afterAutospacing="0" w:line="240" w:lineRule="exact"/>
                    <w:ind w:left="0" w:right="0"/>
                    <w:jc w:val="center"/>
                    <w:rPr>
                      <w:rFonts w:hint="eastAsia"/>
                      <w:color w:val="auto"/>
                      <w:kern w:val="0"/>
                      <w:sz w:val="21"/>
                      <w:szCs w:val="21"/>
                      <w:highlight w:val="none"/>
                    </w:rPr>
                  </w:pPr>
                  <w:r>
                    <w:rPr>
                      <w:rFonts w:hint="eastAsia"/>
                      <w:color w:val="auto"/>
                      <w:kern w:val="0"/>
                      <w:sz w:val="21"/>
                      <w:szCs w:val="21"/>
                      <w:highlight w:val="none"/>
                    </w:rPr>
                    <w:t>92#</w:t>
                  </w:r>
                </w:p>
              </w:tc>
              <w:tc>
                <w:tcPr>
                  <w:tcW w:w="1200" w:type="dxa"/>
                  <w:tcBorders>
                    <w:tl2br w:val="nil"/>
                    <w:tr2bl w:val="nil"/>
                  </w:tcBorders>
                  <w:noWrap w:val="0"/>
                  <w:vAlign w:val="center"/>
                </w:tcPr>
                <w:p w14:paraId="064BDB63">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20</w:t>
                  </w:r>
                </w:p>
              </w:tc>
              <w:tc>
                <w:tcPr>
                  <w:tcW w:w="1590" w:type="dxa"/>
                  <w:tcBorders>
                    <w:tl2br w:val="nil"/>
                    <w:tr2bl w:val="nil"/>
                  </w:tcBorders>
                  <w:noWrap w:val="0"/>
                  <w:vAlign w:val="center"/>
                </w:tcPr>
                <w:p w14:paraId="6E6B6240">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eastAsia="等线"/>
                      <w:color w:val="auto"/>
                      <w:sz w:val="21"/>
                      <w:szCs w:val="21"/>
                      <w:highlight w:val="none"/>
                      <w:lang w:val="en-US" w:eastAsia="zh-CN"/>
                    </w:rPr>
                    <w:t>18</w:t>
                  </w:r>
                </w:p>
              </w:tc>
              <w:tc>
                <w:tcPr>
                  <w:tcW w:w="1311" w:type="dxa"/>
                  <w:tcBorders>
                    <w:tl2br w:val="nil"/>
                    <w:tr2bl w:val="nil"/>
                  </w:tcBorders>
                  <w:noWrap w:val="0"/>
                  <w:vAlign w:val="center"/>
                </w:tcPr>
                <w:p w14:paraId="0E8E1C1D">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1620</w:t>
                  </w:r>
                </w:p>
              </w:tc>
              <w:tc>
                <w:tcPr>
                  <w:tcW w:w="1325" w:type="dxa"/>
                  <w:tcBorders>
                    <w:tl2br w:val="nil"/>
                    <w:tr2bl w:val="nil"/>
                  </w:tcBorders>
                  <w:noWrap w:val="0"/>
                  <w:vAlign w:val="center"/>
                </w:tcPr>
                <w:p w14:paraId="420C44DE">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1174.5</w:t>
                  </w:r>
                </w:p>
              </w:tc>
            </w:tr>
            <w:tr w14:paraId="76E4F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8" w:type="dxa"/>
                  <w:tcBorders>
                    <w:tl2br w:val="nil"/>
                    <w:tr2bl w:val="nil"/>
                  </w:tcBorders>
                  <w:noWrap w:val="0"/>
                  <w:vAlign w:val="center"/>
                </w:tcPr>
                <w:p w14:paraId="6ED957EF">
                  <w:pPr>
                    <w:keepNext w:val="0"/>
                    <w:keepLines w:val="0"/>
                    <w:widowControl/>
                    <w:suppressLineNumbers w:val="0"/>
                    <w:spacing w:before="0" w:beforeAutospacing="0" w:after="0" w:afterAutospacing="0" w:line="240" w:lineRule="exact"/>
                    <w:ind w:left="0" w:right="0"/>
                    <w:jc w:val="center"/>
                    <w:rPr>
                      <w:rFonts w:hint="eastAsia"/>
                      <w:color w:val="auto"/>
                      <w:kern w:val="0"/>
                      <w:sz w:val="21"/>
                      <w:szCs w:val="21"/>
                      <w:highlight w:val="none"/>
                    </w:rPr>
                  </w:pPr>
                  <w:r>
                    <w:rPr>
                      <w:rFonts w:hint="eastAsia"/>
                      <w:color w:val="auto"/>
                      <w:kern w:val="0"/>
                      <w:sz w:val="21"/>
                      <w:szCs w:val="21"/>
                      <w:highlight w:val="none"/>
                    </w:rPr>
                    <w:t>汽油</w:t>
                  </w:r>
                </w:p>
              </w:tc>
              <w:tc>
                <w:tcPr>
                  <w:tcW w:w="1066" w:type="dxa"/>
                  <w:tcBorders>
                    <w:tl2br w:val="nil"/>
                    <w:tr2bl w:val="nil"/>
                  </w:tcBorders>
                  <w:noWrap w:val="0"/>
                  <w:vAlign w:val="center"/>
                </w:tcPr>
                <w:p w14:paraId="3DA2AD1C">
                  <w:pPr>
                    <w:keepNext w:val="0"/>
                    <w:keepLines w:val="0"/>
                    <w:widowControl/>
                    <w:suppressLineNumbers w:val="0"/>
                    <w:spacing w:before="0" w:beforeAutospacing="0" w:after="0" w:afterAutospacing="0" w:line="240" w:lineRule="exact"/>
                    <w:ind w:left="0" w:right="0"/>
                    <w:jc w:val="center"/>
                    <w:rPr>
                      <w:rFonts w:hint="eastAsia"/>
                      <w:color w:val="auto"/>
                      <w:kern w:val="0"/>
                      <w:sz w:val="21"/>
                      <w:szCs w:val="21"/>
                      <w:highlight w:val="none"/>
                    </w:rPr>
                  </w:pPr>
                  <w:r>
                    <w:rPr>
                      <w:rFonts w:hint="eastAsia"/>
                      <w:color w:val="auto"/>
                      <w:kern w:val="0"/>
                      <w:sz w:val="21"/>
                      <w:szCs w:val="21"/>
                      <w:highlight w:val="none"/>
                    </w:rPr>
                    <w:t>95#</w:t>
                  </w:r>
                </w:p>
              </w:tc>
              <w:tc>
                <w:tcPr>
                  <w:tcW w:w="1200" w:type="dxa"/>
                  <w:tcBorders>
                    <w:tl2br w:val="nil"/>
                    <w:tr2bl w:val="nil"/>
                  </w:tcBorders>
                  <w:noWrap w:val="0"/>
                  <w:vAlign w:val="center"/>
                </w:tcPr>
                <w:p w14:paraId="54E91D4E">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20</w:t>
                  </w:r>
                </w:p>
              </w:tc>
              <w:tc>
                <w:tcPr>
                  <w:tcW w:w="1590" w:type="dxa"/>
                  <w:tcBorders>
                    <w:tl2br w:val="nil"/>
                    <w:tr2bl w:val="nil"/>
                  </w:tcBorders>
                  <w:noWrap w:val="0"/>
                  <w:vAlign w:val="center"/>
                </w:tcPr>
                <w:p w14:paraId="2AD7D070">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eastAsia="等线"/>
                      <w:color w:val="auto"/>
                      <w:sz w:val="21"/>
                      <w:szCs w:val="21"/>
                      <w:highlight w:val="none"/>
                      <w:lang w:val="en-US" w:eastAsia="zh-CN"/>
                    </w:rPr>
                    <w:t>18</w:t>
                  </w:r>
                </w:p>
              </w:tc>
              <w:tc>
                <w:tcPr>
                  <w:tcW w:w="1311" w:type="dxa"/>
                  <w:tcBorders>
                    <w:tl2br w:val="nil"/>
                    <w:tr2bl w:val="nil"/>
                  </w:tcBorders>
                  <w:noWrap w:val="0"/>
                  <w:vAlign w:val="center"/>
                </w:tcPr>
                <w:p w14:paraId="2FFBCECB">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648</w:t>
                  </w:r>
                </w:p>
              </w:tc>
              <w:tc>
                <w:tcPr>
                  <w:tcW w:w="1325" w:type="dxa"/>
                  <w:tcBorders>
                    <w:tl2br w:val="nil"/>
                    <w:tr2bl w:val="nil"/>
                  </w:tcBorders>
                  <w:noWrap w:val="0"/>
                  <w:vAlign w:val="center"/>
                </w:tcPr>
                <w:p w14:paraId="669D4390">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477.58</w:t>
                  </w:r>
                </w:p>
              </w:tc>
            </w:tr>
            <w:tr w14:paraId="2F8C54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8" w:type="dxa"/>
                  <w:tcBorders>
                    <w:tl2br w:val="nil"/>
                    <w:tr2bl w:val="nil"/>
                  </w:tcBorders>
                  <w:noWrap w:val="0"/>
                  <w:vAlign w:val="center"/>
                </w:tcPr>
                <w:p w14:paraId="640FA9D1">
                  <w:pPr>
                    <w:keepNext w:val="0"/>
                    <w:keepLines w:val="0"/>
                    <w:widowControl/>
                    <w:suppressLineNumbers w:val="0"/>
                    <w:spacing w:before="0" w:beforeAutospacing="0" w:after="0" w:afterAutospacing="0" w:line="240" w:lineRule="exact"/>
                    <w:ind w:left="0" w:right="0"/>
                    <w:jc w:val="center"/>
                    <w:rPr>
                      <w:rFonts w:hint="eastAsia"/>
                      <w:color w:val="auto"/>
                      <w:kern w:val="0"/>
                      <w:sz w:val="21"/>
                      <w:szCs w:val="21"/>
                      <w:highlight w:val="none"/>
                    </w:rPr>
                  </w:pPr>
                  <w:r>
                    <w:rPr>
                      <w:rFonts w:hint="eastAsia"/>
                      <w:color w:val="auto"/>
                      <w:kern w:val="0"/>
                      <w:sz w:val="21"/>
                      <w:szCs w:val="21"/>
                      <w:highlight w:val="none"/>
                    </w:rPr>
                    <w:t>柴油</w:t>
                  </w:r>
                </w:p>
              </w:tc>
              <w:tc>
                <w:tcPr>
                  <w:tcW w:w="1066" w:type="dxa"/>
                  <w:tcBorders>
                    <w:tl2br w:val="nil"/>
                    <w:tr2bl w:val="nil"/>
                  </w:tcBorders>
                  <w:noWrap w:val="0"/>
                  <w:vAlign w:val="center"/>
                </w:tcPr>
                <w:p w14:paraId="19383426">
                  <w:pPr>
                    <w:keepNext w:val="0"/>
                    <w:keepLines w:val="0"/>
                    <w:widowControl/>
                    <w:suppressLineNumbers w:val="0"/>
                    <w:spacing w:before="0" w:beforeAutospacing="0" w:after="0" w:afterAutospacing="0" w:line="240" w:lineRule="exact"/>
                    <w:ind w:left="0" w:right="0"/>
                    <w:jc w:val="center"/>
                    <w:rPr>
                      <w:rFonts w:hint="eastAsia"/>
                      <w:color w:val="auto"/>
                      <w:kern w:val="0"/>
                      <w:sz w:val="21"/>
                      <w:szCs w:val="21"/>
                      <w:highlight w:val="none"/>
                    </w:rPr>
                  </w:pPr>
                  <w:r>
                    <w:rPr>
                      <w:rFonts w:hint="eastAsia"/>
                      <w:color w:val="auto"/>
                      <w:kern w:val="0"/>
                      <w:sz w:val="21"/>
                      <w:szCs w:val="21"/>
                      <w:highlight w:val="none"/>
                    </w:rPr>
                    <w:t>0#</w:t>
                  </w:r>
                </w:p>
              </w:tc>
              <w:tc>
                <w:tcPr>
                  <w:tcW w:w="1200" w:type="dxa"/>
                  <w:tcBorders>
                    <w:tl2br w:val="nil"/>
                    <w:tr2bl w:val="nil"/>
                  </w:tcBorders>
                  <w:noWrap w:val="0"/>
                  <w:vAlign w:val="center"/>
                </w:tcPr>
                <w:p w14:paraId="433D60C2">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60</w:t>
                  </w:r>
                </w:p>
              </w:tc>
              <w:tc>
                <w:tcPr>
                  <w:tcW w:w="1590" w:type="dxa"/>
                  <w:tcBorders>
                    <w:tl2br w:val="nil"/>
                    <w:tr2bl w:val="nil"/>
                  </w:tcBorders>
                  <w:noWrap w:val="0"/>
                  <w:vAlign w:val="center"/>
                </w:tcPr>
                <w:p w14:paraId="26F89CE3">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eastAsia="等线"/>
                      <w:color w:val="auto"/>
                      <w:sz w:val="21"/>
                      <w:szCs w:val="21"/>
                      <w:highlight w:val="none"/>
                      <w:lang w:val="en-US" w:eastAsia="zh-CN"/>
                    </w:rPr>
                    <w:t>54</w:t>
                  </w:r>
                </w:p>
              </w:tc>
              <w:tc>
                <w:tcPr>
                  <w:tcW w:w="1311" w:type="dxa"/>
                  <w:tcBorders>
                    <w:tl2br w:val="nil"/>
                    <w:tr2bl w:val="nil"/>
                  </w:tcBorders>
                  <w:noWrap w:val="0"/>
                  <w:vAlign w:val="center"/>
                </w:tcPr>
                <w:p w14:paraId="553648B8">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1944</w:t>
                  </w:r>
                </w:p>
              </w:tc>
              <w:tc>
                <w:tcPr>
                  <w:tcW w:w="1325" w:type="dxa"/>
                  <w:tcBorders>
                    <w:tl2br w:val="nil"/>
                    <w:tr2bl w:val="nil"/>
                  </w:tcBorders>
                  <w:noWrap w:val="0"/>
                  <w:vAlign w:val="center"/>
                </w:tcPr>
                <w:p w14:paraId="1BC70286">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1652.4</w:t>
                  </w:r>
                </w:p>
              </w:tc>
            </w:tr>
            <w:tr w14:paraId="76EC5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8" w:type="dxa"/>
                  <w:tcBorders>
                    <w:tl2br w:val="nil"/>
                    <w:tr2bl w:val="nil"/>
                  </w:tcBorders>
                  <w:noWrap w:val="0"/>
                  <w:vAlign w:val="center"/>
                </w:tcPr>
                <w:p w14:paraId="4964C262">
                  <w:pPr>
                    <w:keepNext w:val="0"/>
                    <w:keepLines w:val="0"/>
                    <w:widowControl/>
                    <w:suppressLineNumbers w:val="0"/>
                    <w:spacing w:before="0" w:beforeAutospacing="0" w:after="0" w:afterAutospacing="0" w:line="240" w:lineRule="exact"/>
                    <w:ind w:left="0" w:right="0"/>
                    <w:jc w:val="center"/>
                    <w:rPr>
                      <w:rFonts w:hint="eastAsia"/>
                      <w:color w:val="auto"/>
                      <w:kern w:val="0"/>
                      <w:sz w:val="21"/>
                      <w:szCs w:val="21"/>
                      <w:highlight w:val="none"/>
                    </w:rPr>
                  </w:pPr>
                  <w:r>
                    <w:rPr>
                      <w:rFonts w:hint="eastAsia"/>
                      <w:color w:val="auto"/>
                      <w:kern w:val="0"/>
                      <w:sz w:val="21"/>
                      <w:szCs w:val="21"/>
                      <w:highlight w:val="none"/>
                    </w:rPr>
                    <w:t>液化天然气（LNG）</w:t>
                  </w:r>
                </w:p>
              </w:tc>
              <w:tc>
                <w:tcPr>
                  <w:tcW w:w="1066" w:type="dxa"/>
                  <w:tcBorders>
                    <w:tl2br w:val="nil"/>
                    <w:tr2bl w:val="nil"/>
                  </w:tcBorders>
                  <w:noWrap w:val="0"/>
                  <w:vAlign w:val="center"/>
                </w:tcPr>
                <w:p w14:paraId="129F6997">
                  <w:pPr>
                    <w:keepNext w:val="0"/>
                    <w:keepLines w:val="0"/>
                    <w:widowControl/>
                    <w:suppressLineNumbers w:val="0"/>
                    <w:spacing w:before="0" w:beforeAutospacing="0" w:after="0" w:afterAutospacing="0" w:line="240" w:lineRule="exact"/>
                    <w:ind w:left="0" w:right="0"/>
                    <w:jc w:val="center"/>
                    <w:rPr>
                      <w:rFonts w:hint="eastAsia"/>
                      <w:color w:val="auto"/>
                      <w:kern w:val="0"/>
                      <w:sz w:val="21"/>
                      <w:szCs w:val="21"/>
                      <w:highlight w:val="none"/>
                    </w:rPr>
                  </w:pPr>
                  <w:r>
                    <w:rPr>
                      <w:rFonts w:hint="eastAsia"/>
                      <w:color w:val="auto"/>
                      <w:kern w:val="0"/>
                      <w:sz w:val="21"/>
                      <w:szCs w:val="21"/>
                      <w:highlight w:val="none"/>
                    </w:rPr>
                    <w:t>/</w:t>
                  </w:r>
                </w:p>
              </w:tc>
              <w:tc>
                <w:tcPr>
                  <w:tcW w:w="1200" w:type="dxa"/>
                  <w:tcBorders>
                    <w:tl2br w:val="nil"/>
                    <w:tr2bl w:val="nil"/>
                  </w:tcBorders>
                  <w:noWrap w:val="0"/>
                  <w:vAlign w:val="center"/>
                </w:tcPr>
                <w:p w14:paraId="2ECF9AF7">
                  <w:pPr>
                    <w:keepNext w:val="0"/>
                    <w:keepLines w:val="0"/>
                    <w:widowControl/>
                    <w:suppressLineNumbers w:val="0"/>
                    <w:spacing w:before="0" w:beforeAutospacing="0" w:after="0" w:afterAutospacing="0" w:line="240" w:lineRule="exact"/>
                    <w:ind w:left="0" w:right="0"/>
                    <w:jc w:val="center"/>
                    <w:rPr>
                      <w:rFonts w:hint="eastAsia"/>
                      <w:color w:val="auto"/>
                      <w:kern w:val="0"/>
                      <w:sz w:val="21"/>
                      <w:szCs w:val="21"/>
                      <w:highlight w:val="none"/>
                    </w:rPr>
                  </w:pPr>
                  <w:r>
                    <w:rPr>
                      <w:rFonts w:hint="eastAsia"/>
                      <w:color w:val="auto"/>
                      <w:kern w:val="0"/>
                      <w:sz w:val="21"/>
                      <w:szCs w:val="21"/>
                      <w:highlight w:val="none"/>
                    </w:rPr>
                    <w:t>60</w:t>
                  </w:r>
                </w:p>
              </w:tc>
              <w:tc>
                <w:tcPr>
                  <w:tcW w:w="1590" w:type="dxa"/>
                  <w:tcBorders>
                    <w:tl2br w:val="nil"/>
                    <w:tr2bl w:val="nil"/>
                  </w:tcBorders>
                  <w:noWrap w:val="0"/>
                  <w:vAlign w:val="center"/>
                </w:tcPr>
                <w:p w14:paraId="28D2C3E7">
                  <w:pPr>
                    <w:keepNext w:val="0"/>
                    <w:keepLines w:val="0"/>
                    <w:widowControl/>
                    <w:suppressLineNumbers w:val="0"/>
                    <w:spacing w:before="0" w:beforeAutospacing="0" w:after="0" w:afterAutospacing="0" w:line="240" w:lineRule="exact"/>
                    <w:ind w:left="0" w:right="0"/>
                    <w:jc w:val="center"/>
                    <w:rPr>
                      <w:rFonts w:hint="eastAsia"/>
                      <w:color w:val="auto"/>
                      <w:kern w:val="0"/>
                      <w:sz w:val="21"/>
                      <w:szCs w:val="21"/>
                      <w:highlight w:val="none"/>
                    </w:rPr>
                  </w:pPr>
                  <w:r>
                    <w:rPr>
                      <w:rFonts w:hint="eastAsia" w:eastAsia="等线"/>
                      <w:color w:val="auto"/>
                      <w:sz w:val="21"/>
                      <w:szCs w:val="21"/>
                      <w:highlight w:val="none"/>
                    </w:rPr>
                    <w:t>54</w:t>
                  </w:r>
                </w:p>
              </w:tc>
              <w:tc>
                <w:tcPr>
                  <w:tcW w:w="1311" w:type="dxa"/>
                  <w:tcBorders>
                    <w:tl2br w:val="nil"/>
                    <w:tr2bl w:val="nil"/>
                  </w:tcBorders>
                  <w:noWrap w:val="0"/>
                  <w:vAlign w:val="center"/>
                </w:tcPr>
                <w:p w14:paraId="2C0B7276">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1944</w:t>
                  </w:r>
                </w:p>
              </w:tc>
              <w:tc>
                <w:tcPr>
                  <w:tcW w:w="1325" w:type="dxa"/>
                  <w:tcBorders>
                    <w:tl2br w:val="nil"/>
                    <w:tr2bl w:val="nil"/>
                  </w:tcBorders>
                  <w:noWrap w:val="0"/>
                  <w:vAlign w:val="center"/>
                </w:tcPr>
                <w:p w14:paraId="6B68CE2F">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907.26</w:t>
                  </w:r>
                </w:p>
              </w:tc>
            </w:tr>
            <w:tr w14:paraId="51795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0" w:type="dxa"/>
                  <w:gridSpan w:val="6"/>
                  <w:tcBorders>
                    <w:tl2br w:val="nil"/>
                    <w:tr2bl w:val="nil"/>
                  </w:tcBorders>
                  <w:noWrap w:val="0"/>
                  <w:vAlign w:val="center"/>
                </w:tcPr>
                <w:p w14:paraId="5C3D374D">
                  <w:pPr>
                    <w:keepNext w:val="0"/>
                    <w:keepLines w:val="0"/>
                    <w:widowControl/>
                    <w:suppressLineNumbers w:val="0"/>
                    <w:spacing w:before="0" w:beforeAutospacing="0" w:after="0" w:afterAutospacing="0" w:line="240" w:lineRule="exact"/>
                    <w:ind w:left="0" w:right="0"/>
                    <w:jc w:val="left"/>
                    <w:rPr>
                      <w:rFonts w:hint="default" w:eastAsia="等线"/>
                      <w:color w:val="auto"/>
                      <w:szCs w:val="21"/>
                      <w:highlight w:val="none"/>
                    </w:rPr>
                  </w:pPr>
                  <w:r>
                    <w:rPr>
                      <w:rFonts w:hint="default"/>
                      <w:color w:val="auto"/>
                      <w:kern w:val="0"/>
                      <w:sz w:val="21"/>
                      <w:szCs w:val="21"/>
                      <w:highlight w:val="none"/>
                    </w:rPr>
                    <w:t>注：92#汽油相对密度为0.725g/mL</w:t>
                  </w:r>
                  <w:r>
                    <w:rPr>
                      <w:rFonts w:hint="eastAsia"/>
                      <w:color w:val="auto"/>
                      <w:kern w:val="0"/>
                      <w:sz w:val="21"/>
                      <w:szCs w:val="21"/>
                      <w:highlight w:val="none"/>
                    </w:rPr>
                    <w:t>、</w:t>
                  </w:r>
                  <w:r>
                    <w:rPr>
                      <w:rFonts w:hint="default"/>
                      <w:color w:val="auto"/>
                      <w:kern w:val="0"/>
                      <w:sz w:val="21"/>
                      <w:szCs w:val="21"/>
                      <w:highlight w:val="none"/>
                    </w:rPr>
                    <w:t>95#汽油相对密度为0.737g/mL</w:t>
                  </w:r>
                  <w:r>
                    <w:rPr>
                      <w:rFonts w:hint="eastAsia"/>
                      <w:color w:val="auto"/>
                      <w:kern w:val="0"/>
                      <w:sz w:val="21"/>
                      <w:szCs w:val="21"/>
                      <w:highlight w:val="none"/>
                    </w:rPr>
                    <w:t>、</w:t>
                  </w:r>
                  <w:r>
                    <w:rPr>
                      <w:rFonts w:hint="default"/>
                      <w:color w:val="auto"/>
                      <w:kern w:val="0"/>
                      <w:sz w:val="21"/>
                      <w:szCs w:val="21"/>
                      <w:highlight w:val="none"/>
                    </w:rPr>
                    <w:t>0#柴油相对密度为0.8</w:t>
                  </w:r>
                  <w:r>
                    <w:rPr>
                      <w:rFonts w:hint="eastAsia"/>
                      <w:color w:val="auto"/>
                      <w:kern w:val="0"/>
                      <w:sz w:val="21"/>
                      <w:szCs w:val="21"/>
                      <w:highlight w:val="none"/>
                    </w:rPr>
                    <w:t>5</w:t>
                  </w:r>
                  <w:r>
                    <w:rPr>
                      <w:rFonts w:hint="default"/>
                      <w:color w:val="auto"/>
                      <w:kern w:val="0"/>
                      <w:sz w:val="21"/>
                      <w:szCs w:val="21"/>
                      <w:highlight w:val="none"/>
                    </w:rPr>
                    <w:t>g/mL</w:t>
                  </w:r>
                  <w:r>
                    <w:rPr>
                      <w:rFonts w:hint="eastAsia"/>
                      <w:color w:val="auto"/>
                      <w:kern w:val="0"/>
                      <w:sz w:val="21"/>
                      <w:szCs w:val="21"/>
                      <w:highlight w:val="none"/>
                    </w:rPr>
                    <w:t>、</w:t>
                  </w:r>
                  <w:r>
                    <w:rPr>
                      <w:rFonts w:hint="default" w:eastAsia="Times New Roman"/>
                      <w:color w:val="auto"/>
                      <w:sz w:val="21"/>
                      <w:szCs w:val="21"/>
                      <w:highlight w:val="none"/>
                    </w:rPr>
                    <w:t>LNG</w:t>
                  </w:r>
                  <w:r>
                    <w:rPr>
                      <w:rFonts w:hint="default" w:ascii="宋体" w:hAnsi="宋体" w:cs="宋体"/>
                      <w:color w:val="auto"/>
                      <w:spacing w:val="2"/>
                      <w:sz w:val="21"/>
                      <w:szCs w:val="21"/>
                      <w:highlight w:val="none"/>
                    </w:rPr>
                    <w:t>在</w:t>
                  </w:r>
                  <w:r>
                    <w:rPr>
                      <w:rFonts w:hint="default" w:eastAsia="Times New Roman"/>
                      <w:color w:val="auto"/>
                      <w:spacing w:val="2"/>
                      <w:sz w:val="21"/>
                      <w:szCs w:val="21"/>
                      <w:highlight w:val="none"/>
                    </w:rPr>
                    <w:t>1.2</w:t>
                  </w:r>
                  <w:r>
                    <w:rPr>
                      <w:rFonts w:hint="default" w:eastAsia="Times New Roman"/>
                      <w:color w:val="auto"/>
                      <w:sz w:val="21"/>
                      <w:szCs w:val="21"/>
                      <w:highlight w:val="none"/>
                    </w:rPr>
                    <w:t>MPa</w:t>
                  </w:r>
                  <w:r>
                    <w:rPr>
                      <w:rFonts w:hint="default" w:ascii="宋体" w:hAnsi="宋体" w:cs="宋体"/>
                      <w:color w:val="auto"/>
                      <w:spacing w:val="2"/>
                      <w:sz w:val="21"/>
                      <w:szCs w:val="21"/>
                      <w:highlight w:val="none"/>
                    </w:rPr>
                    <w:t>，</w:t>
                  </w:r>
                  <w:r>
                    <w:rPr>
                      <w:rFonts w:hint="default" w:eastAsia="Times New Roman"/>
                      <w:color w:val="auto"/>
                      <w:spacing w:val="2"/>
                      <w:sz w:val="21"/>
                      <w:szCs w:val="21"/>
                      <w:highlight w:val="none"/>
                    </w:rPr>
                    <w:t>-162℃</w:t>
                  </w:r>
                  <w:r>
                    <w:rPr>
                      <w:rFonts w:hint="default" w:ascii="宋体" w:hAnsi="宋体" w:cs="宋体"/>
                      <w:color w:val="auto"/>
                      <w:spacing w:val="2"/>
                      <w:sz w:val="21"/>
                      <w:szCs w:val="21"/>
                      <w:highlight w:val="none"/>
                    </w:rPr>
                    <w:t>的情况下相对水密</w:t>
                  </w:r>
                  <w:r>
                    <w:rPr>
                      <w:rFonts w:hint="default" w:ascii="宋体" w:hAnsi="宋体" w:cs="宋体"/>
                      <w:color w:val="auto"/>
                      <w:spacing w:val="4"/>
                      <w:sz w:val="21"/>
                      <w:szCs w:val="21"/>
                      <w:highlight w:val="none"/>
                    </w:rPr>
                    <w:t>度取</w:t>
                  </w:r>
                  <w:r>
                    <w:rPr>
                      <w:rFonts w:hint="default" w:eastAsia="Times New Roman"/>
                      <w:color w:val="auto"/>
                      <w:spacing w:val="4"/>
                      <w:sz w:val="21"/>
                      <w:szCs w:val="21"/>
                      <w:highlight w:val="none"/>
                    </w:rPr>
                    <w:t>0.4667</w:t>
                  </w:r>
                  <w:r>
                    <w:rPr>
                      <w:rFonts w:hint="default" w:ascii="宋体" w:hAnsi="宋体" w:cs="宋体"/>
                      <w:color w:val="auto"/>
                      <w:spacing w:val="4"/>
                      <w:sz w:val="21"/>
                      <w:szCs w:val="21"/>
                      <w:highlight w:val="none"/>
                    </w:rPr>
                    <w:t>。</w:t>
                  </w:r>
                </w:p>
              </w:tc>
            </w:tr>
          </w:tbl>
          <w:p w14:paraId="76B3D76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w:t>
            </w:r>
            <w:r>
              <w:rPr>
                <w:rFonts w:hint="eastAsia"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bCs w:val="0"/>
                <w:color w:val="auto"/>
                <w:sz w:val="24"/>
                <w:szCs w:val="24"/>
                <w:highlight w:val="none"/>
                <w:lang w:val="en-US" w:eastAsia="zh-CN"/>
              </w:rPr>
              <w:t>主要原辅材料及能耗情况</w:t>
            </w:r>
          </w:p>
          <w:p w14:paraId="54F5A2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本项目所涉及的主要原辅材料种类、数量及项目能耗情况见表2-4所示。</w:t>
            </w:r>
          </w:p>
          <w:p w14:paraId="790B86AF">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表2-4</w:t>
            </w:r>
            <w:r>
              <w:rPr>
                <w:rFonts w:hint="default" w:ascii="Times New Roman" w:hAnsi="Times New Roman" w:eastAsia="黑体" w:cs="Times New Roman"/>
                <w:b/>
                <w:bCs/>
                <w:color w:val="auto"/>
                <w:kern w:val="0"/>
                <w:sz w:val="20"/>
                <w:szCs w:val="20"/>
                <w:highlight w:val="none"/>
                <w:lang w:val="en-US" w:eastAsia="zh-CN" w:bidi="ar-SA"/>
              </w:rPr>
              <w:t>主要原辅材料及能耗情况一览表</w:t>
            </w:r>
          </w:p>
          <w:tbl>
            <w:tblPr>
              <w:tblStyle w:val="23"/>
              <w:tblW w:w="0" w:type="auto"/>
              <w:tblInd w:w="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97"/>
              <w:gridCol w:w="909"/>
              <w:gridCol w:w="981"/>
              <w:gridCol w:w="1196"/>
              <w:gridCol w:w="2413"/>
            </w:tblGrid>
            <w:tr w14:paraId="5547A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tcBorders>
                    <w:tl2br w:val="nil"/>
                    <w:tr2bl w:val="nil"/>
                  </w:tcBorders>
                  <w:noWrap w:val="0"/>
                  <w:vAlign w:val="center"/>
                </w:tcPr>
                <w:p w14:paraId="77A8A1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1937" w:type="dxa"/>
                  <w:tcBorders>
                    <w:tl2br w:val="nil"/>
                    <w:tr2bl w:val="nil"/>
                  </w:tcBorders>
                  <w:noWrap w:val="0"/>
                  <w:vAlign w:val="center"/>
                </w:tcPr>
                <w:p w14:paraId="03F22C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953" w:type="dxa"/>
                  <w:tcBorders>
                    <w:tl2br w:val="nil"/>
                    <w:tr2bl w:val="nil"/>
                  </w:tcBorders>
                  <w:noWrap w:val="0"/>
                  <w:vAlign w:val="center"/>
                </w:tcPr>
                <w:p w14:paraId="2C1026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单位</w:t>
                  </w:r>
                </w:p>
              </w:tc>
              <w:tc>
                <w:tcPr>
                  <w:tcW w:w="998" w:type="dxa"/>
                  <w:tcBorders>
                    <w:tl2br w:val="nil"/>
                    <w:tr2bl w:val="nil"/>
                  </w:tcBorders>
                  <w:noWrap w:val="0"/>
                  <w:vAlign w:val="center"/>
                </w:tcPr>
                <w:p w14:paraId="3C3CEF4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年用量</w:t>
                  </w:r>
                </w:p>
              </w:tc>
              <w:tc>
                <w:tcPr>
                  <w:tcW w:w="1300" w:type="dxa"/>
                  <w:tcBorders>
                    <w:tl2br w:val="nil"/>
                    <w:tr2bl w:val="nil"/>
                  </w:tcBorders>
                  <w:noWrap w:val="0"/>
                  <w:vAlign w:val="center"/>
                </w:tcPr>
                <w:p w14:paraId="152E23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最大储存量</w:t>
                  </w:r>
                </w:p>
              </w:tc>
              <w:tc>
                <w:tcPr>
                  <w:tcW w:w="2493" w:type="dxa"/>
                  <w:tcBorders>
                    <w:tl2br w:val="nil"/>
                    <w:tr2bl w:val="nil"/>
                  </w:tcBorders>
                  <w:noWrap w:val="0"/>
                  <w:vAlign w:val="center"/>
                </w:tcPr>
                <w:p w14:paraId="0A135CC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w:t>
                  </w:r>
                </w:p>
              </w:tc>
            </w:tr>
            <w:tr w14:paraId="44248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tcBorders>
                    <w:tl2br w:val="nil"/>
                    <w:tr2bl w:val="nil"/>
                  </w:tcBorders>
                  <w:noWrap w:val="0"/>
                  <w:vAlign w:val="center"/>
                </w:tcPr>
                <w:p w14:paraId="590A5EAA">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1</w:t>
                  </w:r>
                </w:p>
              </w:tc>
              <w:tc>
                <w:tcPr>
                  <w:tcW w:w="1937" w:type="dxa"/>
                  <w:tcBorders>
                    <w:tl2br w:val="nil"/>
                    <w:tr2bl w:val="nil"/>
                  </w:tcBorders>
                  <w:noWrap w:val="0"/>
                  <w:vAlign w:val="center"/>
                </w:tcPr>
                <w:p w14:paraId="5669BA47">
                  <w:pPr>
                    <w:keepNext w:val="0"/>
                    <w:keepLines w:val="0"/>
                    <w:widowControl/>
                    <w:suppressLineNumbers w:val="0"/>
                    <w:spacing w:before="0" w:beforeAutospacing="0" w:after="0" w:afterAutospacing="0" w:line="240" w:lineRule="exact"/>
                    <w:ind w:left="0" w:right="0"/>
                    <w:jc w:val="center"/>
                    <w:rPr>
                      <w:rFonts w:hint="default"/>
                      <w:color w:val="auto"/>
                      <w:sz w:val="21"/>
                      <w:szCs w:val="21"/>
                      <w:highlight w:val="none"/>
                    </w:rPr>
                  </w:pPr>
                  <w:r>
                    <w:rPr>
                      <w:rFonts w:hint="default"/>
                      <w:color w:val="auto"/>
                      <w:sz w:val="21"/>
                      <w:szCs w:val="21"/>
                      <w:highlight w:val="none"/>
                    </w:rPr>
                    <w:t>0#柴油</w:t>
                  </w:r>
                </w:p>
              </w:tc>
              <w:tc>
                <w:tcPr>
                  <w:tcW w:w="953" w:type="dxa"/>
                  <w:tcBorders>
                    <w:tl2br w:val="nil"/>
                    <w:tr2bl w:val="nil"/>
                  </w:tcBorders>
                  <w:noWrap w:val="0"/>
                  <w:vAlign w:val="center"/>
                </w:tcPr>
                <w:p w14:paraId="3A007725">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t</w:t>
                  </w:r>
                </w:p>
              </w:tc>
              <w:tc>
                <w:tcPr>
                  <w:tcW w:w="998" w:type="dxa"/>
                  <w:tcBorders>
                    <w:tl2br w:val="nil"/>
                    <w:tr2bl w:val="nil"/>
                  </w:tcBorders>
                  <w:noWrap w:val="0"/>
                  <w:vAlign w:val="center"/>
                </w:tcPr>
                <w:p w14:paraId="2533B105">
                  <w:pPr>
                    <w:keepNext w:val="0"/>
                    <w:keepLines w:val="0"/>
                    <w:widowControl/>
                    <w:suppressLineNumbers w:val="0"/>
                    <w:spacing w:before="0" w:beforeAutospacing="0" w:after="0" w:afterAutospacing="0" w:line="240" w:lineRule="exact"/>
                    <w:ind w:left="0" w:leftChars="0" w:right="0" w:rightChars="0"/>
                    <w:jc w:val="center"/>
                    <w:rPr>
                      <w:rFonts w:hint="default"/>
                      <w:color w:val="auto"/>
                      <w:kern w:val="0"/>
                      <w:sz w:val="21"/>
                      <w:szCs w:val="21"/>
                      <w:highlight w:val="none"/>
                    </w:rPr>
                  </w:pPr>
                  <w:r>
                    <w:rPr>
                      <w:rFonts w:hint="eastAsia"/>
                      <w:color w:val="auto"/>
                      <w:kern w:val="0"/>
                      <w:sz w:val="21"/>
                      <w:szCs w:val="21"/>
                      <w:highlight w:val="none"/>
                      <w:lang w:val="en-US" w:eastAsia="zh-CN"/>
                    </w:rPr>
                    <w:t>1174.5</w:t>
                  </w:r>
                </w:p>
              </w:tc>
              <w:tc>
                <w:tcPr>
                  <w:tcW w:w="1300" w:type="dxa"/>
                  <w:tcBorders>
                    <w:tl2br w:val="nil"/>
                    <w:tr2bl w:val="nil"/>
                  </w:tcBorders>
                  <w:noWrap w:val="0"/>
                  <w:vAlign w:val="center"/>
                </w:tcPr>
                <w:p w14:paraId="0DAFC38C">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45.9</w:t>
                  </w:r>
                </w:p>
              </w:tc>
              <w:tc>
                <w:tcPr>
                  <w:tcW w:w="2493" w:type="dxa"/>
                  <w:vMerge w:val="restart"/>
                  <w:tcBorders>
                    <w:tl2br w:val="nil"/>
                    <w:tr2bl w:val="nil"/>
                  </w:tcBorders>
                  <w:noWrap w:val="0"/>
                  <w:vAlign w:val="center"/>
                </w:tcPr>
                <w:p w14:paraId="679927D0">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油品满足     （GB17930-2006）（GB/T9147-2013）</w:t>
                  </w:r>
                </w:p>
              </w:tc>
            </w:tr>
            <w:tr w14:paraId="15639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tcBorders>
                    <w:tl2br w:val="nil"/>
                    <w:tr2bl w:val="nil"/>
                  </w:tcBorders>
                  <w:noWrap w:val="0"/>
                  <w:vAlign w:val="center"/>
                </w:tcPr>
                <w:p w14:paraId="4F4D7D8D">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2</w:t>
                  </w:r>
                </w:p>
              </w:tc>
              <w:tc>
                <w:tcPr>
                  <w:tcW w:w="1937" w:type="dxa"/>
                  <w:tcBorders>
                    <w:tl2br w:val="nil"/>
                    <w:tr2bl w:val="nil"/>
                  </w:tcBorders>
                  <w:noWrap w:val="0"/>
                  <w:vAlign w:val="center"/>
                </w:tcPr>
                <w:p w14:paraId="46871759">
                  <w:pPr>
                    <w:keepNext w:val="0"/>
                    <w:keepLines w:val="0"/>
                    <w:widowControl/>
                    <w:suppressLineNumbers w:val="0"/>
                    <w:spacing w:before="0" w:beforeAutospacing="0" w:after="0" w:afterAutospacing="0" w:line="240" w:lineRule="exact"/>
                    <w:ind w:left="0" w:right="0"/>
                    <w:jc w:val="center"/>
                    <w:rPr>
                      <w:rFonts w:hint="default"/>
                      <w:color w:val="auto"/>
                      <w:sz w:val="21"/>
                      <w:szCs w:val="21"/>
                      <w:highlight w:val="none"/>
                    </w:rPr>
                  </w:pPr>
                  <w:r>
                    <w:rPr>
                      <w:rFonts w:hint="default"/>
                      <w:color w:val="auto"/>
                      <w:sz w:val="21"/>
                      <w:szCs w:val="21"/>
                      <w:highlight w:val="none"/>
                    </w:rPr>
                    <w:t>92#汽油</w:t>
                  </w:r>
                </w:p>
              </w:tc>
              <w:tc>
                <w:tcPr>
                  <w:tcW w:w="953" w:type="dxa"/>
                  <w:tcBorders>
                    <w:tl2br w:val="nil"/>
                    <w:tr2bl w:val="nil"/>
                  </w:tcBorders>
                  <w:noWrap w:val="0"/>
                  <w:vAlign w:val="center"/>
                </w:tcPr>
                <w:p w14:paraId="6B6B9F7C">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t</w:t>
                  </w:r>
                </w:p>
              </w:tc>
              <w:tc>
                <w:tcPr>
                  <w:tcW w:w="998" w:type="dxa"/>
                  <w:tcBorders>
                    <w:tl2br w:val="nil"/>
                    <w:tr2bl w:val="nil"/>
                  </w:tcBorders>
                  <w:noWrap w:val="0"/>
                  <w:vAlign w:val="center"/>
                </w:tcPr>
                <w:p w14:paraId="0EDEB909">
                  <w:pPr>
                    <w:keepNext w:val="0"/>
                    <w:keepLines w:val="0"/>
                    <w:widowControl/>
                    <w:suppressLineNumbers w:val="0"/>
                    <w:spacing w:before="0" w:beforeAutospacing="0" w:after="0" w:afterAutospacing="0" w:line="240" w:lineRule="exact"/>
                    <w:ind w:left="0" w:leftChars="0" w:right="0" w:rightChars="0"/>
                    <w:jc w:val="center"/>
                    <w:rPr>
                      <w:rFonts w:hint="eastAsia"/>
                      <w:color w:val="auto"/>
                      <w:kern w:val="0"/>
                      <w:sz w:val="21"/>
                      <w:szCs w:val="21"/>
                      <w:highlight w:val="none"/>
                    </w:rPr>
                  </w:pPr>
                  <w:r>
                    <w:rPr>
                      <w:rFonts w:hint="eastAsia"/>
                      <w:color w:val="auto"/>
                      <w:kern w:val="0"/>
                      <w:sz w:val="21"/>
                      <w:szCs w:val="21"/>
                      <w:highlight w:val="none"/>
                      <w:lang w:val="en-US" w:eastAsia="zh-CN"/>
                    </w:rPr>
                    <w:t>477.58</w:t>
                  </w:r>
                </w:p>
              </w:tc>
              <w:tc>
                <w:tcPr>
                  <w:tcW w:w="1300" w:type="dxa"/>
                  <w:tcBorders>
                    <w:tl2br w:val="nil"/>
                    <w:tr2bl w:val="nil"/>
                  </w:tcBorders>
                  <w:noWrap w:val="0"/>
                  <w:vAlign w:val="center"/>
                </w:tcPr>
                <w:p w14:paraId="5E442DE7">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13.05</w:t>
                  </w:r>
                </w:p>
              </w:tc>
              <w:tc>
                <w:tcPr>
                  <w:tcW w:w="2493" w:type="dxa"/>
                  <w:vMerge w:val="continue"/>
                  <w:tcBorders>
                    <w:tl2br w:val="nil"/>
                    <w:tr2bl w:val="nil"/>
                  </w:tcBorders>
                  <w:noWrap w:val="0"/>
                  <w:vAlign w:val="center"/>
                </w:tcPr>
                <w:p w14:paraId="6D0761A3">
                  <w:pPr>
                    <w:keepNext w:val="0"/>
                    <w:keepLines w:val="0"/>
                    <w:widowControl/>
                    <w:suppressLineNumbers w:val="0"/>
                    <w:spacing w:before="0" w:beforeAutospacing="0" w:after="0" w:afterAutospacing="0" w:line="240" w:lineRule="exact"/>
                    <w:ind w:left="0" w:right="0"/>
                    <w:jc w:val="center"/>
                    <w:rPr>
                      <w:rFonts w:hint="default"/>
                      <w:color w:val="auto"/>
                      <w:sz w:val="21"/>
                      <w:szCs w:val="21"/>
                      <w:highlight w:val="none"/>
                    </w:rPr>
                  </w:pPr>
                </w:p>
              </w:tc>
            </w:tr>
            <w:tr w14:paraId="0AD15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tcBorders>
                    <w:tl2br w:val="nil"/>
                    <w:tr2bl w:val="nil"/>
                  </w:tcBorders>
                  <w:noWrap w:val="0"/>
                  <w:vAlign w:val="center"/>
                </w:tcPr>
                <w:p w14:paraId="7AEA1340">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3</w:t>
                  </w:r>
                </w:p>
              </w:tc>
              <w:tc>
                <w:tcPr>
                  <w:tcW w:w="1937" w:type="dxa"/>
                  <w:tcBorders>
                    <w:tl2br w:val="nil"/>
                    <w:tr2bl w:val="nil"/>
                  </w:tcBorders>
                  <w:noWrap w:val="0"/>
                  <w:vAlign w:val="center"/>
                </w:tcPr>
                <w:p w14:paraId="4F1B258F">
                  <w:pPr>
                    <w:keepNext w:val="0"/>
                    <w:keepLines w:val="0"/>
                    <w:widowControl/>
                    <w:suppressLineNumbers w:val="0"/>
                    <w:spacing w:before="0" w:beforeAutospacing="0" w:after="0" w:afterAutospacing="0" w:line="240" w:lineRule="exact"/>
                    <w:ind w:left="0" w:right="0"/>
                    <w:jc w:val="center"/>
                    <w:rPr>
                      <w:rFonts w:hint="default"/>
                      <w:color w:val="auto"/>
                      <w:sz w:val="21"/>
                      <w:szCs w:val="21"/>
                      <w:highlight w:val="none"/>
                    </w:rPr>
                  </w:pPr>
                  <w:r>
                    <w:rPr>
                      <w:rFonts w:hint="default"/>
                      <w:color w:val="auto"/>
                      <w:sz w:val="21"/>
                      <w:szCs w:val="21"/>
                      <w:highlight w:val="none"/>
                    </w:rPr>
                    <w:t>95#汽油</w:t>
                  </w:r>
                </w:p>
              </w:tc>
              <w:tc>
                <w:tcPr>
                  <w:tcW w:w="953" w:type="dxa"/>
                  <w:tcBorders>
                    <w:tl2br w:val="nil"/>
                    <w:tr2bl w:val="nil"/>
                  </w:tcBorders>
                  <w:noWrap w:val="0"/>
                  <w:vAlign w:val="center"/>
                </w:tcPr>
                <w:p w14:paraId="314670E8">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t</w:t>
                  </w:r>
                </w:p>
              </w:tc>
              <w:tc>
                <w:tcPr>
                  <w:tcW w:w="998" w:type="dxa"/>
                  <w:tcBorders>
                    <w:tl2br w:val="nil"/>
                    <w:tr2bl w:val="nil"/>
                  </w:tcBorders>
                  <w:noWrap w:val="0"/>
                  <w:vAlign w:val="center"/>
                </w:tcPr>
                <w:p w14:paraId="416972A9">
                  <w:pPr>
                    <w:keepNext w:val="0"/>
                    <w:keepLines w:val="0"/>
                    <w:widowControl/>
                    <w:suppressLineNumbers w:val="0"/>
                    <w:spacing w:before="0" w:beforeAutospacing="0" w:after="0" w:afterAutospacing="0" w:line="240" w:lineRule="exact"/>
                    <w:ind w:left="0" w:leftChars="0" w:right="0" w:rightChars="0"/>
                    <w:jc w:val="center"/>
                    <w:rPr>
                      <w:rFonts w:hint="eastAsia"/>
                      <w:color w:val="auto"/>
                      <w:kern w:val="0"/>
                      <w:sz w:val="21"/>
                      <w:szCs w:val="21"/>
                      <w:highlight w:val="none"/>
                    </w:rPr>
                  </w:pPr>
                  <w:r>
                    <w:rPr>
                      <w:rFonts w:hint="eastAsia"/>
                      <w:color w:val="auto"/>
                      <w:kern w:val="0"/>
                      <w:sz w:val="21"/>
                      <w:szCs w:val="21"/>
                      <w:highlight w:val="none"/>
                      <w:lang w:val="en-US" w:eastAsia="zh-CN"/>
                    </w:rPr>
                    <w:t>1652.4</w:t>
                  </w:r>
                </w:p>
              </w:tc>
              <w:tc>
                <w:tcPr>
                  <w:tcW w:w="1300" w:type="dxa"/>
                  <w:tcBorders>
                    <w:tl2br w:val="nil"/>
                    <w:tr2bl w:val="nil"/>
                  </w:tcBorders>
                  <w:noWrap w:val="0"/>
                  <w:vAlign w:val="center"/>
                </w:tcPr>
                <w:p w14:paraId="0063D787">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13.27</w:t>
                  </w:r>
                </w:p>
              </w:tc>
              <w:tc>
                <w:tcPr>
                  <w:tcW w:w="2493" w:type="dxa"/>
                  <w:vMerge w:val="continue"/>
                  <w:tcBorders>
                    <w:tl2br w:val="nil"/>
                    <w:tr2bl w:val="nil"/>
                  </w:tcBorders>
                  <w:noWrap w:val="0"/>
                  <w:vAlign w:val="center"/>
                </w:tcPr>
                <w:p w14:paraId="3ABD0342">
                  <w:pPr>
                    <w:keepNext w:val="0"/>
                    <w:keepLines w:val="0"/>
                    <w:widowControl/>
                    <w:suppressLineNumbers w:val="0"/>
                    <w:spacing w:before="0" w:beforeAutospacing="0" w:after="0" w:afterAutospacing="0" w:line="240" w:lineRule="exact"/>
                    <w:ind w:left="0" w:right="0"/>
                    <w:jc w:val="center"/>
                    <w:rPr>
                      <w:rFonts w:hint="default"/>
                      <w:color w:val="auto"/>
                      <w:sz w:val="21"/>
                      <w:szCs w:val="21"/>
                      <w:highlight w:val="none"/>
                    </w:rPr>
                  </w:pPr>
                </w:p>
              </w:tc>
            </w:tr>
            <w:tr w14:paraId="73193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tcBorders>
                    <w:tl2br w:val="nil"/>
                    <w:tr2bl w:val="nil"/>
                  </w:tcBorders>
                  <w:noWrap w:val="0"/>
                  <w:vAlign w:val="center"/>
                </w:tcPr>
                <w:p w14:paraId="7DB4BC07">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4</w:t>
                  </w:r>
                </w:p>
              </w:tc>
              <w:tc>
                <w:tcPr>
                  <w:tcW w:w="1937" w:type="dxa"/>
                  <w:tcBorders>
                    <w:tl2br w:val="nil"/>
                    <w:tr2bl w:val="nil"/>
                  </w:tcBorders>
                  <w:noWrap w:val="0"/>
                  <w:vAlign w:val="center"/>
                </w:tcPr>
                <w:p w14:paraId="0B1C7692">
                  <w:pPr>
                    <w:keepNext w:val="0"/>
                    <w:keepLines w:val="0"/>
                    <w:widowControl/>
                    <w:suppressLineNumbers w:val="0"/>
                    <w:spacing w:before="0" w:beforeAutospacing="0" w:after="0" w:afterAutospacing="0" w:line="240" w:lineRule="exact"/>
                    <w:ind w:left="0" w:right="0"/>
                    <w:jc w:val="center"/>
                    <w:rPr>
                      <w:rFonts w:hint="default"/>
                      <w:color w:val="auto"/>
                      <w:sz w:val="21"/>
                      <w:szCs w:val="21"/>
                      <w:highlight w:val="none"/>
                    </w:rPr>
                  </w:pPr>
                  <w:r>
                    <w:rPr>
                      <w:rFonts w:hint="default"/>
                      <w:color w:val="auto"/>
                      <w:sz w:val="21"/>
                      <w:szCs w:val="21"/>
                      <w:highlight w:val="none"/>
                    </w:rPr>
                    <w:t>液化天然气</w:t>
                  </w:r>
                </w:p>
              </w:tc>
              <w:tc>
                <w:tcPr>
                  <w:tcW w:w="953" w:type="dxa"/>
                  <w:tcBorders>
                    <w:tl2br w:val="nil"/>
                    <w:tr2bl w:val="nil"/>
                  </w:tcBorders>
                  <w:noWrap w:val="0"/>
                  <w:vAlign w:val="center"/>
                </w:tcPr>
                <w:p w14:paraId="2B546C9E">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t</w:t>
                  </w:r>
                </w:p>
              </w:tc>
              <w:tc>
                <w:tcPr>
                  <w:tcW w:w="998" w:type="dxa"/>
                  <w:tcBorders>
                    <w:tl2br w:val="nil"/>
                    <w:tr2bl w:val="nil"/>
                  </w:tcBorders>
                  <w:noWrap w:val="0"/>
                  <w:vAlign w:val="center"/>
                </w:tcPr>
                <w:p w14:paraId="39EF47E0">
                  <w:pPr>
                    <w:keepNext w:val="0"/>
                    <w:keepLines w:val="0"/>
                    <w:widowControl/>
                    <w:suppressLineNumbers w:val="0"/>
                    <w:spacing w:before="0" w:beforeAutospacing="0" w:after="0" w:afterAutospacing="0" w:line="240" w:lineRule="exact"/>
                    <w:ind w:left="0" w:leftChars="0" w:right="0" w:rightChars="0"/>
                    <w:jc w:val="center"/>
                    <w:rPr>
                      <w:rFonts w:hint="default"/>
                      <w:color w:val="auto"/>
                      <w:kern w:val="0"/>
                      <w:sz w:val="21"/>
                      <w:szCs w:val="21"/>
                      <w:highlight w:val="none"/>
                    </w:rPr>
                  </w:pPr>
                  <w:r>
                    <w:rPr>
                      <w:rFonts w:hint="eastAsia"/>
                      <w:color w:val="auto"/>
                      <w:kern w:val="0"/>
                      <w:sz w:val="21"/>
                      <w:szCs w:val="21"/>
                      <w:highlight w:val="none"/>
                      <w:lang w:val="en-US" w:eastAsia="zh-CN"/>
                    </w:rPr>
                    <w:t>907.26</w:t>
                  </w:r>
                </w:p>
              </w:tc>
              <w:tc>
                <w:tcPr>
                  <w:tcW w:w="1300" w:type="dxa"/>
                  <w:tcBorders>
                    <w:tl2br w:val="nil"/>
                    <w:tr2bl w:val="nil"/>
                  </w:tcBorders>
                  <w:noWrap w:val="0"/>
                  <w:vAlign w:val="center"/>
                </w:tcPr>
                <w:p w14:paraId="72BC4A1C">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eastAsia"/>
                      <w:color w:val="auto"/>
                      <w:kern w:val="0"/>
                      <w:sz w:val="21"/>
                      <w:szCs w:val="21"/>
                      <w:highlight w:val="none"/>
                    </w:rPr>
                    <w:t>25.20</w:t>
                  </w:r>
                </w:p>
              </w:tc>
              <w:tc>
                <w:tcPr>
                  <w:tcW w:w="2493" w:type="dxa"/>
                  <w:vMerge w:val="continue"/>
                  <w:tcBorders>
                    <w:tl2br w:val="nil"/>
                    <w:tr2bl w:val="nil"/>
                  </w:tcBorders>
                  <w:noWrap w:val="0"/>
                  <w:vAlign w:val="center"/>
                </w:tcPr>
                <w:p w14:paraId="0D39B83E">
                  <w:pPr>
                    <w:keepNext w:val="0"/>
                    <w:keepLines w:val="0"/>
                    <w:widowControl/>
                    <w:suppressLineNumbers w:val="0"/>
                    <w:spacing w:before="0" w:beforeAutospacing="0" w:after="0" w:afterAutospacing="0" w:line="240" w:lineRule="exact"/>
                    <w:ind w:left="0" w:right="0"/>
                    <w:jc w:val="center"/>
                    <w:rPr>
                      <w:rFonts w:hint="default"/>
                      <w:color w:val="auto"/>
                      <w:sz w:val="21"/>
                      <w:szCs w:val="21"/>
                      <w:highlight w:val="none"/>
                    </w:rPr>
                  </w:pPr>
                </w:p>
              </w:tc>
            </w:tr>
            <w:tr w14:paraId="03BCE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75" w:type="dxa"/>
                  <w:gridSpan w:val="6"/>
                  <w:tcBorders>
                    <w:tl2br w:val="nil"/>
                    <w:tr2bl w:val="nil"/>
                  </w:tcBorders>
                  <w:noWrap w:val="0"/>
                  <w:vAlign w:val="center"/>
                </w:tcPr>
                <w:p w14:paraId="0BFDF751">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b/>
                      <w:bCs/>
                      <w:color w:val="auto"/>
                      <w:kern w:val="0"/>
                      <w:sz w:val="21"/>
                      <w:szCs w:val="21"/>
                      <w:highlight w:val="none"/>
                    </w:rPr>
                    <w:t>能源</w:t>
                  </w:r>
                </w:p>
              </w:tc>
            </w:tr>
            <w:tr w14:paraId="33CF8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tcBorders>
                    <w:tl2br w:val="nil"/>
                    <w:tr2bl w:val="nil"/>
                  </w:tcBorders>
                  <w:noWrap w:val="0"/>
                  <w:vAlign w:val="center"/>
                </w:tcPr>
                <w:p w14:paraId="6442E7E8">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1</w:t>
                  </w:r>
                </w:p>
              </w:tc>
              <w:tc>
                <w:tcPr>
                  <w:tcW w:w="1937" w:type="dxa"/>
                  <w:tcBorders>
                    <w:tl2br w:val="nil"/>
                    <w:tr2bl w:val="nil"/>
                  </w:tcBorders>
                  <w:noWrap w:val="0"/>
                  <w:vAlign w:val="center"/>
                </w:tcPr>
                <w:p w14:paraId="4A666944">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eastAsia"/>
                      <w:color w:val="auto"/>
                      <w:kern w:val="0"/>
                      <w:sz w:val="21"/>
                      <w:szCs w:val="21"/>
                      <w:highlight w:val="none"/>
                    </w:rPr>
                    <w:t>水</w:t>
                  </w:r>
                </w:p>
              </w:tc>
              <w:tc>
                <w:tcPr>
                  <w:tcW w:w="953" w:type="dxa"/>
                  <w:tcBorders>
                    <w:tl2br w:val="nil"/>
                    <w:tr2bl w:val="nil"/>
                  </w:tcBorders>
                  <w:noWrap w:val="0"/>
                  <w:vAlign w:val="center"/>
                </w:tcPr>
                <w:p w14:paraId="7465CA55">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m</w:t>
                  </w:r>
                  <w:r>
                    <w:rPr>
                      <w:rFonts w:hint="default"/>
                      <w:color w:val="auto"/>
                      <w:kern w:val="0"/>
                      <w:sz w:val="21"/>
                      <w:szCs w:val="21"/>
                      <w:highlight w:val="none"/>
                      <w:vertAlign w:val="superscript"/>
                    </w:rPr>
                    <w:t>3</w:t>
                  </w:r>
                </w:p>
              </w:tc>
              <w:tc>
                <w:tcPr>
                  <w:tcW w:w="998" w:type="dxa"/>
                  <w:tcBorders>
                    <w:tl2br w:val="nil"/>
                    <w:tr2bl w:val="nil"/>
                  </w:tcBorders>
                  <w:noWrap w:val="0"/>
                  <w:vAlign w:val="center"/>
                </w:tcPr>
                <w:p w14:paraId="1B00E447">
                  <w:pPr>
                    <w:keepNext w:val="0"/>
                    <w:keepLines w:val="0"/>
                    <w:widowControl/>
                    <w:suppressLineNumbers w:val="0"/>
                    <w:spacing w:before="0" w:beforeAutospacing="0" w:after="0" w:afterAutospacing="0" w:line="240" w:lineRule="exact"/>
                    <w:ind w:left="0" w:right="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2317.75</w:t>
                  </w:r>
                </w:p>
              </w:tc>
              <w:tc>
                <w:tcPr>
                  <w:tcW w:w="1300" w:type="dxa"/>
                  <w:tcBorders>
                    <w:tl2br w:val="nil"/>
                    <w:tr2bl w:val="nil"/>
                  </w:tcBorders>
                  <w:noWrap w:val="0"/>
                  <w:vAlign w:val="center"/>
                </w:tcPr>
                <w:p w14:paraId="73A20E51">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w:t>
                  </w:r>
                </w:p>
              </w:tc>
              <w:tc>
                <w:tcPr>
                  <w:tcW w:w="2493" w:type="dxa"/>
                  <w:tcBorders>
                    <w:tl2br w:val="nil"/>
                    <w:tr2bl w:val="nil"/>
                  </w:tcBorders>
                  <w:noWrap w:val="0"/>
                  <w:vAlign w:val="center"/>
                </w:tcPr>
                <w:p w14:paraId="7DED996B">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市政供水管网</w:t>
                  </w:r>
                </w:p>
              </w:tc>
            </w:tr>
            <w:tr w14:paraId="71C69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tcBorders>
                    <w:tl2br w:val="nil"/>
                    <w:tr2bl w:val="nil"/>
                  </w:tcBorders>
                  <w:noWrap w:val="0"/>
                  <w:vAlign w:val="center"/>
                </w:tcPr>
                <w:p w14:paraId="32238B70">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2</w:t>
                  </w:r>
                </w:p>
              </w:tc>
              <w:tc>
                <w:tcPr>
                  <w:tcW w:w="1937" w:type="dxa"/>
                  <w:tcBorders>
                    <w:tl2br w:val="nil"/>
                    <w:tr2bl w:val="nil"/>
                  </w:tcBorders>
                  <w:noWrap w:val="0"/>
                  <w:vAlign w:val="center"/>
                </w:tcPr>
                <w:p w14:paraId="6EC07D35">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电</w:t>
                  </w:r>
                </w:p>
              </w:tc>
              <w:tc>
                <w:tcPr>
                  <w:tcW w:w="953" w:type="dxa"/>
                  <w:tcBorders>
                    <w:tl2br w:val="nil"/>
                    <w:tr2bl w:val="nil"/>
                  </w:tcBorders>
                  <w:noWrap w:val="0"/>
                  <w:vAlign w:val="center"/>
                </w:tcPr>
                <w:p w14:paraId="3D47600A">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sz w:val="21"/>
                      <w:szCs w:val="21"/>
                      <w:highlight w:val="none"/>
                    </w:rPr>
                    <w:t>kW·h</w:t>
                  </w:r>
                </w:p>
              </w:tc>
              <w:tc>
                <w:tcPr>
                  <w:tcW w:w="998" w:type="dxa"/>
                  <w:tcBorders>
                    <w:tl2br w:val="nil"/>
                    <w:tr2bl w:val="nil"/>
                  </w:tcBorders>
                  <w:noWrap w:val="0"/>
                  <w:vAlign w:val="center"/>
                </w:tcPr>
                <w:p w14:paraId="3AFFC7C8">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30000</w:t>
                  </w:r>
                </w:p>
              </w:tc>
              <w:tc>
                <w:tcPr>
                  <w:tcW w:w="1300" w:type="dxa"/>
                  <w:tcBorders>
                    <w:tl2br w:val="nil"/>
                    <w:tr2bl w:val="nil"/>
                  </w:tcBorders>
                  <w:noWrap w:val="0"/>
                  <w:vAlign w:val="center"/>
                </w:tcPr>
                <w:p w14:paraId="48FB62F1">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w:t>
                  </w:r>
                </w:p>
              </w:tc>
              <w:tc>
                <w:tcPr>
                  <w:tcW w:w="2493" w:type="dxa"/>
                  <w:tcBorders>
                    <w:tl2br w:val="nil"/>
                    <w:tr2bl w:val="nil"/>
                  </w:tcBorders>
                  <w:noWrap w:val="0"/>
                  <w:vAlign w:val="center"/>
                </w:tcPr>
                <w:p w14:paraId="252FB95C">
                  <w:pPr>
                    <w:keepNext w:val="0"/>
                    <w:keepLines w:val="0"/>
                    <w:widowControl/>
                    <w:suppressLineNumbers w:val="0"/>
                    <w:spacing w:before="0" w:beforeAutospacing="0" w:after="0" w:afterAutospacing="0" w:line="240" w:lineRule="exact"/>
                    <w:ind w:left="0" w:right="0"/>
                    <w:jc w:val="center"/>
                    <w:rPr>
                      <w:rFonts w:hint="default"/>
                      <w:color w:val="auto"/>
                      <w:kern w:val="0"/>
                      <w:sz w:val="21"/>
                      <w:szCs w:val="21"/>
                      <w:highlight w:val="none"/>
                    </w:rPr>
                  </w:pPr>
                  <w:r>
                    <w:rPr>
                      <w:rFonts w:hint="default"/>
                      <w:color w:val="auto"/>
                      <w:kern w:val="0"/>
                      <w:sz w:val="21"/>
                      <w:szCs w:val="21"/>
                      <w:highlight w:val="none"/>
                    </w:rPr>
                    <w:t>市政电网</w:t>
                  </w:r>
                </w:p>
              </w:tc>
            </w:tr>
          </w:tbl>
          <w:p w14:paraId="7D06AAC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原辅料性质简介</w:t>
            </w:r>
            <w:r>
              <w:rPr>
                <w:rFonts w:hint="eastAsia" w:ascii="Times New Roman" w:hAnsi="Times New Roman" w:eastAsia="宋体" w:cs="Times New Roman"/>
                <w:b/>
                <w:bCs w:val="0"/>
                <w:color w:val="auto"/>
                <w:sz w:val="24"/>
                <w:szCs w:val="24"/>
                <w:highlight w:val="none"/>
                <w:lang w:val="en-US" w:eastAsia="zh-CN"/>
              </w:rPr>
              <w:t>：</w:t>
            </w:r>
          </w:p>
          <w:p w14:paraId="310444A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w:t>
            </w:r>
            <w:r>
              <w:rPr>
                <w:rFonts w:hint="eastAsia"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bCs w:val="0"/>
                <w:color w:val="auto"/>
                <w:sz w:val="24"/>
                <w:szCs w:val="24"/>
                <w:highlight w:val="none"/>
                <w:lang w:val="en-US" w:eastAsia="zh-CN"/>
              </w:rPr>
              <w:t>汽油</w:t>
            </w:r>
          </w:p>
          <w:p w14:paraId="7B0A000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fldChar w:fldCharType="begin"/>
            </w:r>
            <w:r>
              <w:rPr>
                <w:rFonts w:hint="eastAsia" w:ascii="Times New Roman" w:hAnsi="Times New Roman" w:eastAsia="宋体" w:cs="Times New Roman"/>
                <w:b w:val="0"/>
                <w:bCs/>
                <w:color w:val="auto"/>
                <w:sz w:val="24"/>
                <w:szCs w:val="24"/>
                <w:highlight w:val="none"/>
                <w:lang w:val="en-US" w:eastAsia="zh-CN"/>
              </w:rPr>
              <w:instrText xml:space="preserve"> HYPERLINK "http://baike.baidu.com/view/755429.htm" </w:instrText>
            </w:r>
            <w:r>
              <w:rPr>
                <w:rFonts w:hint="eastAsia"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汽油为油品</w:t>
            </w:r>
            <w:r>
              <w:rPr>
                <w:rFonts w:hint="eastAsia" w:ascii="Times New Roman" w:hAnsi="Times New Roman" w:eastAsia="宋体" w:cs="Times New Roman"/>
                <w:b w:val="0"/>
                <w:bCs/>
                <w:color w:val="auto"/>
                <w:sz w:val="24"/>
                <w:szCs w:val="24"/>
                <w:highlight w:val="none"/>
                <w:lang w:val="en-US" w:eastAsia="zh-CN"/>
              </w:rPr>
              <w:fldChar w:fldCharType="end"/>
            </w:r>
            <w:r>
              <w:rPr>
                <w:rFonts w:hint="eastAsia" w:ascii="Times New Roman" w:hAnsi="Times New Roman" w:eastAsia="宋体" w:cs="Times New Roman"/>
                <w:b w:val="0"/>
                <w:bCs/>
                <w:color w:val="auto"/>
                <w:sz w:val="24"/>
                <w:szCs w:val="24"/>
                <w:highlight w:val="none"/>
                <w:lang w:val="en-US" w:eastAsia="zh-CN"/>
              </w:rPr>
              <w:t>的一大类，为无色到浅黄色的透明液体，是四碳至十二碳复杂烃类的</w:t>
            </w:r>
            <w:r>
              <w:rPr>
                <w:rFonts w:hint="eastAsia" w:ascii="Times New Roman" w:hAnsi="Times New Roman" w:eastAsia="宋体" w:cs="Times New Roman"/>
                <w:b w:val="0"/>
                <w:bCs/>
                <w:color w:val="auto"/>
                <w:sz w:val="24"/>
                <w:szCs w:val="24"/>
                <w:highlight w:val="none"/>
                <w:lang w:val="en-US" w:eastAsia="zh-CN"/>
              </w:rPr>
              <w:fldChar w:fldCharType="begin"/>
            </w:r>
            <w:r>
              <w:rPr>
                <w:rFonts w:hint="eastAsia" w:ascii="Times New Roman" w:hAnsi="Times New Roman" w:eastAsia="宋体" w:cs="Times New Roman"/>
                <w:b w:val="0"/>
                <w:bCs/>
                <w:color w:val="auto"/>
                <w:sz w:val="24"/>
                <w:szCs w:val="24"/>
                <w:highlight w:val="none"/>
                <w:lang w:val="en-US" w:eastAsia="zh-CN"/>
              </w:rPr>
              <w:instrText xml:space="preserve"> HYPERLINK "http://baike.baidu.com/view/62511.htm" </w:instrText>
            </w:r>
            <w:r>
              <w:rPr>
                <w:rFonts w:hint="eastAsia"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混合物</w:t>
            </w:r>
            <w:r>
              <w:rPr>
                <w:rFonts w:hint="eastAsia" w:ascii="Times New Roman" w:hAnsi="Times New Roman" w:eastAsia="宋体" w:cs="Times New Roman"/>
                <w:b w:val="0"/>
                <w:bCs/>
                <w:color w:val="auto"/>
                <w:sz w:val="24"/>
                <w:szCs w:val="24"/>
                <w:highlight w:val="none"/>
                <w:lang w:val="en-US" w:eastAsia="zh-CN"/>
              </w:rPr>
              <w:fldChar w:fldCharType="end"/>
            </w:r>
            <w:r>
              <w:rPr>
                <w:rFonts w:hint="eastAsia" w:ascii="Times New Roman" w:hAnsi="Times New Roman" w:eastAsia="宋体" w:cs="Times New Roman"/>
                <w:b w:val="0"/>
                <w:bCs/>
                <w:color w:val="auto"/>
                <w:sz w:val="24"/>
                <w:szCs w:val="24"/>
                <w:highlight w:val="none"/>
                <w:lang w:val="en-US" w:eastAsia="zh-CN"/>
              </w:rPr>
              <w:t>，虽然为无色至淡黄色的易流动液体，但很难溶解于水，易燃，馏程为</w:t>
            </w:r>
            <w:r>
              <w:rPr>
                <w:rFonts w:hint="default" w:ascii="Times New Roman" w:hAnsi="Times New Roman" w:eastAsia="宋体" w:cs="Times New Roman"/>
                <w:b w:val="0"/>
                <w:bCs/>
                <w:color w:val="auto"/>
                <w:sz w:val="24"/>
                <w:szCs w:val="24"/>
                <w:highlight w:val="none"/>
                <w:lang w:val="en-US" w:eastAsia="zh-CN"/>
              </w:rPr>
              <w:t>30℃至205℃，</w:t>
            </w:r>
            <w:r>
              <w:rPr>
                <w:rFonts w:hint="eastAsia" w:ascii="Times New Roman" w:hAnsi="Times New Roman" w:eastAsia="宋体" w:cs="Times New Roman"/>
                <w:b w:val="0"/>
                <w:bCs/>
                <w:color w:val="auto"/>
                <w:sz w:val="24"/>
                <w:szCs w:val="24"/>
                <w:highlight w:val="none"/>
                <w:lang w:val="en-US" w:eastAsia="zh-CN"/>
              </w:rPr>
              <w:t>空气中含量为74~123g/m</w:t>
            </w:r>
            <w:r>
              <w:rPr>
                <w:rFonts w:hint="eastAsia" w:ascii="Times New Roman" w:hAnsi="Times New Roman" w:eastAsia="宋体" w:cs="Times New Roman"/>
                <w:b w:val="0"/>
                <w:bCs/>
                <w:color w:val="auto"/>
                <w:sz w:val="24"/>
                <w:szCs w:val="24"/>
                <w:highlight w:val="none"/>
                <w:vertAlign w:val="superscript"/>
                <w:lang w:val="en-US" w:eastAsia="zh-CN"/>
              </w:rPr>
              <w:t>3</w:t>
            </w:r>
            <w:r>
              <w:rPr>
                <w:rFonts w:hint="eastAsia" w:ascii="Times New Roman" w:hAnsi="Times New Roman" w:eastAsia="宋体" w:cs="Times New Roman"/>
                <w:b w:val="0"/>
                <w:bCs/>
                <w:color w:val="auto"/>
                <w:sz w:val="24"/>
                <w:szCs w:val="24"/>
                <w:highlight w:val="none"/>
                <w:lang w:val="en-US" w:eastAsia="zh-CN"/>
              </w:rPr>
              <w:t>时遇</w:t>
            </w:r>
            <w:r>
              <w:rPr>
                <w:rFonts w:hint="eastAsia" w:ascii="Times New Roman" w:hAnsi="Times New Roman" w:eastAsia="宋体" w:cs="Times New Roman"/>
                <w:b w:val="0"/>
                <w:bCs/>
                <w:color w:val="auto"/>
                <w:sz w:val="24"/>
                <w:szCs w:val="24"/>
                <w:highlight w:val="none"/>
                <w:lang w:val="en-US" w:eastAsia="zh-CN"/>
              </w:rPr>
              <w:fldChar w:fldCharType="begin"/>
            </w:r>
            <w:r>
              <w:rPr>
                <w:rFonts w:hint="eastAsia" w:ascii="Times New Roman" w:hAnsi="Times New Roman" w:eastAsia="宋体" w:cs="Times New Roman"/>
                <w:b w:val="0"/>
                <w:bCs/>
                <w:color w:val="auto"/>
                <w:sz w:val="24"/>
                <w:szCs w:val="24"/>
                <w:highlight w:val="none"/>
                <w:lang w:val="en-US" w:eastAsia="zh-CN"/>
              </w:rPr>
              <w:instrText xml:space="preserve"> HYPERLINK "http://baike.baidu.com/view/63146.htm" </w:instrText>
            </w:r>
            <w:r>
              <w:rPr>
                <w:rFonts w:hint="eastAsia"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火爆炸</w:t>
            </w:r>
            <w:r>
              <w:rPr>
                <w:rFonts w:hint="eastAsia" w:ascii="Times New Roman" w:hAnsi="Times New Roman" w:eastAsia="宋体" w:cs="Times New Roman"/>
                <w:b w:val="0"/>
                <w:bCs/>
                <w:color w:val="auto"/>
                <w:sz w:val="24"/>
                <w:szCs w:val="24"/>
                <w:highlight w:val="none"/>
                <w:lang w:val="en-US" w:eastAsia="zh-CN"/>
              </w:rPr>
              <w:fldChar w:fldCharType="end"/>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乙醇汽油含10%乙醇，其余为汽油。汽油的</w:t>
            </w:r>
            <w:r>
              <w:rPr>
                <w:rFonts w:hint="eastAsia" w:ascii="Times New Roman" w:hAnsi="Times New Roman" w:eastAsia="宋体" w:cs="Times New Roman"/>
                <w:b w:val="0"/>
                <w:bCs/>
                <w:color w:val="auto"/>
                <w:sz w:val="24"/>
                <w:szCs w:val="24"/>
                <w:highlight w:val="none"/>
                <w:lang w:val="en-US" w:eastAsia="zh-CN"/>
              </w:rPr>
              <w:fldChar w:fldCharType="begin"/>
            </w:r>
            <w:r>
              <w:rPr>
                <w:rFonts w:hint="eastAsia" w:ascii="Times New Roman" w:hAnsi="Times New Roman" w:eastAsia="宋体" w:cs="Times New Roman"/>
                <w:b w:val="0"/>
                <w:bCs/>
                <w:color w:val="auto"/>
                <w:sz w:val="24"/>
                <w:szCs w:val="24"/>
                <w:highlight w:val="none"/>
                <w:lang w:val="en-US" w:eastAsia="zh-CN"/>
              </w:rPr>
              <w:instrText xml:space="preserve"> HYPERLINK "http://baike.baidu.com/view/407573.htm" </w:instrText>
            </w:r>
            <w:r>
              <w:rPr>
                <w:rFonts w:hint="eastAsia"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热值</w:t>
            </w:r>
            <w:r>
              <w:rPr>
                <w:rFonts w:hint="eastAsia" w:ascii="Times New Roman" w:hAnsi="Times New Roman" w:eastAsia="宋体" w:cs="Times New Roman"/>
                <w:b w:val="0"/>
                <w:bCs/>
                <w:color w:val="auto"/>
                <w:sz w:val="24"/>
                <w:szCs w:val="24"/>
                <w:highlight w:val="none"/>
                <w:lang w:val="en-US" w:eastAsia="zh-CN"/>
              </w:rPr>
              <w:fldChar w:fldCharType="end"/>
            </w:r>
            <w:r>
              <w:rPr>
                <w:rFonts w:hint="eastAsia" w:ascii="Times New Roman" w:hAnsi="Times New Roman" w:eastAsia="宋体" w:cs="Times New Roman"/>
                <w:b w:val="0"/>
                <w:bCs/>
                <w:color w:val="auto"/>
                <w:sz w:val="24"/>
                <w:szCs w:val="24"/>
                <w:highlight w:val="none"/>
                <w:lang w:val="en-US" w:eastAsia="zh-CN"/>
              </w:rPr>
              <w:t>约为44000kJ/kg。燃料的热值是指1kg燃料完全燃烧后所产生的热量。汽油最重要的性能为蒸发性、抗爆性、安定性和腐蚀性。依据《车用无铅汽油》（GB17930）生产的车用无铅汽油，按辛烷值的高低分为89号、90 号、92号、93号、95号、97号、98号等牌号，2012年1月起，汽油牌号90号、93号、97号修改为89号、92号、95号。相</w:t>
            </w:r>
            <w:r>
              <w:rPr>
                <w:rFonts w:hint="default" w:ascii="Times New Roman" w:hAnsi="Times New Roman" w:eastAsia="宋体" w:cs="Times New Roman"/>
                <w:b w:val="0"/>
                <w:bCs/>
                <w:color w:val="auto"/>
                <w:sz w:val="24"/>
                <w:szCs w:val="24"/>
                <w:highlight w:val="none"/>
                <w:lang w:val="en-US" w:eastAsia="zh-CN"/>
              </w:rPr>
              <w:t>对密度（水=1）0.70~0.80，相对蒸气密度（空气=1）3~4，闪点-46℃</w:t>
            </w:r>
            <w:r>
              <w:rPr>
                <w:rFonts w:hint="eastAsia" w:ascii="Times New Roman" w:hAnsi="Times New Roman" w:eastAsia="宋体" w:cs="Times New Roman"/>
                <w:b w:val="0"/>
                <w:bCs/>
                <w:color w:val="auto"/>
                <w:sz w:val="24"/>
                <w:szCs w:val="24"/>
                <w:highlight w:val="none"/>
                <w:lang w:val="en-US" w:eastAsia="zh-CN"/>
              </w:rPr>
              <w:t>，爆炸极限1.4</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7.6%（体积比），自燃温度</w:t>
            </w:r>
            <w:r>
              <w:rPr>
                <w:rFonts w:hint="default" w:ascii="Times New Roman" w:hAnsi="Times New Roman" w:eastAsia="宋体" w:cs="Times New Roman"/>
                <w:b w:val="0"/>
                <w:bCs/>
                <w:color w:val="auto"/>
                <w:sz w:val="24"/>
                <w:szCs w:val="24"/>
                <w:highlight w:val="none"/>
                <w:lang w:val="en-US" w:eastAsia="zh-CN"/>
              </w:rPr>
              <w:t>415~530℃</w:t>
            </w:r>
            <w:r>
              <w:rPr>
                <w:rFonts w:hint="eastAsia" w:ascii="Times New Roman" w:hAnsi="Times New Roman" w:eastAsia="宋体" w:cs="Times New Roman"/>
                <w:b w:val="0"/>
                <w:bCs/>
                <w:color w:val="auto"/>
                <w:sz w:val="24"/>
                <w:szCs w:val="24"/>
                <w:highlight w:val="none"/>
                <w:lang w:val="en-US" w:eastAsia="zh-CN"/>
              </w:rPr>
              <w:t>，最大爆炸压力0.813MPa。89#汽油的平均密度为0.72g/mL；92#汽油的密度为0.725g/mL；95#汽油的密度为0.737g/mL。本项目销售的为92#、95#汽油。</w:t>
            </w:r>
          </w:p>
          <w:p w14:paraId="583C417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毒性：属低毒类；急性毒性：LD5067000mg/kg（小鼠经口）；LC50103000mg/m</w:t>
            </w:r>
            <w:r>
              <w:rPr>
                <w:rFonts w:hint="eastAsia" w:ascii="Times New Roman" w:hAnsi="Times New Roman" w:eastAsia="宋体" w:cs="Times New Roman"/>
                <w:b w:val="0"/>
                <w:bCs/>
                <w:color w:val="auto"/>
                <w:sz w:val="24"/>
                <w:szCs w:val="24"/>
                <w:highlight w:val="none"/>
                <w:vertAlign w:val="superscript"/>
                <w:lang w:val="en-US" w:eastAsia="zh-CN"/>
              </w:rPr>
              <w:t>3</w:t>
            </w:r>
            <w:r>
              <w:rPr>
                <w:rFonts w:hint="eastAsia" w:ascii="Times New Roman" w:hAnsi="Times New Roman" w:eastAsia="宋体" w:cs="Times New Roman"/>
                <w:b w:val="0"/>
                <w:bCs/>
                <w:color w:val="auto"/>
                <w:sz w:val="24"/>
                <w:szCs w:val="24"/>
                <w:highlight w:val="none"/>
                <w:lang w:val="en-US" w:eastAsia="zh-CN"/>
              </w:rPr>
              <w:t>，2h（小鼠吸入）。刺激性：人经眼：140ppm（8h），轻度刺激；亚急性和慢性毒性：大鼠吸入3g/m</w:t>
            </w:r>
            <w:r>
              <w:rPr>
                <w:rFonts w:hint="eastAsia" w:ascii="Times New Roman" w:hAnsi="Times New Roman" w:eastAsia="宋体" w:cs="Times New Roman"/>
                <w:b w:val="0"/>
                <w:bCs/>
                <w:color w:val="auto"/>
                <w:sz w:val="24"/>
                <w:szCs w:val="24"/>
                <w:highlight w:val="none"/>
                <w:vertAlign w:val="superscript"/>
                <w:lang w:val="en-US" w:eastAsia="zh-CN"/>
              </w:rPr>
              <w:t>3</w:t>
            </w:r>
            <w:r>
              <w:rPr>
                <w:rFonts w:hint="eastAsia" w:ascii="Times New Roman" w:hAnsi="Times New Roman" w:eastAsia="宋体" w:cs="Times New Roman"/>
                <w:b w:val="0"/>
                <w:bCs/>
                <w:color w:val="auto"/>
                <w:sz w:val="24"/>
                <w:szCs w:val="24"/>
                <w:highlight w:val="none"/>
                <w:lang w:val="en-US" w:eastAsia="zh-CN"/>
              </w:rPr>
              <w:t>，12</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24h/d，78d（120#溶剂汽油），未见中毒症状；大鼠吸入2500mg/m</w:t>
            </w:r>
            <w:r>
              <w:rPr>
                <w:rFonts w:hint="eastAsia" w:ascii="Times New Roman" w:hAnsi="Times New Roman" w:eastAsia="宋体" w:cs="Times New Roman"/>
                <w:b w:val="0"/>
                <w:bCs/>
                <w:color w:val="auto"/>
                <w:sz w:val="24"/>
                <w:szCs w:val="24"/>
                <w:highlight w:val="none"/>
                <w:vertAlign w:val="superscript"/>
                <w:lang w:val="en-US" w:eastAsia="zh-CN"/>
              </w:rPr>
              <w:t>3</w:t>
            </w:r>
            <w:r>
              <w:rPr>
                <w:rFonts w:hint="eastAsia" w:ascii="Times New Roman" w:hAnsi="Times New Roman" w:eastAsia="宋体" w:cs="Times New Roman"/>
                <w:b w:val="0"/>
                <w:bCs/>
                <w:color w:val="auto"/>
                <w:sz w:val="24"/>
                <w:szCs w:val="24"/>
                <w:highlight w:val="none"/>
                <w:lang w:val="en-US" w:eastAsia="zh-CN"/>
              </w:rPr>
              <w:t>，130#催化裂解汽油，4h/d，6d/周，8周，体力活动能力降低，神经系统发生机能性改变；危险特性：极易燃烧。其蒸气与空气可形成爆炸性混合物。遇明火、高热极易燃烧爆炸。与氧化剂能发生强烈反应。其蒸气比空气重，能在较低处扩散到相当远的地方，遇明火会引着回燃。燃烧（分解）产物：一氧化碳、二氧化碳。</w:t>
            </w:r>
          </w:p>
          <w:p w14:paraId="379C3D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2）柴油</w:t>
            </w:r>
          </w:p>
          <w:p w14:paraId="729033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柴油为无色到浅黄色的透明液体，主要是由</w:t>
            </w:r>
            <w:r>
              <w:rPr>
                <w:rFonts w:hint="eastAsia" w:ascii="Times New Roman" w:hAnsi="Times New Roman" w:eastAsia="宋体" w:cs="Times New Roman"/>
                <w:b w:val="0"/>
                <w:bCs/>
                <w:color w:val="auto"/>
                <w:sz w:val="24"/>
                <w:szCs w:val="24"/>
                <w:highlight w:val="none"/>
                <w:lang w:val="en-US" w:eastAsia="zh-CN"/>
              </w:rPr>
              <w:fldChar w:fldCharType="begin"/>
            </w:r>
            <w:r>
              <w:rPr>
                <w:rFonts w:hint="eastAsia" w:ascii="Times New Roman" w:hAnsi="Times New Roman" w:eastAsia="宋体" w:cs="Times New Roman"/>
                <w:b w:val="0"/>
                <w:bCs/>
                <w:color w:val="auto"/>
                <w:sz w:val="24"/>
                <w:szCs w:val="24"/>
                <w:highlight w:val="none"/>
                <w:lang w:val="en-US" w:eastAsia="zh-CN"/>
              </w:rPr>
              <w:instrText xml:space="preserve"> HYPERLINK "http://zhidao.baidu.com/search?word=%E7%83%B7%E7%83%83&amp;fr=qb_search_exp&amp;ie=utf8" </w:instrText>
            </w:r>
            <w:r>
              <w:rPr>
                <w:rFonts w:hint="eastAsia"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烷烃</w:t>
            </w:r>
            <w:r>
              <w:rPr>
                <w:rFonts w:hint="eastAsia" w:ascii="Times New Roman" w:hAnsi="Times New Roman" w:eastAsia="宋体" w:cs="Times New Roman"/>
                <w:b w:val="0"/>
                <w:bCs/>
                <w:color w:val="auto"/>
                <w:sz w:val="24"/>
                <w:szCs w:val="24"/>
                <w:highlight w:val="none"/>
                <w:lang w:val="en-US" w:eastAsia="zh-CN"/>
              </w:rPr>
              <w:fldChar w:fldCharType="end"/>
            </w:r>
            <w:r>
              <w:rPr>
                <w:rFonts w:hint="eastAsia"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fldChar w:fldCharType="begin"/>
            </w:r>
            <w:r>
              <w:rPr>
                <w:rFonts w:hint="eastAsia" w:ascii="Times New Roman" w:hAnsi="Times New Roman" w:eastAsia="宋体" w:cs="Times New Roman"/>
                <w:b w:val="0"/>
                <w:bCs/>
                <w:color w:val="auto"/>
                <w:sz w:val="24"/>
                <w:szCs w:val="24"/>
                <w:highlight w:val="none"/>
                <w:lang w:val="en-US" w:eastAsia="zh-CN"/>
              </w:rPr>
              <w:instrText xml:space="preserve"> HYPERLINK "http://zhidao.baidu.com/search?word=%E7%83%AF%E7%83%83&amp;fr=qb_search_exp&amp;ie=utf8" </w:instrText>
            </w:r>
            <w:r>
              <w:rPr>
                <w:rFonts w:hint="eastAsia"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烯烃</w:t>
            </w:r>
            <w:r>
              <w:rPr>
                <w:rFonts w:hint="eastAsia" w:ascii="Times New Roman" w:hAnsi="Times New Roman" w:eastAsia="宋体" w:cs="Times New Roman"/>
                <w:b w:val="0"/>
                <w:bCs/>
                <w:color w:val="auto"/>
                <w:sz w:val="24"/>
                <w:szCs w:val="24"/>
                <w:highlight w:val="none"/>
                <w:lang w:val="en-US" w:eastAsia="zh-CN"/>
              </w:rPr>
              <w:fldChar w:fldCharType="end"/>
            </w:r>
            <w:r>
              <w:rPr>
                <w:rFonts w:hint="eastAsia"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fldChar w:fldCharType="begin"/>
            </w:r>
            <w:r>
              <w:rPr>
                <w:rFonts w:hint="eastAsia" w:ascii="Times New Roman" w:hAnsi="Times New Roman" w:eastAsia="宋体" w:cs="Times New Roman"/>
                <w:b w:val="0"/>
                <w:bCs/>
                <w:color w:val="auto"/>
                <w:sz w:val="24"/>
                <w:szCs w:val="24"/>
                <w:highlight w:val="none"/>
                <w:lang w:val="en-US" w:eastAsia="zh-CN"/>
              </w:rPr>
              <w:instrText xml:space="preserve"> HYPERLINK "http://zhidao.baidu.com/search?word=%E7%8E%AF%E7%83%B7%E7%83%83&amp;fr=qb_search_exp&amp;ie=utf8" </w:instrText>
            </w:r>
            <w:r>
              <w:rPr>
                <w:rFonts w:hint="eastAsia"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环烷烃</w:t>
            </w:r>
            <w:r>
              <w:rPr>
                <w:rFonts w:hint="eastAsia" w:ascii="Times New Roman" w:hAnsi="Times New Roman" w:eastAsia="宋体" w:cs="Times New Roman"/>
                <w:b w:val="0"/>
                <w:bCs/>
                <w:color w:val="auto"/>
                <w:sz w:val="24"/>
                <w:szCs w:val="24"/>
                <w:highlight w:val="none"/>
                <w:lang w:val="en-US" w:eastAsia="zh-CN"/>
              </w:rPr>
              <w:fldChar w:fldCharType="end"/>
            </w:r>
            <w:r>
              <w:rPr>
                <w:rFonts w:hint="eastAsia"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fldChar w:fldCharType="begin"/>
            </w:r>
            <w:r>
              <w:rPr>
                <w:rFonts w:hint="eastAsia" w:ascii="Times New Roman" w:hAnsi="Times New Roman" w:eastAsia="宋体" w:cs="Times New Roman"/>
                <w:b w:val="0"/>
                <w:bCs/>
                <w:color w:val="auto"/>
                <w:sz w:val="24"/>
                <w:szCs w:val="24"/>
                <w:highlight w:val="none"/>
                <w:lang w:val="en-US" w:eastAsia="zh-CN"/>
              </w:rPr>
              <w:instrText xml:space="preserve"> HYPERLINK "http://zhidao.baidu.com/search?word=%E8%8A%B3%E9%A6%99%E7%83%83&amp;fr=qb_search_exp&amp;ie=utf8" </w:instrText>
            </w:r>
            <w:r>
              <w:rPr>
                <w:rFonts w:hint="eastAsia"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芳香烃</w:t>
            </w:r>
            <w:r>
              <w:rPr>
                <w:rFonts w:hint="eastAsia" w:ascii="Times New Roman" w:hAnsi="Times New Roman" w:eastAsia="宋体" w:cs="Times New Roman"/>
                <w:b w:val="0"/>
                <w:bCs/>
                <w:color w:val="auto"/>
                <w:sz w:val="24"/>
                <w:szCs w:val="24"/>
                <w:highlight w:val="none"/>
                <w:lang w:val="en-US" w:eastAsia="zh-CN"/>
              </w:rPr>
              <w:fldChar w:fldCharType="end"/>
            </w:r>
            <w:r>
              <w:rPr>
                <w:rFonts w:hint="eastAsia" w:ascii="Times New Roman" w:hAnsi="Times New Roman" w:eastAsia="宋体" w:cs="Times New Roman"/>
                <w:b w:val="0"/>
                <w:bCs/>
                <w:color w:val="auto"/>
                <w:sz w:val="24"/>
                <w:szCs w:val="24"/>
                <w:highlight w:val="none"/>
                <w:lang w:val="en-US" w:eastAsia="zh-CN"/>
              </w:rPr>
              <w:t>、多环芳烃与少量硫（2~60g/kg）、氮（&lt;1g/kg）及添加剂组成的混合物。化学和物理特性位于汽油</w:t>
            </w:r>
            <w:r>
              <w:rPr>
                <w:rFonts w:hint="eastAsia" w:ascii="Times New Roman" w:hAnsi="Times New Roman" w:eastAsia="宋体" w:cs="Times New Roman"/>
                <w:b w:val="0"/>
                <w:bCs/>
                <w:color w:val="auto"/>
                <w:sz w:val="24"/>
                <w:szCs w:val="24"/>
                <w:highlight w:val="none"/>
                <w:lang w:val="en-US" w:eastAsia="zh-CN"/>
              </w:rPr>
              <w:fldChar w:fldCharType="begin"/>
            </w:r>
            <w:r>
              <w:rPr>
                <w:rFonts w:hint="eastAsia" w:ascii="Times New Roman" w:hAnsi="Times New Roman" w:eastAsia="宋体" w:cs="Times New Roman"/>
                <w:b w:val="0"/>
                <w:bCs/>
                <w:color w:val="auto"/>
                <w:sz w:val="24"/>
                <w:szCs w:val="24"/>
                <w:highlight w:val="none"/>
                <w:lang w:val="en-US" w:eastAsia="zh-CN"/>
              </w:rPr>
              <w:instrText xml:space="preserve"> HYPERLINK "http://baike.baidu.com/view/196390.htm" </w:instrText>
            </w:r>
            <w:r>
              <w:rPr>
                <w:rFonts w:hint="eastAsia"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和重油</w:t>
            </w:r>
            <w:r>
              <w:rPr>
                <w:rFonts w:hint="eastAsia" w:ascii="Times New Roman" w:hAnsi="Times New Roman" w:eastAsia="宋体" w:cs="Times New Roman"/>
                <w:b w:val="0"/>
                <w:bCs/>
                <w:color w:val="auto"/>
                <w:sz w:val="24"/>
                <w:szCs w:val="24"/>
                <w:highlight w:val="none"/>
                <w:lang w:val="en-US" w:eastAsia="zh-CN"/>
              </w:rPr>
              <w:fldChar w:fldCharType="end"/>
            </w:r>
            <w:r>
              <w:rPr>
                <w:rFonts w:hint="eastAsia" w:ascii="Times New Roman" w:hAnsi="Times New Roman" w:eastAsia="宋体" w:cs="Times New Roman"/>
                <w:b w:val="0"/>
                <w:bCs/>
                <w:color w:val="auto"/>
                <w:sz w:val="24"/>
                <w:szCs w:val="24"/>
                <w:highlight w:val="none"/>
                <w:lang w:val="en-US" w:eastAsia="zh-CN"/>
              </w:rPr>
              <w:t>之间，沸点在170</w:t>
            </w:r>
            <w:r>
              <w:rPr>
                <w:rFonts w:hint="default" w:ascii="Times New Roman" w:hAnsi="Times New Roman" w:eastAsia="宋体" w:cs="Times New Roman"/>
                <w:b w:val="0"/>
                <w:bCs/>
                <w:color w:val="auto"/>
                <w:sz w:val="24"/>
                <w:szCs w:val="24"/>
                <w:highlight w:val="none"/>
                <w:lang w:val="en-US" w:eastAsia="zh-CN"/>
              </w:rPr>
              <w:t>℃至390℃</w:t>
            </w:r>
            <w:r>
              <w:rPr>
                <w:rFonts w:hint="eastAsia" w:ascii="Times New Roman" w:hAnsi="Times New Roman" w:eastAsia="宋体" w:cs="Times New Roman"/>
                <w:b w:val="0"/>
                <w:bCs/>
                <w:color w:val="auto"/>
                <w:sz w:val="24"/>
                <w:szCs w:val="24"/>
                <w:highlight w:val="none"/>
                <w:lang w:val="en-US" w:eastAsia="zh-CN"/>
              </w:rPr>
              <w:t>间，比重为0.82~0.845kg/L，热值为3.3×107J/L。目前国内应用的轻柴油按凝固点分为6个牌号：5#柴油、0#柴油、-10#柴油、-20#柴油、-35#柴油和-50#柴油。0#柴油为白色或淡黄色液体，</w:t>
            </w:r>
            <w:r>
              <w:rPr>
                <w:rFonts w:hint="eastAsia" w:ascii="Times New Roman" w:hAnsi="Times New Roman" w:eastAsia="宋体" w:cs="Times New Roman"/>
                <w:b w:val="0"/>
                <w:bCs/>
                <w:color w:val="auto"/>
                <w:sz w:val="24"/>
                <w:szCs w:val="24"/>
                <w:highlight w:val="none"/>
                <w:lang w:val="en-US" w:eastAsia="zh-CN"/>
              </w:rPr>
              <w:fldChar w:fldCharType="begin"/>
            </w:r>
            <w:r>
              <w:rPr>
                <w:rFonts w:hint="eastAsia" w:ascii="Times New Roman" w:hAnsi="Times New Roman" w:eastAsia="宋体" w:cs="Times New Roman"/>
                <w:b w:val="0"/>
                <w:bCs/>
                <w:color w:val="auto"/>
                <w:sz w:val="24"/>
                <w:szCs w:val="24"/>
                <w:highlight w:val="none"/>
                <w:lang w:val="en-US" w:eastAsia="zh-CN"/>
              </w:rPr>
              <w:instrText xml:space="preserve"> HYPERLINK "http://zhidao.baidu.com/search?word=%E7%9B%B8%E5%AF%B9%E5%AF%86%E5%BA%A6&amp;fr=qb_search_exp&amp;ie=utf8" </w:instrText>
            </w:r>
            <w:r>
              <w:rPr>
                <w:rFonts w:hint="eastAsia"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相</w:t>
            </w:r>
            <w:r>
              <w:rPr>
                <w:rFonts w:hint="eastAsia" w:ascii="Times New Roman" w:hAnsi="Times New Roman" w:eastAsia="宋体" w:cs="Times New Roman"/>
                <w:b w:val="0"/>
                <w:bCs/>
                <w:color w:val="auto"/>
                <w:sz w:val="24"/>
                <w:szCs w:val="24"/>
                <w:highlight w:val="none"/>
                <w:lang w:val="en-US" w:eastAsia="zh-CN"/>
              </w:rPr>
              <w:fldChar w:fldCharType="end"/>
            </w:r>
            <w:r>
              <w:rPr>
                <w:rFonts w:hint="eastAsia" w:ascii="Times New Roman" w:hAnsi="Times New Roman" w:eastAsia="宋体" w:cs="Times New Roman"/>
                <w:b w:val="0"/>
                <w:bCs/>
                <w:color w:val="auto"/>
                <w:sz w:val="24"/>
                <w:szCs w:val="24"/>
                <w:highlight w:val="none"/>
                <w:lang w:val="en-US" w:eastAsia="zh-CN"/>
              </w:rPr>
              <w:t>对密度0.85，熔点-29.56</w:t>
            </w:r>
            <w:r>
              <w:rPr>
                <w:rFonts w:hint="default" w:ascii="Times New Roman" w:hAnsi="Times New Roman" w:eastAsia="宋体" w:cs="Times New Roman"/>
                <w:b w:val="0"/>
                <w:bCs/>
                <w:color w:val="auto"/>
                <w:sz w:val="24"/>
                <w:szCs w:val="24"/>
                <w:highlight w:val="none"/>
                <w:lang w:val="en-US" w:eastAsia="zh-CN"/>
              </w:rPr>
              <w:t>℃，沸点180~370℃</w:t>
            </w:r>
            <w:r>
              <w:rPr>
                <w:rFonts w:hint="eastAsia"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fldChar w:fldCharType="begin"/>
            </w:r>
            <w:r>
              <w:rPr>
                <w:rFonts w:hint="eastAsia" w:ascii="Times New Roman" w:hAnsi="Times New Roman" w:eastAsia="宋体" w:cs="Times New Roman"/>
                <w:b w:val="0"/>
                <w:bCs/>
                <w:color w:val="auto"/>
                <w:sz w:val="24"/>
                <w:szCs w:val="24"/>
                <w:highlight w:val="none"/>
                <w:lang w:val="en-US" w:eastAsia="zh-CN"/>
              </w:rPr>
              <w:instrText xml:space="preserve"> HYPERLINK "http://zhidao.baidu.com/search?word=%E9%97%AA%E7%82%B9&amp;fr=qb_search_exp&amp;ie=utf8" </w:instrText>
            </w:r>
            <w:r>
              <w:rPr>
                <w:rFonts w:hint="eastAsia"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闪点</w:t>
            </w:r>
            <w:r>
              <w:rPr>
                <w:rFonts w:hint="eastAsia" w:ascii="Times New Roman" w:hAnsi="Times New Roman" w:eastAsia="宋体" w:cs="Times New Roman"/>
                <w:b w:val="0"/>
                <w:bCs/>
                <w:color w:val="auto"/>
                <w:sz w:val="24"/>
                <w:szCs w:val="24"/>
                <w:highlight w:val="none"/>
                <w:lang w:val="en-US" w:eastAsia="zh-CN"/>
              </w:rPr>
              <w:fldChar w:fldCharType="end"/>
            </w:r>
            <w:r>
              <w:rPr>
                <w:rFonts w:hint="eastAsia" w:ascii="Times New Roman" w:hAnsi="Times New Roman" w:eastAsia="宋体" w:cs="Times New Roman"/>
                <w:b w:val="0"/>
                <w:bCs/>
                <w:color w:val="auto"/>
                <w:sz w:val="24"/>
                <w:szCs w:val="24"/>
                <w:highlight w:val="none"/>
                <w:lang w:val="en-US" w:eastAsia="zh-CN"/>
              </w:rPr>
              <w:t>40</w:t>
            </w:r>
            <w:r>
              <w:rPr>
                <w:rFonts w:hint="default"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，蒸气密度4，蒸气压4.0kPa，蒸气与空气混合物可燃限0.7</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5.0%，不溶于水，遇热、火花、明火易燃，可蓄积静电，引起</w:t>
            </w:r>
            <w:r>
              <w:rPr>
                <w:rFonts w:hint="eastAsia" w:ascii="Times New Roman" w:hAnsi="Times New Roman" w:eastAsia="宋体" w:cs="Times New Roman"/>
                <w:b w:val="0"/>
                <w:bCs/>
                <w:color w:val="auto"/>
                <w:sz w:val="24"/>
                <w:szCs w:val="24"/>
                <w:highlight w:val="none"/>
                <w:lang w:val="en-US" w:eastAsia="zh-CN"/>
              </w:rPr>
              <w:fldChar w:fldCharType="begin"/>
            </w:r>
            <w:r>
              <w:rPr>
                <w:rFonts w:hint="eastAsia" w:ascii="Times New Roman" w:hAnsi="Times New Roman" w:eastAsia="宋体" w:cs="Times New Roman"/>
                <w:b w:val="0"/>
                <w:bCs/>
                <w:color w:val="auto"/>
                <w:sz w:val="24"/>
                <w:szCs w:val="24"/>
                <w:highlight w:val="none"/>
                <w:lang w:val="en-US" w:eastAsia="zh-CN"/>
              </w:rPr>
              <w:instrText xml:space="preserve"> HYPERLINK "http://zhidao.baidu.com/search?word=%E7%94%B5%E7%81%AB%E8%8A%B1&amp;fr=qb_search_exp&amp;ie=utf8" </w:instrText>
            </w:r>
            <w:r>
              <w:rPr>
                <w:rFonts w:hint="eastAsia" w:ascii="Times New Roman" w:hAnsi="Times New Roman" w:eastAsia="宋体" w:cs="Times New Roman"/>
                <w:b w:val="0"/>
                <w:bCs/>
                <w:color w:val="auto"/>
                <w:sz w:val="24"/>
                <w:szCs w:val="24"/>
                <w:highlight w:val="none"/>
                <w:lang w:val="en-US" w:eastAsia="zh-CN"/>
              </w:rPr>
              <w:fldChar w:fldCharType="separate"/>
            </w:r>
            <w:r>
              <w:rPr>
                <w:rFonts w:hint="eastAsia" w:ascii="Times New Roman" w:hAnsi="Times New Roman" w:eastAsia="宋体" w:cs="Times New Roman"/>
                <w:b w:val="0"/>
                <w:bCs/>
                <w:color w:val="auto"/>
                <w:sz w:val="24"/>
                <w:szCs w:val="24"/>
                <w:highlight w:val="none"/>
                <w:lang w:val="en-US" w:eastAsia="zh-CN"/>
              </w:rPr>
              <w:t>电火花</w:t>
            </w:r>
            <w:r>
              <w:rPr>
                <w:rFonts w:hint="eastAsia" w:ascii="Times New Roman" w:hAnsi="Times New Roman" w:eastAsia="宋体" w:cs="Times New Roman"/>
                <w:b w:val="0"/>
                <w:bCs/>
                <w:color w:val="auto"/>
                <w:sz w:val="24"/>
                <w:szCs w:val="24"/>
                <w:highlight w:val="none"/>
                <w:lang w:val="en-US" w:eastAsia="zh-CN"/>
              </w:rPr>
              <w:fldChar w:fldCharType="end"/>
            </w:r>
            <w:r>
              <w:rPr>
                <w:rFonts w:hint="eastAsia" w:ascii="Times New Roman" w:hAnsi="Times New Roman" w:eastAsia="宋体" w:cs="Times New Roman"/>
                <w:b w:val="0"/>
                <w:bCs/>
                <w:color w:val="auto"/>
                <w:sz w:val="24"/>
                <w:szCs w:val="24"/>
                <w:highlight w:val="none"/>
                <w:lang w:val="en-US" w:eastAsia="zh-CN"/>
              </w:rPr>
              <w:t>。分解和燃烧产物为一氧化碳、二氧化碳和硫氧化物，避免接触氧化剂。本项目销售的柴油为0#柴油。</w:t>
            </w:r>
          </w:p>
          <w:p w14:paraId="3A95FAC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柴油的毒性类似于煤油，但由于添加剂（如硫化酯类）的影响，毒性可能比煤油略大。主要有麻醉和刺激作用。毒性健康影响：柴油为高沸点</w:t>
            </w:r>
            <w:r>
              <w:rPr>
                <w:rFonts w:hint="eastAsia" w:cs="Times New Roman"/>
                <w:b w:val="0"/>
                <w:bCs/>
                <w:color w:val="auto"/>
                <w:sz w:val="24"/>
                <w:szCs w:val="24"/>
                <w:highlight w:val="none"/>
                <w:lang w:val="en-US" w:eastAsia="zh-CN"/>
              </w:rPr>
              <w:t>成分</w:t>
            </w:r>
            <w:r>
              <w:rPr>
                <w:rFonts w:hint="eastAsia" w:ascii="Times New Roman" w:hAnsi="Times New Roman" w:eastAsia="宋体" w:cs="Times New Roman"/>
                <w:b w:val="0"/>
                <w:bCs/>
                <w:color w:val="auto"/>
                <w:sz w:val="24"/>
                <w:szCs w:val="24"/>
                <w:highlight w:val="none"/>
                <w:lang w:val="en-US" w:eastAsia="zh-CN"/>
              </w:rPr>
              <w:t>，故使用时由于蒸汽所致的毒性机会较小。柴油废气中含有氮氧化物、一氧化碳、二氧化碳、醛类和不完全燃烧时的大量黑烟。黑烟中有未经燃烧的油雾、碳粒，一些高沸点的杂环和芳烃物质，并有些致癌物如3.4-苯并芘。柴油对人体侵入途径：皮肤吸收为主、呼吸道吸入。柴油的雾滴吸入后可致吸入性肺炎。皮肤接触柴油可致接触性皮炎，多见于两手、腕部与前臂。</w:t>
            </w:r>
          </w:p>
          <w:p w14:paraId="0B7222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3）液化天然气</w:t>
            </w:r>
          </w:p>
          <w:p w14:paraId="2026900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本项目液化天然气来源为中国石油天然气集团有限公司，其液化天然气组分见表2-5。</w:t>
            </w:r>
          </w:p>
          <w:p w14:paraId="634CD4BD">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w:t>
            </w:r>
            <w:r>
              <w:rPr>
                <w:rFonts w:hint="eastAsia" w:ascii="Times New Roman" w:hAnsi="Times New Roman" w:eastAsia="黑体" w:cs="Times New Roman"/>
                <w:b/>
                <w:bCs/>
                <w:color w:val="auto"/>
                <w:kern w:val="0"/>
                <w:sz w:val="20"/>
                <w:szCs w:val="20"/>
                <w:highlight w:val="none"/>
                <w:lang w:val="en-US" w:eastAsia="zh-CN" w:bidi="ar-SA"/>
              </w:rPr>
              <w:t>2-</w:t>
            </w:r>
            <w:r>
              <w:rPr>
                <w:rFonts w:hint="default" w:ascii="Times New Roman" w:hAnsi="Times New Roman" w:eastAsia="黑体" w:cs="Times New Roman"/>
                <w:b/>
                <w:bCs/>
                <w:color w:val="auto"/>
                <w:kern w:val="0"/>
                <w:sz w:val="20"/>
                <w:szCs w:val="20"/>
                <w:highlight w:val="none"/>
                <w:lang w:val="en-US" w:eastAsia="zh-CN" w:bidi="ar-SA"/>
              </w:rPr>
              <w:t>5液化天然气组分表</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63"/>
              <w:gridCol w:w="1959"/>
              <w:gridCol w:w="1966"/>
              <w:gridCol w:w="1960"/>
            </w:tblGrid>
            <w:tr w14:paraId="12946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center"/>
                </w:tcPr>
                <w:p w14:paraId="4B20E1C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组分名称</w:t>
                  </w:r>
                </w:p>
              </w:tc>
              <w:tc>
                <w:tcPr>
                  <w:tcW w:w="2093" w:type="dxa"/>
                  <w:tcBorders>
                    <w:tl2br w:val="nil"/>
                    <w:tr2bl w:val="nil"/>
                  </w:tcBorders>
                  <w:noWrap w:val="0"/>
                  <w:vAlign w:val="center"/>
                </w:tcPr>
                <w:p w14:paraId="08A808B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摩尔百分数</w:t>
                  </w:r>
                </w:p>
              </w:tc>
              <w:tc>
                <w:tcPr>
                  <w:tcW w:w="2094" w:type="dxa"/>
                  <w:tcBorders>
                    <w:tl2br w:val="nil"/>
                    <w:tr2bl w:val="nil"/>
                  </w:tcBorders>
                  <w:noWrap w:val="0"/>
                  <w:vAlign w:val="center"/>
                </w:tcPr>
                <w:p w14:paraId="3E9002D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组分名称</w:t>
                  </w:r>
                </w:p>
              </w:tc>
              <w:tc>
                <w:tcPr>
                  <w:tcW w:w="2094" w:type="dxa"/>
                  <w:tcBorders>
                    <w:tl2br w:val="nil"/>
                    <w:tr2bl w:val="nil"/>
                  </w:tcBorders>
                  <w:noWrap w:val="0"/>
                  <w:vAlign w:val="center"/>
                </w:tcPr>
                <w:p w14:paraId="3D5EF7C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摩尔百分数</w:t>
                  </w:r>
                </w:p>
              </w:tc>
            </w:tr>
            <w:tr w14:paraId="04B88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center"/>
                </w:tcPr>
                <w:p w14:paraId="6A3AF0FC">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default"/>
                      <w:color w:val="auto"/>
                      <w:sz w:val="21"/>
                      <w:szCs w:val="21"/>
                      <w:highlight w:val="none"/>
                      <w:shd w:val="clear" w:color="auto" w:fill="FFFFFF"/>
                    </w:rPr>
                    <w:t>甲烷</w:t>
                  </w:r>
                </w:p>
              </w:tc>
              <w:tc>
                <w:tcPr>
                  <w:tcW w:w="2093" w:type="dxa"/>
                  <w:tcBorders>
                    <w:tl2br w:val="nil"/>
                    <w:tr2bl w:val="nil"/>
                  </w:tcBorders>
                  <w:noWrap w:val="0"/>
                  <w:vAlign w:val="center"/>
                </w:tcPr>
                <w:p w14:paraId="1674E004">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97.9</w:t>
                  </w:r>
                </w:p>
              </w:tc>
              <w:tc>
                <w:tcPr>
                  <w:tcW w:w="2094" w:type="dxa"/>
                  <w:tcBorders>
                    <w:tl2br w:val="nil"/>
                    <w:tr2bl w:val="nil"/>
                  </w:tcBorders>
                  <w:noWrap w:val="0"/>
                  <w:vAlign w:val="center"/>
                </w:tcPr>
                <w:p w14:paraId="2936A113">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default"/>
                      <w:color w:val="auto"/>
                      <w:sz w:val="21"/>
                      <w:szCs w:val="21"/>
                      <w:highlight w:val="none"/>
                      <w:shd w:val="clear" w:color="auto" w:fill="FFFFFF"/>
                    </w:rPr>
                    <w:t>二氧化碳</w:t>
                  </w:r>
                </w:p>
              </w:tc>
              <w:tc>
                <w:tcPr>
                  <w:tcW w:w="2094" w:type="dxa"/>
                  <w:tcBorders>
                    <w:tl2br w:val="nil"/>
                    <w:tr2bl w:val="nil"/>
                  </w:tcBorders>
                  <w:noWrap w:val="0"/>
                  <w:vAlign w:val="center"/>
                </w:tcPr>
                <w:p w14:paraId="245D85A4">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0</w:t>
                  </w:r>
                  <w:r>
                    <w:rPr>
                      <w:rFonts w:hint="default"/>
                      <w:color w:val="auto"/>
                      <w:sz w:val="21"/>
                      <w:szCs w:val="21"/>
                      <w:highlight w:val="none"/>
                      <w:shd w:val="clear" w:color="auto" w:fill="FFFFFF"/>
                    </w:rPr>
                    <w:t>.001</w:t>
                  </w:r>
                </w:p>
              </w:tc>
            </w:tr>
            <w:tr w14:paraId="342FE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center"/>
                </w:tcPr>
                <w:p w14:paraId="33C80B9A">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default"/>
                      <w:color w:val="auto"/>
                      <w:sz w:val="21"/>
                      <w:szCs w:val="21"/>
                      <w:highlight w:val="none"/>
                      <w:shd w:val="clear" w:color="auto" w:fill="FFFFFF"/>
                    </w:rPr>
                    <w:t>乙烷</w:t>
                  </w:r>
                </w:p>
              </w:tc>
              <w:tc>
                <w:tcPr>
                  <w:tcW w:w="2093" w:type="dxa"/>
                  <w:tcBorders>
                    <w:tl2br w:val="nil"/>
                    <w:tr2bl w:val="nil"/>
                  </w:tcBorders>
                  <w:noWrap w:val="0"/>
                  <w:vAlign w:val="center"/>
                </w:tcPr>
                <w:p w14:paraId="2FFFA789">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1.65</w:t>
                  </w:r>
                </w:p>
              </w:tc>
              <w:tc>
                <w:tcPr>
                  <w:tcW w:w="2094" w:type="dxa"/>
                  <w:tcBorders>
                    <w:tl2br w:val="nil"/>
                    <w:tr2bl w:val="nil"/>
                  </w:tcBorders>
                  <w:noWrap w:val="0"/>
                  <w:vAlign w:val="center"/>
                </w:tcPr>
                <w:p w14:paraId="655C0860">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default"/>
                      <w:color w:val="auto"/>
                      <w:sz w:val="21"/>
                      <w:szCs w:val="21"/>
                      <w:highlight w:val="none"/>
                      <w:shd w:val="clear" w:color="auto" w:fill="FFFFFF"/>
                    </w:rPr>
                    <w:t>氧+氩</w:t>
                  </w:r>
                </w:p>
              </w:tc>
              <w:tc>
                <w:tcPr>
                  <w:tcW w:w="2094" w:type="dxa"/>
                  <w:tcBorders>
                    <w:tl2br w:val="nil"/>
                    <w:tr2bl w:val="nil"/>
                  </w:tcBorders>
                  <w:noWrap w:val="0"/>
                  <w:vAlign w:val="center"/>
                </w:tcPr>
                <w:p w14:paraId="38C1580E">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0</w:t>
                  </w:r>
                  <w:r>
                    <w:rPr>
                      <w:rFonts w:hint="default"/>
                      <w:color w:val="auto"/>
                      <w:sz w:val="21"/>
                      <w:szCs w:val="21"/>
                      <w:highlight w:val="none"/>
                      <w:shd w:val="clear" w:color="auto" w:fill="FFFFFF"/>
                    </w:rPr>
                    <w:t>.0269</w:t>
                  </w:r>
                </w:p>
              </w:tc>
            </w:tr>
            <w:tr w14:paraId="1FC99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center"/>
                </w:tcPr>
                <w:p w14:paraId="4F05BB0C">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丙烷</w:t>
                  </w:r>
                </w:p>
              </w:tc>
              <w:tc>
                <w:tcPr>
                  <w:tcW w:w="2093" w:type="dxa"/>
                  <w:tcBorders>
                    <w:tl2br w:val="nil"/>
                    <w:tr2bl w:val="nil"/>
                  </w:tcBorders>
                  <w:noWrap w:val="0"/>
                  <w:vAlign w:val="center"/>
                </w:tcPr>
                <w:p w14:paraId="03EB8F0E">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0.146</w:t>
                  </w:r>
                </w:p>
              </w:tc>
              <w:tc>
                <w:tcPr>
                  <w:tcW w:w="2094" w:type="dxa"/>
                  <w:tcBorders>
                    <w:tl2br w:val="nil"/>
                    <w:tr2bl w:val="nil"/>
                  </w:tcBorders>
                  <w:noWrap w:val="0"/>
                  <w:vAlign w:val="center"/>
                </w:tcPr>
                <w:p w14:paraId="1CC2A9C2">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default"/>
                      <w:color w:val="auto"/>
                      <w:sz w:val="21"/>
                      <w:szCs w:val="21"/>
                      <w:highlight w:val="none"/>
                      <w:shd w:val="clear" w:color="auto" w:fill="FFFFFF"/>
                    </w:rPr>
                    <w:t>氮</w:t>
                  </w:r>
                </w:p>
              </w:tc>
              <w:tc>
                <w:tcPr>
                  <w:tcW w:w="2094" w:type="dxa"/>
                  <w:tcBorders>
                    <w:tl2br w:val="nil"/>
                    <w:tr2bl w:val="nil"/>
                  </w:tcBorders>
                  <w:noWrap w:val="0"/>
                  <w:vAlign w:val="center"/>
                </w:tcPr>
                <w:p w14:paraId="083591C4">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0</w:t>
                  </w:r>
                  <w:r>
                    <w:rPr>
                      <w:rFonts w:hint="default"/>
                      <w:color w:val="auto"/>
                      <w:sz w:val="21"/>
                      <w:szCs w:val="21"/>
                      <w:highlight w:val="none"/>
                      <w:shd w:val="clear" w:color="auto" w:fill="FFFFFF"/>
                    </w:rPr>
                    <w:t>.291</w:t>
                  </w:r>
                </w:p>
              </w:tc>
            </w:tr>
            <w:tr w14:paraId="6BD09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center"/>
                </w:tcPr>
                <w:p w14:paraId="75B8C4D0">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异丁烷</w:t>
                  </w:r>
                </w:p>
              </w:tc>
              <w:tc>
                <w:tcPr>
                  <w:tcW w:w="2093" w:type="dxa"/>
                  <w:tcBorders>
                    <w:tl2br w:val="nil"/>
                    <w:tr2bl w:val="nil"/>
                  </w:tcBorders>
                  <w:noWrap w:val="0"/>
                  <w:vAlign w:val="center"/>
                </w:tcPr>
                <w:p w14:paraId="503FBDBC">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0.</w:t>
                  </w:r>
                  <w:r>
                    <w:rPr>
                      <w:rFonts w:hint="default"/>
                      <w:color w:val="auto"/>
                      <w:sz w:val="21"/>
                      <w:szCs w:val="21"/>
                      <w:highlight w:val="none"/>
                      <w:shd w:val="clear" w:color="auto" w:fill="FFFFFF"/>
                    </w:rPr>
                    <w:t>0168</w:t>
                  </w:r>
                </w:p>
              </w:tc>
              <w:tc>
                <w:tcPr>
                  <w:tcW w:w="2094" w:type="dxa"/>
                  <w:tcBorders>
                    <w:tl2br w:val="nil"/>
                    <w:tr2bl w:val="nil"/>
                  </w:tcBorders>
                  <w:noWrap w:val="0"/>
                  <w:vAlign w:val="center"/>
                </w:tcPr>
                <w:p w14:paraId="48FABC27">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default"/>
                      <w:color w:val="auto"/>
                      <w:sz w:val="21"/>
                      <w:szCs w:val="21"/>
                      <w:highlight w:val="none"/>
                      <w:shd w:val="clear" w:color="auto" w:fill="FFFFFF"/>
                    </w:rPr>
                    <w:t>氦</w:t>
                  </w:r>
                </w:p>
              </w:tc>
              <w:tc>
                <w:tcPr>
                  <w:tcW w:w="2094" w:type="dxa"/>
                  <w:tcBorders>
                    <w:tl2br w:val="nil"/>
                    <w:tr2bl w:val="nil"/>
                  </w:tcBorders>
                  <w:noWrap w:val="0"/>
                  <w:vAlign w:val="center"/>
                </w:tcPr>
                <w:p w14:paraId="1C2703B7">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0</w:t>
                  </w:r>
                  <w:r>
                    <w:rPr>
                      <w:rFonts w:hint="default"/>
                      <w:color w:val="auto"/>
                      <w:sz w:val="21"/>
                      <w:szCs w:val="21"/>
                      <w:highlight w:val="none"/>
                      <w:shd w:val="clear" w:color="auto" w:fill="FFFFFF"/>
                    </w:rPr>
                    <w:t>.001</w:t>
                  </w:r>
                </w:p>
              </w:tc>
            </w:tr>
            <w:tr w14:paraId="073A88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center"/>
                </w:tcPr>
                <w:p w14:paraId="18D4E65D">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正丁烷</w:t>
                  </w:r>
                </w:p>
              </w:tc>
              <w:tc>
                <w:tcPr>
                  <w:tcW w:w="2093" w:type="dxa"/>
                  <w:tcBorders>
                    <w:tl2br w:val="nil"/>
                    <w:tr2bl w:val="nil"/>
                  </w:tcBorders>
                  <w:noWrap w:val="0"/>
                  <w:vAlign w:val="center"/>
                </w:tcPr>
                <w:p w14:paraId="1E7CB6BE">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0</w:t>
                  </w:r>
                  <w:r>
                    <w:rPr>
                      <w:rFonts w:hint="default"/>
                      <w:color w:val="auto"/>
                      <w:sz w:val="21"/>
                      <w:szCs w:val="21"/>
                      <w:highlight w:val="none"/>
                      <w:shd w:val="clear" w:color="auto" w:fill="FFFFFF"/>
                    </w:rPr>
                    <w:t>.0104</w:t>
                  </w:r>
                </w:p>
              </w:tc>
              <w:tc>
                <w:tcPr>
                  <w:tcW w:w="2094" w:type="dxa"/>
                  <w:tcBorders>
                    <w:tl2br w:val="nil"/>
                    <w:tr2bl w:val="nil"/>
                  </w:tcBorders>
                  <w:noWrap w:val="0"/>
                  <w:vAlign w:val="center"/>
                </w:tcPr>
                <w:p w14:paraId="354CB36C">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default"/>
                      <w:color w:val="auto"/>
                      <w:sz w:val="21"/>
                      <w:szCs w:val="21"/>
                      <w:highlight w:val="none"/>
                      <w:shd w:val="clear" w:color="auto" w:fill="FFFFFF"/>
                    </w:rPr>
                    <w:t>氢</w:t>
                  </w:r>
                </w:p>
              </w:tc>
              <w:tc>
                <w:tcPr>
                  <w:tcW w:w="2094" w:type="dxa"/>
                  <w:tcBorders>
                    <w:tl2br w:val="nil"/>
                    <w:tr2bl w:val="nil"/>
                  </w:tcBorders>
                  <w:noWrap w:val="0"/>
                  <w:vAlign w:val="center"/>
                </w:tcPr>
                <w:p w14:paraId="56530706">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0</w:t>
                  </w:r>
                  <w:r>
                    <w:rPr>
                      <w:rFonts w:hint="default"/>
                      <w:color w:val="auto"/>
                      <w:sz w:val="21"/>
                      <w:szCs w:val="21"/>
                      <w:highlight w:val="none"/>
                      <w:shd w:val="clear" w:color="auto" w:fill="FFFFFF"/>
                    </w:rPr>
                    <w:t>.001</w:t>
                  </w:r>
                </w:p>
              </w:tc>
            </w:tr>
            <w:tr w14:paraId="1D286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center"/>
                </w:tcPr>
                <w:p w14:paraId="78D94445">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default"/>
                      <w:color w:val="auto"/>
                      <w:sz w:val="21"/>
                      <w:szCs w:val="21"/>
                      <w:highlight w:val="none"/>
                      <w:shd w:val="clear" w:color="auto" w:fill="FFFFFF"/>
                    </w:rPr>
                    <w:t>异戊烷</w:t>
                  </w:r>
                </w:p>
              </w:tc>
              <w:tc>
                <w:tcPr>
                  <w:tcW w:w="2093" w:type="dxa"/>
                  <w:tcBorders>
                    <w:tl2br w:val="nil"/>
                    <w:tr2bl w:val="nil"/>
                  </w:tcBorders>
                  <w:noWrap w:val="0"/>
                  <w:vAlign w:val="center"/>
                </w:tcPr>
                <w:p w14:paraId="162CCE21">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0</w:t>
                  </w:r>
                  <w:r>
                    <w:rPr>
                      <w:rFonts w:hint="default"/>
                      <w:color w:val="auto"/>
                      <w:sz w:val="21"/>
                      <w:szCs w:val="21"/>
                      <w:highlight w:val="none"/>
                      <w:shd w:val="clear" w:color="auto" w:fill="FFFFFF"/>
                    </w:rPr>
                    <w:t>.001</w:t>
                  </w:r>
                </w:p>
              </w:tc>
              <w:tc>
                <w:tcPr>
                  <w:tcW w:w="2094" w:type="dxa"/>
                  <w:tcBorders>
                    <w:tl2br w:val="nil"/>
                    <w:tr2bl w:val="nil"/>
                  </w:tcBorders>
                  <w:noWrap w:val="0"/>
                  <w:vAlign w:val="center"/>
                </w:tcPr>
                <w:p w14:paraId="5FF3F17C">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p>
              </w:tc>
              <w:tc>
                <w:tcPr>
                  <w:tcW w:w="2094" w:type="dxa"/>
                  <w:tcBorders>
                    <w:tl2br w:val="nil"/>
                    <w:tr2bl w:val="nil"/>
                  </w:tcBorders>
                  <w:noWrap w:val="0"/>
                  <w:vAlign w:val="center"/>
                </w:tcPr>
                <w:p w14:paraId="616FF956">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p>
              </w:tc>
            </w:tr>
            <w:tr w14:paraId="3FB79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center"/>
                </w:tcPr>
                <w:p w14:paraId="233FB73C">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default"/>
                      <w:color w:val="auto"/>
                      <w:sz w:val="21"/>
                      <w:szCs w:val="21"/>
                      <w:highlight w:val="none"/>
                      <w:shd w:val="clear" w:color="auto" w:fill="FFFFFF"/>
                    </w:rPr>
                    <w:t>正戊烷</w:t>
                  </w:r>
                </w:p>
              </w:tc>
              <w:tc>
                <w:tcPr>
                  <w:tcW w:w="2093" w:type="dxa"/>
                  <w:tcBorders>
                    <w:tl2br w:val="nil"/>
                    <w:tr2bl w:val="nil"/>
                  </w:tcBorders>
                  <w:noWrap w:val="0"/>
                  <w:vAlign w:val="center"/>
                </w:tcPr>
                <w:p w14:paraId="43C3FD7F">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0</w:t>
                  </w:r>
                  <w:r>
                    <w:rPr>
                      <w:rFonts w:hint="default"/>
                      <w:color w:val="auto"/>
                      <w:sz w:val="21"/>
                      <w:szCs w:val="21"/>
                      <w:highlight w:val="none"/>
                      <w:shd w:val="clear" w:color="auto" w:fill="FFFFFF"/>
                    </w:rPr>
                    <w:t>.001</w:t>
                  </w:r>
                </w:p>
              </w:tc>
              <w:tc>
                <w:tcPr>
                  <w:tcW w:w="2094" w:type="dxa"/>
                  <w:tcBorders>
                    <w:tl2br w:val="nil"/>
                    <w:tr2bl w:val="nil"/>
                  </w:tcBorders>
                  <w:noWrap w:val="0"/>
                  <w:vAlign w:val="center"/>
                </w:tcPr>
                <w:p w14:paraId="290325AF">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p>
              </w:tc>
              <w:tc>
                <w:tcPr>
                  <w:tcW w:w="2094" w:type="dxa"/>
                  <w:tcBorders>
                    <w:tl2br w:val="nil"/>
                    <w:tr2bl w:val="nil"/>
                  </w:tcBorders>
                  <w:noWrap w:val="0"/>
                  <w:vAlign w:val="center"/>
                </w:tcPr>
                <w:p w14:paraId="20CE96AD">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p>
              </w:tc>
            </w:tr>
            <w:tr w14:paraId="61F22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center"/>
                </w:tcPr>
                <w:p w14:paraId="6A13667D">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新戊烷</w:t>
                  </w:r>
                </w:p>
              </w:tc>
              <w:tc>
                <w:tcPr>
                  <w:tcW w:w="2093" w:type="dxa"/>
                  <w:tcBorders>
                    <w:tl2br w:val="nil"/>
                    <w:tr2bl w:val="nil"/>
                  </w:tcBorders>
                  <w:noWrap w:val="0"/>
                  <w:vAlign w:val="center"/>
                </w:tcPr>
                <w:p w14:paraId="7EC6374F">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0</w:t>
                  </w:r>
                  <w:r>
                    <w:rPr>
                      <w:rFonts w:hint="default"/>
                      <w:color w:val="auto"/>
                      <w:sz w:val="21"/>
                      <w:szCs w:val="21"/>
                      <w:highlight w:val="none"/>
                      <w:shd w:val="clear" w:color="auto" w:fill="FFFFFF"/>
                    </w:rPr>
                    <w:t>.001</w:t>
                  </w:r>
                </w:p>
              </w:tc>
              <w:tc>
                <w:tcPr>
                  <w:tcW w:w="2094" w:type="dxa"/>
                  <w:tcBorders>
                    <w:tl2br w:val="nil"/>
                    <w:tr2bl w:val="nil"/>
                  </w:tcBorders>
                  <w:noWrap w:val="0"/>
                  <w:vAlign w:val="center"/>
                </w:tcPr>
                <w:p w14:paraId="2E21635B">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p>
              </w:tc>
              <w:tc>
                <w:tcPr>
                  <w:tcW w:w="2094" w:type="dxa"/>
                  <w:tcBorders>
                    <w:tl2br w:val="nil"/>
                    <w:tr2bl w:val="nil"/>
                  </w:tcBorders>
                  <w:noWrap w:val="0"/>
                  <w:vAlign w:val="center"/>
                </w:tcPr>
                <w:p w14:paraId="412D8E0F">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p>
              </w:tc>
            </w:tr>
            <w:tr w14:paraId="555FA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center"/>
                </w:tcPr>
                <w:p w14:paraId="59C7ED64">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高位热值(kJ/m</w:t>
                  </w:r>
                  <w:r>
                    <w:rPr>
                      <w:rFonts w:hint="eastAsia"/>
                      <w:color w:val="auto"/>
                      <w:sz w:val="21"/>
                      <w:szCs w:val="21"/>
                      <w:highlight w:val="none"/>
                      <w:shd w:val="clear" w:color="auto" w:fill="FFFFFF"/>
                      <w:vertAlign w:val="superscript"/>
                      <w:lang w:val="en-US" w:eastAsia="zh-CN"/>
                    </w:rPr>
                    <w:t>3</w:t>
                  </w:r>
                  <w:r>
                    <w:rPr>
                      <w:rFonts w:hint="eastAsia"/>
                      <w:color w:val="auto"/>
                      <w:sz w:val="21"/>
                      <w:szCs w:val="21"/>
                      <w:highlight w:val="none"/>
                      <w:shd w:val="clear" w:color="auto" w:fill="FFFFFF"/>
                    </w:rPr>
                    <w:t>)</w:t>
                  </w:r>
                </w:p>
              </w:tc>
              <w:tc>
                <w:tcPr>
                  <w:tcW w:w="2093" w:type="dxa"/>
                  <w:tcBorders>
                    <w:tl2br w:val="nil"/>
                    <w:tr2bl w:val="nil"/>
                  </w:tcBorders>
                  <w:noWrap w:val="0"/>
                  <w:vAlign w:val="center"/>
                </w:tcPr>
                <w:p w14:paraId="6C0B9C89">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37.56</w:t>
                  </w:r>
                </w:p>
              </w:tc>
              <w:tc>
                <w:tcPr>
                  <w:tcW w:w="2094" w:type="dxa"/>
                  <w:tcBorders>
                    <w:tl2br w:val="nil"/>
                    <w:tr2bl w:val="nil"/>
                  </w:tcBorders>
                  <w:noWrap w:val="0"/>
                  <w:vAlign w:val="center"/>
                </w:tcPr>
                <w:p w14:paraId="11C3506F">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相对密度</w:t>
                  </w:r>
                </w:p>
              </w:tc>
              <w:tc>
                <w:tcPr>
                  <w:tcW w:w="2094" w:type="dxa"/>
                  <w:tcBorders>
                    <w:tl2br w:val="nil"/>
                    <w:tr2bl w:val="nil"/>
                  </w:tcBorders>
                  <w:noWrap w:val="0"/>
                  <w:vAlign w:val="center"/>
                </w:tcPr>
                <w:p w14:paraId="10E16EA8">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0.5660</w:t>
                  </w:r>
                </w:p>
              </w:tc>
            </w:tr>
            <w:tr w14:paraId="719D6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tcBorders>
                    <w:tl2br w:val="nil"/>
                    <w:tr2bl w:val="nil"/>
                  </w:tcBorders>
                  <w:noWrap w:val="0"/>
                  <w:vAlign w:val="center"/>
                </w:tcPr>
                <w:p w14:paraId="16126D51">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低位热值(kJ/m</w:t>
                  </w:r>
                  <w:r>
                    <w:rPr>
                      <w:rFonts w:hint="eastAsia"/>
                      <w:color w:val="auto"/>
                      <w:sz w:val="21"/>
                      <w:szCs w:val="21"/>
                      <w:highlight w:val="none"/>
                      <w:shd w:val="clear" w:color="auto" w:fill="FFFFFF"/>
                      <w:vertAlign w:val="superscript"/>
                      <w:lang w:val="en-US" w:eastAsia="zh-CN"/>
                    </w:rPr>
                    <w:t>3</w:t>
                  </w:r>
                  <w:r>
                    <w:rPr>
                      <w:rFonts w:hint="eastAsia"/>
                      <w:color w:val="auto"/>
                      <w:sz w:val="21"/>
                      <w:szCs w:val="21"/>
                      <w:highlight w:val="none"/>
                      <w:shd w:val="clear" w:color="auto" w:fill="FFFFFF"/>
                    </w:rPr>
                    <w:t>)二氧化碳</w:t>
                  </w:r>
                </w:p>
              </w:tc>
              <w:tc>
                <w:tcPr>
                  <w:tcW w:w="2093" w:type="dxa"/>
                  <w:tcBorders>
                    <w:tl2br w:val="nil"/>
                    <w:tr2bl w:val="nil"/>
                  </w:tcBorders>
                  <w:noWrap w:val="0"/>
                  <w:vAlign w:val="center"/>
                </w:tcPr>
                <w:p w14:paraId="24375DC9">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33.86</w:t>
                  </w:r>
                </w:p>
              </w:tc>
              <w:tc>
                <w:tcPr>
                  <w:tcW w:w="2094" w:type="dxa"/>
                  <w:tcBorders>
                    <w:tl2br w:val="nil"/>
                    <w:tr2bl w:val="nil"/>
                  </w:tcBorders>
                  <w:noWrap w:val="0"/>
                  <w:vAlign w:val="center"/>
                </w:tcPr>
                <w:p w14:paraId="744D2181">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密度(kg/m</w:t>
                  </w:r>
                  <w:r>
                    <w:rPr>
                      <w:rFonts w:hint="eastAsia"/>
                      <w:color w:val="auto"/>
                      <w:sz w:val="21"/>
                      <w:szCs w:val="21"/>
                      <w:highlight w:val="none"/>
                      <w:shd w:val="clear" w:color="auto" w:fill="FFFFFF"/>
                      <w:vertAlign w:val="superscript"/>
                      <w:lang w:val="en-US" w:eastAsia="zh-CN"/>
                    </w:rPr>
                    <w:t>3</w:t>
                  </w:r>
                  <w:r>
                    <w:rPr>
                      <w:rFonts w:hint="eastAsia"/>
                      <w:color w:val="auto"/>
                      <w:sz w:val="21"/>
                      <w:szCs w:val="21"/>
                      <w:highlight w:val="none"/>
                      <w:shd w:val="clear" w:color="auto" w:fill="FFFFFF"/>
                    </w:rPr>
                    <w:t>)</w:t>
                  </w:r>
                </w:p>
              </w:tc>
              <w:tc>
                <w:tcPr>
                  <w:tcW w:w="2094" w:type="dxa"/>
                  <w:tcBorders>
                    <w:tl2br w:val="nil"/>
                    <w:tr2bl w:val="nil"/>
                  </w:tcBorders>
                  <w:noWrap w:val="0"/>
                  <w:vAlign w:val="center"/>
                </w:tcPr>
                <w:p w14:paraId="43DC9A47">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0.6817</w:t>
                  </w:r>
                </w:p>
              </w:tc>
            </w:tr>
          </w:tbl>
          <w:p w14:paraId="4B8C44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本项目所需的柴油、汽油、液化天然气均来自中国石油天然气集团有限公司，运输方式为汽车槽车经高速公路送达。</w:t>
            </w:r>
          </w:p>
          <w:p w14:paraId="477D6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eastAsia"/>
                <w:b/>
                <w:bCs/>
                <w:snapToGrid w:val="0"/>
                <w:color w:val="auto"/>
                <w:highlight w:val="none"/>
              </w:rPr>
            </w:pPr>
            <w:r>
              <w:rPr>
                <w:rFonts w:hint="default"/>
                <w:b/>
                <w:bCs/>
                <w:snapToGrid w:val="0"/>
                <w:color w:val="auto"/>
                <w:highlight w:val="none"/>
              </w:rPr>
              <w:t>6、</w:t>
            </w:r>
            <w:r>
              <w:rPr>
                <w:rFonts w:hint="eastAsia"/>
                <w:b/>
                <w:bCs/>
                <w:snapToGrid w:val="0"/>
                <w:color w:val="auto"/>
                <w:highlight w:val="none"/>
              </w:rPr>
              <w:t>主要设备清单</w:t>
            </w:r>
          </w:p>
          <w:p w14:paraId="73BC56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根据业主单位提供的资料，本项目拟设置的主要工艺设备见表2-6所示。</w:t>
            </w:r>
          </w:p>
          <w:p w14:paraId="6E5C1239">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w:t>
            </w:r>
            <w:r>
              <w:rPr>
                <w:rFonts w:hint="eastAsia" w:ascii="Times New Roman" w:hAnsi="Times New Roman" w:eastAsia="黑体" w:cs="Times New Roman"/>
                <w:b/>
                <w:bCs/>
                <w:color w:val="auto"/>
                <w:kern w:val="0"/>
                <w:sz w:val="20"/>
                <w:szCs w:val="20"/>
                <w:highlight w:val="none"/>
                <w:lang w:val="en-US" w:eastAsia="zh-CN" w:bidi="ar-SA"/>
              </w:rPr>
              <w:t>2-6</w:t>
            </w:r>
            <w:r>
              <w:rPr>
                <w:rFonts w:hint="default" w:ascii="Times New Roman" w:hAnsi="Times New Roman" w:eastAsia="黑体" w:cs="Times New Roman"/>
                <w:b/>
                <w:bCs/>
                <w:color w:val="auto"/>
                <w:kern w:val="0"/>
                <w:sz w:val="20"/>
                <w:szCs w:val="20"/>
                <w:highlight w:val="none"/>
                <w:lang w:val="en-US" w:eastAsia="zh-CN" w:bidi="ar-SA"/>
              </w:rPr>
              <w:t xml:space="preserve"> 本项目主要</w:t>
            </w:r>
            <w:r>
              <w:rPr>
                <w:rFonts w:hint="eastAsia" w:ascii="Times New Roman" w:hAnsi="Times New Roman" w:eastAsia="黑体" w:cs="Times New Roman"/>
                <w:b/>
                <w:bCs/>
                <w:color w:val="auto"/>
                <w:kern w:val="0"/>
                <w:sz w:val="20"/>
                <w:szCs w:val="20"/>
                <w:highlight w:val="none"/>
                <w:lang w:val="en-US" w:eastAsia="zh-CN" w:bidi="ar-SA"/>
              </w:rPr>
              <w:t>工艺</w:t>
            </w:r>
            <w:r>
              <w:rPr>
                <w:rFonts w:hint="default" w:ascii="Times New Roman" w:hAnsi="Times New Roman" w:eastAsia="黑体" w:cs="Times New Roman"/>
                <w:b/>
                <w:bCs/>
                <w:color w:val="auto"/>
                <w:kern w:val="0"/>
                <w:sz w:val="20"/>
                <w:szCs w:val="20"/>
                <w:highlight w:val="none"/>
                <w:lang w:val="en-US" w:eastAsia="zh-CN" w:bidi="ar-SA"/>
              </w:rPr>
              <w:t>设备清单一览表</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375"/>
              <w:gridCol w:w="3038"/>
              <w:gridCol w:w="809"/>
              <w:gridCol w:w="978"/>
            </w:tblGrid>
            <w:tr w14:paraId="61B53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774B2B1C">
                  <w:pPr>
                    <w:keepNext w:val="0"/>
                    <w:keepLines w:val="0"/>
                    <w:suppressLineNumbers w:val="0"/>
                    <w:spacing w:before="0" w:beforeAutospacing="0" w:after="0" w:afterAutospacing="0"/>
                    <w:ind w:left="0" w:right="0"/>
                    <w:jc w:val="center"/>
                    <w:rPr>
                      <w:rFonts w:hint="default"/>
                      <w:b/>
                      <w:bCs/>
                      <w:color w:val="auto"/>
                      <w:kern w:val="0"/>
                      <w:sz w:val="21"/>
                      <w:szCs w:val="21"/>
                      <w:highlight w:val="none"/>
                    </w:rPr>
                  </w:pPr>
                  <w:r>
                    <w:rPr>
                      <w:rFonts w:hint="default"/>
                      <w:b/>
                      <w:bCs/>
                      <w:color w:val="auto"/>
                      <w:kern w:val="0"/>
                      <w:sz w:val="21"/>
                      <w:szCs w:val="21"/>
                      <w:highlight w:val="none"/>
                    </w:rPr>
                    <w:t>序号</w:t>
                  </w:r>
                </w:p>
              </w:tc>
              <w:tc>
                <w:tcPr>
                  <w:tcW w:w="2375" w:type="dxa"/>
                  <w:tcBorders>
                    <w:tl2br w:val="nil"/>
                    <w:tr2bl w:val="nil"/>
                  </w:tcBorders>
                  <w:noWrap w:val="0"/>
                  <w:vAlign w:val="center"/>
                </w:tcPr>
                <w:p w14:paraId="191848CE">
                  <w:pPr>
                    <w:keepNext w:val="0"/>
                    <w:keepLines w:val="0"/>
                    <w:suppressLineNumbers w:val="0"/>
                    <w:spacing w:before="0" w:beforeAutospacing="0" w:after="0" w:afterAutospacing="0"/>
                    <w:ind w:left="0" w:right="0"/>
                    <w:jc w:val="center"/>
                    <w:rPr>
                      <w:rFonts w:hint="default"/>
                      <w:b/>
                      <w:bCs/>
                      <w:color w:val="auto"/>
                      <w:kern w:val="0"/>
                      <w:sz w:val="21"/>
                      <w:szCs w:val="21"/>
                      <w:highlight w:val="none"/>
                    </w:rPr>
                  </w:pPr>
                  <w:r>
                    <w:rPr>
                      <w:rFonts w:hint="default"/>
                      <w:b/>
                      <w:bCs/>
                      <w:color w:val="auto"/>
                      <w:kern w:val="0"/>
                      <w:sz w:val="21"/>
                      <w:szCs w:val="21"/>
                      <w:highlight w:val="none"/>
                    </w:rPr>
                    <w:t>设备名称</w:t>
                  </w:r>
                </w:p>
              </w:tc>
              <w:tc>
                <w:tcPr>
                  <w:tcW w:w="3038" w:type="dxa"/>
                  <w:tcBorders>
                    <w:tl2br w:val="nil"/>
                    <w:tr2bl w:val="nil"/>
                  </w:tcBorders>
                  <w:noWrap w:val="0"/>
                  <w:vAlign w:val="center"/>
                </w:tcPr>
                <w:p w14:paraId="1E100A58">
                  <w:pPr>
                    <w:keepNext w:val="0"/>
                    <w:keepLines w:val="0"/>
                    <w:suppressLineNumbers w:val="0"/>
                    <w:spacing w:before="0" w:beforeAutospacing="0" w:after="0" w:afterAutospacing="0"/>
                    <w:ind w:left="0" w:right="0"/>
                    <w:jc w:val="center"/>
                    <w:rPr>
                      <w:rFonts w:hint="default"/>
                      <w:b/>
                      <w:bCs/>
                      <w:color w:val="auto"/>
                      <w:kern w:val="0"/>
                      <w:sz w:val="21"/>
                      <w:szCs w:val="21"/>
                      <w:highlight w:val="none"/>
                    </w:rPr>
                  </w:pPr>
                  <w:r>
                    <w:rPr>
                      <w:rFonts w:hint="default"/>
                      <w:b/>
                      <w:bCs/>
                      <w:color w:val="auto"/>
                      <w:kern w:val="0"/>
                      <w:sz w:val="21"/>
                      <w:szCs w:val="21"/>
                      <w:highlight w:val="none"/>
                    </w:rPr>
                    <w:t>规格</w:t>
                  </w:r>
                </w:p>
              </w:tc>
              <w:tc>
                <w:tcPr>
                  <w:tcW w:w="809" w:type="dxa"/>
                  <w:tcBorders>
                    <w:tl2br w:val="nil"/>
                    <w:tr2bl w:val="nil"/>
                  </w:tcBorders>
                  <w:noWrap w:val="0"/>
                  <w:vAlign w:val="center"/>
                </w:tcPr>
                <w:p w14:paraId="410A7101">
                  <w:pPr>
                    <w:keepNext w:val="0"/>
                    <w:keepLines w:val="0"/>
                    <w:suppressLineNumbers w:val="0"/>
                    <w:spacing w:before="0" w:beforeAutospacing="0" w:after="0" w:afterAutospacing="0"/>
                    <w:ind w:left="0" w:right="0"/>
                    <w:jc w:val="center"/>
                    <w:rPr>
                      <w:rFonts w:hint="default"/>
                      <w:b/>
                      <w:bCs/>
                      <w:color w:val="auto"/>
                      <w:kern w:val="0"/>
                      <w:sz w:val="21"/>
                      <w:szCs w:val="21"/>
                      <w:highlight w:val="none"/>
                    </w:rPr>
                  </w:pPr>
                  <w:r>
                    <w:rPr>
                      <w:rFonts w:hint="default"/>
                      <w:b/>
                      <w:bCs/>
                      <w:color w:val="auto"/>
                      <w:kern w:val="0"/>
                      <w:sz w:val="21"/>
                      <w:szCs w:val="21"/>
                      <w:highlight w:val="none"/>
                    </w:rPr>
                    <w:t>单位</w:t>
                  </w:r>
                </w:p>
              </w:tc>
              <w:tc>
                <w:tcPr>
                  <w:tcW w:w="978" w:type="dxa"/>
                  <w:tcBorders>
                    <w:tl2br w:val="nil"/>
                    <w:tr2bl w:val="nil"/>
                  </w:tcBorders>
                  <w:noWrap w:val="0"/>
                  <w:vAlign w:val="center"/>
                </w:tcPr>
                <w:p w14:paraId="69490854">
                  <w:pPr>
                    <w:keepNext w:val="0"/>
                    <w:keepLines w:val="0"/>
                    <w:suppressLineNumbers w:val="0"/>
                    <w:spacing w:before="0" w:beforeAutospacing="0" w:after="0" w:afterAutospacing="0"/>
                    <w:ind w:left="0" w:right="0"/>
                    <w:jc w:val="center"/>
                    <w:rPr>
                      <w:rFonts w:hint="default"/>
                      <w:b/>
                      <w:bCs/>
                      <w:color w:val="auto"/>
                      <w:kern w:val="0"/>
                      <w:sz w:val="21"/>
                      <w:szCs w:val="21"/>
                      <w:highlight w:val="none"/>
                    </w:rPr>
                  </w:pPr>
                  <w:r>
                    <w:rPr>
                      <w:rFonts w:hint="default"/>
                      <w:b/>
                      <w:bCs/>
                      <w:color w:val="auto"/>
                      <w:kern w:val="0"/>
                      <w:sz w:val="21"/>
                      <w:szCs w:val="21"/>
                      <w:highlight w:val="none"/>
                    </w:rPr>
                    <w:t>数量</w:t>
                  </w:r>
                </w:p>
              </w:tc>
            </w:tr>
            <w:tr w14:paraId="31192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8" w:type="dxa"/>
                  <w:gridSpan w:val="5"/>
                  <w:tcBorders>
                    <w:tl2br w:val="nil"/>
                    <w:tr2bl w:val="nil"/>
                  </w:tcBorders>
                  <w:noWrap w:val="0"/>
                  <w:vAlign w:val="center"/>
                </w:tcPr>
                <w:p w14:paraId="58C4C98B">
                  <w:pPr>
                    <w:keepNext w:val="0"/>
                    <w:keepLines w:val="0"/>
                    <w:suppressLineNumbers w:val="0"/>
                    <w:spacing w:before="0" w:beforeAutospacing="0" w:after="0" w:afterAutospacing="0"/>
                    <w:ind w:left="0" w:right="0"/>
                    <w:jc w:val="left"/>
                    <w:rPr>
                      <w:rFonts w:hint="default"/>
                      <w:color w:val="auto"/>
                      <w:sz w:val="21"/>
                      <w:szCs w:val="21"/>
                      <w:highlight w:val="none"/>
                      <w:shd w:val="clear" w:color="auto" w:fill="FFFFFF"/>
                    </w:rPr>
                  </w:pPr>
                  <w:r>
                    <w:rPr>
                      <w:rFonts w:hint="default"/>
                      <w:color w:val="auto"/>
                      <w:sz w:val="21"/>
                      <w:szCs w:val="21"/>
                      <w:highlight w:val="none"/>
                      <w:shd w:val="clear" w:color="auto" w:fill="FFFFFF"/>
                    </w:rPr>
                    <w:t>一、加气工艺设备</w:t>
                  </w:r>
                </w:p>
              </w:tc>
            </w:tr>
            <w:tr w14:paraId="3BC37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56B61408">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1</w:t>
                  </w:r>
                </w:p>
              </w:tc>
              <w:tc>
                <w:tcPr>
                  <w:tcW w:w="2375" w:type="dxa"/>
                  <w:tcBorders>
                    <w:tl2br w:val="nil"/>
                    <w:tr2bl w:val="nil"/>
                  </w:tcBorders>
                  <w:noWrap w:val="0"/>
                  <w:vAlign w:val="center"/>
                </w:tcPr>
                <w:p w14:paraId="0CA68412">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LNG低温储罐</w:t>
                  </w:r>
                </w:p>
              </w:tc>
              <w:tc>
                <w:tcPr>
                  <w:tcW w:w="3038" w:type="dxa"/>
                  <w:tcBorders>
                    <w:tl2br w:val="nil"/>
                    <w:tr2bl w:val="nil"/>
                  </w:tcBorders>
                  <w:noWrap w:val="0"/>
                  <w:vAlign w:val="center"/>
                </w:tcPr>
                <w:p w14:paraId="038656B7">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V=60m</w:t>
                  </w:r>
                  <w:r>
                    <w:rPr>
                      <w:rFonts w:hint="default"/>
                      <w:color w:val="auto"/>
                      <w:sz w:val="21"/>
                      <w:szCs w:val="21"/>
                      <w:highlight w:val="none"/>
                      <w:shd w:val="clear" w:color="auto" w:fill="FFFFFF"/>
                      <w:vertAlign w:val="superscript"/>
                    </w:rPr>
                    <w:t>3</w:t>
                  </w:r>
                  <w:r>
                    <w:rPr>
                      <w:rFonts w:hint="default"/>
                      <w:color w:val="auto"/>
                      <w:sz w:val="21"/>
                      <w:szCs w:val="21"/>
                      <w:highlight w:val="none"/>
                      <w:shd w:val="clear" w:color="auto" w:fill="FFFFFF"/>
                    </w:rPr>
                    <w:t>，设计压力1.44MPa</w:t>
                  </w:r>
                </w:p>
              </w:tc>
              <w:tc>
                <w:tcPr>
                  <w:tcW w:w="809" w:type="dxa"/>
                  <w:tcBorders>
                    <w:tl2br w:val="nil"/>
                    <w:tr2bl w:val="nil"/>
                  </w:tcBorders>
                  <w:noWrap w:val="0"/>
                  <w:vAlign w:val="center"/>
                </w:tcPr>
                <w:p w14:paraId="791DB371">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台</w:t>
                  </w:r>
                </w:p>
              </w:tc>
              <w:tc>
                <w:tcPr>
                  <w:tcW w:w="978" w:type="dxa"/>
                  <w:tcBorders>
                    <w:tl2br w:val="nil"/>
                    <w:tr2bl w:val="nil"/>
                  </w:tcBorders>
                  <w:noWrap w:val="0"/>
                  <w:vAlign w:val="center"/>
                </w:tcPr>
                <w:p w14:paraId="423C8E9D">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1</w:t>
                  </w:r>
                </w:p>
              </w:tc>
            </w:tr>
            <w:tr w14:paraId="38CBF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390A656B">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2</w:t>
                  </w:r>
                </w:p>
              </w:tc>
              <w:tc>
                <w:tcPr>
                  <w:tcW w:w="2375" w:type="dxa"/>
                  <w:tcBorders>
                    <w:tl2br w:val="nil"/>
                    <w:tr2bl w:val="nil"/>
                  </w:tcBorders>
                  <w:noWrap w:val="0"/>
                  <w:vAlign w:val="center"/>
                </w:tcPr>
                <w:p w14:paraId="1627B664">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LNG泵撬</w:t>
                  </w:r>
                </w:p>
              </w:tc>
              <w:tc>
                <w:tcPr>
                  <w:tcW w:w="3038" w:type="dxa"/>
                  <w:tcBorders>
                    <w:tl2br w:val="nil"/>
                    <w:tr2bl w:val="nil"/>
                  </w:tcBorders>
                  <w:noWrap w:val="0"/>
                  <w:vAlign w:val="center"/>
                </w:tcPr>
                <w:p w14:paraId="03E6291D">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系统设计压力：1.92MPa；安全阀整定压力：1.76MP</w:t>
                  </w:r>
                </w:p>
              </w:tc>
              <w:tc>
                <w:tcPr>
                  <w:tcW w:w="809" w:type="dxa"/>
                  <w:tcBorders>
                    <w:tl2br w:val="nil"/>
                    <w:tr2bl w:val="nil"/>
                  </w:tcBorders>
                  <w:noWrap w:val="0"/>
                  <w:vAlign w:val="center"/>
                </w:tcPr>
                <w:p w14:paraId="54F71217">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套</w:t>
                  </w:r>
                </w:p>
              </w:tc>
              <w:tc>
                <w:tcPr>
                  <w:tcW w:w="978" w:type="dxa"/>
                  <w:tcBorders>
                    <w:tl2br w:val="nil"/>
                    <w:tr2bl w:val="nil"/>
                  </w:tcBorders>
                  <w:noWrap w:val="0"/>
                  <w:vAlign w:val="center"/>
                </w:tcPr>
                <w:p w14:paraId="7D55508A">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1</w:t>
                  </w:r>
                </w:p>
              </w:tc>
            </w:tr>
            <w:tr w14:paraId="769D5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51DF3B75">
                  <w:pPr>
                    <w:keepNext w:val="0"/>
                    <w:keepLines w:val="0"/>
                    <w:suppressLineNumbers w:val="0"/>
                    <w:spacing w:before="0" w:beforeAutospacing="0" w:after="0" w:afterAutospacing="0"/>
                    <w:ind w:left="0" w:right="0"/>
                    <w:jc w:val="center"/>
                    <w:rPr>
                      <w:rFonts w:hint="eastAsia" w:eastAsia="宋体"/>
                      <w:color w:val="auto"/>
                      <w:sz w:val="21"/>
                      <w:szCs w:val="21"/>
                      <w:highlight w:val="none"/>
                      <w:shd w:val="clear" w:color="auto" w:fill="FFFFFF"/>
                      <w:lang w:eastAsia="zh-CN"/>
                    </w:rPr>
                  </w:pPr>
                  <w:r>
                    <w:rPr>
                      <w:rFonts w:hint="eastAsia"/>
                      <w:color w:val="auto"/>
                      <w:sz w:val="21"/>
                      <w:szCs w:val="21"/>
                      <w:highlight w:val="none"/>
                      <w:shd w:val="clear" w:color="auto" w:fill="FFFFFF"/>
                      <w:lang w:val="en-US" w:eastAsia="zh-CN"/>
                    </w:rPr>
                    <w:t>3</w:t>
                  </w:r>
                </w:p>
              </w:tc>
              <w:tc>
                <w:tcPr>
                  <w:tcW w:w="2375" w:type="dxa"/>
                  <w:tcBorders>
                    <w:tl2br w:val="nil"/>
                    <w:tr2bl w:val="nil"/>
                  </w:tcBorders>
                  <w:noWrap w:val="0"/>
                  <w:vAlign w:val="center"/>
                </w:tcPr>
                <w:p w14:paraId="10CFF779">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LNG低温潜液泵</w:t>
                  </w:r>
                </w:p>
              </w:tc>
              <w:tc>
                <w:tcPr>
                  <w:tcW w:w="3038" w:type="dxa"/>
                  <w:tcBorders>
                    <w:tl2br w:val="nil"/>
                    <w:tr2bl w:val="nil"/>
                  </w:tcBorders>
                  <w:noWrap w:val="0"/>
                  <w:vAlign w:val="center"/>
                </w:tcPr>
                <w:p w14:paraId="5FF2ED4C">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流量Q=18～340L/m</w:t>
                  </w:r>
                  <w:r>
                    <w:rPr>
                      <w:rFonts w:hint="eastAsia" w:ascii="Times New Roman" w:hAnsi="Times New Roman" w:cs="Times New Roman"/>
                      <w:color w:val="auto"/>
                      <w:sz w:val="21"/>
                      <w:szCs w:val="21"/>
                      <w:highlight w:val="none"/>
                      <w:shd w:val="clear" w:color="auto" w:fill="FFFFFF"/>
                      <w:lang w:val="en-US" w:eastAsia="zh-CN"/>
                    </w:rPr>
                    <w:t>设计压力1.92</w:t>
                  </w:r>
                  <w:r>
                    <w:rPr>
                      <w:rFonts w:hint="default" w:ascii="Times New Roman" w:hAnsi="Times New Roman" w:cs="Times New Roman"/>
                      <w:color w:val="auto"/>
                      <w:sz w:val="21"/>
                      <w:szCs w:val="21"/>
                      <w:highlight w:val="none"/>
                      <w:shd w:val="clear" w:color="auto" w:fill="FFFFFF"/>
                    </w:rPr>
                    <w:t>MPa</w:t>
                  </w:r>
                  <w:r>
                    <w:rPr>
                      <w:rFonts w:hint="eastAsia" w:ascii="Times New Roman" w:hAnsi="Times New Roman" w:cs="Times New Roman"/>
                      <w:color w:val="auto"/>
                      <w:sz w:val="21"/>
                      <w:szCs w:val="21"/>
                      <w:highlight w:val="none"/>
                      <w:shd w:val="clear" w:color="auto" w:fill="FFFFFF"/>
                      <w:lang w:val="en-US" w:eastAsia="zh-CN"/>
                    </w:rPr>
                    <w:t xml:space="preserve"> </w:t>
                  </w:r>
                </w:p>
              </w:tc>
              <w:tc>
                <w:tcPr>
                  <w:tcW w:w="809" w:type="dxa"/>
                  <w:tcBorders>
                    <w:tl2br w:val="nil"/>
                    <w:tr2bl w:val="nil"/>
                  </w:tcBorders>
                  <w:noWrap w:val="0"/>
                  <w:vAlign w:val="center"/>
                </w:tcPr>
                <w:p w14:paraId="14AF5686">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台</w:t>
                  </w:r>
                </w:p>
              </w:tc>
              <w:tc>
                <w:tcPr>
                  <w:tcW w:w="978" w:type="dxa"/>
                  <w:tcBorders>
                    <w:tl2br w:val="nil"/>
                    <w:tr2bl w:val="nil"/>
                  </w:tcBorders>
                  <w:noWrap w:val="0"/>
                  <w:vAlign w:val="center"/>
                </w:tcPr>
                <w:p w14:paraId="177AB4FD">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2</w:t>
                  </w:r>
                </w:p>
              </w:tc>
            </w:tr>
            <w:tr w14:paraId="6D57C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57486438">
                  <w:pPr>
                    <w:keepNext w:val="0"/>
                    <w:keepLines w:val="0"/>
                    <w:suppressLineNumbers w:val="0"/>
                    <w:spacing w:before="0" w:beforeAutospacing="0" w:after="0" w:afterAutospacing="0"/>
                    <w:ind w:left="0" w:right="0"/>
                    <w:jc w:val="center"/>
                    <w:rPr>
                      <w:rFonts w:hint="eastAsia" w:eastAsia="宋体"/>
                      <w:color w:val="auto"/>
                      <w:sz w:val="21"/>
                      <w:szCs w:val="21"/>
                      <w:highlight w:val="none"/>
                      <w:shd w:val="clear" w:color="auto" w:fill="FFFFFF"/>
                      <w:lang w:eastAsia="zh-CN"/>
                    </w:rPr>
                  </w:pPr>
                  <w:r>
                    <w:rPr>
                      <w:rFonts w:hint="eastAsia"/>
                      <w:color w:val="auto"/>
                      <w:sz w:val="21"/>
                      <w:szCs w:val="21"/>
                      <w:highlight w:val="none"/>
                      <w:shd w:val="clear" w:color="auto" w:fill="FFFFFF"/>
                      <w:lang w:val="en-US" w:eastAsia="zh-CN"/>
                    </w:rPr>
                    <w:t>4</w:t>
                  </w:r>
                </w:p>
              </w:tc>
              <w:tc>
                <w:tcPr>
                  <w:tcW w:w="2375" w:type="dxa"/>
                  <w:tcBorders>
                    <w:tl2br w:val="nil"/>
                    <w:tr2bl w:val="nil"/>
                  </w:tcBorders>
                  <w:noWrap w:val="0"/>
                  <w:vAlign w:val="center"/>
                </w:tcPr>
                <w:p w14:paraId="53FB2087">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调饱和/卸车气化器</w:t>
                  </w:r>
                </w:p>
              </w:tc>
              <w:tc>
                <w:tcPr>
                  <w:tcW w:w="3038" w:type="dxa"/>
                  <w:tcBorders>
                    <w:tl2br w:val="nil"/>
                    <w:tr2bl w:val="nil"/>
                  </w:tcBorders>
                  <w:noWrap w:val="0"/>
                  <w:vAlign w:val="center"/>
                </w:tcPr>
                <w:p w14:paraId="27CEC1DE">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气化能力：300Nm</w:t>
                  </w:r>
                  <w:r>
                    <w:rPr>
                      <w:rFonts w:hint="default" w:ascii="Times New Roman" w:hAnsi="Times New Roman" w:cs="Times New Roman"/>
                      <w:color w:val="auto"/>
                      <w:sz w:val="21"/>
                      <w:szCs w:val="21"/>
                      <w:highlight w:val="none"/>
                      <w:shd w:val="clear" w:color="auto" w:fill="FFFFFF"/>
                      <w:vertAlign w:val="superscript"/>
                    </w:rPr>
                    <w:t>3</w:t>
                  </w:r>
                  <w:r>
                    <w:rPr>
                      <w:rFonts w:hint="default" w:ascii="Times New Roman" w:hAnsi="Times New Roman" w:cs="Times New Roman"/>
                      <w:color w:val="auto"/>
                      <w:sz w:val="21"/>
                      <w:szCs w:val="21"/>
                      <w:highlight w:val="none"/>
                      <w:shd w:val="clear" w:color="auto" w:fill="FFFFFF"/>
                    </w:rPr>
                    <w:t>/h</w:t>
                  </w:r>
                  <w:r>
                    <w:rPr>
                      <w:rFonts w:hint="eastAsia" w:ascii="Times New Roman" w:hAnsi="Times New Roman" w:cs="Times New Roman"/>
                      <w:color w:val="auto"/>
                      <w:sz w:val="21"/>
                      <w:szCs w:val="21"/>
                      <w:highlight w:val="none"/>
                      <w:shd w:val="clear" w:color="auto" w:fill="FFFFFF"/>
                      <w:lang w:val="en-US" w:eastAsia="zh-CN"/>
                    </w:rPr>
                    <w:t>设计压力1.92</w:t>
                  </w:r>
                  <w:r>
                    <w:rPr>
                      <w:rFonts w:hint="default" w:ascii="Times New Roman" w:hAnsi="Times New Roman" w:cs="Times New Roman"/>
                      <w:color w:val="auto"/>
                      <w:sz w:val="21"/>
                      <w:szCs w:val="21"/>
                      <w:highlight w:val="none"/>
                      <w:shd w:val="clear" w:color="auto" w:fill="FFFFFF"/>
                    </w:rPr>
                    <w:t>MPa</w:t>
                  </w:r>
                  <w:r>
                    <w:rPr>
                      <w:rFonts w:hint="eastAsia" w:ascii="Times New Roman" w:hAnsi="Times New Roman" w:cs="Times New Roman"/>
                      <w:color w:val="auto"/>
                      <w:sz w:val="21"/>
                      <w:szCs w:val="21"/>
                      <w:highlight w:val="none"/>
                      <w:shd w:val="clear" w:color="auto" w:fill="FFFFFF"/>
                      <w:lang w:val="en-US" w:eastAsia="zh-CN"/>
                    </w:rPr>
                    <w:t xml:space="preserve"> </w:t>
                  </w:r>
                </w:p>
              </w:tc>
              <w:tc>
                <w:tcPr>
                  <w:tcW w:w="809" w:type="dxa"/>
                  <w:tcBorders>
                    <w:tl2br w:val="nil"/>
                    <w:tr2bl w:val="nil"/>
                  </w:tcBorders>
                  <w:noWrap w:val="0"/>
                  <w:vAlign w:val="center"/>
                </w:tcPr>
                <w:p w14:paraId="6469C79B">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台</w:t>
                  </w:r>
                </w:p>
              </w:tc>
              <w:tc>
                <w:tcPr>
                  <w:tcW w:w="978" w:type="dxa"/>
                  <w:tcBorders>
                    <w:tl2br w:val="nil"/>
                    <w:tr2bl w:val="nil"/>
                  </w:tcBorders>
                  <w:noWrap w:val="0"/>
                  <w:vAlign w:val="center"/>
                </w:tcPr>
                <w:p w14:paraId="00028978">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1</w:t>
                  </w:r>
                </w:p>
              </w:tc>
            </w:tr>
            <w:tr w14:paraId="6BE86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5713AFE2">
                  <w:pPr>
                    <w:keepNext w:val="0"/>
                    <w:keepLines w:val="0"/>
                    <w:suppressLineNumbers w:val="0"/>
                    <w:spacing w:before="0" w:beforeAutospacing="0" w:after="0" w:afterAutospacing="0"/>
                    <w:ind w:left="0" w:right="0"/>
                    <w:jc w:val="center"/>
                    <w:rPr>
                      <w:rFonts w:hint="eastAsia" w:eastAsia="宋体"/>
                      <w:color w:val="auto"/>
                      <w:sz w:val="21"/>
                      <w:szCs w:val="21"/>
                      <w:highlight w:val="none"/>
                      <w:shd w:val="clear" w:color="auto" w:fill="FFFFFF"/>
                      <w:lang w:eastAsia="zh-CN"/>
                    </w:rPr>
                  </w:pPr>
                  <w:r>
                    <w:rPr>
                      <w:rFonts w:hint="eastAsia"/>
                      <w:color w:val="auto"/>
                      <w:sz w:val="21"/>
                      <w:szCs w:val="21"/>
                      <w:highlight w:val="none"/>
                      <w:shd w:val="clear" w:color="auto" w:fill="FFFFFF"/>
                      <w:lang w:val="en-US" w:eastAsia="zh-CN"/>
                    </w:rPr>
                    <w:t>5</w:t>
                  </w:r>
                </w:p>
              </w:tc>
              <w:tc>
                <w:tcPr>
                  <w:tcW w:w="2375" w:type="dxa"/>
                  <w:tcBorders>
                    <w:tl2br w:val="nil"/>
                    <w:tr2bl w:val="nil"/>
                  </w:tcBorders>
                  <w:noWrap w:val="0"/>
                  <w:vAlign w:val="center"/>
                </w:tcPr>
                <w:p w14:paraId="6000F3FE">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低压EAG加热器</w:t>
                  </w:r>
                </w:p>
              </w:tc>
              <w:tc>
                <w:tcPr>
                  <w:tcW w:w="3038" w:type="dxa"/>
                  <w:tcBorders>
                    <w:tl2br w:val="nil"/>
                    <w:tr2bl w:val="nil"/>
                  </w:tcBorders>
                  <w:noWrap w:val="0"/>
                  <w:vAlign w:val="center"/>
                </w:tcPr>
                <w:p w14:paraId="64503148">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气化能力：150Nm</w:t>
                  </w:r>
                  <w:r>
                    <w:rPr>
                      <w:rFonts w:hint="default" w:ascii="Times New Roman" w:hAnsi="Times New Roman" w:cs="Times New Roman"/>
                      <w:color w:val="auto"/>
                      <w:sz w:val="21"/>
                      <w:szCs w:val="21"/>
                      <w:highlight w:val="none"/>
                      <w:shd w:val="clear" w:color="auto" w:fill="FFFFFF"/>
                      <w:vertAlign w:val="superscript"/>
                    </w:rPr>
                    <w:t>3</w:t>
                  </w:r>
                  <w:r>
                    <w:rPr>
                      <w:rFonts w:hint="default" w:ascii="Times New Roman" w:hAnsi="Times New Roman" w:cs="Times New Roman"/>
                      <w:color w:val="auto"/>
                      <w:sz w:val="21"/>
                      <w:szCs w:val="21"/>
                      <w:highlight w:val="none"/>
                      <w:shd w:val="clear" w:color="auto" w:fill="FFFFFF"/>
                    </w:rPr>
                    <w:t>/h</w:t>
                  </w:r>
                  <w:r>
                    <w:rPr>
                      <w:rFonts w:hint="eastAsia" w:ascii="Times New Roman" w:hAnsi="Times New Roman" w:cs="Times New Roman"/>
                      <w:color w:val="auto"/>
                      <w:sz w:val="21"/>
                      <w:szCs w:val="21"/>
                      <w:highlight w:val="none"/>
                      <w:shd w:val="clear" w:color="auto" w:fill="FFFFFF"/>
                      <w:lang w:val="en-US" w:eastAsia="zh-CN"/>
                    </w:rPr>
                    <w:t>设计压力1.92</w:t>
                  </w:r>
                  <w:r>
                    <w:rPr>
                      <w:rFonts w:hint="default" w:ascii="Times New Roman" w:hAnsi="Times New Roman" w:cs="Times New Roman"/>
                      <w:color w:val="auto"/>
                      <w:sz w:val="21"/>
                      <w:szCs w:val="21"/>
                      <w:highlight w:val="none"/>
                      <w:shd w:val="clear" w:color="auto" w:fill="FFFFFF"/>
                    </w:rPr>
                    <w:t>MPa</w:t>
                  </w:r>
                  <w:r>
                    <w:rPr>
                      <w:rFonts w:hint="eastAsia" w:ascii="Times New Roman" w:hAnsi="Times New Roman" w:cs="Times New Roman"/>
                      <w:color w:val="auto"/>
                      <w:sz w:val="21"/>
                      <w:szCs w:val="21"/>
                      <w:highlight w:val="none"/>
                      <w:shd w:val="clear" w:color="auto" w:fill="FFFFFF"/>
                      <w:lang w:val="en-US" w:eastAsia="zh-CN"/>
                    </w:rPr>
                    <w:t xml:space="preserve"> </w:t>
                  </w:r>
                </w:p>
              </w:tc>
              <w:tc>
                <w:tcPr>
                  <w:tcW w:w="809" w:type="dxa"/>
                  <w:tcBorders>
                    <w:tl2br w:val="nil"/>
                    <w:tr2bl w:val="nil"/>
                  </w:tcBorders>
                  <w:noWrap w:val="0"/>
                  <w:vAlign w:val="center"/>
                </w:tcPr>
                <w:p w14:paraId="02001DBA">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台</w:t>
                  </w:r>
                </w:p>
              </w:tc>
              <w:tc>
                <w:tcPr>
                  <w:tcW w:w="978" w:type="dxa"/>
                  <w:tcBorders>
                    <w:tl2br w:val="nil"/>
                    <w:tr2bl w:val="nil"/>
                  </w:tcBorders>
                  <w:noWrap w:val="0"/>
                  <w:vAlign w:val="center"/>
                </w:tcPr>
                <w:p w14:paraId="5AAE213A">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1</w:t>
                  </w:r>
                </w:p>
              </w:tc>
            </w:tr>
            <w:tr w14:paraId="0E3899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60336A73">
                  <w:pPr>
                    <w:keepNext w:val="0"/>
                    <w:keepLines w:val="0"/>
                    <w:suppressLineNumbers w:val="0"/>
                    <w:spacing w:before="0" w:beforeAutospacing="0" w:after="0" w:afterAutospacing="0"/>
                    <w:ind w:left="0" w:right="0"/>
                    <w:jc w:val="center"/>
                    <w:rPr>
                      <w:rFonts w:hint="eastAsia" w:eastAsia="宋体"/>
                      <w:color w:val="auto"/>
                      <w:sz w:val="21"/>
                      <w:szCs w:val="21"/>
                      <w:highlight w:val="none"/>
                      <w:shd w:val="clear" w:color="auto" w:fill="FFFFFF"/>
                      <w:lang w:eastAsia="zh-CN"/>
                    </w:rPr>
                  </w:pPr>
                  <w:r>
                    <w:rPr>
                      <w:rFonts w:hint="eastAsia"/>
                      <w:color w:val="auto"/>
                      <w:sz w:val="21"/>
                      <w:szCs w:val="21"/>
                      <w:highlight w:val="none"/>
                      <w:shd w:val="clear" w:color="auto" w:fill="FFFFFF"/>
                      <w:lang w:val="en-US" w:eastAsia="zh-CN"/>
                    </w:rPr>
                    <w:t>6</w:t>
                  </w:r>
                </w:p>
              </w:tc>
              <w:tc>
                <w:tcPr>
                  <w:tcW w:w="2375" w:type="dxa"/>
                  <w:tcBorders>
                    <w:tl2br w:val="nil"/>
                    <w:tr2bl w:val="nil"/>
                  </w:tcBorders>
                  <w:noWrap w:val="0"/>
                  <w:vAlign w:val="center"/>
                </w:tcPr>
                <w:p w14:paraId="4AAC17A0">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LNG</w:t>
                  </w:r>
                  <w:r>
                    <w:rPr>
                      <w:rFonts w:hint="eastAsia" w:ascii="Times New Roman" w:hAnsi="Times New Roman" w:cs="Times New Roman"/>
                      <w:color w:val="auto"/>
                      <w:sz w:val="21"/>
                      <w:szCs w:val="21"/>
                      <w:highlight w:val="none"/>
                      <w:shd w:val="clear" w:color="auto" w:fill="FFFFFF"/>
                      <w:lang w:val="en-US" w:eastAsia="zh-CN"/>
                    </w:rPr>
                    <w:t>单枪</w:t>
                  </w:r>
                  <w:r>
                    <w:rPr>
                      <w:rFonts w:hint="default" w:ascii="Times New Roman" w:hAnsi="Times New Roman" w:cs="Times New Roman"/>
                      <w:color w:val="auto"/>
                      <w:sz w:val="21"/>
                      <w:szCs w:val="21"/>
                      <w:highlight w:val="none"/>
                      <w:shd w:val="clear" w:color="auto" w:fill="FFFFFF"/>
                    </w:rPr>
                    <w:t>加气机</w:t>
                  </w:r>
                </w:p>
              </w:tc>
              <w:tc>
                <w:tcPr>
                  <w:tcW w:w="3038" w:type="dxa"/>
                  <w:tcBorders>
                    <w:tl2br w:val="nil"/>
                    <w:tr2bl w:val="nil"/>
                  </w:tcBorders>
                  <w:noWrap w:val="0"/>
                  <w:vAlign w:val="center"/>
                </w:tcPr>
                <w:p w14:paraId="0633FBC0">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工作压力：1.6MPa</w:t>
                  </w:r>
                  <w:r>
                    <w:rPr>
                      <w:rFonts w:hint="eastAsia" w:ascii="Times New Roman" w:hAnsi="Times New Roman" w:cs="Times New Roman"/>
                      <w:color w:val="auto"/>
                      <w:sz w:val="21"/>
                      <w:szCs w:val="21"/>
                      <w:highlight w:val="none"/>
                      <w:shd w:val="clear" w:color="auto" w:fill="FFFFFF"/>
                      <w:lang w:val="en-US" w:eastAsia="zh-CN"/>
                    </w:rPr>
                    <w:t xml:space="preserve"> 设计压力1.92</w:t>
                  </w:r>
                  <w:r>
                    <w:rPr>
                      <w:rFonts w:hint="default" w:ascii="Times New Roman" w:hAnsi="Times New Roman" w:cs="Times New Roman"/>
                      <w:color w:val="auto"/>
                      <w:sz w:val="21"/>
                      <w:szCs w:val="21"/>
                      <w:highlight w:val="none"/>
                      <w:shd w:val="clear" w:color="auto" w:fill="FFFFFF"/>
                    </w:rPr>
                    <w:t>MPa</w:t>
                  </w:r>
                  <w:r>
                    <w:rPr>
                      <w:rFonts w:hint="eastAsia" w:ascii="Times New Roman" w:hAnsi="Times New Roman" w:cs="Times New Roman"/>
                      <w:color w:val="auto"/>
                      <w:sz w:val="21"/>
                      <w:szCs w:val="21"/>
                      <w:highlight w:val="none"/>
                      <w:shd w:val="clear" w:color="auto" w:fill="FFFFFF"/>
                      <w:lang w:val="en-US" w:eastAsia="zh-CN"/>
                    </w:rPr>
                    <w:t xml:space="preserve"> </w:t>
                  </w:r>
                </w:p>
              </w:tc>
              <w:tc>
                <w:tcPr>
                  <w:tcW w:w="809" w:type="dxa"/>
                  <w:tcBorders>
                    <w:tl2br w:val="nil"/>
                    <w:tr2bl w:val="nil"/>
                  </w:tcBorders>
                  <w:noWrap w:val="0"/>
                  <w:vAlign w:val="center"/>
                </w:tcPr>
                <w:p w14:paraId="27E413B9">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台</w:t>
                  </w:r>
                </w:p>
              </w:tc>
              <w:tc>
                <w:tcPr>
                  <w:tcW w:w="978" w:type="dxa"/>
                  <w:tcBorders>
                    <w:tl2br w:val="nil"/>
                    <w:tr2bl w:val="nil"/>
                  </w:tcBorders>
                  <w:noWrap w:val="0"/>
                  <w:vAlign w:val="center"/>
                </w:tcPr>
                <w:p w14:paraId="6838E640">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2</w:t>
                  </w:r>
                </w:p>
              </w:tc>
            </w:tr>
            <w:tr w14:paraId="6B943F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74B2C196">
                  <w:pPr>
                    <w:keepNext w:val="0"/>
                    <w:keepLines w:val="0"/>
                    <w:suppressLineNumbers w:val="0"/>
                    <w:spacing w:before="0" w:beforeAutospacing="0" w:after="0" w:afterAutospacing="0"/>
                    <w:ind w:left="0" w:right="0"/>
                    <w:jc w:val="center"/>
                    <w:rPr>
                      <w:rFonts w:hint="eastAsia" w:eastAsia="宋体"/>
                      <w:color w:val="auto"/>
                      <w:sz w:val="21"/>
                      <w:szCs w:val="21"/>
                      <w:highlight w:val="none"/>
                      <w:shd w:val="clear" w:color="auto" w:fill="FFFFFF"/>
                      <w:lang w:eastAsia="zh-CN"/>
                    </w:rPr>
                  </w:pPr>
                  <w:r>
                    <w:rPr>
                      <w:rFonts w:hint="eastAsia"/>
                      <w:color w:val="auto"/>
                      <w:sz w:val="21"/>
                      <w:szCs w:val="21"/>
                      <w:highlight w:val="none"/>
                      <w:shd w:val="clear" w:color="auto" w:fill="FFFFFF"/>
                      <w:lang w:val="en-US" w:eastAsia="zh-CN"/>
                    </w:rPr>
                    <w:t>7</w:t>
                  </w:r>
                </w:p>
              </w:tc>
              <w:tc>
                <w:tcPr>
                  <w:tcW w:w="2375" w:type="dxa"/>
                  <w:tcBorders>
                    <w:tl2br w:val="nil"/>
                    <w:tr2bl w:val="nil"/>
                  </w:tcBorders>
                  <w:noWrap w:val="0"/>
                  <w:vAlign w:val="center"/>
                </w:tcPr>
                <w:p w14:paraId="78020288">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压缩空气系统</w:t>
                  </w:r>
                </w:p>
              </w:tc>
              <w:tc>
                <w:tcPr>
                  <w:tcW w:w="3038" w:type="dxa"/>
                  <w:tcBorders>
                    <w:tl2br w:val="nil"/>
                    <w:tr2bl w:val="nil"/>
                  </w:tcBorders>
                  <w:noWrap w:val="0"/>
                  <w:vAlign w:val="center"/>
                </w:tcPr>
                <w:p w14:paraId="6A86A6B1">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工作压力：1.0MPa</w:t>
                  </w:r>
                </w:p>
              </w:tc>
              <w:tc>
                <w:tcPr>
                  <w:tcW w:w="809" w:type="dxa"/>
                  <w:tcBorders>
                    <w:tl2br w:val="nil"/>
                    <w:tr2bl w:val="nil"/>
                  </w:tcBorders>
                  <w:noWrap w:val="0"/>
                  <w:vAlign w:val="center"/>
                </w:tcPr>
                <w:p w14:paraId="2F3C5150">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套</w:t>
                  </w:r>
                </w:p>
              </w:tc>
              <w:tc>
                <w:tcPr>
                  <w:tcW w:w="978" w:type="dxa"/>
                  <w:tcBorders>
                    <w:tl2br w:val="nil"/>
                    <w:tr2bl w:val="nil"/>
                  </w:tcBorders>
                  <w:noWrap w:val="0"/>
                  <w:vAlign w:val="center"/>
                </w:tcPr>
                <w:p w14:paraId="7EB26050">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1</w:t>
                  </w:r>
                </w:p>
              </w:tc>
            </w:tr>
            <w:tr w14:paraId="173ED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1BDCB259">
                  <w:pPr>
                    <w:keepNext w:val="0"/>
                    <w:keepLines w:val="0"/>
                    <w:suppressLineNumbers w:val="0"/>
                    <w:spacing w:before="0" w:beforeAutospacing="0" w:after="0" w:afterAutospacing="0"/>
                    <w:ind w:left="0" w:right="0"/>
                    <w:jc w:val="center"/>
                    <w:rPr>
                      <w:rFonts w:hint="eastAsia" w:eastAsia="宋体"/>
                      <w:color w:val="auto"/>
                      <w:sz w:val="21"/>
                      <w:szCs w:val="21"/>
                      <w:highlight w:val="none"/>
                      <w:shd w:val="clear" w:color="auto" w:fill="FFFFFF"/>
                      <w:lang w:eastAsia="zh-CN"/>
                    </w:rPr>
                  </w:pPr>
                  <w:r>
                    <w:rPr>
                      <w:rFonts w:hint="eastAsia"/>
                      <w:color w:val="auto"/>
                      <w:sz w:val="21"/>
                      <w:szCs w:val="21"/>
                      <w:highlight w:val="none"/>
                      <w:shd w:val="clear" w:color="auto" w:fill="FFFFFF"/>
                      <w:lang w:val="en-US" w:eastAsia="zh-CN"/>
                    </w:rPr>
                    <w:t>8</w:t>
                  </w:r>
                </w:p>
              </w:tc>
              <w:tc>
                <w:tcPr>
                  <w:tcW w:w="2375" w:type="dxa"/>
                  <w:tcBorders>
                    <w:tl2br w:val="nil"/>
                    <w:tr2bl w:val="nil"/>
                  </w:tcBorders>
                  <w:noWrap w:val="0"/>
                  <w:vAlign w:val="center"/>
                </w:tcPr>
                <w:p w14:paraId="3B55DEBD">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放散立管</w:t>
                  </w:r>
                </w:p>
              </w:tc>
              <w:tc>
                <w:tcPr>
                  <w:tcW w:w="3038" w:type="dxa"/>
                  <w:tcBorders>
                    <w:tl2br w:val="nil"/>
                    <w:tr2bl w:val="nil"/>
                  </w:tcBorders>
                  <w:noWrap w:val="0"/>
                  <w:vAlign w:val="center"/>
                </w:tcPr>
                <w:p w14:paraId="36B09D4A">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D89，H=</w:t>
                  </w:r>
                  <w:r>
                    <w:rPr>
                      <w:rFonts w:hint="eastAsia"/>
                      <w:color w:val="auto"/>
                      <w:sz w:val="21"/>
                      <w:szCs w:val="21"/>
                      <w:highlight w:val="none"/>
                      <w:shd w:val="clear" w:color="auto" w:fill="FFFFFF"/>
                      <w:lang w:val="en-US" w:eastAsia="zh-CN"/>
                    </w:rPr>
                    <w:t>10</w:t>
                  </w:r>
                  <w:r>
                    <w:rPr>
                      <w:rFonts w:hint="default"/>
                      <w:color w:val="auto"/>
                      <w:sz w:val="21"/>
                      <w:szCs w:val="21"/>
                      <w:highlight w:val="none"/>
                      <w:shd w:val="clear" w:color="auto" w:fill="FFFFFF"/>
                    </w:rPr>
                    <w:t>m</w:t>
                  </w:r>
                </w:p>
              </w:tc>
              <w:tc>
                <w:tcPr>
                  <w:tcW w:w="809" w:type="dxa"/>
                  <w:tcBorders>
                    <w:tl2br w:val="nil"/>
                    <w:tr2bl w:val="nil"/>
                  </w:tcBorders>
                  <w:noWrap w:val="0"/>
                  <w:vAlign w:val="center"/>
                </w:tcPr>
                <w:p w14:paraId="734A6B65">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套</w:t>
                  </w:r>
                </w:p>
              </w:tc>
              <w:tc>
                <w:tcPr>
                  <w:tcW w:w="978" w:type="dxa"/>
                  <w:tcBorders>
                    <w:tl2br w:val="nil"/>
                    <w:tr2bl w:val="nil"/>
                  </w:tcBorders>
                  <w:noWrap w:val="0"/>
                  <w:vAlign w:val="center"/>
                </w:tcPr>
                <w:p w14:paraId="4E514FFE">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1</w:t>
                  </w:r>
                </w:p>
              </w:tc>
            </w:tr>
            <w:tr w14:paraId="3D75F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8" w:type="dxa"/>
                  <w:gridSpan w:val="5"/>
                  <w:tcBorders>
                    <w:tl2br w:val="nil"/>
                    <w:tr2bl w:val="nil"/>
                  </w:tcBorders>
                  <w:noWrap w:val="0"/>
                  <w:vAlign w:val="center"/>
                </w:tcPr>
                <w:p w14:paraId="363B653F">
                  <w:pPr>
                    <w:keepNext w:val="0"/>
                    <w:keepLines w:val="0"/>
                    <w:suppressLineNumbers w:val="0"/>
                    <w:spacing w:before="0" w:beforeAutospacing="0" w:after="0" w:afterAutospacing="0"/>
                    <w:ind w:left="0" w:right="0"/>
                    <w:jc w:val="left"/>
                    <w:rPr>
                      <w:rFonts w:hint="default"/>
                      <w:color w:val="auto"/>
                      <w:sz w:val="21"/>
                      <w:szCs w:val="21"/>
                      <w:highlight w:val="none"/>
                      <w:shd w:val="clear" w:color="auto" w:fill="FFFFFF"/>
                    </w:rPr>
                  </w:pPr>
                  <w:r>
                    <w:rPr>
                      <w:rFonts w:hint="default"/>
                      <w:color w:val="auto"/>
                      <w:sz w:val="21"/>
                      <w:szCs w:val="21"/>
                      <w:highlight w:val="none"/>
                      <w:shd w:val="clear" w:color="auto" w:fill="FFFFFF"/>
                    </w:rPr>
                    <w:t>二、加油工艺设备</w:t>
                  </w:r>
                </w:p>
              </w:tc>
            </w:tr>
            <w:tr w14:paraId="0A7E8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43EA8BFE">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eastAsia"/>
                      <w:color w:val="auto"/>
                      <w:sz w:val="21"/>
                      <w:szCs w:val="21"/>
                      <w:highlight w:val="none"/>
                      <w:shd w:val="clear" w:color="auto" w:fill="FFFFFF"/>
                    </w:rPr>
                    <w:t>1</w:t>
                  </w:r>
                </w:p>
              </w:tc>
              <w:tc>
                <w:tcPr>
                  <w:tcW w:w="2375" w:type="dxa"/>
                  <w:tcBorders>
                    <w:tl2br w:val="nil"/>
                    <w:tr2bl w:val="nil"/>
                  </w:tcBorders>
                  <w:noWrap w:val="0"/>
                  <w:vAlign w:val="center"/>
                </w:tcPr>
                <w:p w14:paraId="12E418FE">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埋地卧式双层油罐</w:t>
                  </w:r>
                </w:p>
              </w:tc>
              <w:tc>
                <w:tcPr>
                  <w:tcW w:w="3038" w:type="dxa"/>
                  <w:tcBorders>
                    <w:tl2br w:val="nil"/>
                    <w:tr2bl w:val="nil"/>
                  </w:tcBorders>
                  <w:noWrap w:val="0"/>
                  <w:vAlign w:val="center"/>
                </w:tcPr>
                <w:p w14:paraId="7FC02BD7">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（SF）-</w:t>
                  </w:r>
                  <w:r>
                    <w:rPr>
                      <w:rFonts w:hint="eastAsia"/>
                      <w:color w:val="auto"/>
                      <w:sz w:val="21"/>
                      <w:szCs w:val="21"/>
                      <w:highlight w:val="none"/>
                      <w:shd w:val="clear" w:color="auto" w:fill="FFFFFF"/>
                      <w:lang w:val="en-US" w:eastAsia="zh-CN"/>
                    </w:rPr>
                    <w:t>20</w:t>
                  </w:r>
                  <w:r>
                    <w:rPr>
                      <w:rFonts w:hint="default"/>
                      <w:color w:val="auto"/>
                      <w:sz w:val="21"/>
                      <w:szCs w:val="21"/>
                      <w:highlight w:val="none"/>
                      <w:shd w:val="clear" w:color="auto" w:fill="FFFFFF"/>
                    </w:rPr>
                    <w:t>m</w:t>
                  </w:r>
                  <w:r>
                    <w:rPr>
                      <w:rFonts w:hint="default"/>
                      <w:color w:val="auto"/>
                      <w:sz w:val="21"/>
                      <w:szCs w:val="21"/>
                      <w:highlight w:val="none"/>
                      <w:shd w:val="clear" w:color="auto" w:fill="FFFFFF"/>
                      <w:vertAlign w:val="superscript"/>
                    </w:rPr>
                    <w:t>3</w:t>
                  </w:r>
                </w:p>
              </w:tc>
              <w:tc>
                <w:tcPr>
                  <w:tcW w:w="809" w:type="dxa"/>
                  <w:tcBorders>
                    <w:tl2br w:val="nil"/>
                    <w:tr2bl w:val="nil"/>
                  </w:tcBorders>
                  <w:noWrap w:val="0"/>
                  <w:vAlign w:val="center"/>
                </w:tcPr>
                <w:p w14:paraId="6FAF5E66">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台</w:t>
                  </w:r>
                </w:p>
              </w:tc>
              <w:tc>
                <w:tcPr>
                  <w:tcW w:w="978" w:type="dxa"/>
                  <w:tcBorders>
                    <w:tl2br w:val="nil"/>
                    <w:tr2bl w:val="nil"/>
                  </w:tcBorders>
                  <w:noWrap w:val="0"/>
                  <w:vAlign w:val="center"/>
                </w:tcPr>
                <w:p w14:paraId="28CEBC2E">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2</w:t>
                  </w:r>
                </w:p>
              </w:tc>
            </w:tr>
            <w:tr w14:paraId="21ED3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158E7A98">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eastAsia"/>
                      <w:color w:val="auto"/>
                      <w:sz w:val="21"/>
                      <w:szCs w:val="21"/>
                      <w:highlight w:val="none"/>
                      <w:shd w:val="clear" w:color="auto" w:fill="FFFFFF"/>
                    </w:rPr>
                    <w:t>2</w:t>
                  </w:r>
                </w:p>
              </w:tc>
              <w:tc>
                <w:tcPr>
                  <w:tcW w:w="2375" w:type="dxa"/>
                  <w:tcBorders>
                    <w:tl2br w:val="nil"/>
                    <w:tr2bl w:val="nil"/>
                  </w:tcBorders>
                  <w:noWrap w:val="0"/>
                  <w:vAlign w:val="center"/>
                </w:tcPr>
                <w:p w14:paraId="1CD454C8">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埋地卧式双层油罐</w:t>
                  </w:r>
                </w:p>
              </w:tc>
              <w:tc>
                <w:tcPr>
                  <w:tcW w:w="3038" w:type="dxa"/>
                  <w:tcBorders>
                    <w:tl2br w:val="nil"/>
                    <w:tr2bl w:val="nil"/>
                  </w:tcBorders>
                  <w:noWrap w:val="0"/>
                  <w:vAlign w:val="center"/>
                </w:tcPr>
                <w:p w14:paraId="7A70D477">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（SF）-</w:t>
                  </w:r>
                  <w:r>
                    <w:rPr>
                      <w:rFonts w:hint="eastAsia"/>
                      <w:color w:val="auto"/>
                      <w:sz w:val="21"/>
                      <w:szCs w:val="21"/>
                      <w:highlight w:val="none"/>
                      <w:shd w:val="clear" w:color="auto" w:fill="FFFFFF"/>
                      <w:lang w:val="en-US" w:eastAsia="zh-CN"/>
                    </w:rPr>
                    <w:t>3</w:t>
                  </w:r>
                  <w:r>
                    <w:rPr>
                      <w:rFonts w:hint="default"/>
                      <w:color w:val="auto"/>
                      <w:sz w:val="21"/>
                      <w:szCs w:val="21"/>
                      <w:highlight w:val="none"/>
                      <w:shd w:val="clear" w:color="auto" w:fill="FFFFFF"/>
                    </w:rPr>
                    <w:t>0m</w:t>
                  </w:r>
                  <w:r>
                    <w:rPr>
                      <w:rFonts w:hint="default"/>
                      <w:color w:val="auto"/>
                      <w:sz w:val="21"/>
                      <w:szCs w:val="21"/>
                      <w:highlight w:val="none"/>
                      <w:shd w:val="clear" w:color="auto" w:fill="FFFFFF"/>
                      <w:vertAlign w:val="superscript"/>
                    </w:rPr>
                    <w:t>3</w:t>
                  </w:r>
                </w:p>
              </w:tc>
              <w:tc>
                <w:tcPr>
                  <w:tcW w:w="809" w:type="dxa"/>
                  <w:tcBorders>
                    <w:tl2br w:val="nil"/>
                    <w:tr2bl w:val="nil"/>
                  </w:tcBorders>
                  <w:noWrap w:val="0"/>
                  <w:vAlign w:val="center"/>
                </w:tcPr>
                <w:p w14:paraId="01F026E2">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台</w:t>
                  </w:r>
                </w:p>
              </w:tc>
              <w:tc>
                <w:tcPr>
                  <w:tcW w:w="978" w:type="dxa"/>
                  <w:tcBorders>
                    <w:tl2br w:val="nil"/>
                    <w:tr2bl w:val="nil"/>
                  </w:tcBorders>
                  <w:noWrap w:val="0"/>
                  <w:vAlign w:val="center"/>
                </w:tcPr>
                <w:p w14:paraId="17A59707">
                  <w:pPr>
                    <w:keepNext w:val="0"/>
                    <w:keepLines w:val="0"/>
                    <w:suppressLineNumbers w:val="0"/>
                    <w:spacing w:before="0" w:beforeAutospacing="0" w:after="0" w:afterAutospacing="0"/>
                    <w:ind w:left="0" w:right="0"/>
                    <w:jc w:val="center"/>
                    <w:rPr>
                      <w:rFonts w:hint="eastAsia" w:eastAsia="宋体"/>
                      <w:color w:val="auto"/>
                      <w:sz w:val="21"/>
                      <w:szCs w:val="21"/>
                      <w:highlight w:val="none"/>
                      <w:shd w:val="clear" w:color="auto" w:fill="FFFFFF"/>
                      <w:lang w:eastAsia="zh-CN"/>
                    </w:rPr>
                  </w:pPr>
                  <w:r>
                    <w:rPr>
                      <w:rFonts w:hint="eastAsia"/>
                      <w:color w:val="auto"/>
                      <w:sz w:val="21"/>
                      <w:szCs w:val="21"/>
                      <w:highlight w:val="none"/>
                      <w:shd w:val="clear" w:color="auto" w:fill="FFFFFF"/>
                      <w:lang w:val="en-US" w:eastAsia="zh-CN"/>
                    </w:rPr>
                    <w:t>2</w:t>
                  </w:r>
                </w:p>
              </w:tc>
            </w:tr>
            <w:tr w14:paraId="4A397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788DF61D">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eastAsia"/>
                      <w:color w:val="auto"/>
                      <w:sz w:val="21"/>
                      <w:szCs w:val="21"/>
                      <w:highlight w:val="none"/>
                      <w:shd w:val="clear" w:color="auto" w:fill="FFFFFF"/>
                    </w:rPr>
                    <w:t>3</w:t>
                  </w:r>
                </w:p>
              </w:tc>
              <w:tc>
                <w:tcPr>
                  <w:tcW w:w="2375" w:type="dxa"/>
                  <w:tcBorders>
                    <w:tl2br w:val="nil"/>
                    <w:tr2bl w:val="nil"/>
                  </w:tcBorders>
                  <w:noWrap w:val="0"/>
                  <w:vAlign w:val="center"/>
                </w:tcPr>
                <w:p w14:paraId="387303AE">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eastAsia" w:ascii="Times New Roman" w:hAnsi="Times New Roman" w:cs="Times New Roman"/>
                      <w:color w:val="auto"/>
                      <w:sz w:val="21"/>
                      <w:szCs w:val="21"/>
                      <w:highlight w:val="none"/>
                      <w:shd w:val="clear" w:color="auto" w:fill="FFFFFF"/>
                      <w:lang w:val="en-US" w:eastAsia="zh-CN"/>
                    </w:rPr>
                    <w:t>双</w:t>
                  </w:r>
                  <w:r>
                    <w:rPr>
                      <w:rFonts w:hint="default" w:ascii="Times New Roman" w:hAnsi="Times New Roman" w:cs="Times New Roman"/>
                      <w:color w:val="auto"/>
                      <w:sz w:val="21"/>
                      <w:szCs w:val="21"/>
                      <w:highlight w:val="none"/>
                      <w:shd w:val="clear" w:color="auto" w:fill="FFFFFF"/>
                    </w:rPr>
                    <w:t>油品</w:t>
                  </w:r>
                  <w:r>
                    <w:rPr>
                      <w:rFonts w:hint="eastAsia" w:ascii="Times New Roman" w:hAnsi="Times New Roman" w:cs="Times New Roman"/>
                      <w:color w:val="auto"/>
                      <w:sz w:val="21"/>
                      <w:szCs w:val="21"/>
                      <w:highlight w:val="none"/>
                      <w:shd w:val="clear" w:color="auto" w:fill="FFFFFF"/>
                      <w:lang w:val="en-US" w:eastAsia="zh-CN"/>
                    </w:rPr>
                    <w:t>双</w:t>
                  </w:r>
                  <w:r>
                    <w:rPr>
                      <w:rFonts w:hint="default" w:ascii="Times New Roman" w:hAnsi="Times New Roman" w:cs="Times New Roman"/>
                      <w:color w:val="auto"/>
                      <w:sz w:val="21"/>
                      <w:szCs w:val="21"/>
                      <w:highlight w:val="none"/>
                      <w:shd w:val="clear" w:color="auto" w:fill="FFFFFF"/>
                    </w:rPr>
                    <w:t>枪税控加油机</w:t>
                  </w:r>
                </w:p>
              </w:tc>
              <w:tc>
                <w:tcPr>
                  <w:tcW w:w="3038" w:type="dxa"/>
                  <w:tcBorders>
                    <w:tl2br w:val="nil"/>
                    <w:tr2bl w:val="nil"/>
                  </w:tcBorders>
                  <w:noWrap w:val="0"/>
                  <w:vAlign w:val="center"/>
                </w:tcPr>
                <w:p w14:paraId="152E825A">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（油气回收分散式）</w:t>
                  </w:r>
                </w:p>
              </w:tc>
              <w:tc>
                <w:tcPr>
                  <w:tcW w:w="809" w:type="dxa"/>
                  <w:tcBorders>
                    <w:tl2br w:val="nil"/>
                    <w:tr2bl w:val="nil"/>
                  </w:tcBorders>
                  <w:noWrap w:val="0"/>
                  <w:vAlign w:val="center"/>
                </w:tcPr>
                <w:p w14:paraId="09991887">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台</w:t>
                  </w:r>
                </w:p>
              </w:tc>
              <w:tc>
                <w:tcPr>
                  <w:tcW w:w="978" w:type="dxa"/>
                  <w:tcBorders>
                    <w:tl2br w:val="nil"/>
                    <w:tr2bl w:val="nil"/>
                  </w:tcBorders>
                  <w:noWrap w:val="0"/>
                  <w:vAlign w:val="center"/>
                </w:tcPr>
                <w:p w14:paraId="06393669">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2</w:t>
                  </w:r>
                </w:p>
              </w:tc>
            </w:tr>
            <w:tr w14:paraId="1B99B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186B26BE">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eastAsia"/>
                      <w:color w:val="auto"/>
                      <w:sz w:val="21"/>
                      <w:szCs w:val="21"/>
                      <w:highlight w:val="none"/>
                      <w:shd w:val="clear" w:color="auto" w:fill="FFFFFF"/>
                    </w:rPr>
                    <w:t>4</w:t>
                  </w:r>
                </w:p>
              </w:tc>
              <w:tc>
                <w:tcPr>
                  <w:tcW w:w="2375" w:type="dxa"/>
                  <w:tcBorders>
                    <w:tl2br w:val="nil"/>
                    <w:tr2bl w:val="nil"/>
                  </w:tcBorders>
                  <w:noWrap w:val="0"/>
                  <w:vAlign w:val="center"/>
                </w:tcPr>
                <w:p w14:paraId="36B34152">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双油品四枪税控加油机</w:t>
                  </w:r>
                </w:p>
              </w:tc>
              <w:tc>
                <w:tcPr>
                  <w:tcW w:w="3038" w:type="dxa"/>
                  <w:tcBorders>
                    <w:tl2br w:val="nil"/>
                    <w:tr2bl w:val="nil"/>
                  </w:tcBorders>
                  <w:noWrap w:val="0"/>
                  <w:vAlign w:val="center"/>
                </w:tcPr>
                <w:p w14:paraId="4C3F8964">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（油气回收分散式）</w:t>
                  </w:r>
                </w:p>
              </w:tc>
              <w:tc>
                <w:tcPr>
                  <w:tcW w:w="809" w:type="dxa"/>
                  <w:tcBorders>
                    <w:tl2br w:val="nil"/>
                    <w:tr2bl w:val="nil"/>
                  </w:tcBorders>
                  <w:noWrap w:val="0"/>
                  <w:vAlign w:val="center"/>
                </w:tcPr>
                <w:p w14:paraId="5052F429">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台</w:t>
                  </w:r>
                </w:p>
              </w:tc>
              <w:tc>
                <w:tcPr>
                  <w:tcW w:w="978" w:type="dxa"/>
                  <w:tcBorders>
                    <w:tl2br w:val="nil"/>
                    <w:tr2bl w:val="nil"/>
                  </w:tcBorders>
                  <w:noWrap w:val="0"/>
                  <w:vAlign w:val="center"/>
                </w:tcPr>
                <w:p w14:paraId="3F9A3DE4">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2</w:t>
                  </w:r>
                </w:p>
              </w:tc>
            </w:tr>
            <w:tr w14:paraId="42116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5C8CD74C">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eastAsia"/>
                      <w:color w:val="auto"/>
                      <w:sz w:val="21"/>
                      <w:szCs w:val="21"/>
                      <w:highlight w:val="none"/>
                      <w:shd w:val="clear" w:color="auto" w:fill="FFFFFF"/>
                    </w:rPr>
                    <w:t>5</w:t>
                  </w:r>
                </w:p>
              </w:tc>
              <w:tc>
                <w:tcPr>
                  <w:tcW w:w="2375" w:type="dxa"/>
                  <w:tcBorders>
                    <w:tl2br w:val="nil"/>
                    <w:tr2bl w:val="nil"/>
                  </w:tcBorders>
                  <w:noWrap w:val="0"/>
                  <w:vAlign w:val="center"/>
                </w:tcPr>
                <w:p w14:paraId="08B7144F">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红夹克潜油泵</w:t>
                  </w:r>
                </w:p>
              </w:tc>
              <w:tc>
                <w:tcPr>
                  <w:tcW w:w="3038" w:type="dxa"/>
                  <w:tcBorders>
                    <w:tl2br w:val="nil"/>
                    <w:tr2bl w:val="nil"/>
                  </w:tcBorders>
                  <w:noWrap w:val="0"/>
                  <w:vAlign w:val="center"/>
                </w:tcPr>
                <w:p w14:paraId="1509A980">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1.5P</w:t>
                  </w:r>
                </w:p>
              </w:tc>
              <w:tc>
                <w:tcPr>
                  <w:tcW w:w="809" w:type="dxa"/>
                  <w:tcBorders>
                    <w:tl2br w:val="nil"/>
                    <w:tr2bl w:val="nil"/>
                  </w:tcBorders>
                  <w:noWrap w:val="0"/>
                  <w:vAlign w:val="center"/>
                </w:tcPr>
                <w:p w14:paraId="14D9203A">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台</w:t>
                  </w:r>
                </w:p>
              </w:tc>
              <w:tc>
                <w:tcPr>
                  <w:tcW w:w="978" w:type="dxa"/>
                  <w:tcBorders>
                    <w:tl2br w:val="nil"/>
                    <w:tr2bl w:val="nil"/>
                  </w:tcBorders>
                  <w:noWrap w:val="0"/>
                  <w:vAlign w:val="center"/>
                </w:tcPr>
                <w:p w14:paraId="103897BC">
                  <w:pPr>
                    <w:keepNext w:val="0"/>
                    <w:keepLines w:val="0"/>
                    <w:suppressLineNumbers w:val="0"/>
                    <w:spacing w:before="0" w:beforeAutospacing="0" w:after="0" w:afterAutospacing="0"/>
                    <w:ind w:left="0" w:right="0"/>
                    <w:jc w:val="center"/>
                    <w:rPr>
                      <w:rFonts w:hint="eastAsia" w:eastAsia="宋体"/>
                      <w:color w:val="auto"/>
                      <w:sz w:val="21"/>
                      <w:szCs w:val="21"/>
                      <w:highlight w:val="none"/>
                      <w:shd w:val="clear" w:color="auto" w:fill="FFFFFF"/>
                      <w:lang w:eastAsia="zh-CN"/>
                    </w:rPr>
                  </w:pPr>
                  <w:r>
                    <w:rPr>
                      <w:rFonts w:hint="eastAsia"/>
                      <w:color w:val="auto"/>
                      <w:sz w:val="21"/>
                      <w:szCs w:val="21"/>
                      <w:highlight w:val="none"/>
                      <w:shd w:val="clear" w:color="auto" w:fill="FFFFFF"/>
                      <w:lang w:val="en-US" w:eastAsia="zh-CN"/>
                    </w:rPr>
                    <w:t>4</w:t>
                  </w:r>
                </w:p>
              </w:tc>
            </w:tr>
            <w:tr w14:paraId="11FFF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restart"/>
                  <w:tcBorders>
                    <w:tl2br w:val="nil"/>
                    <w:tr2bl w:val="nil"/>
                  </w:tcBorders>
                  <w:noWrap w:val="0"/>
                  <w:vAlign w:val="center"/>
                </w:tcPr>
                <w:p w14:paraId="1C4AAFE0">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6</w:t>
                  </w:r>
                </w:p>
              </w:tc>
              <w:tc>
                <w:tcPr>
                  <w:tcW w:w="2375" w:type="dxa"/>
                  <w:vMerge w:val="restart"/>
                  <w:tcBorders>
                    <w:tl2br w:val="nil"/>
                    <w:tr2bl w:val="nil"/>
                  </w:tcBorders>
                  <w:noWrap w:val="0"/>
                  <w:vAlign w:val="center"/>
                </w:tcPr>
                <w:p w14:paraId="7192F92E">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油气回收系统</w:t>
                  </w:r>
                </w:p>
              </w:tc>
              <w:tc>
                <w:tcPr>
                  <w:tcW w:w="3038" w:type="dxa"/>
                  <w:tcBorders>
                    <w:tl2br w:val="nil"/>
                    <w:tr2bl w:val="nil"/>
                  </w:tcBorders>
                  <w:noWrap w:val="0"/>
                  <w:vAlign w:val="center"/>
                </w:tcPr>
                <w:p w14:paraId="283FCCB6">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卸油油气回收系统</w:t>
                  </w:r>
                </w:p>
              </w:tc>
              <w:tc>
                <w:tcPr>
                  <w:tcW w:w="809" w:type="dxa"/>
                  <w:tcBorders>
                    <w:tl2br w:val="nil"/>
                    <w:tr2bl w:val="nil"/>
                  </w:tcBorders>
                  <w:noWrap w:val="0"/>
                  <w:vAlign w:val="center"/>
                </w:tcPr>
                <w:p w14:paraId="2173CAF1">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eastAsia"/>
                      <w:color w:val="auto"/>
                      <w:sz w:val="21"/>
                      <w:szCs w:val="21"/>
                      <w:highlight w:val="none"/>
                      <w:shd w:val="clear" w:color="auto" w:fill="FFFFFF"/>
                    </w:rPr>
                    <w:t>套</w:t>
                  </w:r>
                </w:p>
              </w:tc>
              <w:tc>
                <w:tcPr>
                  <w:tcW w:w="978" w:type="dxa"/>
                  <w:tcBorders>
                    <w:tl2br w:val="nil"/>
                    <w:tr2bl w:val="nil"/>
                  </w:tcBorders>
                  <w:noWrap w:val="0"/>
                  <w:vAlign w:val="center"/>
                </w:tcPr>
                <w:p w14:paraId="37AFBB5E">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eastAsia"/>
                      <w:color w:val="auto"/>
                      <w:sz w:val="21"/>
                      <w:szCs w:val="21"/>
                      <w:highlight w:val="none"/>
                      <w:shd w:val="clear" w:color="auto" w:fill="FFFFFF"/>
                    </w:rPr>
                    <w:t>1</w:t>
                  </w:r>
                </w:p>
              </w:tc>
            </w:tr>
            <w:tr w14:paraId="58C5F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continue"/>
                  <w:tcBorders>
                    <w:tl2br w:val="nil"/>
                    <w:tr2bl w:val="nil"/>
                  </w:tcBorders>
                  <w:noWrap w:val="0"/>
                  <w:vAlign w:val="center"/>
                </w:tcPr>
                <w:p w14:paraId="5ED98BA3">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p>
              </w:tc>
              <w:tc>
                <w:tcPr>
                  <w:tcW w:w="2375" w:type="dxa"/>
                  <w:vMerge w:val="continue"/>
                  <w:tcBorders>
                    <w:tl2br w:val="nil"/>
                    <w:tr2bl w:val="nil"/>
                  </w:tcBorders>
                  <w:noWrap w:val="0"/>
                  <w:vAlign w:val="center"/>
                </w:tcPr>
                <w:p w14:paraId="663FEDC6">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p>
              </w:tc>
              <w:tc>
                <w:tcPr>
                  <w:tcW w:w="3038" w:type="dxa"/>
                  <w:tcBorders>
                    <w:tl2br w:val="nil"/>
                    <w:tr2bl w:val="nil"/>
                  </w:tcBorders>
                  <w:noWrap w:val="0"/>
                  <w:vAlign w:val="center"/>
                </w:tcPr>
                <w:p w14:paraId="6EF900D2">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default"/>
                      <w:color w:val="auto"/>
                      <w:sz w:val="21"/>
                      <w:szCs w:val="21"/>
                      <w:highlight w:val="none"/>
                      <w:shd w:val="clear" w:color="auto" w:fill="FFFFFF"/>
                    </w:rPr>
                    <w:t>加油油气回收装置</w:t>
                  </w:r>
                </w:p>
              </w:tc>
              <w:tc>
                <w:tcPr>
                  <w:tcW w:w="809" w:type="dxa"/>
                  <w:tcBorders>
                    <w:tl2br w:val="nil"/>
                    <w:tr2bl w:val="nil"/>
                  </w:tcBorders>
                  <w:noWrap w:val="0"/>
                  <w:vAlign w:val="center"/>
                </w:tcPr>
                <w:p w14:paraId="40F9796D">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eastAsia"/>
                      <w:color w:val="auto"/>
                      <w:sz w:val="21"/>
                      <w:szCs w:val="21"/>
                      <w:highlight w:val="none"/>
                      <w:shd w:val="clear" w:color="auto" w:fill="FFFFFF"/>
                    </w:rPr>
                    <w:t>套</w:t>
                  </w:r>
                </w:p>
              </w:tc>
              <w:tc>
                <w:tcPr>
                  <w:tcW w:w="978" w:type="dxa"/>
                  <w:tcBorders>
                    <w:tl2br w:val="nil"/>
                    <w:tr2bl w:val="nil"/>
                  </w:tcBorders>
                  <w:noWrap w:val="0"/>
                  <w:vAlign w:val="center"/>
                </w:tcPr>
                <w:p w14:paraId="5C111986">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r>
                    <w:rPr>
                      <w:rFonts w:hint="eastAsia"/>
                      <w:color w:val="auto"/>
                      <w:sz w:val="21"/>
                      <w:szCs w:val="21"/>
                      <w:highlight w:val="none"/>
                      <w:shd w:val="clear" w:color="auto" w:fill="FFFFFF"/>
                    </w:rPr>
                    <w:t>1</w:t>
                  </w:r>
                </w:p>
              </w:tc>
            </w:tr>
            <w:tr w14:paraId="11946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continue"/>
                  <w:tcBorders>
                    <w:tl2br w:val="nil"/>
                    <w:tr2bl w:val="nil"/>
                  </w:tcBorders>
                  <w:noWrap w:val="0"/>
                  <w:vAlign w:val="center"/>
                </w:tcPr>
                <w:p w14:paraId="444FE4AE">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p>
              </w:tc>
              <w:tc>
                <w:tcPr>
                  <w:tcW w:w="2375" w:type="dxa"/>
                  <w:vMerge w:val="continue"/>
                  <w:tcBorders>
                    <w:tl2br w:val="nil"/>
                    <w:tr2bl w:val="nil"/>
                  </w:tcBorders>
                  <w:noWrap w:val="0"/>
                  <w:vAlign w:val="center"/>
                </w:tcPr>
                <w:p w14:paraId="6338E180">
                  <w:pPr>
                    <w:keepNext w:val="0"/>
                    <w:keepLines w:val="0"/>
                    <w:suppressLineNumbers w:val="0"/>
                    <w:spacing w:before="0" w:beforeAutospacing="0" w:after="0" w:afterAutospacing="0"/>
                    <w:ind w:left="0" w:right="0"/>
                    <w:jc w:val="center"/>
                    <w:rPr>
                      <w:rFonts w:hint="default"/>
                      <w:color w:val="auto"/>
                      <w:sz w:val="21"/>
                      <w:szCs w:val="21"/>
                      <w:highlight w:val="none"/>
                      <w:shd w:val="clear" w:color="auto" w:fill="FFFFFF"/>
                    </w:rPr>
                  </w:pPr>
                </w:p>
              </w:tc>
              <w:tc>
                <w:tcPr>
                  <w:tcW w:w="3038" w:type="dxa"/>
                  <w:tcBorders>
                    <w:tl2br w:val="nil"/>
                    <w:tr2bl w:val="nil"/>
                  </w:tcBorders>
                  <w:noWrap w:val="0"/>
                  <w:vAlign w:val="center"/>
                </w:tcPr>
                <w:p w14:paraId="0F66D77E">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rPr>
                  </w:pPr>
                  <w:r>
                    <w:rPr>
                      <w:rFonts w:hint="eastAsia" w:ascii="Times New Roman" w:hAnsi="Times New Roman" w:cs="Times New Roman"/>
                      <w:color w:val="auto"/>
                      <w:sz w:val="21"/>
                      <w:szCs w:val="21"/>
                      <w:highlight w:val="none"/>
                      <w:shd w:val="clear" w:color="auto" w:fill="FFFFFF"/>
                      <w:lang w:val="en-US" w:eastAsia="zh-CN"/>
                    </w:rPr>
                    <w:t>汽油油气回收处理装置</w:t>
                  </w:r>
                </w:p>
              </w:tc>
              <w:tc>
                <w:tcPr>
                  <w:tcW w:w="809" w:type="dxa"/>
                  <w:tcBorders>
                    <w:tl2br w:val="nil"/>
                    <w:tr2bl w:val="nil"/>
                  </w:tcBorders>
                  <w:noWrap w:val="0"/>
                  <w:vAlign w:val="center"/>
                </w:tcPr>
                <w:p w14:paraId="2BAEFC58">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套</w:t>
                  </w:r>
                </w:p>
              </w:tc>
              <w:tc>
                <w:tcPr>
                  <w:tcW w:w="978" w:type="dxa"/>
                  <w:tcBorders>
                    <w:tl2br w:val="nil"/>
                    <w:tr2bl w:val="nil"/>
                  </w:tcBorders>
                  <w:noWrap w:val="0"/>
                  <w:vAlign w:val="center"/>
                </w:tcPr>
                <w:p w14:paraId="414B73B2">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1</w:t>
                  </w:r>
                </w:p>
              </w:tc>
            </w:tr>
            <w:tr w14:paraId="7E054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45538C1F">
                  <w:pPr>
                    <w:keepNext w:val="0"/>
                    <w:keepLines w:val="0"/>
                    <w:suppressLineNumbers w:val="0"/>
                    <w:spacing w:before="0" w:beforeAutospacing="0" w:after="0" w:afterAutospacing="0"/>
                    <w:ind w:left="0" w:right="0"/>
                    <w:jc w:val="center"/>
                    <w:rPr>
                      <w:rFonts w:hint="eastAsia" w:eastAsia="宋体"/>
                      <w:color w:val="auto"/>
                      <w:sz w:val="21"/>
                      <w:szCs w:val="21"/>
                      <w:highlight w:val="none"/>
                      <w:shd w:val="clear" w:color="auto" w:fill="FFFFFF"/>
                      <w:lang w:eastAsia="zh-CN"/>
                    </w:rPr>
                  </w:pPr>
                  <w:r>
                    <w:rPr>
                      <w:rFonts w:hint="eastAsia"/>
                      <w:color w:val="auto"/>
                      <w:sz w:val="21"/>
                      <w:szCs w:val="21"/>
                      <w:highlight w:val="none"/>
                      <w:shd w:val="clear" w:color="auto" w:fill="FFFFFF"/>
                      <w:lang w:val="en-US" w:eastAsia="zh-CN"/>
                    </w:rPr>
                    <w:t>7</w:t>
                  </w:r>
                </w:p>
              </w:tc>
              <w:tc>
                <w:tcPr>
                  <w:tcW w:w="2375" w:type="dxa"/>
                  <w:tcBorders>
                    <w:tl2br w:val="nil"/>
                    <w:tr2bl w:val="nil"/>
                  </w:tcBorders>
                  <w:noWrap w:val="0"/>
                  <w:vAlign w:val="center"/>
                </w:tcPr>
                <w:p w14:paraId="3BDF4860">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通气管</w:t>
                  </w:r>
                </w:p>
              </w:tc>
              <w:tc>
                <w:tcPr>
                  <w:tcW w:w="3038" w:type="dxa"/>
                  <w:tcBorders>
                    <w:tl2br w:val="nil"/>
                    <w:tr2bl w:val="nil"/>
                  </w:tcBorders>
                  <w:noWrap w:val="0"/>
                  <w:vAlign w:val="center"/>
                </w:tcPr>
                <w:p w14:paraId="7101DB77">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罩棚柱边管口高出顶棚2m以上</w:t>
                  </w:r>
                </w:p>
              </w:tc>
              <w:tc>
                <w:tcPr>
                  <w:tcW w:w="809" w:type="dxa"/>
                  <w:tcBorders>
                    <w:tl2br w:val="nil"/>
                    <w:tr2bl w:val="nil"/>
                  </w:tcBorders>
                  <w:noWrap w:val="0"/>
                  <w:vAlign w:val="center"/>
                </w:tcPr>
                <w:p w14:paraId="1D3DB88F">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根</w:t>
                  </w:r>
                </w:p>
              </w:tc>
              <w:tc>
                <w:tcPr>
                  <w:tcW w:w="978" w:type="dxa"/>
                  <w:tcBorders>
                    <w:tl2br w:val="nil"/>
                    <w:tr2bl w:val="nil"/>
                  </w:tcBorders>
                  <w:noWrap w:val="0"/>
                  <w:vAlign w:val="center"/>
                </w:tcPr>
                <w:p w14:paraId="7F382652">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ascii="Times New Roman" w:hAnsi="Times New Roman" w:cs="Times New Roman"/>
                      <w:color w:val="auto"/>
                      <w:sz w:val="21"/>
                      <w:szCs w:val="21"/>
                      <w:highlight w:val="none"/>
                      <w:shd w:val="clear" w:color="auto" w:fill="FFFFFF"/>
                      <w:lang w:val="en-US" w:eastAsia="zh-CN"/>
                    </w:rPr>
                    <w:t>4</w:t>
                  </w:r>
                </w:p>
              </w:tc>
            </w:tr>
            <w:tr w14:paraId="781F2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8" w:type="dxa"/>
                  <w:gridSpan w:val="5"/>
                  <w:tcBorders>
                    <w:tl2br w:val="nil"/>
                    <w:tr2bl w:val="nil"/>
                  </w:tcBorders>
                  <w:noWrap w:val="0"/>
                  <w:vAlign w:val="center"/>
                </w:tcPr>
                <w:p w14:paraId="42345D3E">
                  <w:pPr>
                    <w:keepNext w:val="0"/>
                    <w:keepLines w:val="0"/>
                    <w:suppressLineNumbers w:val="0"/>
                    <w:spacing w:before="0" w:beforeAutospacing="0" w:after="0" w:afterAutospacing="0"/>
                    <w:ind w:left="0" w:right="0"/>
                    <w:jc w:val="left"/>
                    <w:rPr>
                      <w:rFonts w:hint="default"/>
                      <w:color w:val="auto"/>
                      <w:sz w:val="21"/>
                      <w:szCs w:val="21"/>
                      <w:highlight w:val="none"/>
                      <w:shd w:val="clear" w:color="auto" w:fill="FFFFFF"/>
                    </w:rPr>
                  </w:pPr>
                  <w:r>
                    <w:rPr>
                      <w:rFonts w:hint="eastAsia"/>
                      <w:color w:val="auto"/>
                      <w:sz w:val="21"/>
                      <w:szCs w:val="21"/>
                      <w:highlight w:val="none"/>
                      <w:shd w:val="clear" w:color="auto" w:fill="FFFFFF"/>
                    </w:rPr>
                    <w:t>三、充电桩</w:t>
                  </w:r>
                </w:p>
              </w:tc>
            </w:tr>
            <w:tr w14:paraId="2BAFA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32C0BB7A">
                  <w:pPr>
                    <w:keepNext w:val="0"/>
                    <w:keepLines w:val="0"/>
                    <w:suppressLineNumbers w:val="0"/>
                    <w:spacing w:before="0" w:beforeAutospacing="0" w:after="0" w:afterAutospacing="0"/>
                    <w:ind w:left="0" w:right="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1</w:t>
                  </w:r>
                </w:p>
              </w:tc>
              <w:tc>
                <w:tcPr>
                  <w:tcW w:w="2375" w:type="dxa"/>
                  <w:tcBorders>
                    <w:tl2br w:val="nil"/>
                    <w:tr2bl w:val="nil"/>
                  </w:tcBorders>
                  <w:noWrap w:val="0"/>
                  <w:vAlign w:val="center"/>
                </w:tcPr>
                <w:p w14:paraId="5DDF712F">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汽车充电桩</w:t>
                  </w:r>
                </w:p>
              </w:tc>
              <w:tc>
                <w:tcPr>
                  <w:tcW w:w="3038" w:type="dxa"/>
                  <w:tcBorders>
                    <w:tl2br w:val="nil"/>
                    <w:tr2bl w:val="nil"/>
                  </w:tcBorders>
                  <w:noWrap w:val="0"/>
                  <w:vAlign w:val="center"/>
                </w:tcPr>
                <w:p w14:paraId="4A0E7EEB">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rPr>
                  </w:pPr>
                  <w:r>
                    <w:rPr>
                      <w:rFonts w:hint="eastAsia" w:ascii="Times New Roman" w:hAnsi="Times New Roman" w:cs="Times New Roman"/>
                      <w:color w:val="auto"/>
                      <w:sz w:val="21"/>
                      <w:szCs w:val="21"/>
                      <w:highlight w:val="none"/>
                      <w:shd w:val="clear" w:color="auto" w:fill="FFFFFF"/>
                      <w:lang w:val="en-US" w:eastAsia="zh-CN"/>
                    </w:rPr>
                    <w:t>单机双枪充电桩</w:t>
                  </w:r>
                </w:p>
              </w:tc>
              <w:tc>
                <w:tcPr>
                  <w:tcW w:w="809" w:type="dxa"/>
                  <w:tcBorders>
                    <w:tl2br w:val="nil"/>
                    <w:tr2bl w:val="nil"/>
                  </w:tcBorders>
                  <w:noWrap w:val="0"/>
                  <w:vAlign w:val="center"/>
                </w:tcPr>
                <w:p w14:paraId="6C860585">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套</w:t>
                  </w:r>
                </w:p>
              </w:tc>
              <w:tc>
                <w:tcPr>
                  <w:tcW w:w="978" w:type="dxa"/>
                  <w:tcBorders>
                    <w:tl2br w:val="nil"/>
                    <w:tr2bl w:val="nil"/>
                  </w:tcBorders>
                  <w:noWrap w:val="0"/>
                  <w:vAlign w:val="center"/>
                </w:tcPr>
                <w:p w14:paraId="6AC02CFC">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shd w:val="clear" w:color="auto" w:fill="FFFFFF"/>
                      <w:lang w:val="en-US" w:eastAsia="zh-CN"/>
                    </w:rPr>
                  </w:pPr>
                  <w:r>
                    <w:rPr>
                      <w:rFonts w:hint="eastAsia" w:ascii="Times New Roman" w:hAnsi="Times New Roman" w:cs="Times New Roman"/>
                      <w:color w:val="auto"/>
                      <w:sz w:val="21"/>
                      <w:szCs w:val="21"/>
                      <w:highlight w:val="none"/>
                      <w:shd w:val="clear" w:color="auto" w:fill="FFFFFF"/>
                      <w:lang w:val="en-US" w:eastAsia="zh-CN"/>
                    </w:rPr>
                    <w:t>10</w:t>
                  </w:r>
                </w:p>
              </w:tc>
            </w:tr>
            <w:tr w14:paraId="66AD1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8" w:type="dxa"/>
                  <w:gridSpan w:val="5"/>
                  <w:tcBorders>
                    <w:tl2br w:val="nil"/>
                    <w:tr2bl w:val="nil"/>
                  </w:tcBorders>
                  <w:noWrap w:val="0"/>
                  <w:vAlign w:val="center"/>
                </w:tcPr>
                <w:p w14:paraId="21A8127F">
                  <w:pPr>
                    <w:keepNext w:val="0"/>
                    <w:keepLines w:val="0"/>
                    <w:suppressLineNumbers w:val="0"/>
                    <w:spacing w:before="0" w:beforeAutospacing="0" w:after="0" w:afterAutospacing="0"/>
                    <w:ind w:left="0" w:right="0"/>
                    <w:jc w:val="left"/>
                    <w:rPr>
                      <w:rFonts w:hint="eastAsia"/>
                      <w:color w:val="auto"/>
                      <w:sz w:val="21"/>
                      <w:szCs w:val="21"/>
                      <w:highlight w:val="none"/>
                      <w:shd w:val="clear" w:color="auto" w:fill="FFFFFF"/>
                    </w:rPr>
                  </w:pPr>
                  <w:r>
                    <w:rPr>
                      <w:rFonts w:hint="eastAsia"/>
                      <w:color w:val="auto"/>
                      <w:sz w:val="21"/>
                      <w:szCs w:val="21"/>
                      <w:highlight w:val="none"/>
                      <w:shd w:val="clear" w:color="auto" w:fill="FFFFFF"/>
                    </w:rPr>
                    <w:t>四、辅助设备</w:t>
                  </w:r>
                </w:p>
              </w:tc>
            </w:tr>
            <w:tr w14:paraId="4B608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5AA1FA0A">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1</w:t>
                  </w:r>
                </w:p>
              </w:tc>
              <w:tc>
                <w:tcPr>
                  <w:tcW w:w="2375" w:type="dxa"/>
                  <w:tcBorders>
                    <w:tl2br w:val="nil"/>
                    <w:tr2bl w:val="nil"/>
                  </w:tcBorders>
                  <w:noWrap w:val="0"/>
                  <w:vAlign w:val="center"/>
                </w:tcPr>
                <w:p w14:paraId="4F6F9345">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备用</w:t>
                  </w:r>
                  <w:r>
                    <w:rPr>
                      <w:rFonts w:hint="eastAsia"/>
                      <w:color w:val="auto"/>
                      <w:sz w:val="21"/>
                      <w:szCs w:val="21"/>
                      <w:highlight w:val="none"/>
                      <w:shd w:val="clear" w:color="auto" w:fill="FFFFFF"/>
                      <w:lang w:val="en-US" w:eastAsia="zh-CN"/>
                    </w:rPr>
                    <w:t>撬装柴油</w:t>
                  </w:r>
                  <w:r>
                    <w:rPr>
                      <w:rFonts w:hint="eastAsia"/>
                      <w:color w:val="auto"/>
                      <w:sz w:val="21"/>
                      <w:szCs w:val="21"/>
                      <w:highlight w:val="none"/>
                      <w:shd w:val="clear" w:color="auto" w:fill="FFFFFF"/>
                    </w:rPr>
                    <w:t>发电机</w:t>
                  </w:r>
                </w:p>
              </w:tc>
              <w:tc>
                <w:tcPr>
                  <w:tcW w:w="3038" w:type="dxa"/>
                  <w:tcBorders>
                    <w:tl2br w:val="nil"/>
                    <w:tr2bl w:val="nil"/>
                  </w:tcBorders>
                  <w:noWrap w:val="0"/>
                  <w:vAlign w:val="center"/>
                </w:tcPr>
                <w:p w14:paraId="4D58BA3B">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60</w:t>
                  </w:r>
                  <w:r>
                    <w:rPr>
                      <w:rFonts w:hint="eastAsia"/>
                      <w:color w:val="auto"/>
                      <w:sz w:val="21"/>
                      <w:szCs w:val="21"/>
                      <w:highlight w:val="none"/>
                      <w:shd w:val="clear" w:color="auto" w:fill="FFFFFF"/>
                    </w:rPr>
                    <w:t>kW</w:t>
                  </w:r>
                </w:p>
              </w:tc>
              <w:tc>
                <w:tcPr>
                  <w:tcW w:w="809" w:type="dxa"/>
                  <w:tcBorders>
                    <w:tl2br w:val="nil"/>
                    <w:tr2bl w:val="nil"/>
                  </w:tcBorders>
                  <w:noWrap w:val="0"/>
                  <w:vAlign w:val="center"/>
                </w:tcPr>
                <w:p w14:paraId="05BCBE41">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台</w:t>
                  </w:r>
                </w:p>
              </w:tc>
              <w:tc>
                <w:tcPr>
                  <w:tcW w:w="978" w:type="dxa"/>
                  <w:tcBorders>
                    <w:tl2br w:val="nil"/>
                    <w:tr2bl w:val="nil"/>
                  </w:tcBorders>
                  <w:noWrap w:val="0"/>
                  <w:vAlign w:val="center"/>
                </w:tcPr>
                <w:p w14:paraId="4D82B6B5">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1</w:t>
                  </w:r>
                </w:p>
              </w:tc>
            </w:tr>
            <w:tr w14:paraId="4DB50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78F22E8D">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2</w:t>
                  </w:r>
                </w:p>
              </w:tc>
              <w:tc>
                <w:tcPr>
                  <w:tcW w:w="2375" w:type="dxa"/>
                  <w:tcBorders>
                    <w:tl2br w:val="nil"/>
                    <w:tr2bl w:val="nil"/>
                  </w:tcBorders>
                  <w:noWrap w:val="0"/>
                  <w:vAlign w:val="center"/>
                </w:tcPr>
                <w:p w14:paraId="584BABC5">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自动洗车机</w:t>
                  </w:r>
                </w:p>
              </w:tc>
              <w:tc>
                <w:tcPr>
                  <w:tcW w:w="3038" w:type="dxa"/>
                  <w:tcBorders>
                    <w:tl2br w:val="nil"/>
                    <w:tr2bl w:val="nil"/>
                  </w:tcBorders>
                  <w:noWrap w:val="0"/>
                  <w:vAlign w:val="center"/>
                </w:tcPr>
                <w:p w14:paraId="177AF134">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w:t>
                  </w:r>
                </w:p>
              </w:tc>
              <w:tc>
                <w:tcPr>
                  <w:tcW w:w="809" w:type="dxa"/>
                  <w:tcBorders>
                    <w:tl2br w:val="nil"/>
                    <w:tr2bl w:val="nil"/>
                  </w:tcBorders>
                  <w:noWrap w:val="0"/>
                  <w:vAlign w:val="center"/>
                </w:tcPr>
                <w:p w14:paraId="1C6DE253">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台</w:t>
                  </w:r>
                </w:p>
              </w:tc>
              <w:tc>
                <w:tcPr>
                  <w:tcW w:w="978" w:type="dxa"/>
                  <w:tcBorders>
                    <w:tl2br w:val="nil"/>
                    <w:tr2bl w:val="nil"/>
                  </w:tcBorders>
                  <w:noWrap w:val="0"/>
                  <w:vAlign w:val="center"/>
                </w:tcPr>
                <w:p w14:paraId="391A03C6">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rPr>
                    <w:t>1</w:t>
                  </w:r>
                </w:p>
              </w:tc>
            </w:tr>
            <w:tr w14:paraId="0916B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327185A4">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3</w:t>
                  </w:r>
                </w:p>
              </w:tc>
              <w:tc>
                <w:tcPr>
                  <w:tcW w:w="2375" w:type="dxa"/>
                  <w:tcBorders>
                    <w:tl2br w:val="nil"/>
                    <w:tr2bl w:val="nil"/>
                  </w:tcBorders>
                  <w:noWrap w:val="0"/>
                  <w:vAlign w:val="center"/>
                </w:tcPr>
                <w:p w14:paraId="03B4C84C">
                  <w:pPr>
                    <w:keepNext w:val="0"/>
                    <w:keepLines w:val="0"/>
                    <w:suppressLineNumbers w:val="0"/>
                    <w:spacing w:before="0" w:beforeAutospacing="0" w:after="0" w:afterAutospacing="0"/>
                    <w:ind w:left="0" w:leftChars="0" w:right="0" w:rightChars="0"/>
                    <w:jc w:val="center"/>
                    <w:rPr>
                      <w:rFonts w:hint="default" w:eastAsia="宋体"/>
                      <w:color w:val="auto"/>
                      <w:sz w:val="21"/>
                      <w:szCs w:val="21"/>
                      <w:highlight w:val="none"/>
                      <w:shd w:val="clear" w:color="auto" w:fill="FFFFFF"/>
                      <w:lang w:val="en-US" w:eastAsia="zh-CN"/>
                    </w:rPr>
                  </w:pPr>
                  <w:r>
                    <w:rPr>
                      <w:rFonts w:hint="eastAsia"/>
                      <w:color w:val="auto"/>
                      <w:sz w:val="21"/>
                      <w:szCs w:val="21"/>
                      <w:highlight w:val="none"/>
                      <w:shd w:val="clear" w:color="auto" w:fill="FFFFFF"/>
                      <w:lang w:val="en-US" w:eastAsia="zh-CN"/>
                    </w:rPr>
                    <w:t>洗车废水处理系统</w:t>
                  </w:r>
                </w:p>
              </w:tc>
              <w:tc>
                <w:tcPr>
                  <w:tcW w:w="3038" w:type="dxa"/>
                  <w:tcBorders>
                    <w:tl2br w:val="nil"/>
                    <w:tr2bl w:val="nil"/>
                  </w:tcBorders>
                  <w:noWrap w:val="0"/>
                  <w:vAlign w:val="center"/>
                </w:tcPr>
                <w:p w14:paraId="74D3F9F6">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lang w:val="en-US"/>
                    </w:rPr>
                  </w:pPr>
                  <w:r>
                    <w:rPr>
                      <w:rFonts w:hint="eastAsia"/>
                      <w:color w:val="auto"/>
                      <w:sz w:val="21"/>
                      <w:szCs w:val="21"/>
                      <w:highlight w:val="none"/>
                      <w:shd w:val="clear" w:color="auto" w:fill="FFFFFF"/>
                      <w:lang w:val="en-US" w:eastAsia="zh-CN"/>
                    </w:rPr>
                    <w:t>废水处理规模（5m</w:t>
                  </w:r>
                  <w:r>
                    <w:rPr>
                      <w:rFonts w:hint="eastAsia"/>
                      <w:color w:val="auto"/>
                      <w:sz w:val="21"/>
                      <w:szCs w:val="21"/>
                      <w:highlight w:val="none"/>
                      <w:shd w:val="clear" w:color="auto" w:fill="FFFFFF"/>
                      <w:vertAlign w:val="superscript"/>
                      <w:lang w:val="en-US" w:eastAsia="zh-CN"/>
                    </w:rPr>
                    <w:t>3</w:t>
                  </w:r>
                  <w:r>
                    <w:rPr>
                      <w:rFonts w:hint="eastAsia"/>
                      <w:color w:val="auto"/>
                      <w:sz w:val="21"/>
                      <w:szCs w:val="21"/>
                      <w:highlight w:val="none"/>
                      <w:shd w:val="clear" w:color="auto" w:fill="FFFFFF"/>
                      <w:vertAlign w:val="baseline"/>
                      <w:lang w:val="en-US" w:eastAsia="zh-CN"/>
                    </w:rPr>
                    <w:t>/d</w:t>
                  </w:r>
                  <w:r>
                    <w:rPr>
                      <w:rFonts w:hint="eastAsia"/>
                      <w:color w:val="auto"/>
                      <w:sz w:val="21"/>
                      <w:szCs w:val="21"/>
                      <w:highlight w:val="none"/>
                      <w:shd w:val="clear" w:color="auto" w:fill="FFFFFF"/>
                      <w:lang w:val="en-US" w:eastAsia="zh-CN"/>
                    </w:rPr>
                    <w:t>）处理工艺为“隔油+絮凝沉淀+光催化氧化”</w:t>
                  </w:r>
                </w:p>
              </w:tc>
              <w:tc>
                <w:tcPr>
                  <w:tcW w:w="809" w:type="dxa"/>
                  <w:tcBorders>
                    <w:tl2br w:val="nil"/>
                    <w:tr2bl w:val="nil"/>
                  </w:tcBorders>
                  <w:noWrap w:val="0"/>
                  <w:vAlign w:val="center"/>
                </w:tcPr>
                <w:p w14:paraId="184CB1AC">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套</w:t>
                  </w:r>
                </w:p>
              </w:tc>
              <w:tc>
                <w:tcPr>
                  <w:tcW w:w="978" w:type="dxa"/>
                  <w:tcBorders>
                    <w:tl2br w:val="nil"/>
                    <w:tr2bl w:val="nil"/>
                  </w:tcBorders>
                  <w:noWrap w:val="0"/>
                  <w:vAlign w:val="center"/>
                </w:tcPr>
                <w:p w14:paraId="44D49DDE">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1</w:t>
                  </w:r>
                </w:p>
              </w:tc>
            </w:tr>
            <w:tr w14:paraId="6F1CC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0BD41D95">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4</w:t>
                  </w:r>
                </w:p>
              </w:tc>
              <w:tc>
                <w:tcPr>
                  <w:tcW w:w="2375" w:type="dxa"/>
                  <w:tcBorders>
                    <w:tl2br w:val="nil"/>
                    <w:tr2bl w:val="nil"/>
                  </w:tcBorders>
                  <w:noWrap w:val="0"/>
                  <w:vAlign w:val="center"/>
                </w:tcPr>
                <w:p w14:paraId="08FA2C2B">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隔油池</w:t>
                  </w:r>
                </w:p>
              </w:tc>
              <w:tc>
                <w:tcPr>
                  <w:tcW w:w="3038" w:type="dxa"/>
                  <w:tcBorders>
                    <w:tl2br w:val="nil"/>
                    <w:tr2bl w:val="nil"/>
                  </w:tcBorders>
                  <w:noWrap w:val="0"/>
                  <w:vAlign w:val="center"/>
                </w:tcPr>
                <w:p w14:paraId="5E970649">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1m</w:t>
                  </w:r>
                  <w:r>
                    <w:rPr>
                      <w:rFonts w:hint="eastAsia"/>
                      <w:color w:val="auto"/>
                      <w:sz w:val="21"/>
                      <w:szCs w:val="21"/>
                      <w:highlight w:val="none"/>
                      <w:shd w:val="clear" w:color="auto" w:fill="FFFFFF"/>
                      <w:vertAlign w:val="superscript"/>
                      <w:lang w:val="en-US" w:eastAsia="zh-CN"/>
                    </w:rPr>
                    <w:t>3</w:t>
                  </w:r>
                </w:p>
              </w:tc>
              <w:tc>
                <w:tcPr>
                  <w:tcW w:w="809" w:type="dxa"/>
                  <w:tcBorders>
                    <w:tl2br w:val="nil"/>
                    <w:tr2bl w:val="nil"/>
                  </w:tcBorders>
                  <w:noWrap w:val="0"/>
                  <w:vAlign w:val="center"/>
                </w:tcPr>
                <w:p w14:paraId="0274C3F6">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个</w:t>
                  </w:r>
                </w:p>
              </w:tc>
              <w:tc>
                <w:tcPr>
                  <w:tcW w:w="978" w:type="dxa"/>
                  <w:tcBorders>
                    <w:tl2br w:val="nil"/>
                    <w:tr2bl w:val="nil"/>
                  </w:tcBorders>
                  <w:noWrap w:val="0"/>
                  <w:vAlign w:val="center"/>
                </w:tcPr>
                <w:p w14:paraId="266F5C16">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1</w:t>
                  </w:r>
                </w:p>
              </w:tc>
            </w:tr>
            <w:tr w14:paraId="549C6D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67814CBE">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5</w:t>
                  </w:r>
                </w:p>
              </w:tc>
              <w:tc>
                <w:tcPr>
                  <w:tcW w:w="2375" w:type="dxa"/>
                  <w:tcBorders>
                    <w:tl2br w:val="nil"/>
                    <w:tr2bl w:val="nil"/>
                  </w:tcBorders>
                  <w:noWrap w:val="0"/>
                  <w:vAlign w:val="center"/>
                </w:tcPr>
                <w:p w14:paraId="40524727">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化粪池</w:t>
                  </w:r>
                </w:p>
              </w:tc>
              <w:tc>
                <w:tcPr>
                  <w:tcW w:w="3038" w:type="dxa"/>
                  <w:tcBorders>
                    <w:tl2br w:val="nil"/>
                    <w:tr2bl w:val="nil"/>
                  </w:tcBorders>
                  <w:noWrap w:val="0"/>
                  <w:vAlign w:val="center"/>
                </w:tcPr>
                <w:p w14:paraId="0A63B89A">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4m</w:t>
                  </w:r>
                  <w:r>
                    <w:rPr>
                      <w:rFonts w:hint="eastAsia"/>
                      <w:color w:val="auto"/>
                      <w:sz w:val="21"/>
                      <w:szCs w:val="21"/>
                      <w:highlight w:val="none"/>
                      <w:shd w:val="clear" w:color="auto" w:fill="FFFFFF"/>
                      <w:vertAlign w:val="superscript"/>
                      <w:lang w:val="en-US" w:eastAsia="zh-CN"/>
                    </w:rPr>
                    <w:t>3</w:t>
                  </w:r>
                </w:p>
              </w:tc>
              <w:tc>
                <w:tcPr>
                  <w:tcW w:w="809" w:type="dxa"/>
                  <w:tcBorders>
                    <w:tl2br w:val="nil"/>
                    <w:tr2bl w:val="nil"/>
                  </w:tcBorders>
                  <w:noWrap w:val="0"/>
                  <w:vAlign w:val="center"/>
                </w:tcPr>
                <w:p w14:paraId="01B91FB2">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个</w:t>
                  </w:r>
                </w:p>
              </w:tc>
              <w:tc>
                <w:tcPr>
                  <w:tcW w:w="978" w:type="dxa"/>
                  <w:tcBorders>
                    <w:tl2br w:val="nil"/>
                    <w:tr2bl w:val="nil"/>
                  </w:tcBorders>
                  <w:noWrap w:val="0"/>
                  <w:vAlign w:val="center"/>
                </w:tcPr>
                <w:p w14:paraId="26351B85">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1</w:t>
                  </w:r>
                </w:p>
              </w:tc>
            </w:tr>
            <w:tr w14:paraId="6675A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43AD37B9">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6</w:t>
                  </w:r>
                </w:p>
              </w:tc>
              <w:tc>
                <w:tcPr>
                  <w:tcW w:w="2375" w:type="dxa"/>
                  <w:tcBorders>
                    <w:tl2br w:val="nil"/>
                    <w:tr2bl w:val="nil"/>
                  </w:tcBorders>
                  <w:noWrap w:val="0"/>
                  <w:vAlign w:val="center"/>
                </w:tcPr>
                <w:p w14:paraId="1C43A488">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default"/>
                      <w:color w:val="auto"/>
                      <w:sz w:val="21"/>
                      <w:szCs w:val="21"/>
                      <w:highlight w:val="none"/>
                      <w:shd w:val="clear" w:color="auto" w:fill="FFFFFF"/>
                      <w:lang w:val="en-US" w:eastAsia="zh-CN"/>
                    </w:rPr>
                    <w:t>洗车机隔油沉淀池</w:t>
                  </w:r>
                </w:p>
              </w:tc>
              <w:tc>
                <w:tcPr>
                  <w:tcW w:w="3038" w:type="dxa"/>
                  <w:tcBorders>
                    <w:tl2br w:val="nil"/>
                    <w:tr2bl w:val="nil"/>
                  </w:tcBorders>
                  <w:noWrap w:val="0"/>
                  <w:vAlign w:val="center"/>
                </w:tcPr>
                <w:p w14:paraId="11D00D62">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1m</w:t>
                  </w:r>
                  <w:r>
                    <w:rPr>
                      <w:rFonts w:hint="eastAsia"/>
                      <w:color w:val="auto"/>
                      <w:sz w:val="21"/>
                      <w:szCs w:val="21"/>
                      <w:highlight w:val="none"/>
                      <w:shd w:val="clear" w:color="auto" w:fill="FFFFFF"/>
                      <w:vertAlign w:val="superscript"/>
                      <w:lang w:val="en-US" w:eastAsia="zh-CN"/>
                    </w:rPr>
                    <w:t>3</w:t>
                  </w:r>
                </w:p>
              </w:tc>
              <w:tc>
                <w:tcPr>
                  <w:tcW w:w="809" w:type="dxa"/>
                  <w:tcBorders>
                    <w:tl2br w:val="nil"/>
                    <w:tr2bl w:val="nil"/>
                  </w:tcBorders>
                  <w:noWrap w:val="0"/>
                  <w:vAlign w:val="center"/>
                </w:tcPr>
                <w:p w14:paraId="143FDF23">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个</w:t>
                  </w:r>
                </w:p>
              </w:tc>
              <w:tc>
                <w:tcPr>
                  <w:tcW w:w="978" w:type="dxa"/>
                  <w:tcBorders>
                    <w:tl2br w:val="nil"/>
                    <w:tr2bl w:val="nil"/>
                  </w:tcBorders>
                  <w:noWrap w:val="0"/>
                  <w:vAlign w:val="center"/>
                </w:tcPr>
                <w:p w14:paraId="7317B530">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1</w:t>
                  </w:r>
                </w:p>
              </w:tc>
            </w:tr>
            <w:tr w14:paraId="334AC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03A0D30B">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7</w:t>
                  </w:r>
                </w:p>
              </w:tc>
              <w:tc>
                <w:tcPr>
                  <w:tcW w:w="2375" w:type="dxa"/>
                  <w:tcBorders>
                    <w:tl2br w:val="nil"/>
                    <w:tr2bl w:val="nil"/>
                  </w:tcBorders>
                  <w:noWrap w:val="0"/>
                  <w:vAlign w:val="center"/>
                </w:tcPr>
                <w:p w14:paraId="4ED5AFC3">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清水池</w:t>
                  </w:r>
                </w:p>
              </w:tc>
              <w:tc>
                <w:tcPr>
                  <w:tcW w:w="3038" w:type="dxa"/>
                  <w:tcBorders>
                    <w:tl2br w:val="nil"/>
                    <w:tr2bl w:val="nil"/>
                  </w:tcBorders>
                  <w:noWrap w:val="0"/>
                  <w:vAlign w:val="center"/>
                </w:tcPr>
                <w:p w14:paraId="00C95C5C">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3m</w:t>
                  </w:r>
                  <w:r>
                    <w:rPr>
                      <w:rFonts w:hint="eastAsia"/>
                      <w:color w:val="auto"/>
                      <w:sz w:val="21"/>
                      <w:szCs w:val="21"/>
                      <w:highlight w:val="none"/>
                      <w:shd w:val="clear" w:color="auto" w:fill="FFFFFF"/>
                      <w:vertAlign w:val="superscript"/>
                      <w:lang w:val="en-US" w:eastAsia="zh-CN"/>
                    </w:rPr>
                    <w:t>3</w:t>
                  </w:r>
                </w:p>
              </w:tc>
              <w:tc>
                <w:tcPr>
                  <w:tcW w:w="809" w:type="dxa"/>
                  <w:tcBorders>
                    <w:tl2br w:val="nil"/>
                    <w:tr2bl w:val="nil"/>
                  </w:tcBorders>
                  <w:noWrap w:val="0"/>
                  <w:vAlign w:val="center"/>
                </w:tcPr>
                <w:p w14:paraId="6A9E6C87">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个</w:t>
                  </w:r>
                </w:p>
              </w:tc>
              <w:tc>
                <w:tcPr>
                  <w:tcW w:w="978" w:type="dxa"/>
                  <w:tcBorders>
                    <w:tl2br w:val="nil"/>
                    <w:tr2bl w:val="nil"/>
                  </w:tcBorders>
                  <w:noWrap w:val="0"/>
                  <w:vAlign w:val="center"/>
                </w:tcPr>
                <w:p w14:paraId="0F8B6DA3">
                  <w:pPr>
                    <w:keepNext w:val="0"/>
                    <w:keepLines w:val="0"/>
                    <w:suppressLineNumbers w:val="0"/>
                    <w:spacing w:before="0" w:beforeAutospacing="0" w:after="0" w:afterAutospacing="0"/>
                    <w:ind w:left="0" w:leftChars="0" w:right="0" w:rightChars="0"/>
                    <w:jc w:val="center"/>
                    <w:rPr>
                      <w:rFonts w:hint="eastAsia"/>
                      <w:color w:val="auto"/>
                      <w:sz w:val="21"/>
                      <w:szCs w:val="21"/>
                      <w:highlight w:val="none"/>
                      <w:shd w:val="clear" w:color="auto" w:fill="FFFFFF"/>
                    </w:rPr>
                  </w:pPr>
                  <w:r>
                    <w:rPr>
                      <w:rFonts w:hint="eastAsia"/>
                      <w:color w:val="auto"/>
                      <w:sz w:val="21"/>
                      <w:szCs w:val="21"/>
                      <w:highlight w:val="none"/>
                      <w:shd w:val="clear" w:color="auto" w:fill="FFFFFF"/>
                      <w:lang w:val="en-US" w:eastAsia="zh-CN"/>
                    </w:rPr>
                    <w:t>1</w:t>
                  </w:r>
                </w:p>
              </w:tc>
            </w:tr>
            <w:tr w14:paraId="7FD2C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tcBorders>
                    <w:tl2br w:val="nil"/>
                    <w:tr2bl w:val="nil"/>
                  </w:tcBorders>
                  <w:noWrap w:val="0"/>
                  <w:vAlign w:val="center"/>
                </w:tcPr>
                <w:p w14:paraId="4C69190B">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lang w:val="en-US" w:eastAsia="zh-CN"/>
                    </w:rPr>
                  </w:pPr>
                  <w:r>
                    <w:rPr>
                      <w:rFonts w:hint="eastAsia"/>
                      <w:color w:val="auto"/>
                      <w:sz w:val="21"/>
                      <w:szCs w:val="21"/>
                      <w:highlight w:val="none"/>
                      <w:shd w:val="clear" w:color="auto" w:fill="FFFFFF"/>
                      <w:lang w:val="en-US" w:eastAsia="zh-CN"/>
                    </w:rPr>
                    <w:t>8</w:t>
                  </w:r>
                </w:p>
              </w:tc>
              <w:tc>
                <w:tcPr>
                  <w:tcW w:w="2375" w:type="dxa"/>
                  <w:tcBorders>
                    <w:tl2br w:val="nil"/>
                    <w:tr2bl w:val="nil"/>
                  </w:tcBorders>
                  <w:noWrap w:val="0"/>
                  <w:vAlign w:val="center"/>
                </w:tcPr>
                <w:p w14:paraId="370F00C0">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lang w:val="en-US" w:eastAsia="zh-CN"/>
                    </w:rPr>
                  </w:pPr>
                  <w:r>
                    <w:rPr>
                      <w:rFonts w:hint="eastAsia"/>
                      <w:color w:val="auto"/>
                      <w:sz w:val="21"/>
                      <w:szCs w:val="21"/>
                      <w:highlight w:val="none"/>
                      <w:shd w:val="clear" w:color="auto" w:fill="FFFFFF"/>
                      <w:lang w:val="en-US" w:eastAsia="zh-CN"/>
                    </w:rPr>
                    <w:t>初期雨水隔油沉淀池</w:t>
                  </w:r>
                </w:p>
              </w:tc>
              <w:tc>
                <w:tcPr>
                  <w:tcW w:w="3038" w:type="dxa"/>
                  <w:tcBorders>
                    <w:tl2br w:val="nil"/>
                    <w:tr2bl w:val="nil"/>
                  </w:tcBorders>
                  <w:noWrap w:val="0"/>
                  <w:vAlign w:val="center"/>
                </w:tcPr>
                <w:p w14:paraId="164F87CA">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lang w:val="en-US" w:eastAsia="zh-CN"/>
                    </w:rPr>
                  </w:pPr>
                  <w:r>
                    <w:rPr>
                      <w:rFonts w:hint="eastAsia"/>
                      <w:color w:val="auto"/>
                      <w:sz w:val="21"/>
                      <w:szCs w:val="21"/>
                      <w:highlight w:val="none"/>
                      <w:shd w:val="clear" w:color="auto" w:fill="FFFFFF"/>
                      <w:lang w:val="en-US" w:eastAsia="zh-CN"/>
                    </w:rPr>
                    <w:t>7m</w:t>
                  </w:r>
                  <w:r>
                    <w:rPr>
                      <w:rFonts w:hint="eastAsia"/>
                      <w:color w:val="auto"/>
                      <w:sz w:val="21"/>
                      <w:szCs w:val="21"/>
                      <w:highlight w:val="none"/>
                      <w:shd w:val="clear" w:color="auto" w:fill="FFFFFF"/>
                      <w:vertAlign w:val="superscript"/>
                      <w:lang w:val="en-US" w:eastAsia="zh-CN"/>
                    </w:rPr>
                    <w:t>3</w:t>
                  </w:r>
                </w:p>
              </w:tc>
              <w:tc>
                <w:tcPr>
                  <w:tcW w:w="809" w:type="dxa"/>
                  <w:tcBorders>
                    <w:tl2br w:val="nil"/>
                    <w:tr2bl w:val="nil"/>
                  </w:tcBorders>
                  <w:noWrap w:val="0"/>
                  <w:vAlign w:val="center"/>
                </w:tcPr>
                <w:p w14:paraId="67B50754">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lang w:val="en-US" w:eastAsia="zh-CN"/>
                    </w:rPr>
                  </w:pPr>
                  <w:r>
                    <w:rPr>
                      <w:rFonts w:hint="eastAsia"/>
                      <w:color w:val="auto"/>
                      <w:sz w:val="21"/>
                      <w:szCs w:val="21"/>
                      <w:highlight w:val="none"/>
                      <w:shd w:val="clear" w:color="auto" w:fill="FFFFFF"/>
                      <w:lang w:val="en-US" w:eastAsia="zh-CN"/>
                    </w:rPr>
                    <w:t>个</w:t>
                  </w:r>
                </w:p>
              </w:tc>
              <w:tc>
                <w:tcPr>
                  <w:tcW w:w="978" w:type="dxa"/>
                  <w:tcBorders>
                    <w:tl2br w:val="nil"/>
                    <w:tr2bl w:val="nil"/>
                  </w:tcBorders>
                  <w:noWrap w:val="0"/>
                  <w:vAlign w:val="center"/>
                </w:tcPr>
                <w:p w14:paraId="22FED1E8">
                  <w:pPr>
                    <w:keepNext w:val="0"/>
                    <w:keepLines w:val="0"/>
                    <w:suppressLineNumbers w:val="0"/>
                    <w:spacing w:before="0" w:beforeAutospacing="0" w:after="0" w:afterAutospacing="0"/>
                    <w:ind w:left="0" w:leftChars="0" w:right="0" w:rightChars="0"/>
                    <w:jc w:val="center"/>
                    <w:rPr>
                      <w:rFonts w:hint="default"/>
                      <w:color w:val="auto"/>
                      <w:sz w:val="21"/>
                      <w:szCs w:val="21"/>
                      <w:highlight w:val="none"/>
                      <w:shd w:val="clear" w:color="auto" w:fill="FFFFFF"/>
                      <w:lang w:val="en-US" w:eastAsia="zh-CN"/>
                    </w:rPr>
                  </w:pPr>
                  <w:r>
                    <w:rPr>
                      <w:rFonts w:hint="eastAsia"/>
                      <w:color w:val="auto"/>
                      <w:sz w:val="21"/>
                      <w:szCs w:val="21"/>
                      <w:highlight w:val="none"/>
                      <w:shd w:val="clear" w:color="auto" w:fill="FFFFFF"/>
                      <w:lang w:val="en-US" w:eastAsia="zh-CN"/>
                    </w:rPr>
                    <w:t>1</w:t>
                  </w:r>
                </w:p>
              </w:tc>
            </w:tr>
          </w:tbl>
          <w:p w14:paraId="665FA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b/>
                <w:bCs/>
                <w:snapToGrid w:val="0"/>
                <w:color w:val="auto"/>
                <w:highlight w:val="none"/>
              </w:rPr>
              <w:t>7、</w:t>
            </w:r>
            <w:r>
              <w:rPr>
                <w:rFonts w:hint="default" w:ascii="Times New Roman" w:hAnsi="Times New Roman" w:eastAsia="宋体" w:cs="Times New Roman"/>
                <w:b/>
                <w:color w:val="auto"/>
                <w:sz w:val="24"/>
                <w:szCs w:val="24"/>
                <w:highlight w:val="none"/>
                <w:lang w:val="en-US" w:eastAsia="zh-CN"/>
              </w:rPr>
              <w:t>公用工程</w:t>
            </w:r>
          </w:p>
          <w:p w14:paraId="7B745CA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rPr>
            </w:pPr>
            <w:r>
              <w:rPr>
                <w:rFonts w:hint="eastAsia"/>
                <w:color w:val="auto"/>
                <w:highlight w:val="none"/>
              </w:rPr>
              <w:t>（1）</w:t>
            </w:r>
            <w:r>
              <w:rPr>
                <w:rFonts w:hint="eastAsia" w:ascii="Times New Roman" w:hAnsi="Times New Roman" w:eastAsia="宋体" w:cs="Times New Roman"/>
                <w:color w:val="auto"/>
                <w:sz w:val="24"/>
                <w:szCs w:val="24"/>
                <w:highlight w:val="none"/>
              </w:rPr>
              <w:t>给排水</w:t>
            </w:r>
          </w:p>
          <w:p w14:paraId="1AA4C04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本项目用水由市政给水管网供给。项目用水包括洗车用水、站内员工及外来司乘人员用水、地面冲洗水及绿化用水。</w:t>
            </w:r>
          </w:p>
          <w:p w14:paraId="1102186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项目排水采取雨污分流制。根据用水情况分析，项目废水主要来源于洗车用水、站内工作人员及司乘人员的生活污水，废水产生量按用水量的80%计，</w:t>
            </w:r>
            <w:r>
              <w:rPr>
                <w:rFonts w:hint="eastAsia"/>
                <w:color w:val="auto"/>
                <w:sz w:val="24"/>
                <w:highlight w:val="none"/>
                <w:lang w:val="en-US" w:eastAsia="zh-CN"/>
              </w:rPr>
              <w:t>生活污水和地面冲洗</w:t>
            </w:r>
            <w:r>
              <w:rPr>
                <w:rFonts w:hint="eastAsia"/>
                <w:color w:val="auto"/>
                <w:sz w:val="24"/>
                <w:highlight w:val="none"/>
              </w:rPr>
              <w:t>废水经预处理后通过市政污水管网进入达州市通川区魏兴场镇污水处理厂处理</w:t>
            </w:r>
            <w:r>
              <w:rPr>
                <w:rFonts w:hint="eastAsia"/>
                <w:color w:val="auto"/>
                <w:sz w:val="24"/>
                <w:highlight w:val="none"/>
                <w:lang w:val="en-US" w:eastAsia="zh-CN"/>
              </w:rPr>
              <w:t>后</w:t>
            </w:r>
            <w:r>
              <w:rPr>
                <w:rFonts w:hint="eastAsia"/>
                <w:color w:val="auto"/>
                <w:sz w:val="24"/>
                <w:highlight w:val="none"/>
                <w:lang w:eastAsia="zh-CN"/>
              </w:rPr>
              <w:t>，达到</w:t>
            </w:r>
            <w:r>
              <w:rPr>
                <w:rFonts w:hint="eastAsia"/>
                <w:color w:val="auto"/>
                <w:sz w:val="24"/>
                <w:highlight w:val="none"/>
              </w:rPr>
              <w:t>《城镇污水处理厂污染物排放标准》（GB18918—2002）一级A标准</w:t>
            </w:r>
            <w:r>
              <w:rPr>
                <w:rFonts w:hint="eastAsia"/>
                <w:color w:val="auto"/>
                <w:sz w:val="24"/>
                <w:highlight w:val="none"/>
                <w:lang w:val="en-US" w:eastAsia="zh-CN"/>
              </w:rPr>
              <w:t>后外排；</w:t>
            </w:r>
            <w:r>
              <w:rPr>
                <w:rFonts w:hint="eastAsia"/>
                <w:color w:val="000000" w:themeColor="text1"/>
                <w:sz w:val="24"/>
                <w:highlight w:val="none"/>
                <w:lang w:val="en-US" w:eastAsia="zh-CN"/>
                <w14:textFill>
                  <w14:solidFill>
                    <w14:schemeClr w14:val="tx1"/>
                  </w14:solidFill>
                </w14:textFill>
              </w:rPr>
              <w:t>洗车废水经废水处理系统处理后（采用“隔油+絮凝沉淀+光催化氧化”工艺）回用，不外排。</w:t>
            </w:r>
          </w:p>
          <w:p w14:paraId="4026AF6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项目用水量及废水产生情况详见下表。</w:t>
            </w:r>
          </w:p>
          <w:p w14:paraId="06B96113">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表2-</w:t>
            </w:r>
            <w:r>
              <w:rPr>
                <w:rFonts w:hint="eastAsia" w:ascii="Times New Roman" w:hAnsi="Times New Roman" w:eastAsia="黑体" w:cs="Times New Roman"/>
                <w:b/>
                <w:bCs/>
                <w:color w:val="auto"/>
                <w:kern w:val="0"/>
                <w:sz w:val="20"/>
                <w:szCs w:val="20"/>
                <w:highlight w:val="none"/>
                <w:lang w:val="en-US" w:eastAsia="zh-CN" w:bidi="ar-SA"/>
              </w:rPr>
              <w:t>7</w:t>
            </w:r>
            <w:r>
              <w:rPr>
                <w:rFonts w:hint="default" w:ascii="Times New Roman" w:hAnsi="Times New Roman" w:eastAsia="黑体" w:cs="Times New Roman"/>
                <w:b/>
                <w:bCs/>
                <w:color w:val="auto"/>
                <w:kern w:val="0"/>
                <w:sz w:val="20"/>
                <w:szCs w:val="20"/>
                <w:highlight w:val="none"/>
                <w:lang w:val="en-US" w:eastAsia="zh-CN" w:bidi="ar-SA"/>
              </w:rPr>
              <w:t xml:space="preserve"> 项目用水量及废水产生量估算表</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893"/>
              <w:gridCol w:w="832"/>
              <w:gridCol w:w="1197"/>
              <w:gridCol w:w="1484"/>
              <w:gridCol w:w="1072"/>
              <w:gridCol w:w="936"/>
              <w:gridCol w:w="870"/>
            </w:tblGrid>
            <w:tr w14:paraId="43279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 w:type="dxa"/>
                  <w:tcBorders>
                    <w:tl2br w:val="nil"/>
                    <w:tr2bl w:val="nil"/>
                  </w:tcBorders>
                  <w:noWrap w:val="0"/>
                  <w:vAlign w:val="center"/>
                </w:tcPr>
                <w:p w14:paraId="7DE721E4">
                  <w:pPr>
                    <w:keepNext w:val="0"/>
                    <w:keepLines w:val="0"/>
                    <w:suppressLineNumbers w:val="0"/>
                    <w:spacing w:before="0" w:beforeAutospacing="0" w:after="0" w:afterAutospacing="0"/>
                    <w:ind w:left="0" w:right="0"/>
                    <w:jc w:val="center"/>
                    <w:rPr>
                      <w:rFonts w:hint="default"/>
                      <w:b/>
                      <w:bCs/>
                      <w:color w:val="auto"/>
                      <w:sz w:val="18"/>
                      <w:szCs w:val="18"/>
                      <w:highlight w:val="none"/>
                    </w:rPr>
                  </w:pPr>
                  <w:r>
                    <w:rPr>
                      <w:rFonts w:hint="default"/>
                      <w:b/>
                      <w:bCs/>
                      <w:color w:val="auto"/>
                      <w:sz w:val="18"/>
                      <w:szCs w:val="18"/>
                      <w:highlight w:val="none"/>
                    </w:rPr>
                    <w:t>序号</w:t>
                  </w:r>
                </w:p>
              </w:tc>
              <w:tc>
                <w:tcPr>
                  <w:tcW w:w="1008" w:type="dxa"/>
                  <w:tcBorders>
                    <w:tl2br w:val="nil"/>
                    <w:tr2bl w:val="nil"/>
                  </w:tcBorders>
                  <w:noWrap w:val="0"/>
                  <w:vAlign w:val="center"/>
                </w:tcPr>
                <w:p w14:paraId="66C1CFFC">
                  <w:pPr>
                    <w:keepNext w:val="0"/>
                    <w:keepLines w:val="0"/>
                    <w:suppressLineNumbers w:val="0"/>
                    <w:spacing w:before="0" w:beforeAutospacing="0" w:after="0" w:afterAutospacing="0"/>
                    <w:ind w:left="0" w:right="0"/>
                    <w:jc w:val="center"/>
                    <w:rPr>
                      <w:rFonts w:hint="default"/>
                      <w:b/>
                      <w:bCs/>
                      <w:color w:val="auto"/>
                      <w:sz w:val="18"/>
                      <w:szCs w:val="18"/>
                      <w:highlight w:val="none"/>
                    </w:rPr>
                  </w:pPr>
                  <w:r>
                    <w:rPr>
                      <w:rFonts w:hint="default"/>
                      <w:b/>
                      <w:bCs/>
                      <w:color w:val="auto"/>
                      <w:sz w:val="18"/>
                      <w:szCs w:val="18"/>
                      <w:highlight w:val="none"/>
                    </w:rPr>
                    <w:t>用水项目</w:t>
                  </w:r>
                </w:p>
              </w:tc>
              <w:tc>
                <w:tcPr>
                  <w:tcW w:w="845" w:type="dxa"/>
                  <w:tcBorders>
                    <w:tl2br w:val="nil"/>
                    <w:tr2bl w:val="nil"/>
                  </w:tcBorders>
                  <w:noWrap w:val="0"/>
                  <w:vAlign w:val="center"/>
                </w:tcPr>
                <w:p w14:paraId="0DB64E68">
                  <w:pPr>
                    <w:keepNext w:val="0"/>
                    <w:keepLines w:val="0"/>
                    <w:suppressLineNumbers w:val="0"/>
                    <w:spacing w:before="0" w:beforeAutospacing="0" w:after="0" w:afterAutospacing="0"/>
                    <w:ind w:left="0" w:right="0"/>
                    <w:jc w:val="center"/>
                    <w:rPr>
                      <w:rFonts w:hint="default"/>
                      <w:b/>
                      <w:bCs/>
                      <w:color w:val="auto"/>
                      <w:sz w:val="18"/>
                      <w:szCs w:val="18"/>
                      <w:highlight w:val="none"/>
                    </w:rPr>
                  </w:pPr>
                  <w:r>
                    <w:rPr>
                      <w:rFonts w:hint="default"/>
                      <w:b/>
                      <w:bCs/>
                      <w:color w:val="auto"/>
                      <w:sz w:val="18"/>
                      <w:szCs w:val="18"/>
                      <w:highlight w:val="none"/>
                    </w:rPr>
                    <w:t>用水单位</w:t>
                  </w:r>
                </w:p>
              </w:tc>
              <w:tc>
                <w:tcPr>
                  <w:tcW w:w="1215" w:type="dxa"/>
                  <w:tcBorders>
                    <w:tl2br w:val="nil"/>
                    <w:tr2bl w:val="nil"/>
                  </w:tcBorders>
                  <w:noWrap w:val="0"/>
                  <w:vAlign w:val="center"/>
                </w:tcPr>
                <w:p w14:paraId="30FC6921">
                  <w:pPr>
                    <w:keepNext w:val="0"/>
                    <w:keepLines w:val="0"/>
                    <w:suppressLineNumbers w:val="0"/>
                    <w:spacing w:before="0" w:beforeAutospacing="0" w:after="0" w:afterAutospacing="0"/>
                    <w:ind w:left="0" w:right="0"/>
                    <w:jc w:val="center"/>
                    <w:rPr>
                      <w:rFonts w:hint="default"/>
                      <w:b/>
                      <w:bCs/>
                      <w:color w:val="auto"/>
                      <w:sz w:val="18"/>
                      <w:szCs w:val="18"/>
                      <w:highlight w:val="none"/>
                    </w:rPr>
                  </w:pPr>
                  <w:r>
                    <w:rPr>
                      <w:rFonts w:hint="default"/>
                      <w:b/>
                      <w:bCs/>
                      <w:color w:val="auto"/>
                      <w:sz w:val="18"/>
                      <w:szCs w:val="18"/>
                      <w:highlight w:val="none"/>
                    </w:rPr>
                    <w:t>用水标准</w:t>
                  </w:r>
                </w:p>
              </w:tc>
              <w:tc>
                <w:tcPr>
                  <w:tcW w:w="1524" w:type="dxa"/>
                  <w:tcBorders>
                    <w:tl2br w:val="nil"/>
                    <w:tr2bl w:val="nil"/>
                  </w:tcBorders>
                  <w:noWrap w:val="0"/>
                  <w:vAlign w:val="center"/>
                </w:tcPr>
                <w:p w14:paraId="78667FF0">
                  <w:pPr>
                    <w:keepNext w:val="0"/>
                    <w:keepLines w:val="0"/>
                    <w:suppressLineNumbers w:val="0"/>
                    <w:spacing w:before="0" w:beforeAutospacing="0" w:after="0" w:afterAutospacing="0"/>
                    <w:ind w:left="0" w:right="0"/>
                    <w:jc w:val="center"/>
                    <w:rPr>
                      <w:rFonts w:hint="default"/>
                      <w:b/>
                      <w:bCs/>
                      <w:color w:val="auto"/>
                      <w:sz w:val="18"/>
                      <w:szCs w:val="18"/>
                      <w:highlight w:val="none"/>
                    </w:rPr>
                  </w:pPr>
                  <w:r>
                    <w:rPr>
                      <w:rFonts w:hint="default"/>
                      <w:b/>
                      <w:bCs/>
                      <w:color w:val="auto"/>
                      <w:sz w:val="18"/>
                      <w:szCs w:val="18"/>
                      <w:highlight w:val="none"/>
                    </w:rPr>
                    <w:t>用水量</w:t>
                  </w:r>
                </w:p>
                <w:p w14:paraId="5AF61F4E">
                  <w:pPr>
                    <w:keepNext w:val="0"/>
                    <w:keepLines w:val="0"/>
                    <w:suppressLineNumbers w:val="0"/>
                    <w:spacing w:before="0" w:beforeAutospacing="0" w:after="0" w:afterAutospacing="0"/>
                    <w:ind w:left="0" w:right="0"/>
                    <w:jc w:val="center"/>
                    <w:rPr>
                      <w:rFonts w:hint="default"/>
                      <w:b/>
                      <w:bCs/>
                      <w:color w:val="auto"/>
                      <w:sz w:val="18"/>
                      <w:szCs w:val="18"/>
                      <w:highlight w:val="none"/>
                    </w:rPr>
                  </w:pPr>
                  <w:r>
                    <w:rPr>
                      <w:rFonts w:hint="default"/>
                      <w:b/>
                      <w:bCs/>
                      <w:color w:val="auto"/>
                      <w:sz w:val="18"/>
                      <w:szCs w:val="18"/>
                      <w:highlight w:val="none"/>
                    </w:rPr>
                    <w:t>（m</w:t>
                  </w:r>
                  <w:r>
                    <w:rPr>
                      <w:rFonts w:hint="default"/>
                      <w:b/>
                      <w:bCs/>
                      <w:color w:val="auto"/>
                      <w:sz w:val="18"/>
                      <w:szCs w:val="18"/>
                      <w:highlight w:val="none"/>
                      <w:vertAlign w:val="superscript"/>
                    </w:rPr>
                    <w:t>3</w:t>
                  </w:r>
                  <w:r>
                    <w:rPr>
                      <w:rFonts w:hint="default"/>
                      <w:b/>
                      <w:bCs/>
                      <w:color w:val="auto"/>
                      <w:sz w:val="18"/>
                      <w:szCs w:val="18"/>
                      <w:highlight w:val="none"/>
                    </w:rPr>
                    <w:t>/d）</w:t>
                  </w:r>
                </w:p>
              </w:tc>
              <w:tc>
                <w:tcPr>
                  <w:tcW w:w="1098" w:type="dxa"/>
                  <w:tcBorders>
                    <w:tl2br w:val="nil"/>
                    <w:tr2bl w:val="nil"/>
                  </w:tcBorders>
                  <w:shd w:val="clear" w:color="auto" w:fill="auto"/>
                  <w:noWrap w:val="0"/>
                  <w:vAlign w:val="center"/>
                </w:tcPr>
                <w:p w14:paraId="2D472E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18"/>
                      <w:szCs w:val="18"/>
                      <w:highlight w:val="none"/>
                      <w:lang w:val="en-US" w:eastAsia="zh-CN" w:bidi="ar-SA"/>
                    </w:rPr>
                  </w:pPr>
                  <w:r>
                    <w:rPr>
                      <w:rFonts w:hint="eastAsia"/>
                      <w:b/>
                      <w:bCs/>
                      <w:color w:val="auto"/>
                      <w:sz w:val="18"/>
                      <w:szCs w:val="18"/>
                      <w:highlight w:val="none"/>
                      <w:lang w:val="en-US" w:eastAsia="zh-CN"/>
                    </w:rPr>
                    <w:t>废水产生</w:t>
                  </w:r>
                  <w:r>
                    <w:rPr>
                      <w:rFonts w:hint="default"/>
                      <w:b/>
                      <w:bCs/>
                      <w:color w:val="auto"/>
                      <w:sz w:val="18"/>
                      <w:szCs w:val="18"/>
                      <w:highlight w:val="none"/>
                    </w:rPr>
                    <w:t>量（m</w:t>
                  </w:r>
                  <w:r>
                    <w:rPr>
                      <w:rFonts w:hint="default"/>
                      <w:b/>
                      <w:bCs/>
                      <w:color w:val="auto"/>
                      <w:sz w:val="18"/>
                      <w:szCs w:val="18"/>
                      <w:highlight w:val="none"/>
                      <w:vertAlign w:val="superscript"/>
                    </w:rPr>
                    <w:t>3</w:t>
                  </w:r>
                  <w:r>
                    <w:rPr>
                      <w:rFonts w:hint="default"/>
                      <w:b/>
                      <w:bCs/>
                      <w:color w:val="auto"/>
                      <w:sz w:val="18"/>
                      <w:szCs w:val="18"/>
                      <w:highlight w:val="none"/>
                    </w:rPr>
                    <w:t>/d）</w:t>
                  </w:r>
                </w:p>
              </w:tc>
              <w:tc>
                <w:tcPr>
                  <w:tcW w:w="787" w:type="dxa"/>
                  <w:tcBorders>
                    <w:tl2br w:val="nil"/>
                    <w:tr2bl w:val="nil"/>
                  </w:tcBorders>
                  <w:noWrap w:val="0"/>
                  <w:vAlign w:val="center"/>
                </w:tcPr>
                <w:p w14:paraId="4FF2598B">
                  <w:pPr>
                    <w:keepNext w:val="0"/>
                    <w:keepLines w:val="0"/>
                    <w:suppressLineNumbers w:val="0"/>
                    <w:spacing w:before="0" w:beforeAutospacing="0" w:after="0" w:afterAutospacing="0"/>
                    <w:ind w:left="0" w:right="0"/>
                    <w:jc w:val="center"/>
                    <w:rPr>
                      <w:rFonts w:hint="eastAsia"/>
                      <w:b/>
                      <w:bCs/>
                      <w:color w:val="auto"/>
                      <w:sz w:val="18"/>
                      <w:szCs w:val="18"/>
                      <w:highlight w:val="none"/>
                      <w:lang w:val="en-US" w:eastAsia="zh-CN"/>
                    </w:rPr>
                  </w:pPr>
                  <w:r>
                    <w:rPr>
                      <w:rFonts w:hint="eastAsia"/>
                      <w:b/>
                      <w:bCs/>
                      <w:color w:val="auto"/>
                      <w:sz w:val="18"/>
                      <w:szCs w:val="18"/>
                      <w:highlight w:val="none"/>
                      <w:lang w:val="en-US" w:eastAsia="zh-CN"/>
                    </w:rPr>
                    <w:t>新鲜水</w:t>
                  </w:r>
                </w:p>
                <w:p w14:paraId="033AF446">
                  <w:pPr>
                    <w:keepNext w:val="0"/>
                    <w:keepLines w:val="0"/>
                    <w:suppressLineNumbers w:val="0"/>
                    <w:spacing w:before="0" w:beforeAutospacing="0" w:after="0" w:afterAutospacing="0"/>
                    <w:ind w:left="0" w:right="0"/>
                    <w:jc w:val="center"/>
                    <w:rPr>
                      <w:rFonts w:hint="default"/>
                      <w:b/>
                      <w:bCs/>
                      <w:color w:val="auto"/>
                      <w:sz w:val="18"/>
                      <w:szCs w:val="18"/>
                      <w:highlight w:val="none"/>
                      <w:lang w:val="en-US" w:eastAsia="zh-CN"/>
                    </w:rPr>
                  </w:pPr>
                  <w:r>
                    <w:rPr>
                      <w:rFonts w:hint="default"/>
                      <w:b/>
                      <w:bCs/>
                      <w:color w:val="auto"/>
                      <w:sz w:val="18"/>
                      <w:szCs w:val="18"/>
                      <w:highlight w:val="none"/>
                    </w:rPr>
                    <w:t>（m</w:t>
                  </w:r>
                  <w:r>
                    <w:rPr>
                      <w:rFonts w:hint="default"/>
                      <w:b/>
                      <w:bCs/>
                      <w:color w:val="auto"/>
                      <w:sz w:val="18"/>
                      <w:szCs w:val="18"/>
                      <w:highlight w:val="none"/>
                      <w:vertAlign w:val="superscript"/>
                    </w:rPr>
                    <w:t>3</w:t>
                  </w:r>
                  <w:r>
                    <w:rPr>
                      <w:rFonts w:hint="default"/>
                      <w:b/>
                      <w:bCs/>
                      <w:color w:val="auto"/>
                      <w:sz w:val="18"/>
                      <w:szCs w:val="18"/>
                      <w:highlight w:val="none"/>
                    </w:rPr>
                    <w:t>/d）</w:t>
                  </w:r>
                </w:p>
              </w:tc>
              <w:tc>
                <w:tcPr>
                  <w:tcW w:w="768" w:type="dxa"/>
                  <w:tcBorders>
                    <w:tl2br w:val="nil"/>
                    <w:tr2bl w:val="nil"/>
                  </w:tcBorders>
                  <w:noWrap w:val="0"/>
                  <w:vAlign w:val="center"/>
                </w:tcPr>
                <w:p w14:paraId="01625616">
                  <w:pPr>
                    <w:keepNext w:val="0"/>
                    <w:keepLines w:val="0"/>
                    <w:suppressLineNumbers w:val="0"/>
                    <w:spacing w:before="0" w:beforeAutospacing="0" w:after="0" w:afterAutospacing="0"/>
                    <w:ind w:left="0" w:right="0"/>
                    <w:jc w:val="center"/>
                    <w:rPr>
                      <w:rFonts w:hint="default"/>
                      <w:b/>
                      <w:bCs/>
                      <w:color w:val="auto"/>
                      <w:sz w:val="18"/>
                      <w:szCs w:val="18"/>
                      <w:highlight w:val="none"/>
                    </w:rPr>
                  </w:pPr>
                  <w:r>
                    <w:rPr>
                      <w:rFonts w:hint="default"/>
                      <w:b/>
                      <w:bCs/>
                      <w:color w:val="auto"/>
                      <w:sz w:val="18"/>
                      <w:szCs w:val="18"/>
                      <w:highlight w:val="none"/>
                    </w:rPr>
                    <w:t>备注</w:t>
                  </w:r>
                </w:p>
              </w:tc>
            </w:tr>
            <w:tr w14:paraId="71C55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 w:type="dxa"/>
                  <w:tcBorders>
                    <w:tl2br w:val="nil"/>
                    <w:tr2bl w:val="nil"/>
                  </w:tcBorders>
                  <w:noWrap w:val="0"/>
                  <w:vAlign w:val="center"/>
                </w:tcPr>
                <w:p w14:paraId="40E86587">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1</w:t>
                  </w:r>
                </w:p>
              </w:tc>
              <w:tc>
                <w:tcPr>
                  <w:tcW w:w="1008" w:type="dxa"/>
                  <w:tcBorders>
                    <w:tl2br w:val="nil"/>
                    <w:tr2bl w:val="nil"/>
                  </w:tcBorders>
                  <w:noWrap w:val="0"/>
                  <w:vAlign w:val="center"/>
                </w:tcPr>
                <w:p w14:paraId="6CC64F31">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站内工作人员</w:t>
                  </w:r>
                </w:p>
              </w:tc>
              <w:tc>
                <w:tcPr>
                  <w:tcW w:w="845" w:type="dxa"/>
                  <w:tcBorders>
                    <w:tl2br w:val="nil"/>
                    <w:tr2bl w:val="nil"/>
                  </w:tcBorders>
                  <w:noWrap w:val="0"/>
                  <w:vAlign w:val="center"/>
                </w:tcPr>
                <w:p w14:paraId="09CEC70D">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10人</w:t>
                  </w:r>
                </w:p>
              </w:tc>
              <w:tc>
                <w:tcPr>
                  <w:tcW w:w="1215" w:type="dxa"/>
                  <w:tcBorders>
                    <w:tl2br w:val="nil"/>
                    <w:tr2bl w:val="nil"/>
                  </w:tcBorders>
                  <w:noWrap w:val="0"/>
                  <w:vAlign w:val="center"/>
                </w:tcPr>
                <w:p w14:paraId="5D2695E6">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80L</w:t>
                  </w:r>
                  <w:r>
                    <w:rPr>
                      <w:rFonts w:hint="default"/>
                      <w:color w:val="auto"/>
                      <w:sz w:val="18"/>
                      <w:szCs w:val="18"/>
                      <w:highlight w:val="none"/>
                    </w:rPr>
                    <w:t>/</w:t>
                  </w:r>
                  <w:r>
                    <w:rPr>
                      <w:rFonts w:hint="eastAsia"/>
                      <w:color w:val="auto"/>
                      <w:sz w:val="18"/>
                      <w:szCs w:val="18"/>
                      <w:highlight w:val="none"/>
                    </w:rPr>
                    <w:t>人</w:t>
                  </w:r>
                  <w:r>
                    <w:rPr>
                      <w:rFonts w:hint="default"/>
                      <w:color w:val="auto"/>
                      <w:sz w:val="18"/>
                      <w:szCs w:val="18"/>
                      <w:highlight w:val="none"/>
                    </w:rPr>
                    <w:t>·</w:t>
                  </w:r>
                  <w:r>
                    <w:rPr>
                      <w:rFonts w:hint="eastAsia"/>
                      <w:color w:val="auto"/>
                      <w:sz w:val="18"/>
                      <w:szCs w:val="18"/>
                      <w:highlight w:val="none"/>
                    </w:rPr>
                    <w:t>d</w:t>
                  </w:r>
                </w:p>
              </w:tc>
              <w:tc>
                <w:tcPr>
                  <w:tcW w:w="1524" w:type="dxa"/>
                  <w:tcBorders>
                    <w:tl2br w:val="nil"/>
                    <w:tr2bl w:val="nil"/>
                  </w:tcBorders>
                  <w:noWrap w:val="0"/>
                  <w:vAlign w:val="center"/>
                </w:tcPr>
                <w:p w14:paraId="077F614C">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0.8</w:t>
                  </w:r>
                  <w:r>
                    <w:rPr>
                      <w:rFonts w:hint="eastAsia"/>
                      <w:color w:val="auto"/>
                      <w:sz w:val="18"/>
                      <w:szCs w:val="18"/>
                      <w:highlight w:val="none"/>
                    </w:rPr>
                    <w:t>0</w:t>
                  </w:r>
                </w:p>
              </w:tc>
              <w:tc>
                <w:tcPr>
                  <w:tcW w:w="1098" w:type="dxa"/>
                  <w:tcBorders>
                    <w:tl2br w:val="nil"/>
                    <w:tr2bl w:val="nil"/>
                  </w:tcBorders>
                  <w:shd w:val="clear" w:color="auto" w:fill="auto"/>
                  <w:noWrap w:val="0"/>
                  <w:vAlign w:val="center"/>
                </w:tcPr>
                <w:p w14:paraId="4D841F9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0.64</w:t>
                  </w:r>
                </w:p>
              </w:tc>
              <w:tc>
                <w:tcPr>
                  <w:tcW w:w="787" w:type="dxa"/>
                  <w:tcBorders>
                    <w:tl2br w:val="nil"/>
                    <w:tr2bl w:val="nil"/>
                  </w:tcBorders>
                  <w:noWrap w:val="0"/>
                  <w:vAlign w:val="center"/>
                </w:tcPr>
                <w:p w14:paraId="5D42925D">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0.80</w:t>
                  </w:r>
                </w:p>
              </w:tc>
              <w:tc>
                <w:tcPr>
                  <w:tcW w:w="768" w:type="dxa"/>
                  <w:tcBorders>
                    <w:tl2br w:val="nil"/>
                    <w:tr2bl w:val="nil"/>
                  </w:tcBorders>
                  <w:noWrap w:val="0"/>
                  <w:vAlign w:val="center"/>
                </w:tcPr>
                <w:p w14:paraId="3A632540">
                  <w:pPr>
                    <w:keepNext w:val="0"/>
                    <w:keepLines w:val="0"/>
                    <w:suppressLineNumbers w:val="0"/>
                    <w:spacing w:before="0" w:beforeAutospacing="0" w:after="0" w:afterAutospacing="0"/>
                    <w:ind w:left="0" w:right="0"/>
                    <w:jc w:val="center"/>
                    <w:rPr>
                      <w:rFonts w:hint="default"/>
                      <w:color w:val="auto"/>
                      <w:sz w:val="18"/>
                      <w:szCs w:val="18"/>
                      <w:highlight w:val="none"/>
                    </w:rPr>
                  </w:pPr>
                </w:p>
              </w:tc>
            </w:tr>
            <w:tr w14:paraId="11836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 w:type="dxa"/>
                  <w:tcBorders>
                    <w:tl2br w:val="nil"/>
                    <w:tr2bl w:val="nil"/>
                  </w:tcBorders>
                  <w:noWrap w:val="0"/>
                  <w:vAlign w:val="center"/>
                </w:tcPr>
                <w:p w14:paraId="2CB89648">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2</w:t>
                  </w:r>
                </w:p>
              </w:tc>
              <w:tc>
                <w:tcPr>
                  <w:tcW w:w="1008" w:type="dxa"/>
                  <w:tcBorders>
                    <w:tl2br w:val="nil"/>
                    <w:tr2bl w:val="nil"/>
                  </w:tcBorders>
                  <w:noWrap w:val="0"/>
                  <w:vAlign w:val="center"/>
                </w:tcPr>
                <w:p w14:paraId="7E8DD99F">
                  <w:pPr>
                    <w:keepNext w:val="0"/>
                    <w:keepLines w:val="0"/>
                    <w:suppressLineNumbers w:val="0"/>
                    <w:spacing w:before="0" w:beforeAutospacing="0" w:after="0" w:afterAutospacing="0"/>
                    <w:ind w:left="0" w:right="0"/>
                    <w:jc w:val="center"/>
                    <w:rPr>
                      <w:rFonts w:hint="eastAsia"/>
                      <w:color w:val="auto"/>
                      <w:sz w:val="18"/>
                      <w:szCs w:val="18"/>
                      <w:highlight w:val="none"/>
                    </w:rPr>
                  </w:pPr>
                  <w:r>
                    <w:rPr>
                      <w:rFonts w:hint="eastAsia"/>
                      <w:color w:val="auto"/>
                      <w:sz w:val="18"/>
                      <w:szCs w:val="18"/>
                      <w:highlight w:val="none"/>
                    </w:rPr>
                    <w:t>司乘人员</w:t>
                  </w:r>
                </w:p>
              </w:tc>
              <w:tc>
                <w:tcPr>
                  <w:tcW w:w="845" w:type="dxa"/>
                  <w:tcBorders>
                    <w:tl2br w:val="nil"/>
                    <w:tr2bl w:val="nil"/>
                  </w:tcBorders>
                  <w:noWrap w:val="0"/>
                  <w:vAlign w:val="center"/>
                </w:tcPr>
                <w:p w14:paraId="74A46141">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120人</w:t>
                  </w:r>
                </w:p>
              </w:tc>
              <w:tc>
                <w:tcPr>
                  <w:tcW w:w="1215" w:type="dxa"/>
                  <w:tcBorders>
                    <w:tl2br w:val="nil"/>
                    <w:tr2bl w:val="nil"/>
                  </w:tcBorders>
                  <w:noWrap w:val="0"/>
                  <w:vAlign w:val="center"/>
                </w:tcPr>
                <w:p w14:paraId="4DF86D7A">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6L</w:t>
                  </w:r>
                  <w:r>
                    <w:rPr>
                      <w:rFonts w:hint="default"/>
                      <w:color w:val="auto"/>
                      <w:sz w:val="18"/>
                      <w:szCs w:val="18"/>
                      <w:highlight w:val="none"/>
                    </w:rPr>
                    <w:t>/</w:t>
                  </w:r>
                  <w:r>
                    <w:rPr>
                      <w:rFonts w:hint="eastAsia"/>
                      <w:color w:val="auto"/>
                      <w:sz w:val="18"/>
                      <w:szCs w:val="18"/>
                      <w:highlight w:val="none"/>
                    </w:rPr>
                    <w:t>人</w:t>
                  </w:r>
                  <w:r>
                    <w:rPr>
                      <w:rFonts w:hint="default"/>
                      <w:color w:val="auto"/>
                      <w:sz w:val="18"/>
                      <w:szCs w:val="18"/>
                      <w:highlight w:val="none"/>
                    </w:rPr>
                    <w:t>·</w:t>
                  </w:r>
                  <w:r>
                    <w:rPr>
                      <w:rFonts w:hint="eastAsia"/>
                      <w:color w:val="auto"/>
                      <w:sz w:val="18"/>
                      <w:szCs w:val="18"/>
                      <w:highlight w:val="none"/>
                    </w:rPr>
                    <w:t>d</w:t>
                  </w:r>
                </w:p>
              </w:tc>
              <w:tc>
                <w:tcPr>
                  <w:tcW w:w="1524" w:type="dxa"/>
                  <w:tcBorders>
                    <w:tl2br w:val="nil"/>
                    <w:tr2bl w:val="nil"/>
                  </w:tcBorders>
                  <w:noWrap w:val="0"/>
                  <w:vAlign w:val="center"/>
                </w:tcPr>
                <w:p w14:paraId="3BF0535E">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0.</w:t>
                  </w:r>
                  <w:r>
                    <w:rPr>
                      <w:rFonts w:hint="eastAsia"/>
                      <w:color w:val="auto"/>
                      <w:sz w:val="18"/>
                      <w:szCs w:val="18"/>
                      <w:highlight w:val="none"/>
                    </w:rPr>
                    <w:t>72</w:t>
                  </w:r>
                </w:p>
              </w:tc>
              <w:tc>
                <w:tcPr>
                  <w:tcW w:w="1098" w:type="dxa"/>
                  <w:tcBorders>
                    <w:tl2br w:val="nil"/>
                    <w:tr2bl w:val="nil"/>
                  </w:tcBorders>
                  <w:shd w:val="clear" w:color="auto" w:fill="auto"/>
                  <w:noWrap w:val="0"/>
                  <w:vAlign w:val="center"/>
                </w:tcPr>
                <w:p w14:paraId="7052CE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0.58</w:t>
                  </w:r>
                </w:p>
              </w:tc>
              <w:tc>
                <w:tcPr>
                  <w:tcW w:w="787" w:type="dxa"/>
                  <w:tcBorders>
                    <w:tl2br w:val="nil"/>
                    <w:tr2bl w:val="nil"/>
                  </w:tcBorders>
                  <w:noWrap w:val="0"/>
                  <w:vAlign w:val="center"/>
                </w:tcPr>
                <w:p w14:paraId="7767408B">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0.72</w:t>
                  </w:r>
                </w:p>
              </w:tc>
              <w:tc>
                <w:tcPr>
                  <w:tcW w:w="768" w:type="dxa"/>
                  <w:tcBorders>
                    <w:tl2br w:val="nil"/>
                    <w:tr2bl w:val="nil"/>
                  </w:tcBorders>
                  <w:noWrap w:val="0"/>
                  <w:vAlign w:val="center"/>
                </w:tcPr>
                <w:p w14:paraId="348AF16A">
                  <w:pPr>
                    <w:keepNext w:val="0"/>
                    <w:keepLines w:val="0"/>
                    <w:suppressLineNumbers w:val="0"/>
                    <w:spacing w:before="0" w:beforeAutospacing="0" w:after="0" w:afterAutospacing="0"/>
                    <w:ind w:left="0" w:right="0"/>
                    <w:jc w:val="center"/>
                    <w:rPr>
                      <w:rFonts w:hint="default"/>
                      <w:color w:val="auto"/>
                      <w:sz w:val="18"/>
                      <w:szCs w:val="18"/>
                      <w:highlight w:val="none"/>
                    </w:rPr>
                  </w:pPr>
                </w:p>
              </w:tc>
            </w:tr>
            <w:tr w14:paraId="2775A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 w:type="dxa"/>
                  <w:tcBorders>
                    <w:tl2br w:val="nil"/>
                    <w:tr2bl w:val="nil"/>
                  </w:tcBorders>
                  <w:noWrap w:val="0"/>
                  <w:vAlign w:val="center"/>
                </w:tcPr>
                <w:p w14:paraId="7D4E925F">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3</w:t>
                  </w:r>
                </w:p>
              </w:tc>
              <w:tc>
                <w:tcPr>
                  <w:tcW w:w="1008" w:type="dxa"/>
                  <w:tcBorders>
                    <w:tl2br w:val="nil"/>
                    <w:tr2bl w:val="nil"/>
                  </w:tcBorders>
                  <w:noWrap w:val="0"/>
                  <w:vAlign w:val="center"/>
                </w:tcPr>
                <w:p w14:paraId="059DA944">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洗车用水</w:t>
                  </w:r>
                </w:p>
              </w:tc>
              <w:tc>
                <w:tcPr>
                  <w:tcW w:w="845" w:type="dxa"/>
                  <w:tcBorders>
                    <w:tl2br w:val="nil"/>
                    <w:tr2bl w:val="nil"/>
                  </w:tcBorders>
                  <w:noWrap w:val="0"/>
                  <w:vAlign w:val="center"/>
                </w:tcPr>
                <w:p w14:paraId="700F871E">
                  <w:pPr>
                    <w:keepNext w:val="0"/>
                    <w:keepLines w:val="0"/>
                    <w:suppressLineNumbers w:val="0"/>
                    <w:spacing w:before="0" w:beforeAutospacing="0" w:after="0" w:afterAutospacing="0"/>
                    <w:ind w:left="0" w:right="0"/>
                    <w:jc w:val="center"/>
                    <w:rPr>
                      <w:rFonts w:hint="eastAsia"/>
                      <w:color w:val="auto"/>
                      <w:sz w:val="18"/>
                      <w:szCs w:val="18"/>
                      <w:highlight w:val="none"/>
                    </w:rPr>
                  </w:pPr>
                  <w:r>
                    <w:rPr>
                      <w:rFonts w:hint="eastAsia"/>
                      <w:color w:val="auto"/>
                      <w:sz w:val="18"/>
                      <w:szCs w:val="18"/>
                      <w:highlight w:val="none"/>
                    </w:rPr>
                    <w:t>45辆</w:t>
                  </w:r>
                </w:p>
              </w:tc>
              <w:tc>
                <w:tcPr>
                  <w:tcW w:w="1215" w:type="dxa"/>
                  <w:tcBorders>
                    <w:tl2br w:val="nil"/>
                    <w:tr2bl w:val="nil"/>
                  </w:tcBorders>
                  <w:noWrap w:val="0"/>
                  <w:vAlign w:val="center"/>
                </w:tcPr>
                <w:p w14:paraId="4125306E">
                  <w:pPr>
                    <w:keepNext w:val="0"/>
                    <w:keepLines w:val="0"/>
                    <w:suppressLineNumbers w:val="0"/>
                    <w:spacing w:before="0" w:beforeAutospacing="0" w:after="0" w:afterAutospacing="0"/>
                    <w:ind w:left="0" w:right="0"/>
                    <w:jc w:val="center"/>
                    <w:rPr>
                      <w:rFonts w:hint="eastAsia"/>
                      <w:color w:val="auto"/>
                      <w:sz w:val="18"/>
                      <w:szCs w:val="18"/>
                      <w:highlight w:val="none"/>
                    </w:rPr>
                  </w:pPr>
                  <w:r>
                    <w:rPr>
                      <w:rFonts w:hint="eastAsia"/>
                      <w:color w:val="auto"/>
                      <w:sz w:val="18"/>
                      <w:szCs w:val="18"/>
                      <w:highlight w:val="none"/>
                      <w:lang w:val="en-US" w:eastAsia="zh-CN"/>
                    </w:rPr>
                    <w:t>6</w:t>
                  </w:r>
                  <w:r>
                    <w:rPr>
                      <w:rFonts w:hint="default"/>
                      <w:color w:val="auto"/>
                      <w:sz w:val="18"/>
                      <w:szCs w:val="18"/>
                      <w:highlight w:val="none"/>
                    </w:rPr>
                    <w:t>0L/</w:t>
                  </w:r>
                  <w:r>
                    <w:rPr>
                      <w:rFonts w:hint="eastAsia"/>
                      <w:color w:val="auto"/>
                      <w:sz w:val="18"/>
                      <w:szCs w:val="18"/>
                      <w:highlight w:val="none"/>
                    </w:rPr>
                    <w:t>辆</w:t>
                  </w:r>
                </w:p>
              </w:tc>
              <w:tc>
                <w:tcPr>
                  <w:tcW w:w="1524" w:type="dxa"/>
                  <w:tcBorders>
                    <w:tl2br w:val="nil"/>
                    <w:tr2bl w:val="nil"/>
                  </w:tcBorders>
                  <w:noWrap w:val="0"/>
                  <w:vAlign w:val="center"/>
                </w:tcPr>
                <w:p w14:paraId="28D8A896">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2.7</w:t>
                  </w:r>
                </w:p>
              </w:tc>
              <w:tc>
                <w:tcPr>
                  <w:tcW w:w="1098" w:type="dxa"/>
                  <w:tcBorders>
                    <w:tl2br w:val="nil"/>
                    <w:tr2bl w:val="nil"/>
                  </w:tcBorders>
                  <w:shd w:val="clear" w:color="auto" w:fill="auto"/>
                  <w:noWrap w:val="0"/>
                  <w:vAlign w:val="center"/>
                </w:tcPr>
                <w:p w14:paraId="27D178F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0</w:t>
                  </w:r>
                </w:p>
              </w:tc>
              <w:tc>
                <w:tcPr>
                  <w:tcW w:w="787" w:type="dxa"/>
                  <w:tcBorders>
                    <w:tl2br w:val="nil"/>
                    <w:tr2bl w:val="nil"/>
                  </w:tcBorders>
                  <w:noWrap w:val="0"/>
                  <w:vAlign w:val="center"/>
                </w:tcPr>
                <w:p w14:paraId="19D6FF2C">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0.54</w:t>
                  </w:r>
                </w:p>
              </w:tc>
              <w:tc>
                <w:tcPr>
                  <w:tcW w:w="768" w:type="dxa"/>
                  <w:tcBorders>
                    <w:tl2br w:val="nil"/>
                    <w:tr2bl w:val="nil"/>
                  </w:tcBorders>
                  <w:noWrap w:val="0"/>
                  <w:vAlign w:val="center"/>
                </w:tcPr>
                <w:p w14:paraId="4F2B2C36">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2.16m</w:t>
                  </w:r>
                  <w:r>
                    <w:rPr>
                      <w:rFonts w:hint="eastAsia"/>
                      <w:color w:val="auto"/>
                      <w:sz w:val="18"/>
                      <w:szCs w:val="18"/>
                      <w:highlight w:val="none"/>
                      <w:vertAlign w:val="superscript"/>
                      <w:lang w:val="en-US" w:eastAsia="zh-CN"/>
                    </w:rPr>
                    <w:t>3</w:t>
                  </w:r>
                  <w:r>
                    <w:rPr>
                      <w:rFonts w:hint="eastAsia"/>
                      <w:color w:val="auto"/>
                      <w:sz w:val="18"/>
                      <w:szCs w:val="18"/>
                      <w:highlight w:val="none"/>
                      <w:lang w:val="en-US" w:eastAsia="zh-CN"/>
                    </w:rPr>
                    <w:t>/d为循环水</w:t>
                  </w:r>
                </w:p>
              </w:tc>
            </w:tr>
            <w:tr w14:paraId="68A82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 w:type="dxa"/>
                  <w:tcBorders>
                    <w:tl2br w:val="nil"/>
                    <w:tr2bl w:val="nil"/>
                  </w:tcBorders>
                  <w:noWrap w:val="0"/>
                  <w:vAlign w:val="center"/>
                </w:tcPr>
                <w:p w14:paraId="08394F95">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4</w:t>
                  </w:r>
                </w:p>
              </w:tc>
              <w:tc>
                <w:tcPr>
                  <w:tcW w:w="1008" w:type="dxa"/>
                  <w:tcBorders>
                    <w:tl2br w:val="nil"/>
                    <w:tr2bl w:val="nil"/>
                  </w:tcBorders>
                  <w:noWrap w:val="0"/>
                  <w:vAlign w:val="center"/>
                </w:tcPr>
                <w:p w14:paraId="458E264C">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地面冲洗</w:t>
                  </w:r>
                </w:p>
              </w:tc>
              <w:tc>
                <w:tcPr>
                  <w:tcW w:w="845" w:type="dxa"/>
                  <w:tcBorders>
                    <w:tl2br w:val="nil"/>
                    <w:tr2bl w:val="nil"/>
                  </w:tcBorders>
                  <w:noWrap w:val="0"/>
                  <w:vAlign w:val="center"/>
                </w:tcPr>
                <w:p w14:paraId="0F130774">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val="en-US" w:eastAsia="zh-CN"/>
                    </w:rPr>
                    <w:t>1300</w:t>
                  </w:r>
                  <w:r>
                    <w:rPr>
                      <w:rFonts w:hint="default"/>
                      <w:color w:val="auto"/>
                      <w:sz w:val="18"/>
                      <w:szCs w:val="18"/>
                      <w:highlight w:val="none"/>
                    </w:rPr>
                    <w:t>m</w:t>
                  </w:r>
                  <w:r>
                    <w:rPr>
                      <w:rFonts w:hint="eastAsia"/>
                      <w:color w:val="auto"/>
                      <w:sz w:val="18"/>
                      <w:szCs w:val="18"/>
                      <w:highlight w:val="none"/>
                      <w:vertAlign w:val="superscript"/>
                    </w:rPr>
                    <w:t>2</w:t>
                  </w:r>
                </w:p>
              </w:tc>
              <w:tc>
                <w:tcPr>
                  <w:tcW w:w="1215" w:type="dxa"/>
                  <w:tcBorders>
                    <w:tl2br w:val="nil"/>
                    <w:tr2bl w:val="nil"/>
                  </w:tcBorders>
                  <w:noWrap w:val="0"/>
                  <w:vAlign w:val="center"/>
                </w:tcPr>
                <w:p w14:paraId="476E5D5F">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2L/m</w:t>
                  </w:r>
                  <w:r>
                    <w:rPr>
                      <w:rFonts w:hint="default"/>
                      <w:color w:val="auto"/>
                      <w:sz w:val="18"/>
                      <w:szCs w:val="18"/>
                      <w:highlight w:val="none"/>
                      <w:vertAlign w:val="superscript"/>
                    </w:rPr>
                    <w:t>2</w:t>
                  </w:r>
                  <w:r>
                    <w:rPr>
                      <w:rFonts w:hint="default"/>
                      <w:color w:val="auto"/>
                      <w:sz w:val="18"/>
                      <w:szCs w:val="18"/>
                      <w:highlight w:val="none"/>
                    </w:rPr>
                    <w:t>·</w:t>
                  </w:r>
                  <w:r>
                    <w:rPr>
                      <w:rFonts w:hint="eastAsia"/>
                      <w:color w:val="auto"/>
                      <w:sz w:val="18"/>
                      <w:szCs w:val="18"/>
                      <w:highlight w:val="none"/>
                    </w:rPr>
                    <w:t>次</w:t>
                  </w:r>
                </w:p>
              </w:tc>
              <w:tc>
                <w:tcPr>
                  <w:tcW w:w="1524" w:type="dxa"/>
                  <w:tcBorders>
                    <w:tl2br w:val="nil"/>
                    <w:tr2bl w:val="nil"/>
                  </w:tcBorders>
                  <w:noWrap w:val="0"/>
                  <w:vAlign w:val="center"/>
                </w:tcPr>
                <w:p w14:paraId="5A30D7A3">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val="en-US" w:eastAsia="zh-CN"/>
                    </w:rPr>
                    <w:t>0.09</w:t>
                  </w:r>
                  <w:r>
                    <w:rPr>
                      <w:rFonts w:hint="eastAsia"/>
                      <w:color w:val="auto"/>
                      <w:sz w:val="18"/>
                      <w:szCs w:val="18"/>
                      <w:highlight w:val="none"/>
                    </w:rPr>
                    <w:t>（</w:t>
                  </w:r>
                  <w:r>
                    <w:rPr>
                      <w:rFonts w:hint="eastAsia"/>
                      <w:color w:val="auto"/>
                      <w:sz w:val="18"/>
                      <w:szCs w:val="18"/>
                      <w:highlight w:val="none"/>
                      <w:lang w:val="en-US" w:eastAsia="zh-CN"/>
                    </w:rPr>
                    <w:t>2.6</w:t>
                  </w:r>
                  <w:r>
                    <w:rPr>
                      <w:rFonts w:hint="default"/>
                      <w:color w:val="auto"/>
                      <w:sz w:val="18"/>
                      <w:szCs w:val="18"/>
                      <w:highlight w:val="none"/>
                    </w:rPr>
                    <w:t>m</w:t>
                  </w:r>
                  <w:r>
                    <w:rPr>
                      <w:rFonts w:hint="eastAsia"/>
                      <w:color w:val="auto"/>
                      <w:sz w:val="18"/>
                      <w:szCs w:val="18"/>
                      <w:highlight w:val="none"/>
                      <w:vertAlign w:val="superscript"/>
                    </w:rPr>
                    <w:t>3</w:t>
                  </w:r>
                  <w:r>
                    <w:rPr>
                      <w:rFonts w:hint="eastAsia"/>
                      <w:color w:val="auto"/>
                      <w:sz w:val="18"/>
                      <w:szCs w:val="18"/>
                      <w:highlight w:val="none"/>
                    </w:rPr>
                    <w:t>/次）</w:t>
                  </w:r>
                </w:p>
              </w:tc>
              <w:tc>
                <w:tcPr>
                  <w:tcW w:w="1098" w:type="dxa"/>
                  <w:tcBorders>
                    <w:tl2br w:val="nil"/>
                    <w:tr2bl w:val="nil"/>
                  </w:tcBorders>
                  <w:shd w:val="clear" w:color="auto" w:fill="auto"/>
                  <w:noWrap w:val="0"/>
                  <w:vAlign w:val="center"/>
                </w:tcPr>
                <w:p w14:paraId="0F289ED6">
                  <w:pPr>
                    <w:keepNext w:val="0"/>
                    <w:keepLines w:val="0"/>
                    <w:suppressLineNumbers w:val="0"/>
                    <w:spacing w:before="0" w:beforeAutospacing="0" w:after="0" w:afterAutospacing="0"/>
                    <w:ind w:left="0" w:right="0"/>
                    <w:jc w:val="center"/>
                    <w:rPr>
                      <w:rFonts w:hint="eastAsia" w:eastAsia="宋体"/>
                      <w:color w:val="auto"/>
                      <w:sz w:val="18"/>
                      <w:szCs w:val="18"/>
                      <w:highlight w:val="none"/>
                      <w:lang w:eastAsia="zh-CN"/>
                    </w:rPr>
                  </w:pPr>
                  <w:r>
                    <w:rPr>
                      <w:rFonts w:hint="eastAsia"/>
                      <w:color w:val="auto"/>
                      <w:sz w:val="18"/>
                      <w:szCs w:val="18"/>
                      <w:highlight w:val="none"/>
                    </w:rPr>
                    <w:t>0.0</w:t>
                  </w:r>
                  <w:r>
                    <w:rPr>
                      <w:rFonts w:hint="eastAsia"/>
                      <w:color w:val="auto"/>
                      <w:sz w:val="18"/>
                      <w:szCs w:val="18"/>
                      <w:highlight w:val="none"/>
                      <w:lang w:val="en-US" w:eastAsia="zh-CN"/>
                    </w:rPr>
                    <w:t>7</w:t>
                  </w:r>
                </w:p>
                <w:p w14:paraId="33BF843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w:t>
                  </w:r>
                  <w:r>
                    <w:rPr>
                      <w:rFonts w:hint="eastAsia"/>
                      <w:color w:val="auto"/>
                      <w:sz w:val="18"/>
                      <w:szCs w:val="18"/>
                      <w:highlight w:val="none"/>
                      <w:lang w:val="en-US" w:eastAsia="zh-CN"/>
                    </w:rPr>
                    <w:t>2.08</w:t>
                  </w:r>
                  <w:r>
                    <w:rPr>
                      <w:rFonts w:hint="default"/>
                      <w:color w:val="auto"/>
                      <w:sz w:val="18"/>
                      <w:szCs w:val="18"/>
                      <w:highlight w:val="none"/>
                    </w:rPr>
                    <w:t>m</w:t>
                  </w:r>
                  <w:r>
                    <w:rPr>
                      <w:rFonts w:hint="eastAsia"/>
                      <w:color w:val="auto"/>
                      <w:sz w:val="18"/>
                      <w:szCs w:val="18"/>
                      <w:highlight w:val="none"/>
                      <w:vertAlign w:val="superscript"/>
                    </w:rPr>
                    <w:t>3</w:t>
                  </w:r>
                  <w:r>
                    <w:rPr>
                      <w:rFonts w:hint="eastAsia"/>
                      <w:color w:val="auto"/>
                      <w:sz w:val="18"/>
                      <w:szCs w:val="18"/>
                      <w:highlight w:val="none"/>
                    </w:rPr>
                    <w:t>/次）</w:t>
                  </w:r>
                </w:p>
              </w:tc>
              <w:tc>
                <w:tcPr>
                  <w:tcW w:w="787" w:type="dxa"/>
                  <w:tcBorders>
                    <w:tl2br w:val="nil"/>
                    <w:tr2bl w:val="nil"/>
                  </w:tcBorders>
                  <w:noWrap w:val="0"/>
                  <w:vAlign w:val="center"/>
                </w:tcPr>
                <w:p w14:paraId="59F7DE86">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0.09</w:t>
                  </w:r>
                </w:p>
              </w:tc>
              <w:tc>
                <w:tcPr>
                  <w:tcW w:w="768" w:type="dxa"/>
                  <w:tcBorders>
                    <w:tl2br w:val="nil"/>
                    <w:tr2bl w:val="nil"/>
                  </w:tcBorders>
                  <w:noWrap w:val="0"/>
                  <w:vAlign w:val="center"/>
                </w:tcPr>
                <w:p w14:paraId="026CE7FA">
                  <w:pPr>
                    <w:keepNext w:val="0"/>
                    <w:keepLines w:val="0"/>
                    <w:suppressLineNumbers w:val="0"/>
                    <w:spacing w:before="0" w:beforeAutospacing="0" w:after="0" w:afterAutospacing="0"/>
                    <w:ind w:left="0" w:right="0"/>
                    <w:jc w:val="center"/>
                    <w:rPr>
                      <w:rFonts w:hint="eastAsia"/>
                      <w:color w:val="auto"/>
                      <w:sz w:val="18"/>
                      <w:szCs w:val="18"/>
                      <w:highlight w:val="none"/>
                    </w:rPr>
                  </w:pPr>
                  <w:r>
                    <w:rPr>
                      <w:rFonts w:hint="eastAsia"/>
                      <w:color w:val="auto"/>
                      <w:sz w:val="18"/>
                      <w:szCs w:val="18"/>
                      <w:highlight w:val="none"/>
                    </w:rPr>
                    <w:t>每月1次</w:t>
                  </w:r>
                </w:p>
              </w:tc>
            </w:tr>
            <w:tr w14:paraId="77D23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 w:type="dxa"/>
                  <w:tcBorders>
                    <w:tl2br w:val="nil"/>
                    <w:tr2bl w:val="nil"/>
                  </w:tcBorders>
                  <w:noWrap w:val="0"/>
                  <w:vAlign w:val="center"/>
                </w:tcPr>
                <w:p w14:paraId="5EE12A6B">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5</w:t>
                  </w:r>
                </w:p>
              </w:tc>
              <w:tc>
                <w:tcPr>
                  <w:tcW w:w="1008" w:type="dxa"/>
                  <w:tcBorders>
                    <w:tl2br w:val="nil"/>
                    <w:tr2bl w:val="nil"/>
                  </w:tcBorders>
                  <w:noWrap w:val="0"/>
                  <w:vAlign w:val="center"/>
                </w:tcPr>
                <w:p w14:paraId="73043DF0">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绿化用水</w:t>
                  </w:r>
                </w:p>
              </w:tc>
              <w:tc>
                <w:tcPr>
                  <w:tcW w:w="845" w:type="dxa"/>
                  <w:tcBorders>
                    <w:tl2br w:val="nil"/>
                    <w:tr2bl w:val="nil"/>
                  </w:tcBorders>
                  <w:noWrap w:val="0"/>
                  <w:vAlign w:val="center"/>
                </w:tcPr>
                <w:p w14:paraId="502A9252">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val="en-US" w:eastAsia="zh-CN"/>
                    </w:rPr>
                    <w:t>967</w:t>
                  </w:r>
                  <w:r>
                    <w:rPr>
                      <w:rFonts w:hint="eastAsia"/>
                      <w:color w:val="auto"/>
                      <w:sz w:val="18"/>
                      <w:szCs w:val="18"/>
                      <w:highlight w:val="none"/>
                    </w:rPr>
                    <w:t>m</w:t>
                  </w:r>
                  <w:r>
                    <w:rPr>
                      <w:rFonts w:hint="default"/>
                      <w:color w:val="auto"/>
                      <w:sz w:val="18"/>
                      <w:szCs w:val="18"/>
                      <w:highlight w:val="none"/>
                      <w:vertAlign w:val="superscript"/>
                    </w:rPr>
                    <w:t>2</w:t>
                  </w:r>
                </w:p>
              </w:tc>
              <w:tc>
                <w:tcPr>
                  <w:tcW w:w="1215" w:type="dxa"/>
                  <w:tcBorders>
                    <w:tl2br w:val="nil"/>
                    <w:tr2bl w:val="nil"/>
                  </w:tcBorders>
                  <w:noWrap w:val="0"/>
                  <w:vAlign w:val="center"/>
                </w:tcPr>
                <w:p w14:paraId="250F239C">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0.55m</w:t>
                  </w:r>
                  <w:r>
                    <w:rPr>
                      <w:rFonts w:hint="default"/>
                      <w:color w:val="auto"/>
                      <w:sz w:val="18"/>
                      <w:szCs w:val="18"/>
                      <w:highlight w:val="none"/>
                      <w:vertAlign w:val="superscript"/>
                    </w:rPr>
                    <w:t>3</w:t>
                  </w:r>
                  <w:r>
                    <w:rPr>
                      <w:rFonts w:hint="default"/>
                      <w:color w:val="auto"/>
                      <w:sz w:val="18"/>
                      <w:szCs w:val="18"/>
                      <w:highlight w:val="none"/>
                    </w:rPr>
                    <w:t>/</w:t>
                  </w:r>
                  <w:r>
                    <w:rPr>
                      <w:rFonts w:hint="eastAsia"/>
                      <w:color w:val="auto"/>
                      <w:sz w:val="18"/>
                      <w:szCs w:val="18"/>
                      <w:highlight w:val="none"/>
                    </w:rPr>
                    <w:t>m</w:t>
                  </w:r>
                  <w:r>
                    <w:rPr>
                      <w:rFonts w:hint="default"/>
                      <w:color w:val="auto"/>
                      <w:sz w:val="18"/>
                      <w:szCs w:val="18"/>
                      <w:highlight w:val="none"/>
                      <w:vertAlign w:val="superscript"/>
                    </w:rPr>
                    <w:t>2</w:t>
                  </w:r>
                  <w:r>
                    <w:rPr>
                      <w:rFonts w:hint="default"/>
                      <w:color w:val="auto"/>
                      <w:sz w:val="18"/>
                      <w:szCs w:val="18"/>
                      <w:highlight w:val="none"/>
                    </w:rPr>
                    <w:t>·</w:t>
                  </w:r>
                  <w:r>
                    <w:rPr>
                      <w:rFonts w:hint="eastAsia"/>
                      <w:color w:val="auto"/>
                      <w:sz w:val="18"/>
                      <w:szCs w:val="18"/>
                      <w:highlight w:val="none"/>
                    </w:rPr>
                    <w:t>a</w:t>
                  </w:r>
                </w:p>
              </w:tc>
              <w:tc>
                <w:tcPr>
                  <w:tcW w:w="1524" w:type="dxa"/>
                  <w:tcBorders>
                    <w:tl2br w:val="nil"/>
                    <w:tr2bl w:val="nil"/>
                  </w:tcBorders>
                  <w:noWrap w:val="0"/>
                  <w:vAlign w:val="center"/>
                </w:tcPr>
                <w:p w14:paraId="4E0CD145">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1.4</w:t>
                  </w:r>
                  <w:r>
                    <w:rPr>
                      <w:rFonts w:hint="eastAsia"/>
                      <w:color w:val="auto"/>
                      <w:sz w:val="18"/>
                      <w:szCs w:val="18"/>
                      <w:highlight w:val="none"/>
                      <w:lang w:val="en-US" w:eastAsia="zh-CN"/>
                    </w:rPr>
                    <w:t>6</w:t>
                  </w:r>
                  <w:r>
                    <w:rPr>
                      <w:rFonts w:hint="eastAsia"/>
                      <w:color w:val="auto"/>
                      <w:sz w:val="18"/>
                      <w:szCs w:val="18"/>
                      <w:highlight w:val="none"/>
                    </w:rPr>
                    <w:t>（</w:t>
                  </w:r>
                  <w:r>
                    <w:rPr>
                      <w:rFonts w:hint="eastAsia"/>
                      <w:color w:val="auto"/>
                      <w:sz w:val="18"/>
                      <w:szCs w:val="18"/>
                      <w:highlight w:val="none"/>
                      <w:lang w:val="en-US" w:eastAsia="zh-CN"/>
                    </w:rPr>
                    <w:t>531.9</w:t>
                  </w:r>
                  <w:r>
                    <w:rPr>
                      <w:rFonts w:hint="eastAsia"/>
                      <w:color w:val="auto"/>
                      <w:sz w:val="18"/>
                      <w:szCs w:val="18"/>
                      <w:highlight w:val="none"/>
                    </w:rPr>
                    <w:t>m</w:t>
                  </w:r>
                  <w:r>
                    <w:rPr>
                      <w:rFonts w:hint="default"/>
                      <w:color w:val="auto"/>
                      <w:sz w:val="18"/>
                      <w:szCs w:val="18"/>
                      <w:highlight w:val="none"/>
                      <w:vertAlign w:val="superscript"/>
                    </w:rPr>
                    <w:t>3</w:t>
                  </w:r>
                  <w:r>
                    <w:rPr>
                      <w:rFonts w:hint="default"/>
                      <w:color w:val="auto"/>
                      <w:sz w:val="18"/>
                      <w:szCs w:val="18"/>
                      <w:highlight w:val="none"/>
                    </w:rPr>
                    <w:t>/a</w:t>
                  </w:r>
                  <w:r>
                    <w:rPr>
                      <w:rFonts w:hint="eastAsia"/>
                      <w:color w:val="auto"/>
                      <w:sz w:val="18"/>
                      <w:szCs w:val="18"/>
                      <w:highlight w:val="none"/>
                    </w:rPr>
                    <w:t>）</w:t>
                  </w:r>
                </w:p>
              </w:tc>
              <w:tc>
                <w:tcPr>
                  <w:tcW w:w="1098" w:type="dxa"/>
                  <w:tcBorders>
                    <w:tl2br w:val="nil"/>
                    <w:tr2bl w:val="nil"/>
                  </w:tcBorders>
                  <w:shd w:val="clear" w:color="auto" w:fill="auto"/>
                  <w:noWrap w:val="0"/>
                  <w:vAlign w:val="center"/>
                </w:tcPr>
                <w:p w14:paraId="17689E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0</w:t>
                  </w:r>
                </w:p>
              </w:tc>
              <w:tc>
                <w:tcPr>
                  <w:tcW w:w="787" w:type="dxa"/>
                  <w:tcBorders>
                    <w:tl2br w:val="nil"/>
                    <w:tr2bl w:val="nil"/>
                  </w:tcBorders>
                  <w:noWrap w:val="0"/>
                  <w:vAlign w:val="center"/>
                </w:tcPr>
                <w:p w14:paraId="2F575E1E">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1.46</w:t>
                  </w:r>
                </w:p>
              </w:tc>
              <w:tc>
                <w:tcPr>
                  <w:tcW w:w="768" w:type="dxa"/>
                  <w:tcBorders>
                    <w:tl2br w:val="nil"/>
                    <w:tr2bl w:val="nil"/>
                  </w:tcBorders>
                  <w:noWrap w:val="0"/>
                  <w:vAlign w:val="center"/>
                </w:tcPr>
                <w:p w14:paraId="73AABAE5">
                  <w:pPr>
                    <w:keepNext w:val="0"/>
                    <w:keepLines w:val="0"/>
                    <w:suppressLineNumbers w:val="0"/>
                    <w:spacing w:before="0" w:beforeAutospacing="0" w:after="0" w:afterAutospacing="0"/>
                    <w:ind w:left="0" w:right="0"/>
                    <w:jc w:val="center"/>
                    <w:rPr>
                      <w:rFonts w:hint="default"/>
                      <w:color w:val="auto"/>
                      <w:sz w:val="18"/>
                      <w:szCs w:val="18"/>
                      <w:highlight w:val="none"/>
                    </w:rPr>
                  </w:pPr>
                </w:p>
              </w:tc>
            </w:tr>
            <w:tr w14:paraId="20535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 w:type="dxa"/>
                  <w:tcBorders>
                    <w:tl2br w:val="nil"/>
                    <w:tr2bl w:val="nil"/>
                  </w:tcBorders>
                  <w:noWrap w:val="0"/>
                  <w:vAlign w:val="center"/>
                </w:tcPr>
                <w:p w14:paraId="39E9D503">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6</w:t>
                  </w:r>
                </w:p>
              </w:tc>
              <w:tc>
                <w:tcPr>
                  <w:tcW w:w="1008" w:type="dxa"/>
                  <w:tcBorders>
                    <w:tl2br w:val="nil"/>
                    <w:tr2bl w:val="nil"/>
                  </w:tcBorders>
                  <w:noWrap w:val="0"/>
                  <w:vAlign w:val="center"/>
                </w:tcPr>
                <w:p w14:paraId="5853C6C4">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未预见和漏失水</w:t>
                  </w:r>
                </w:p>
              </w:tc>
              <w:tc>
                <w:tcPr>
                  <w:tcW w:w="2060" w:type="dxa"/>
                  <w:gridSpan w:val="2"/>
                  <w:tcBorders>
                    <w:tl2br w:val="nil"/>
                    <w:tr2bl w:val="nil"/>
                  </w:tcBorders>
                  <w:noWrap w:val="0"/>
                  <w:vAlign w:val="center"/>
                </w:tcPr>
                <w:p w14:paraId="204C34B6">
                  <w:pPr>
                    <w:keepNext w:val="0"/>
                    <w:keepLines w:val="0"/>
                    <w:suppressLineNumbers w:val="0"/>
                    <w:spacing w:before="0" w:beforeAutospacing="0" w:after="0" w:afterAutospacing="0"/>
                    <w:ind w:left="0" w:right="0"/>
                    <w:jc w:val="center"/>
                    <w:rPr>
                      <w:rFonts w:hint="eastAsia"/>
                      <w:color w:val="auto"/>
                      <w:sz w:val="18"/>
                      <w:szCs w:val="18"/>
                      <w:highlight w:val="none"/>
                    </w:rPr>
                  </w:pPr>
                  <w:r>
                    <w:rPr>
                      <w:rFonts w:hint="eastAsia"/>
                      <w:color w:val="auto"/>
                      <w:sz w:val="18"/>
                      <w:szCs w:val="18"/>
                      <w:highlight w:val="none"/>
                    </w:rPr>
                    <w:t>按以上用水量的10%计</w:t>
                  </w:r>
                </w:p>
              </w:tc>
              <w:tc>
                <w:tcPr>
                  <w:tcW w:w="1524" w:type="dxa"/>
                  <w:tcBorders>
                    <w:tl2br w:val="nil"/>
                    <w:tr2bl w:val="nil"/>
                  </w:tcBorders>
                  <w:noWrap w:val="0"/>
                  <w:vAlign w:val="center"/>
                </w:tcPr>
                <w:p w14:paraId="12C2CFC5">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0.58</w:t>
                  </w:r>
                </w:p>
              </w:tc>
              <w:tc>
                <w:tcPr>
                  <w:tcW w:w="1098" w:type="dxa"/>
                  <w:tcBorders>
                    <w:tl2br w:val="nil"/>
                    <w:tr2bl w:val="nil"/>
                  </w:tcBorders>
                  <w:shd w:val="clear" w:color="auto" w:fill="auto"/>
                  <w:noWrap w:val="0"/>
                  <w:vAlign w:val="center"/>
                </w:tcPr>
                <w:p w14:paraId="47B697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rPr>
                    <w:t>0</w:t>
                  </w:r>
                </w:p>
              </w:tc>
              <w:tc>
                <w:tcPr>
                  <w:tcW w:w="787" w:type="dxa"/>
                  <w:tcBorders>
                    <w:tl2br w:val="nil"/>
                    <w:tr2bl w:val="nil"/>
                  </w:tcBorders>
                  <w:noWrap w:val="0"/>
                  <w:vAlign w:val="center"/>
                </w:tcPr>
                <w:p w14:paraId="77BD7AB8">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0.58</w:t>
                  </w:r>
                </w:p>
              </w:tc>
              <w:tc>
                <w:tcPr>
                  <w:tcW w:w="768" w:type="dxa"/>
                  <w:tcBorders>
                    <w:tl2br w:val="nil"/>
                    <w:tr2bl w:val="nil"/>
                  </w:tcBorders>
                  <w:noWrap w:val="0"/>
                  <w:vAlign w:val="center"/>
                </w:tcPr>
                <w:p w14:paraId="04E2A4CB">
                  <w:pPr>
                    <w:keepNext w:val="0"/>
                    <w:keepLines w:val="0"/>
                    <w:suppressLineNumbers w:val="0"/>
                    <w:spacing w:before="0" w:beforeAutospacing="0" w:after="0" w:afterAutospacing="0"/>
                    <w:ind w:left="0" w:right="0"/>
                    <w:jc w:val="center"/>
                    <w:rPr>
                      <w:rFonts w:hint="default"/>
                      <w:color w:val="auto"/>
                      <w:sz w:val="18"/>
                      <w:szCs w:val="18"/>
                      <w:highlight w:val="none"/>
                    </w:rPr>
                  </w:pPr>
                </w:p>
              </w:tc>
            </w:tr>
            <w:tr w14:paraId="2EFCB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3" w:type="dxa"/>
                  <w:tcBorders>
                    <w:tl2br w:val="nil"/>
                    <w:tr2bl w:val="nil"/>
                  </w:tcBorders>
                  <w:noWrap w:val="0"/>
                  <w:vAlign w:val="center"/>
                </w:tcPr>
                <w:p w14:paraId="08E3BD0C">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1008" w:type="dxa"/>
                  <w:tcBorders>
                    <w:tl2br w:val="nil"/>
                    <w:tr2bl w:val="nil"/>
                  </w:tcBorders>
                  <w:noWrap w:val="0"/>
                  <w:vAlign w:val="center"/>
                </w:tcPr>
                <w:p w14:paraId="5B4DC546">
                  <w:pPr>
                    <w:keepNext w:val="0"/>
                    <w:keepLines w:val="0"/>
                    <w:suppressLineNumbers w:val="0"/>
                    <w:spacing w:before="0" w:beforeAutospacing="0" w:after="0" w:afterAutospacing="0"/>
                    <w:ind w:left="0" w:right="0"/>
                    <w:jc w:val="center"/>
                    <w:rPr>
                      <w:rFonts w:hint="eastAsia"/>
                      <w:color w:val="auto"/>
                      <w:sz w:val="18"/>
                      <w:szCs w:val="18"/>
                      <w:highlight w:val="none"/>
                    </w:rPr>
                  </w:pPr>
                  <w:r>
                    <w:rPr>
                      <w:rFonts w:hint="eastAsia"/>
                      <w:color w:val="auto"/>
                      <w:sz w:val="18"/>
                      <w:szCs w:val="18"/>
                      <w:highlight w:val="none"/>
                    </w:rPr>
                    <w:t>合计</w:t>
                  </w:r>
                </w:p>
              </w:tc>
              <w:tc>
                <w:tcPr>
                  <w:tcW w:w="845" w:type="dxa"/>
                  <w:tcBorders>
                    <w:tl2br w:val="nil"/>
                    <w:tr2bl w:val="nil"/>
                  </w:tcBorders>
                  <w:noWrap w:val="0"/>
                  <w:vAlign w:val="center"/>
                </w:tcPr>
                <w:p w14:paraId="3F965BB0">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w:t>
                  </w:r>
                </w:p>
              </w:tc>
              <w:tc>
                <w:tcPr>
                  <w:tcW w:w="1215" w:type="dxa"/>
                  <w:tcBorders>
                    <w:tl2br w:val="nil"/>
                    <w:tr2bl w:val="nil"/>
                  </w:tcBorders>
                  <w:noWrap w:val="0"/>
                  <w:vAlign w:val="center"/>
                </w:tcPr>
                <w:p w14:paraId="068E0F9B">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rPr>
                    <w:t>/</w:t>
                  </w:r>
                </w:p>
              </w:tc>
              <w:tc>
                <w:tcPr>
                  <w:tcW w:w="1524" w:type="dxa"/>
                  <w:tcBorders>
                    <w:tl2br w:val="nil"/>
                    <w:tr2bl w:val="nil"/>
                  </w:tcBorders>
                  <w:noWrap w:val="0"/>
                  <w:vAlign w:val="center"/>
                </w:tcPr>
                <w:p w14:paraId="75EE9E7B">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6.35</w:t>
                  </w:r>
                </w:p>
              </w:tc>
              <w:tc>
                <w:tcPr>
                  <w:tcW w:w="1098" w:type="dxa"/>
                  <w:tcBorders>
                    <w:tl2br w:val="nil"/>
                    <w:tr2bl w:val="nil"/>
                  </w:tcBorders>
                  <w:shd w:val="clear" w:color="auto" w:fill="auto"/>
                  <w:noWrap w:val="0"/>
                  <w:vAlign w:val="center"/>
                </w:tcPr>
                <w:p w14:paraId="415208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1.29</w:t>
                  </w:r>
                </w:p>
              </w:tc>
              <w:tc>
                <w:tcPr>
                  <w:tcW w:w="787" w:type="dxa"/>
                  <w:tcBorders>
                    <w:tl2br w:val="nil"/>
                    <w:tr2bl w:val="nil"/>
                  </w:tcBorders>
                  <w:noWrap w:val="0"/>
                  <w:vAlign w:val="center"/>
                </w:tcPr>
                <w:p w14:paraId="412FB41E">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4.19</w:t>
                  </w:r>
                </w:p>
              </w:tc>
              <w:tc>
                <w:tcPr>
                  <w:tcW w:w="768" w:type="dxa"/>
                  <w:tcBorders>
                    <w:tl2br w:val="nil"/>
                    <w:tr2bl w:val="nil"/>
                  </w:tcBorders>
                  <w:noWrap w:val="0"/>
                  <w:vAlign w:val="center"/>
                </w:tcPr>
                <w:p w14:paraId="4B9FFAC7">
                  <w:pPr>
                    <w:keepNext w:val="0"/>
                    <w:keepLines w:val="0"/>
                    <w:suppressLineNumbers w:val="0"/>
                    <w:spacing w:before="0" w:beforeAutospacing="0" w:after="0" w:afterAutospacing="0"/>
                    <w:ind w:left="0" w:right="0"/>
                    <w:jc w:val="center"/>
                    <w:rPr>
                      <w:rFonts w:hint="default"/>
                      <w:color w:val="auto"/>
                      <w:sz w:val="18"/>
                      <w:szCs w:val="18"/>
                      <w:highlight w:val="none"/>
                    </w:rPr>
                  </w:pPr>
                </w:p>
              </w:tc>
            </w:tr>
          </w:tbl>
          <w:p w14:paraId="3A3F694E">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综上分析，项目运营期的新鲜水总用水量为</w:t>
            </w:r>
            <w:r>
              <w:rPr>
                <w:rFonts w:hint="eastAsia" w:cs="Times New Roman"/>
                <w:color w:val="auto"/>
                <w:sz w:val="24"/>
                <w:szCs w:val="24"/>
                <w:highlight w:val="none"/>
                <w:lang w:val="en-US" w:eastAsia="zh-CN"/>
              </w:rPr>
              <w:t>6.35</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2317.75</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/a），废水</w:t>
            </w:r>
            <w:r>
              <w:rPr>
                <w:rFonts w:hint="eastAsia" w:cs="Times New Roman"/>
                <w:color w:val="auto"/>
                <w:sz w:val="24"/>
                <w:szCs w:val="24"/>
                <w:highlight w:val="none"/>
                <w:lang w:val="en-US" w:eastAsia="zh-CN"/>
              </w:rPr>
              <w:t>产生</w:t>
            </w:r>
            <w:r>
              <w:rPr>
                <w:rFonts w:hint="eastAsia" w:ascii="Times New Roman" w:hAnsi="Times New Roman" w:eastAsia="宋体" w:cs="Times New Roman"/>
                <w:color w:val="auto"/>
                <w:sz w:val="24"/>
                <w:szCs w:val="24"/>
                <w:highlight w:val="none"/>
                <w:lang w:val="en-US" w:eastAsia="zh-CN"/>
              </w:rPr>
              <w:t>量为</w:t>
            </w:r>
            <w:r>
              <w:rPr>
                <w:rFonts w:hint="eastAsia" w:cs="Times New Roman"/>
                <w:color w:val="auto"/>
                <w:sz w:val="24"/>
                <w:szCs w:val="24"/>
                <w:highlight w:val="none"/>
                <w:lang w:val="en-US" w:eastAsia="zh-CN"/>
              </w:rPr>
              <w:t>1.29</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 (</w:t>
            </w:r>
            <w:r>
              <w:rPr>
                <w:rFonts w:hint="eastAsia" w:cs="Times New Roman"/>
                <w:color w:val="auto"/>
                <w:sz w:val="24"/>
                <w:szCs w:val="24"/>
                <w:highlight w:val="none"/>
                <w:lang w:val="en-US" w:eastAsia="zh-CN"/>
              </w:rPr>
              <w:t>470.85</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 ) 。项目水平衡见图2-1。</w:t>
            </w:r>
          </w:p>
          <w:p w14:paraId="3D177257">
            <w:pPr>
              <w:keepNext w:val="0"/>
              <w:keepLines w:val="0"/>
              <w:suppressLineNumbers w:val="0"/>
              <w:spacing w:before="0" w:beforeAutospacing="0" w:after="0" w:afterAutospacing="0" w:line="360" w:lineRule="auto"/>
              <w:ind w:left="0" w:right="0"/>
              <w:jc w:val="both"/>
              <w:rPr>
                <w:rFonts w:hint="eastAsia"/>
                <w:color w:val="auto"/>
                <w:szCs w:val="36"/>
                <w:highlight w:val="none"/>
              </w:rPr>
            </w:pPr>
            <w:r>
              <w:rPr>
                <w:rFonts w:hint="eastAsia"/>
                <w:color w:val="auto"/>
                <w:szCs w:val="36"/>
                <w:highlight w:val="none"/>
              </w:rPr>
              <w:object>
                <v:shape id="_x0000_i1025" o:spt="75" type="#_x0000_t75" style="height:379.85pt;width:378.5pt;" o:ole="t" filled="f" o:preferrelative="t" stroked="f" coordsize="21600,21600">
                  <v:path/>
                  <v:fill on="f" focussize="0,0"/>
                  <v:stroke on="f"/>
                  <v:imagedata r:id="rId14" cropleft="2217f" croptop="1238f" cropright="9954f" cropbottom="10675f" o:title=""/>
                  <o:lock v:ext="edit" aspectratio="f"/>
                  <w10:wrap type="none"/>
                  <w10:anchorlock/>
                </v:shape>
                <o:OLEObject Type="Embed" ProgID="Visio.Drawing.11" ShapeID="_x0000_i1025" DrawAspect="Content" ObjectID="_1468075725" r:id="rId13">
                  <o:LockedField>false</o:LockedField>
                </o:OLEObject>
              </w:object>
            </w:r>
          </w:p>
          <w:p w14:paraId="2D47BA8C">
            <w:pPr>
              <w:keepNext w:val="0"/>
              <w:keepLines w:val="0"/>
              <w:suppressLineNumbers w:val="0"/>
              <w:spacing w:before="0" w:beforeAutospacing="0" w:after="0" w:afterAutospacing="0" w:line="360" w:lineRule="auto"/>
              <w:ind w:left="0" w:right="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图2-1</w:t>
            </w:r>
            <w:r>
              <w:rPr>
                <w:rFonts w:hint="default" w:ascii="Times New Roman" w:hAnsi="Times New Roman" w:eastAsia="黑体" w:cs="Times New Roman"/>
                <w:b/>
                <w:bCs/>
                <w:color w:val="auto"/>
                <w:kern w:val="0"/>
                <w:sz w:val="20"/>
                <w:szCs w:val="20"/>
                <w:highlight w:val="none"/>
                <w:lang w:val="en-US" w:eastAsia="zh-CN" w:bidi="ar-SA"/>
              </w:rPr>
              <w:t xml:space="preserve"> </w:t>
            </w:r>
            <w:r>
              <w:rPr>
                <w:rFonts w:hint="eastAsia" w:ascii="Times New Roman" w:hAnsi="Times New Roman" w:eastAsia="黑体" w:cs="Times New Roman"/>
                <w:b/>
                <w:bCs/>
                <w:color w:val="auto"/>
                <w:kern w:val="0"/>
                <w:sz w:val="20"/>
                <w:szCs w:val="20"/>
                <w:highlight w:val="none"/>
                <w:lang w:val="en-US" w:eastAsia="zh-CN" w:bidi="ar-SA"/>
              </w:rPr>
              <w:t>项目水平衡图（单位：m</w:t>
            </w:r>
            <w:r>
              <w:rPr>
                <w:rFonts w:hint="default" w:ascii="Times New Roman" w:hAnsi="Times New Roman" w:eastAsia="黑体" w:cs="Times New Roman"/>
                <w:b/>
                <w:bCs/>
                <w:color w:val="auto"/>
                <w:kern w:val="0"/>
                <w:sz w:val="20"/>
                <w:szCs w:val="20"/>
                <w:highlight w:val="none"/>
                <w:vertAlign w:val="superscript"/>
                <w:lang w:val="en-US" w:eastAsia="zh-CN" w:bidi="ar-SA"/>
              </w:rPr>
              <w:t>3</w:t>
            </w:r>
            <w:r>
              <w:rPr>
                <w:rFonts w:hint="default" w:ascii="Times New Roman" w:hAnsi="Times New Roman" w:eastAsia="黑体" w:cs="Times New Roman"/>
                <w:b/>
                <w:bCs/>
                <w:color w:val="auto"/>
                <w:kern w:val="0"/>
                <w:sz w:val="20"/>
                <w:szCs w:val="20"/>
                <w:highlight w:val="none"/>
                <w:lang w:val="en-US" w:eastAsia="zh-CN" w:bidi="ar-SA"/>
              </w:rPr>
              <w:t>/d</w:t>
            </w:r>
            <w:r>
              <w:rPr>
                <w:rFonts w:hint="eastAsia" w:ascii="Times New Roman" w:hAnsi="Times New Roman" w:eastAsia="黑体" w:cs="Times New Roman"/>
                <w:b/>
                <w:bCs/>
                <w:color w:val="auto"/>
                <w:kern w:val="0"/>
                <w:sz w:val="20"/>
                <w:szCs w:val="20"/>
                <w:highlight w:val="none"/>
                <w:lang w:val="en-US" w:eastAsia="zh-CN" w:bidi="ar-SA"/>
              </w:rPr>
              <w:t>）</w:t>
            </w:r>
          </w:p>
          <w:p w14:paraId="3D0A5372">
            <w:pPr>
              <w:pStyle w:val="54"/>
              <w:keepNext w:val="0"/>
              <w:keepLines w:val="0"/>
              <w:suppressLineNumbers w:val="0"/>
              <w:spacing w:before="0" w:beforeAutospacing="0" w:after="0" w:afterAutospacing="0"/>
              <w:ind w:left="0" w:right="0" w:firstLine="480"/>
              <w:rPr>
                <w:rFonts w:hint="default"/>
                <w:color w:val="auto"/>
                <w:highlight w:val="none"/>
              </w:rPr>
            </w:pPr>
            <w:r>
              <w:rPr>
                <w:rFonts w:hint="eastAsia"/>
                <w:color w:val="auto"/>
                <w:highlight w:val="none"/>
              </w:rPr>
              <w:t>（2）</w:t>
            </w:r>
            <w:r>
              <w:rPr>
                <w:rFonts w:hint="default"/>
                <w:color w:val="auto"/>
                <w:highlight w:val="none"/>
              </w:rPr>
              <w:t>供电系统</w:t>
            </w:r>
          </w:p>
          <w:p w14:paraId="5D9E95B3">
            <w:pPr>
              <w:pStyle w:val="54"/>
              <w:keepNext w:val="0"/>
              <w:keepLines w:val="0"/>
              <w:suppressLineNumbers w:val="0"/>
              <w:spacing w:before="0" w:beforeAutospacing="0" w:after="0" w:afterAutospacing="0"/>
              <w:ind w:left="0" w:right="0" w:firstLine="480"/>
              <w:rPr>
                <w:rFonts w:hint="default"/>
                <w:color w:val="auto"/>
                <w:highlight w:val="none"/>
              </w:rPr>
            </w:pPr>
            <w:r>
              <w:rPr>
                <w:rFonts w:hint="default"/>
                <w:color w:val="auto"/>
                <w:highlight w:val="none"/>
              </w:rPr>
              <w:t>本项目供电负荷为三级，由当地市政电网提供。为保证仪表、自控系统、报警系统等重要设备的供电，本工程设置不间断应急电源装置（UPS），后备时间按</w:t>
            </w:r>
            <w:r>
              <w:rPr>
                <w:rFonts w:hint="eastAsia"/>
                <w:color w:val="auto"/>
                <w:highlight w:val="none"/>
                <w:lang w:val="en-US" w:eastAsia="zh-CN"/>
              </w:rPr>
              <w:t>1</w:t>
            </w:r>
            <w:r>
              <w:rPr>
                <w:rFonts w:hint="default"/>
                <w:color w:val="auto"/>
                <w:highlight w:val="none"/>
              </w:rPr>
              <w:t>h设计</w:t>
            </w:r>
            <w:r>
              <w:rPr>
                <w:rFonts w:hint="eastAsia"/>
                <w:color w:val="auto"/>
                <w:highlight w:val="none"/>
              </w:rPr>
              <w:t>。同时</w:t>
            </w:r>
            <w:r>
              <w:rPr>
                <w:rFonts w:hint="default"/>
                <w:color w:val="auto"/>
                <w:highlight w:val="none"/>
              </w:rPr>
              <w:t>加油加气站</w:t>
            </w:r>
            <w:r>
              <w:rPr>
                <w:rFonts w:hint="eastAsia"/>
                <w:color w:val="auto"/>
                <w:highlight w:val="none"/>
              </w:rPr>
              <w:t>内</w:t>
            </w:r>
            <w:r>
              <w:rPr>
                <w:rFonts w:hint="default"/>
                <w:color w:val="auto"/>
                <w:highlight w:val="none"/>
              </w:rPr>
              <w:t>设置一台</w:t>
            </w:r>
            <w:r>
              <w:rPr>
                <w:rFonts w:hint="eastAsia"/>
                <w:color w:val="auto"/>
                <w:highlight w:val="none"/>
                <w:lang w:val="en-US" w:eastAsia="zh-CN"/>
              </w:rPr>
              <w:t>60</w:t>
            </w:r>
            <w:r>
              <w:rPr>
                <w:rFonts w:hint="default"/>
                <w:color w:val="auto"/>
                <w:highlight w:val="none"/>
              </w:rPr>
              <w:t>kW</w:t>
            </w:r>
            <w:r>
              <w:rPr>
                <w:rFonts w:hint="eastAsia"/>
                <w:color w:val="auto"/>
                <w:highlight w:val="none"/>
                <w:lang w:val="en-US" w:eastAsia="zh-CN"/>
              </w:rPr>
              <w:t>撬装</w:t>
            </w:r>
            <w:r>
              <w:rPr>
                <w:rFonts w:hint="default"/>
                <w:color w:val="auto"/>
                <w:highlight w:val="none"/>
              </w:rPr>
              <w:t>柴油发电机作为备用电源。</w:t>
            </w:r>
          </w:p>
          <w:p w14:paraId="0E34F7BE">
            <w:pPr>
              <w:pStyle w:val="54"/>
              <w:keepNext w:val="0"/>
              <w:keepLines w:val="0"/>
              <w:suppressLineNumbers w:val="0"/>
              <w:spacing w:before="0" w:beforeAutospacing="0" w:after="0" w:afterAutospacing="0"/>
              <w:ind w:left="0" w:right="0" w:firstLine="480"/>
              <w:rPr>
                <w:rFonts w:hint="default"/>
                <w:color w:val="auto"/>
                <w:highlight w:val="none"/>
              </w:rPr>
            </w:pPr>
            <w:r>
              <w:rPr>
                <w:rFonts w:hint="eastAsia"/>
                <w:color w:val="auto"/>
                <w:highlight w:val="none"/>
              </w:rPr>
              <w:t>（3）</w:t>
            </w:r>
            <w:r>
              <w:rPr>
                <w:rFonts w:hint="default"/>
                <w:color w:val="auto"/>
                <w:highlight w:val="none"/>
              </w:rPr>
              <w:t>消防系统</w:t>
            </w:r>
          </w:p>
          <w:p w14:paraId="33BF6270">
            <w:pPr>
              <w:pStyle w:val="54"/>
              <w:keepNext w:val="0"/>
              <w:keepLines w:val="0"/>
              <w:suppressLineNumbers w:val="0"/>
              <w:spacing w:before="0" w:beforeAutospacing="0" w:after="0" w:afterAutospacing="0"/>
              <w:ind w:left="0" w:right="0" w:firstLine="480"/>
              <w:rPr>
                <w:rFonts w:hint="default"/>
                <w:color w:val="auto"/>
                <w:highlight w:val="none"/>
              </w:rPr>
            </w:pPr>
            <w:r>
              <w:rPr>
                <w:rFonts w:hint="default"/>
                <w:color w:val="auto"/>
                <w:highlight w:val="none"/>
              </w:rPr>
              <w:t>本项目为二级加油加气合建站，站内</w:t>
            </w:r>
            <w:r>
              <w:rPr>
                <w:rFonts w:hint="eastAsia"/>
                <w:color w:val="auto"/>
                <w:highlight w:val="none"/>
                <w:lang w:val="en-US" w:eastAsia="zh-CN"/>
              </w:rPr>
              <w:t>设置</w:t>
            </w:r>
            <w:r>
              <w:rPr>
                <w:rFonts w:hint="eastAsia"/>
                <w:color w:val="auto"/>
                <w:highlight w:val="none"/>
              </w:rPr>
              <w:t>一套成品一体化消防泵并在站内修建1座独立消防水池（水池水源由市政供应）、</w:t>
            </w:r>
            <w:r>
              <w:rPr>
                <w:rFonts w:hint="default"/>
                <w:color w:val="auto"/>
                <w:highlight w:val="none"/>
              </w:rPr>
              <w:t>消防沙和灭火器等，以保护加油加气站消防安全。</w:t>
            </w:r>
          </w:p>
          <w:p w14:paraId="5AFA08E0">
            <w:pPr>
              <w:pStyle w:val="54"/>
              <w:keepNext w:val="0"/>
              <w:keepLines w:val="0"/>
              <w:suppressLineNumbers w:val="0"/>
              <w:spacing w:before="0" w:beforeAutospacing="0" w:after="0" w:afterAutospacing="0"/>
              <w:ind w:left="0" w:right="0" w:firstLine="482"/>
              <w:rPr>
                <w:rFonts w:hint="default"/>
                <w:b/>
                <w:bCs/>
                <w:snapToGrid w:val="0"/>
                <w:color w:val="auto"/>
                <w:highlight w:val="none"/>
              </w:rPr>
            </w:pPr>
            <w:r>
              <w:rPr>
                <w:rFonts w:hint="eastAsia"/>
                <w:b/>
                <w:bCs/>
                <w:snapToGrid w:val="0"/>
                <w:color w:val="auto"/>
                <w:highlight w:val="none"/>
              </w:rPr>
              <w:t>8</w:t>
            </w:r>
            <w:r>
              <w:rPr>
                <w:rFonts w:hint="default"/>
                <w:b/>
                <w:bCs/>
                <w:snapToGrid w:val="0"/>
                <w:color w:val="auto"/>
                <w:highlight w:val="none"/>
              </w:rPr>
              <w:t>、劳动定员及工作制度</w:t>
            </w:r>
          </w:p>
          <w:p w14:paraId="7BE9CE6B">
            <w:pPr>
              <w:pStyle w:val="54"/>
              <w:keepNext w:val="0"/>
              <w:keepLines w:val="0"/>
              <w:suppressLineNumbers w:val="0"/>
              <w:spacing w:before="0" w:beforeAutospacing="0" w:after="0" w:afterAutospacing="0"/>
              <w:ind w:left="0" w:right="0" w:firstLine="480"/>
              <w:rPr>
                <w:rFonts w:hint="default"/>
                <w:color w:val="auto"/>
                <w:highlight w:val="none"/>
              </w:rPr>
            </w:pPr>
            <w:r>
              <w:rPr>
                <w:rFonts w:hint="eastAsia"/>
                <w:color w:val="auto"/>
                <w:highlight w:val="none"/>
              </w:rPr>
              <w:t>劳动定员：项目</w:t>
            </w:r>
            <w:r>
              <w:rPr>
                <w:rFonts w:hint="default"/>
                <w:color w:val="auto"/>
                <w:highlight w:val="none"/>
              </w:rPr>
              <w:t>加油加气站</w:t>
            </w:r>
            <w:r>
              <w:rPr>
                <w:rFonts w:hint="eastAsia"/>
                <w:color w:val="auto"/>
                <w:highlight w:val="none"/>
              </w:rPr>
              <w:t>定员</w:t>
            </w:r>
            <w:r>
              <w:rPr>
                <w:rFonts w:hint="default"/>
                <w:color w:val="auto"/>
                <w:highlight w:val="none"/>
              </w:rPr>
              <w:t>1</w:t>
            </w:r>
            <w:r>
              <w:rPr>
                <w:rFonts w:hint="eastAsia"/>
                <w:color w:val="auto"/>
                <w:highlight w:val="none"/>
              </w:rPr>
              <w:t>0人，其中管理人员2人，加油作业人员8人。</w:t>
            </w:r>
          </w:p>
          <w:p w14:paraId="73E252F5">
            <w:pPr>
              <w:pStyle w:val="54"/>
              <w:keepNext w:val="0"/>
              <w:keepLines w:val="0"/>
              <w:suppressLineNumbers w:val="0"/>
              <w:spacing w:before="0" w:beforeAutospacing="0" w:after="0" w:afterAutospacing="0"/>
              <w:ind w:left="0" w:right="0" w:firstLine="480"/>
              <w:rPr>
                <w:rFonts w:hint="eastAsia"/>
                <w:color w:val="auto"/>
                <w:highlight w:val="none"/>
              </w:rPr>
            </w:pPr>
            <w:r>
              <w:rPr>
                <w:rFonts w:hint="eastAsia"/>
                <w:color w:val="auto"/>
                <w:highlight w:val="none"/>
              </w:rPr>
              <w:t>工作制度：</w:t>
            </w:r>
            <w:r>
              <w:rPr>
                <w:rFonts w:hint="default"/>
                <w:color w:val="auto"/>
                <w:highlight w:val="none"/>
              </w:rPr>
              <w:t>全年365天营业，每天24小时，采取2班工作制，日常在岗人</w:t>
            </w:r>
            <w:r>
              <w:rPr>
                <w:rFonts w:hint="eastAsia"/>
                <w:color w:val="auto"/>
                <w:highlight w:val="none"/>
              </w:rPr>
              <w:t>数5人。</w:t>
            </w:r>
          </w:p>
          <w:p w14:paraId="58A4B220">
            <w:pPr>
              <w:pStyle w:val="54"/>
              <w:keepNext w:val="0"/>
              <w:keepLines w:val="0"/>
              <w:suppressLineNumbers w:val="0"/>
              <w:spacing w:before="0" w:beforeAutospacing="0" w:after="0" w:afterAutospacing="0"/>
              <w:ind w:left="0" w:right="0" w:firstLine="482"/>
              <w:rPr>
                <w:rFonts w:hint="default"/>
                <w:b/>
                <w:bCs/>
                <w:snapToGrid w:val="0"/>
                <w:color w:val="auto"/>
                <w:highlight w:val="none"/>
              </w:rPr>
            </w:pPr>
            <w:r>
              <w:rPr>
                <w:rFonts w:hint="eastAsia"/>
                <w:b/>
                <w:bCs/>
                <w:snapToGrid w:val="0"/>
                <w:color w:val="auto"/>
                <w:highlight w:val="none"/>
              </w:rPr>
              <w:t>9</w:t>
            </w:r>
            <w:r>
              <w:rPr>
                <w:rFonts w:hint="default"/>
                <w:b/>
                <w:bCs/>
                <w:snapToGrid w:val="0"/>
                <w:color w:val="auto"/>
                <w:highlight w:val="none"/>
              </w:rPr>
              <w:t>、总平面布置合理性分析</w:t>
            </w:r>
          </w:p>
          <w:p w14:paraId="70A031C8">
            <w:pPr>
              <w:pStyle w:val="54"/>
              <w:keepNext w:val="0"/>
              <w:keepLines w:val="0"/>
              <w:suppressLineNumbers w:val="0"/>
              <w:spacing w:before="0" w:beforeAutospacing="0" w:after="0" w:afterAutospacing="0"/>
              <w:ind w:left="0" w:right="0" w:firstLine="480"/>
              <w:rPr>
                <w:rFonts w:hint="default"/>
                <w:color w:val="auto"/>
                <w:highlight w:val="none"/>
              </w:rPr>
            </w:pPr>
            <w:r>
              <w:rPr>
                <w:rFonts w:hint="default"/>
                <w:color w:val="auto"/>
                <w:highlight w:val="none"/>
              </w:rPr>
              <w:t>本站位于</w:t>
            </w:r>
            <w:r>
              <w:rPr>
                <w:rFonts w:hint="default" w:eastAsia="宋体" w:cs="Times New Roman"/>
                <w:color w:val="auto"/>
                <w:sz w:val="24"/>
                <w:szCs w:val="24"/>
                <w:highlight w:val="none"/>
                <w:lang w:val="en-US" w:eastAsia="zh-CN"/>
              </w:rPr>
              <w:t>四川省达州市</w:t>
            </w:r>
            <w:r>
              <w:rPr>
                <w:rFonts w:hint="eastAsia" w:eastAsia="宋体" w:cs="Times New Roman"/>
                <w:color w:val="auto"/>
                <w:sz w:val="24"/>
                <w:szCs w:val="24"/>
                <w:highlight w:val="none"/>
                <w:lang w:val="en-US" w:eastAsia="zh-CN"/>
              </w:rPr>
              <w:t>通川区东岳收费站出口</w:t>
            </w:r>
            <w:r>
              <w:rPr>
                <w:rFonts w:hint="eastAsia"/>
                <w:color w:val="auto"/>
                <w:highlight w:val="none"/>
                <w:lang w:eastAsia="zh-CN"/>
              </w:rPr>
              <w:t>，</w:t>
            </w:r>
            <w:r>
              <w:rPr>
                <w:rFonts w:hint="default"/>
                <w:color w:val="auto"/>
                <w:highlight w:val="none"/>
              </w:rPr>
              <w:t>在场站南侧面向</w:t>
            </w:r>
            <w:r>
              <w:rPr>
                <w:rFonts w:hint="eastAsia"/>
                <w:color w:val="auto"/>
                <w:highlight w:val="none"/>
                <w:lang w:val="en-US" w:eastAsia="zh-CN"/>
              </w:rPr>
              <w:t>G210达州绕城高速</w:t>
            </w:r>
            <w:r>
              <w:rPr>
                <w:rFonts w:hint="default"/>
                <w:color w:val="auto"/>
                <w:highlight w:val="none"/>
              </w:rPr>
              <w:t>，进出口宽度为</w:t>
            </w:r>
            <w:r>
              <w:rPr>
                <w:rFonts w:hint="eastAsia"/>
                <w:color w:val="auto"/>
                <w:highlight w:val="none"/>
                <w:lang w:val="en-US" w:eastAsia="zh-CN"/>
              </w:rPr>
              <w:t>20</w:t>
            </w:r>
            <w:r>
              <w:rPr>
                <w:rFonts w:hint="default"/>
                <w:color w:val="auto"/>
                <w:highlight w:val="none"/>
              </w:rPr>
              <w:t>m。</w:t>
            </w:r>
            <w:r>
              <w:rPr>
                <w:rFonts w:hint="eastAsia"/>
                <w:color w:val="auto"/>
                <w:highlight w:val="none"/>
                <w:lang w:val="en-US" w:eastAsia="zh-CN"/>
              </w:rPr>
              <w:t>项目西北侧</w:t>
            </w:r>
            <w:r>
              <w:rPr>
                <w:rFonts w:hint="default"/>
                <w:color w:val="auto"/>
                <w:highlight w:val="none"/>
              </w:rPr>
              <w:t>设置站房（</w:t>
            </w:r>
            <w:r>
              <w:rPr>
                <w:rFonts w:hint="eastAsia" w:ascii="宋体" w:hAnsi="宋体" w:eastAsia="宋体" w:cs="宋体"/>
                <w:color w:val="auto"/>
                <w:sz w:val="24"/>
                <w:highlight w:val="none"/>
              </w:rPr>
              <w:t>内设置办公室、储藏室、卫生间、营业厅、餐厅、会议室、休息室、配电室、站长室</w:t>
            </w:r>
            <w:r>
              <w:rPr>
                <w:rFonts w:hint="default"/>
                <w:color w:val="auto"/>
                <w:highlight w:val="none"/>
              </w:rPr>
              <w:t>）</w:t>
            </w:r>
            <w:r>
              <w:rPr>
                <w:rFonts w:hint="eastAsia"/>
                <w:color w:val="auto"/>
                <w:highlight w:val="none"/>
              </w:rPr>
              <w:t>；</w:t>
            </w:r>
            <w:r>
              <w:rPr>
                <w:rFonts w:hint="eastAsia"/>
                <w:color w:val="auto"/>
                <w:highlight w:val="none"/>
                <w:lang w:val="en-US" w:eastAsia="zh-CN"/>
              </w:rPr>
              <w:t>站房东侧设置充电桩，站房南侧为</w:t>
            </w:r>
            <w:r>
              <w:rPr>
                <w:rFonts w:hint="default"/>
                <w:color w:val="auto"/>
                <w:highlight w:val="none"/>
              </w:rPr>
              <w:t>加油加气罩棚</w:t>
            </w:r>
            <w:r>
              <w:rPr>
                <w:rFonts w:hint="eastAsia"/>
                <w:color w:val="auto"/>
                <w:highlight w:val="none"/>
              </w:rPr>
              <w:t>（内设4台加油机、2台加气机</w:t>
            </w:r>
            <w:r>
              <w:rPr>
                <w:rFonts w:hint="eastAsia"/>
                <w:color w:val="auto"/>
                <w:highlight w:val="none"/>
                <w:lang w:eastAsia="zh-CN"/>
              </w:rPr>
              <w:t>，</w:t>
            </w:r>
            <w:r>
              <w:rPr>
                <w:rFonts w:hint="default"/>
                <w:color w:val="auto"/>
                <w:highlight w:val="none"/>
              </w:rPr>
              <w:t>埋地油罐工艺区</w:t>
            </w:r>
            <w:r>
              <w:rPr>
                <w:rFonts w:hint="eastAsia"/>
                <w:color w:val="auto"/>
                <w:highlight w:val="none"/>
              </w:rPr>
              <w:t>）。项目化粪池拟设置在站房</w:t>
            </w:r>
            <w:r>
              <w:rPr>
                <w:rFonts w:hint="eastAsia"/>
                <w:color w:val="auto"/>
                <w:highlight w:val="none"/>
                <w:lang w:val="en-US" w:eastAsia="zh-CN"/>
              </w:rPr>
              <w:t>东</w:t>
            </w:r>
            <w:r>
              <w:rPr>
                <w:rFonts w:hint="eastAsia"/>
                <w:color w:val="auto"/>
                <w:highlight w:val="none"/>
              </w:rPr>
              <w:t>侧；隔油池拟设置在</w:t>
            </w:r>
            <w:r>
              <w:rPr>
                <w:rFonts w:hint="default"/>
                <w:color w:val="auto"/>
                <w:szCs w:val="21"/>
                <w:highlight w:val="none"/>
              </w:rPr>
              <w:t>站区出口附近绿化带处</w:t>
            </w:r>
            <w:r>
              <w:rPr>
                <w:rFonts w:hint="eastAsia"/>
                <w:color w:val="auto"/>
                <w:szCs w:val="21"/>
                <w:highlight w:val="none"/>
              </w:rPr>
              <w:t>，</w:t>
            </w:r>
            <w:r>
              <w:rPr>
                <w:rFonts w:hint="default"/>
                <w:color w:val="auto"/>
                <w:highlight w:val="none"/>
              </w:rPr>
              <w:t>通过沟渠连接至加油区，方便收集该区域的</w:t>
            </w:r>
            <w:r>
              <w:rPr>
                <w:rFonts w:hint="eastAsia"/>
                <w:color w:val="auto"/>
                <w:highlight w:val="none"/>
              </w:rPr>
              <w:t>初期雨水</w:t>
            </w:r>
            <w:r>
              <w:rPr>
                <w:rFonts w:hint="eastAsia"/>
                <w:color w:val="auto"/>
                <w:highlight w:val="none"/>
                <w:lang w:eastAsia="zh-CN"/>
              </w:rPr>
              <w:t>，</w:t>
            </w:r>
            <w:r>
              <w:rPr>
                <w:rFonts w:hint="eastAsia"/>
                <w:color w:val="auto"/>
                <w:highlight w:val="none"/>
                <w:lang w:val="en-US" w:eastAsia="zh-CN"/>
              </w:rPr>
              <w:t>项目南侧设置地下卧式</w:t>
            </w:r>
            <w:r>
              <w:rPr>
                <w:rFonts w:hint="default"/>
                <w:color w:val="auto"/>
                <w:highlight w:val="none"/>
              </w:rPr>
              <w:t>LNG 储罐工艺区。</w:t>
            </w:r>
          </w:p>
          <w:p w14:paraId="4EE5847E">
            <w:pPr>
              <w:pStyle w:val="54"/>
              <w:keepNext w:val="0"/>
              <w:keepLines w:val="0"/>
              <w:suppressLineNumbers w:val="0"/>
              <w:spacing w:before="0" w:beforeAutospacing="0" w:after="0" w:afterAutospacing="0"/>
              <w:ind w:left="0" w:right="0" w:firstLine="480"/>
              <w:rPr>
                <w:rFonts w:hint="default"/>
                <w:color w:val="auto"/>
                <w:highlight w:val="none"/>
              </w:rPr>
            </w:pPr>
            <w:r>
              <w:rPr>
                <w:rFonts w:hint="eastAsia"/>
                <w:color w:val="auto"/>
                <w:highlight w:val="none"/>
              </w:rPr>
              <w:t>同时为美化站区环境，</w:t>
            </w:r>
            <w:r>
              <w:rPr>
                <w:rFonts w:hint="default"/>
                <w:color w:val="auto"/>
                <w:highlight w:val="none"/>
              </w:rPr>
              <w:t>站内在边角位置、不影响交通组织的地方和站区北侧进行绿化</w:t>
            </w:r>
            <w:r>
              <w:rPr>
                <w:rFonts w:hint="eastAsia"/>
                <w:color w:val="auto"/>
                <w:highlight w:val="none"/>
              </w:rPr>
              <w:t>，绿化植被选择低矮</w:t>
            </w:r>
            <w:r>
              <w:rPr>
                <w:rFonts w:hint="default"/>
                <w:color w:val="auto"/>
                <w:highlight w:val="none"/>
              </w:rPr>
              <w:t>花木</w:t>
            </w:r>
            <w:r>
              <w:rPr>
                <w:rFonts w:hint="eastAsia"/>
                <w:color w:val="auto"/>
                <w:highlight w:val="none"/>
              </w:rPr>
              <w:t>和</w:t>
            </w:r>
            <w:r>
              <w:rPr>
                <w:rFonts w:hint="default"/>
                <w:color w:val="auto"/>
                <w:highlight w:val="none"/>
              </w:rPr>
              <w:t>草坪</w:t>
            </w:r>
            <w:r>
              <w:rPr>
                <w:rFonts w:hint="eastAsia"/>
                <w:color w:val="auto"/>
                <w:highlight w:val="none"/>
              </w:rPr>
              <w:t>，站区绿化面积</w:t>
            </w:r>
            <w:r>
              <w:rPr>
                <w:rFonts w:hint="eastAsia"/>
                <w:color w:val="auto"/>
                <w:highlight w:val="none"/>
                <w:lang w:val="en-US" w:eastAsia="zh-CN"/>
              </w:rPr>
              <w:t>967</w:t>
            </w:r>
            <w:r>
              <w:rPr>
                <w:rFonts w:hint="eastAsia"/>
                <w:color w:val="auto"/>
                <w:highlight w:val="none"/>
              </w:rPr>
              <w:t>.0</w:t>
            </w:r>
            <w:r>
              <w:rPr>
                <w:rFonts w:hint="default"/>
                <w:color w:val="auto"/>
                <w:highlight w:val="none"/>
              </w:rPr>
              <w:t>m</w:t>
            </w:r>
            <w:r>
              <w:rPr>
                <w:rFonts w:hint="eastAsia"/>
                <w:color w:val="auto"/>
                <w:highlight w:val="none"/>
                <w:vertAlign w:val="superscript"/>
              </w:rPr>
              <w:t>2</w:t>
            </w:r>
            <w:r>
              <w:rPr>
                <w:rFonts w:hint="eastAsia"/>
                <w:color w:val="auto"/>
                <w:highlight w:val="none"/>
              </w:rPr>
              <w:t>，绿化率为</w:t>
            </w:r>
            <w:r>
              <w:rPr>
                <w:rFonts w:hint="eastAsia"/>
                <w:color w:val="auto"/>
                <w:highlight w:val="none"/>
                <w:lang w:val="en-US" w:eastAsia="zh-CN"/>
              </w:rPr>
              <w:t>8.05</w:t>
            </w:r>
            <w:r>
              <w:rPr>
                <w:rFonts w:hint="eastAsia"/>
                <w:color w:val="auto"/>
                <w:highlight w:val="none"/>
              </w:rPr>
              <w:t>%。</w:t>
            </w:r>
          </w:p>
          <w:p w14:paraId="24097DDC">
            <w:pPr>
              <w:pStyle w:val="54"/>
              <w:keepNext w:val="0"/>
              <w:keepLines w:val="0"/>
              <w:suppressLineNumbers w:val="0"/>
              <w:spacing w:before="0" w:beforeAutospacing="0" w:after="0" w:afterAutospacing="0"/>
              <w:ind w:left="0" w:right="0" w:firstLine="480"/>
              <w:rPr>
                <w:rFonts w:hint="default"/>
                <w:color w:val="auto"/>
                <w:highlight w:val="none"/>
              </w:rPr>
            </w:pPr>
            <w:r>
              <w:rPr>
                <w:rFonts w:hint="eastAsia"/>
                <w:color w:val="auto"/>
                <w:highlight w:val="none"/>
              </w:rPr>
              <w:t>项目站内设施的防火间距符合性分析见表2-8所示。</w:t>
            </w:r>
          </w:p>
          <w:p w14:paraId="0FA4812D">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表2-8</w:t>
            </w:r>
            <w:r>
              <w:rPr>
                <w:rFonts w:hint="default" w:ascii="Times New Roman" w:hAnsi="Times New Roman" w:eastAsia="黑体" w:cs="Times New Roman"/>
                <w:b/>
                <w:bCs/>
                <w:color w:val="auto"/>
                <w:kern w:val="0"/>
                <w:sz w:val="20"/>
                <w:szCs w:val="20"/>
                <w:highlight w:val="none"/>
                <w:lang w:val="en-US" w:eastAsia="zh-CN" w:bidi="ar-SA"/>
              </w:rPr>
              <w:t>站内设施的防火间距</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401"/>
              <w:gridCol w:w="672"/>
              <w:gridCol w:w="807"/>
              <w:gridCol w:w="672"/>
              <w:gridCol w:w="672"/>
              <w:gridCol w:w="584"/>
              <w:gridCol w:w="672"/>
              <w:gridCol w:w="762"/>
              <w:gridCol w:w="672"/>
              <w:gridCol w:w="672"/>
              <w:gridCol w:w="672"/>
            </w:tblGrid>
            <w:tr w14:paraId="0EC7D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dxa"/>
                  <w:tcBorders>
                    <w:tl2br w:val="nil"/>
                    <w:tr2bl w:val="nil"/>
                  </w:tcBorders>
                  <w:noWrap w:val="0"/>
                  <w:vAlign w:val="center"/>
                </w:tcPr>
                <w:p w14:paraId="77533339">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401" w:type="dxa"/>
                  <w:tcBorders>
                    <w:tl2br w:val="nil"/>
                    <w:tr2bl w:val="nil"/>
                  </w:tcBorders>
                  <w:noWrap w:val="0"/>
                  <w:vAlign w:val="center"/>
                </w:tcPr>
                <w:p w14:paraId="597CCA55">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站房</w:t>
                  </w:r>
                </w:p>
              </w:tc>
              <w:tc>
                <w:tcPr>
                  <w:tcW w:w="672" w:type="dxa"/>
                  <w:tcBorders>
                    <w:tl2br w:val="nil"/>
                    <w:tr2bl w:val="nil"/>
                  </w:tcBorders>
                  <w:noWrap w:val="0"/>
                  <w:vAlign w:val="center"/>
                </w:tcPr>
                <w:p w14:paraId="703C8F19">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油罐</w:t>
                  </w:r>
                </w:p>
              </w:tc>
              <w:tc>
                <w:tcPr>
                  <w:tcW w:w="807" w:type="dxa"/>
                  <w:tcBorders>
                    <w:tl2br w:val="nil"/>
                    <w:tr2bl w:val="nil"/>
                  </w:tcBorders>
                  <w:noWrap w:val="0"/>
                  <w:vAlign w:val="center"/>
                </w:tcPr>
                <w:p w14:paraId="4E0D426D">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val="en-US" w:eastAsia="zh-CN"/>
                    </w:rPr>
                    <w:t>柴油</w:t>
                  </w:r>
                  <w:r>
                    <w:rPr>
                      <w:rFonts w:hint="default"/>
                      <w:color w:val="auto"/>
                      <w:sz w:val="18"/>
                      <w:szCs w:val="18"/>
                      <w:highlight w:val="none"/>
                    </w:rPr>
                    <w:t>通气管口</w:t>
                  </w:r>
                </w:p>
              </w:tc>
              <w:tc>
                <w:tcPr>
                  <w:tcW w:w="672" w:type="dxa"/>
                  <w:tcBorders>
                    <w:tl2br w:val="nil"/>
                    <w:tr2bl w:val="nil"/>
                  </w:tcBorders>
                  <w:noWrap w:val="0"/>
                  <w:vAlign w:val="center"/>
                </w:tcPr>
                <w:p w14:paraId="06571B4D">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汽油通气管口</w:t>
                  </w:r>
                </w:p>
              </w:tc>
              <w:tc>
                <w:tcPr>
                  <w:tcW w:w="672" w:type="dxa"/>
                  <w:tcBorders>
                    <w:tl2br w:val="nil"/>
                    <w:tr2bl w:val="nil"/>
                  </w:tcBorders>
                  <w:noWrap w:val="0"/>
                  <w:vAlign w:val="center"/>
                </w:tcPr>
                <w:p w14:paraId="69170531">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油品卸车点</w:t>
                  </w:r>
                </w:p>
              </w:tc>
              <w:tc>
                <w:tcPr>
                  <w:tcW w:w="584" w:type="dxa"/>
                  <w:tcBorders>
                    <w:tl2br w:val="nil"/>
                    <w:tr2bl w:val="nil"/>
                  </w:tcBorders>
                  <w:noWrap w:val="0"/>
                  <w:vAlign w:val="center"/>
                </w:tcPr>
                <w:p w14:paraId="1759E315">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加油机</w:t>
                  </w:r>
                </w:p>
              </w:tc>
              <w:tc>
                <w:tcPr>
                  <w:tcW w:w="672" w:type="dxa"/>
                  <w:tcBorders>
                    <w:tl2br w:val="nil"/>
                    <w:tr2bl w:val="nil"/>
                  </w:tcBorders>
                  <w:noWrap w:val="0"/>
                  <w:vAlign w:val="center"/>
                </w:tcPr>
                <w:p w14:paraId="7A04A093">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加气机</w:t>
                  </w:r>
                </w:p>
              </w:tc>
              <w:tc>
                <w:tcPr>
                  <w:tcW w:w="762" w:type="dxa"/>
                  <w:tcBorders>
                    <w:tl2br w:val="nil"/>
                    <w:tr2bl w:val="nil"/>
                  </w:tcBorders>
                  <w:noWrap w:val="0"/>
                  <w:vAlign w:val="center"/>
                </w:tcPr>
                <w:p w14:paraId="6CE23021">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LNG储罐</w:t>
                  </w:r>
                </w:p>
              </w:tc>
              <w:tc>
                <w:tcPr>
                  <w:tcW w:w="672" w:type="dxa"/>
                  <w:tcBorders>
                    <w:tl2br w:val="nil"/>
                    <w:tr2bl w:val="nil"/>
                  </w:tcBorders>
                  <w:noWrap w:val="0"/>
                  <w:vAlign w:val="center"/>
                </w:tcPr>
                <w:p w14:paraId="4A984697">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LNG卸车点</w:t>
                  </w:r>
                </w:p>
              </w:tc>
              <w:tc>
                <w:tcPr>
                  <w:tcW w:w="672" w:type="dxa"/>
                  <w:tcBorders>
                    <w:tl2br w:val="nil"/>
                    <w:tr2bl w:val="nil"/>
                  </w:tcBorders>
                  <w:noWrap w:val="0"/>
                  <w:vAlign w:val="center"/>
                </w:tcPr>
                <w:p w14:paraId="7E2B2014">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LNG放散管</w:t>
                  </w:r>
                </w:p>
              </w:tc>
              <w:tc>
                <w:tcPr>
                  <w:tcW w:w="672" w:type="dxa"/>
                  <w:tcBorders>
                    <w:tl2br w:val="nil"/>
                    <w:tr2bl w:val="nil"/>
                  </w:tcBorders>
                  <w:noWrap w:val="0"/>
                  <w:vAlign w:val="center"/>
                </w:tcPr>
                <w:p w14:paraId="7C23A557">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LNG潜液泵池</w:t>
                  </w:r>
                </w:p>
              </w:tc>
            </w:tr>
            <w:tr w14:paraId="787F1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dxa"/>
                  <w:tcBorders>
                    <w:tl2br w:val="nil"/>
                    <w:tr2bl w:val="nil"/>
                  </w:tcBorders>
                  <w:noWrap w:val="0"/>
                  <w:vAlign w:val="center"/>
                </w:tcPr>
                <w:p w14:paraId="169B9D30">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站房</w:t>
                  </w:r>
                </w:p>
              </w:tc>
              <w:tc>
                <w:tcPr>
                  <w:tcW w:w="401" w:type="dxa"/>
                  <w:tcBorders>
                    <w:tl2br w:val="nil"/>
                    <w:tr2bl w:val="nil"/>
                  </w:tcBorders>
                  <w:noWrap w:val="0"/>
                  <w:vAlign w:val="center"/>
                </w:tcPr>
                <w:p w14:paraId="62A62A88">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6069AB10">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4/</w:t>
                  </w:r>
                  <w:r>
                    <w:rPr>
                      <w:rFonts w:hint="eastAsia"/>
                      <w:color w:val="auto"/>
                      <w:sz w:val="18"/>
                      <w:szCs w:val="18"/>
                      <w:highlight w:val="none"/>
                      <w:lang w:val="en-US" w:eastAsia="zh-CN"/>
                    </w:rPr>
                    <w:t>25.5</w:t>
                  </w:r>
                </w:p>
              </w:tc>
              <w:tc>
                <w:tcPr>
                  <w:tcW w:w="807" w:type="dxa"/>
                  <w:tcBorders>
                    <w:tl2br w:val="nil"/>
                    <w:tr2bl w:val="nil"/>
                  </w:tcBorders>
                  <w:noWrap w:val="0"/>
                  <w:vAlign w:val="center"/>
                </w:tcPr>
                <w:p w14:paraId="0FFF6EC9">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3.5</w:t>
                  </w:r>
                  <w:r>
                    <w:rPr>
                      <w:rFonts w:hint="default"/>
                      <w:color w:val="auto"/>
                      <w:sz w:val="18"/>
                      <w:szCs w:val="18"/>
                      <w:highlight w:val="none"/>
                    </w:rPr>
                    <w:t>/</w:t>
                  </w:r>
                  <w:r>
                    <w:rPr>
                      <w:rFonts w:hint="eastAsia"/>
                      <w:color w:val="auto"/>
                      <w:sz w:val="18"/>
                      <w:szCs w:val="18"/>
                      <w:highlight w:val="none"/>
                      <w:lang w:val="en-US" w:eastAsia="zh-CN"/>
                    </w:rPr>
                    <w:t>22.2</w:t>
                  </w:r>
                </w:p>
              </w:tc>
              <w:tc>
                <w:tcPr>
                  <w:tcW w:w="672" w:type="dxa"/>
                  <w:tcBorders>
                    <w:tl2br w:val="nil"/>
                    <w:tr2bl w:val="nil"/>
                  </w:tcBorders>
                  <w:noWrap w:val="0"/>
                  <w:vAlign w:val="center"/>
                </w:tcPr>
                <w:p w14:paraId="3CC4EA65">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4/</w:t>
                  </w:r>
                  <w:r>
                    <w:rPr>
                      <w:rFonts w:hint="eastAsia"/>
                      <w:color w:val="auto"/>
                      <w:sz w:val="18"/>
                      <w:szCs w:val="18"/>
                      <w:highlight w:val="none"/>
                      <w:lang w:val="en-US" w:eastAsia="zh-CN"/>
                    </w:rPr>
                    <w:t>22.2</w:t>
                  </w:r>
                </w:p>
              </w:tc>
              <w:tc>
                <w:tcPr>
                  <w:tcW w:w="672" w:type="dxa"/>
                  <w:tcBorders>
                    <w:tl2br w:val="nil"/>
                    <w:tr2bl w:val="nil"/>
                  </w:tcBorders>
                  <w:noWrap w:val="0"/>
                  <w:vAlign w:val="center"/>
                </w:tcPr>
                <w:p w14:paraId="3EF1C9F0">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5/</w:t>
                  </w:r>
                  <w:r>
                    <w:rPr>
                      <w:rFonts w:hint="eastAsia"/>
                      <w:color w:val="auto"/>
                      <w:sz w:val="18"/>
                      <w:szCs w:val="18"/>
                      <w:highlight w:val="none"/>
                      <w:lang w:val="en-US" w:eastAsia="zh-CN"/>
                    </w:rPr>
                    <w:t>49.4</w:t>
                  </w:r>
                </w:p>
              </w:tc>
              <w:tc>
                <w:tcPr>
                  <w:tcW w:w="584" w:type="dxa"/>
                  <w:tcBorders>
                    <w:tl2br w:val="nil"/>
                    <w:tr2bl w:val="nil"/>
                  </w:tcBorders>
                  <w:noWrap w:val="0"/>
                  <w:vAlign w:val="center"/>
                </w:tcPr>
                <w:p w14:paraId="3D037B21">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5/</w:t>
                  </w:r>
                  <w:r>
                    <w:rPr>
                      <w:rFonts w:hint="eastAsia"/>
                      <w:color w:val="auto"/>
                      <w:sz w:val="18"/>
                      <w:szCs w:val="18"/>
                      <w:highlight w:val="none"/>
                      <w:lang w:val="en-US" w:eastAsia="zh-CN"/>
                    </w:rPr>
                    <w:t>8.8</w:t>
                  </w:r>
                </w:p>
              </w:tc>
              <w:tc>
                <w:tcPr>
                  <w:tcW w:w="672" w:type="dxa"/>
                  <w:tcBorders>
                    <w:tl2br w:val="nil"/>
                    <w:tr2bl w:val="nil"/>
                  </w:tcBorders>
                  <w:noWrap w:val="0"/>
                  <w:vAlign w:val="center"/>
                </w:tcPr>
                <w:p w14:paraId="3F0EBFFF">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w:t>
                  </w:r>
                  <w:r>
                    <w:rPr>
                      <w:rFonts w:hint="eastAsia"/>
                      <w:color w:val="auto"/>
                      <w:sz w:val="18"/>
                      <w:szCs w:val="18"/>
                      <w:highlight w:val="none"/>
                      <w:lang w:val="en-US" w:eastAsia="zh-CN"/>
                    </w:rPr>
                    <w:t>35.1</w:t>
                  </w:r>
                </w:p>
              </w:tc>
              <w:tc>
                <w:tcPr>
                  <w:tcW w:w="762" w:type="dxa"/>
                  <w:tcBorders>
                    <w:tl2br w:val="nil"/>
                    <w:tr2bl w:val="nil"/>
                  </w:tcBorders>
                  <w:noWrap w:val="0"/>
                  <w:vAlign w:val="center"/>
                </w:tcPr>
                <w:p w14:paraId="3B0C7D58">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w:t>
                  </w:r>
                  <w:r>
                    <w:rPr>
                      <w:rFonts w:hint="eastAsia"/>
                      <w:color w:val="auto"/>
                      <w:sz w:val="18"/>
                      <w:szCs w:val="18"/>
                      <w:highlight w:val="none"/>
                      <w:lang w:val="en-US" w:eastAsia="zh-CN"/>
                    </w:rPr>
                    <w:t>57.8</w:t>
                  </w:r>
                </w:p>
              </w:tc>
              <w:tc>
                <w:tcPr>
                  <w:tcW w:w="672" w:type="dxa"/>
                  <w:tcBorders>
                    <w:tl2br w:val="nil"/>
                    <w:tr2bl w:val="nil"/>
                  </w:tcBorders>
                  <w:noWrap w:val="0"/>
                  <w:vAlign w:val="center"/>
                </w:tcPr>
                <w:p w14:paraId="5CF0E6A0">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w:t>
                  </w:r>
                  <w:r>
                    <w:rPr>
                      <w:rFonts w:hint="eastAsia"/>
                      <w:color w:val="auto"/>
                      <w:sz w:val="18"/>
                      <w:szCs w:val="18"/>
                      <w:highlight w:val="none"/>
                      <w:lang w:val="en-US" w:eastAsia="zh-CN"/>
                    </w:rPr>
                    <w:t>54.5</w:t>
                  </w:r>
                </w:p>
              </w:tc>
              <w:tc>
                <w:tcPr>
                  <w:tcW w:w="672" w:type="dxa"/>
                  <w:tcBorders>
                    <w:tl2br w:val="nil"/>
                    <w:tr2bl w:val="nil"/>
                  </w:tcBorders>
                  <w:noWrap w:val="0"/>
                  <w:vAlign w:val="center"/>
                </w:tcPr>
                <w:p w14:paraId="2CF0A043">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8/</w:t>
                  </w:r>
                  <w:r>
                    <w:rPr>
                      <w:rFonts w:hint="eastAsia"/>
                      <w:color w:val="auto"/>
                      <w:sz w:val="18"/>
                      <w:szCs w:val="18"/>
                      <w:highlight w:val="none"/>
                      <w:lang w:val="en-US" w:eastAsia="zh-CN"/>
                    </w:rPr>
                    <w:t>62.5</w:t>
                  </w:r>
                </w:p>
              </w:tc>
              <w:tc>
                <w:tcPr>
                  <w:tcW w:w="672" w:type="dxa"/>
                  <w:tcBorders>
                    <w:tl2br w:val="nil"/>
                    <w:tr2bl w:val="nil"/>
                  </w:tcBorders>
                  <w:noWrap w:val="0"/>
                  <w:vAlign w:val="center"/>
                </w:tcPr>
                <w:p w14:paraId="23F5FDE4">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w:t>
                  </w:r>
                  <w:r>
                    <w:rPr>
                      <w:rFonts w:hint="eastAsia"/>
                      <w:color w:val="auto"/>
                      <w:sz w:val="18"/>
                      <w:szCs w:val="18"/>
                      <w:highlight w:val="none"/>
                      <w:lang w:val="en-US" w:eastAsia="zh-CN"/>
                    </w:rPr>
                    <w:t>58.6</w:t>
                  </w:r>
                </w:p>
              </w:tc>
            </w:tr>
            <w:tr w14:paraId="52C10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dxa"/>
                  <w:tcBorders>
                    <w:tl2br w:val="nil"/>
                    <w:tr2bl w:val="nil"/>
                  </w:tcBorders>
                  <w:noWrap w:val="0"/>
                  <w:vAlign w:val="center"/>
                </w:tcPr>
                <w:p w14:paraId="15420695">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油罐</w:t>
                  </w:r>
                </w:p>
              </w:tc>
              <w:tc>
                <w:tcPr>
                  <w:tcW w:w="401" w:type="dxa"/>
                  <w:tcBorders>
                    <w:tl2br w:val="nil"/>
                    <w:tr2bl w:val="nil"/>
                  </w:tcBorders>
                  <w:noWrap w:val="0"/>
                  <w:vAlign w:val="center"/>
                </w:tcPr>
                <w:p w14:paraId="6A20BC7A">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2E657FBF">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807" w:type="dxa"/>
                  <w:tcBorders>
                    <w:tl2br w:val="nil"/>
                    <w:tr2bl w:val="nil"/>
                  </w:tcBorders>
                  <w:noWrap w:val="0"/>
                  <w:vAlign w:val="center"/>
                </w:tcPr>
                <w:p w14:paraId="3D2C3671">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c>
                <w:tcPr>
                  <w:tcW w:w="672" w:type="dxa"/>
                  <w:tcBorders>
                    <w:tl2br w:val="nil"/>
                    <w:tr2bl w:val="nil"/>
                  </w:tcBorders>
                  <w:noWrap w:val="0"/>
                  <w:vAlign w:val="center"/>
                </w:tcPr>
                <w:p w14:paraId="04FECF80">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327B28A9">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c>
                <w:tcPr>
                  <w:tcW w:w="584" w:type="dxa"/>
                  <w:tcBorders>
                    <w:tl2br w:val="nil"/>
                    <w:tr2bl w:val="nil"/>
                  </w:tcBorders>
                  <w:noWrap w:val="0"/>
                  <w:vAlign w:val="center"/>
                </w:tcPr>
                <w:p w14:paraId="185F0AB0">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c>
                <w:tcPr>
                  <w:tcW w:w="672" w:type="dxa"/>
                  <w:tcBorders>
                    <w:tl2br w:val="nil"/>
                    <w:tr2bl w:val="nil"/>
                  </w:tcBorders>
                  <w:noWrap w:val="0"/>
                  <w:vAlign w:val="center"/>
                </w:tcPr>
                <w:p w14:paraId="5F41FB73">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4/</w:t>
                  </w:r>
                  <w:r>
                    <w:rPr>
                      <w:rFonts w:hint="eastAsia"/>
                      <w:color w:val="auto"/>
                      <w:sz w:val="18"/>
                      <w:szCs w:val="18"/>
                      <w:highlight w:val="none"/>
                      <w:lang w:val="en-US" w:eastAsia="zh-CN"/>
                    </w:rPr>
                    <w:t>4.4</w:t>
                  </w:r>
                </w:p>
              </w:tc>
              <w:tc>
                <w:tcPr>
                  <w:tcW w:w="762" w:type="dxa"/>
                  <w:tcBorders>
                    <w:tl2br w:val="nil"/>
                    <w:tr2bl w:val="nil"/>
                  </w:tcBorders>
                  <w:noWrap w:val="0"/>
                  <w:vAlign w:val="center"/>
                </w:tcPr>
                <w:p w14:paraId="42EC85D6">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10/</w:t>
                  </w:r>
                  <w:r>
                    <w:rPr>
                      <w:rFonts w:hint="eastAsia"/>
                      <w:color w:val="auto"/>
                      <w:sz w:val="18"/>
                      <w:szCs w:val="18"/>
                      <w:highlight w:val="none"/>
                      <w:lang w:val="en-US" w:eastAsia="zh-CN"/>
                    </w:rPr>
                    <w:t>26.3</w:t>
                  </w:r>
                </w:p>
              </w:tc>
              <w:tc>
                <w:tcPr>
                  <w:tcW w:w="672" w:type="dxa"/>
                  <w:tcBorders>
                    <w:tl2br w:val="nil"/>
                    <w:tr2bl w:val="nil"/>
                  </w:tcBorders>
                  <w:noWrap w:val="0"/>
                  <w:vAlign w:val="center"/>
                </w:tcPr>
                <w:p w14:paraId="62A035DF">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w:t>
                  </w:r>
                  <w:r>
                    <w:rPr>
                      <w:rFonts w:hint="eastAsia"/>
                      <w:color w:val="auto"/>
                      <w:sz w:val="18"/>
                      <w:szCs w:val="18"/>
                      <w:highlight w:val="none"/>
                      <w:lang w:val="en-US" w:eastAsia="zh-CN"/>
                    </w:rPr>
                    <w:t>22.8</w:t>
                  </w:r>
                </w:p>
              </w:tc>
              <w:tc>
                <w:tcPr>
                  <w:tcW w:w="672" w:type="dxa"/>
                  <w:tcBorders>
                    <w:tl2br w:val="nil"/>
                    <w:tr2bl w:val="nil"/>
                  </w:tcBorders>
                  <w:noWrap w:val="0"/>
                  <w:vAlign w:val="center"/>
                </w:tcPr>
                <w:p w14:paraId="6E4FFCF5">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6/3</w:t>
                  </w:r>
                  <w:r>
                    <w:rPr>
                      <w:rFonts w:hint="eastAsia"/>
                      <w:color w:val="auto"/>
                      <w:sz w:val="18"/>
                      <w:szCs w:val="18"/>
                      <w:highlight w:val="none"/>
                      <w:lang w:val="en-US" w:eastAsia="zh-CN"/>
                    </w:rPr>
                    <w:t>0.6</w:t>
                  </w:r>
                </w:p>
              </w:tc>
              <w:tc>
                <w:tcPr>
                  <w:tcW w:w="672" w:type="dxa"/>
                  <w:tcBorders>
                    <w:tl2br w:val="nil"/>
                    <w:tr2bl w:val="nil"/>
                  </w:tcBorders>
                  <w:noWrap w:val="0"/>
                  <w:vAlign w:val="center"/>
                </w:tcPr>
                <w:p w14:paraId="230202B0">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w:t>
                  </w:r>
                  <w:r>
                    <w:rPr>
                      <w:rFonts w:hint="eastAsia"/>
                      <w:color w:val="auto"/>
                      <w:sz w:val="18"/>
                      <w:szCs w:val="18"/>
                      <w:highlight w:val="none"/>
                      <w:lang w:val="en-US" w:eastAsia="zh-CN"/>
                    </w:rPr>
                    <w:t>26.3</w:t>
                  </w:r>
                </w:p>
              </w:tc>
            </w:tr>
            <w:tr w14:paraId="187ED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dxa"/>
                  <w:tcBorders>
                    <w:tl2br w:val="nil"/>
                    <w:tr2bl w:val="nil"/>
                  </w:tcBorders>
                  <w:noWrap w:val="0"/>
                  <w:vAlign w:val="center"/>
                </w:tcPr>
                <w:p w14:paraId="7DA9F2BD">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val="en-US" w:eastAsia="zh-CN"/>
                    </w:rPr>
                    <w:t>柴油</w:t>
                  </w:r>
                  <w:r>
                    <w:rPr>
                      <w:rFonts w:hint="default"/>
                      <w:color w:val="auto"/>
                      <w:sz w:val="18"/>
                      <w:szCs w:val="18"/>
                      <w:highlight w:val="none"/>
                    </w:rPr>
                    <w:t>通气管口</w:t>
                  </w:r>
                </w:p>
              </w:tc>
              <w:tc>
                <w:tcPr>
                  <w:tcW w:w="401" w:type="dxa"/>
                  <w:tcBorders>
                    <w:tl2br w:val="nil"/>
                    <w:tr2bl w:val="nil"/>
                  </w:tcBorders>
                  <w:noWrap w:val="0"/>
                  <w:vAlign w:val="center"/>
                </w:tcPr>
                <w:p w14:paraId="13E2A188">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64414198">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807" w:type="dxa"/>
                  <w:tcBorders>
                    <w:tl2br w:val="nil"/>
                    <w:tr2bl w:val="nil"/>
                  </w:tcBorders>
                  <w:noWrap w:val="0"/>
                  <w:vAlign w:val="center"/>
                </w:tcPr>
                <w:p w14:paraId="5F681EFB">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4F4E411C">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w:t>
                  </w:r>
                </w:p>
              </w:tc>
              <w:tc>
                <w:tcPr>
                  <w:tcW w:w="672" w:type="dxa"/>
                  <w:tcBorders>
                    <w:tl2br w:val="nil"/>
                    <w:tr2bl w:val="nil"/>
                  </w:tcBorders>
                  <w:noWrap w:val="0"/>
                  <w:vAlign w:val="center"/>
                </w:tcPr>
                <w:p w14:paraId="61FE3A9F">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w:t>
                  </w:r>
                  <w:r>
                    <w:rPr>
                      <w:rFonts w:hint="default"/>
                      <w:color w:val="auto"/>
                      <w:sz w:val="18"/>
                      <w:szCs w:val="18"/>
                      <w:highlight w:val="none"/>
                    </w:rPr>
                    <w:t>/</w:t>
                  </w:r>
                  <w:r>
                    <w:rPr>
                      <w:rFonts w:hint="eastAsia"/>
                      <w:color w:val="auto"/>
                      <w:sz w:val="18"/>
                      <w:szCs w:val="18"/>
                      <w:highlight w:val="none"/>
                      <w:lang w:val="en-US" w:eastAsia="zh-CN"/>
                    </w:rPr>
                    <w:t>29.3</w:t>
                  </w:r>
                </w:p>
              </w:tc>
              <w:tc>
                <w:tcPr>
                  <w:tcW w:w="584" w:type="dxa"/>
                  <w:tcBorders>
                    <w:tl2br w:val="nil"/>
                    <w:tr2bl w:val="nil"/>
                  </w:tcBorders>
                  <w:noWrap w:val="0"/>
                  <w:vAlign w:val="center"/>
                </w:tcPr>
                <w:p w14:paraId="54602213">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c>
                <w:tcPr>
                  <w:tcW w:w="672" w:type="dxa"/>
                  <w:tcBorders>
                    <w:tl2br w:val="nil"/>
                    <w:tr2bl w:val="nil"/>
                  </w:tcBorders>
                  <w:noWrap w:val="0"/>
                  <w:vAlign w:val="center"/>
                </w:tcPr>
                <w:p w14:paraId="475CB92D">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w:t>
                  </w:r>
                  <w:r>
                    <w:rPr>
                      <w:rFonts w:hint="default"/>
                      <w:color w:val="auto"/>
                      <w:sz w:val="18"/>
                      <w:szCs w:val="18"/>
                      <w:highlight w:val="none"/>
                    </w:rPr>
                    <w:t>/</w:t>
                  </w:r>
                  <w:r>
                    <w:rPr>
                      <w:rFonts w:hint="eastAsia"/>
                      <w:color w:val="auto"/>
                      <w:sz w:val="18"/>
                      <w:szCs w:val="18"/>
                      <w:highlight w:val="none"/>
                      <w:lang w:val="en-US" w:eastAsia="zh-CN"/>
                    </w:rPr>
                    <w:t>12.9</w:t>
                  </w:r>
                </w:p>
              </w:tc>
              <w:tc>
                <w:tcPr>
                  <w:tcW w:w="762" w:type="dxa"/>
                  <w:tcBorders>
                    <w:tl2br w:val="nil"/>
                    <w:tr2bl w:val="nil"/>
                  </w:tcBorders>
                  <w:noWrap w:val="0"/>
                  <w:vAlign w:val="center"/>
                </w:tcPr>
                <w:p w14:paraId="250E18C3">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8/</w:t>
                  </w:r>
                  <w:r>
                    <w:rPr>
                      <w:rFonts w:hint="eastAsia"/>
                      <w:color w:val="auto"/>
                      <w:sz w:val="18"/>
                      <w:szCs w:val="18"/>
                      <w:highlight w:val="none"/>
                      <w:lang w:val="en-US" w:eastAsia="zh-CN"/>
                    </w:rPr>
                    <w:t>35.1</w:t>
                  </w:r>
                </w:p>
              </w:tc>
              <w:tc>
                <w:tcPr>
                  <w:tcW w:w="672" w:type="dxa"/>
                  <w:tcBorders>
                    <w:tl2br w:val="nil"/>
                    <w:tr2bl w:val="nil"/>
                  </w:tcBorders>
                  <w:noWrap w:val="0"/>
                  <w:vAlign w:val="center"/>
                </w:tcPr>
                <w:p w14:paraId="6FC69FFC">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w:t>
                  </w:r>
                  <w:r>
                    <w:rPr>
                      <w:rFonts w:hint="default"/>
                      <w:color w:val="auto"/>
                      <w:sz w:val="18"/>
                      <w:szCs w:val="18"/>
                      <w:highlight w:val="none"/>
                    </w:rPr>
                    <w:t>/</w:t>
                  </w:r>
                  <w:r>
                    <w:rPr>
                      <w:rFonts w:hint="eastAsia"/>
                      <w:color w:val="auto"/>
                      <w:sz w:val="18"/>
                      <w:szCs w:val="18"/>
                      <w:highlight w:val="none"/>
                      <w:lang w:val="en-US" w:eastAsia="zh-CN"/>
                    </w:rPr>
                    <w:t>30.6</w:t>
                  </w:r>
                </w:p>
              </w:tc>
              <w:tc>
                <w:tcPr>
                  <w:tcW w:w="672" w:type="dxa"/>
                  <w:tcBorders>
                    <w:tl2br w:val="nil"/>
                    <w:tr2bl w:val="nil"/>
                  </w:tcBorders>
                  <w:noWrap w:val="0"/>
                  <w:vAlign w:val="center"/>
                </w:tcPr>
                <w:p w14:paraId="36712093">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w:t>
                  </w:r>
                  <w:r>
                    <w:rPr>
                      <w:rFonts w:hint="eastAsia"/>
                      <w:color w:val="auto"/>
                      <w:sz w:val="18"/>
                      <w:szCs w:val="18"/>
                      <w:highlight w:val="none"/>
                      <w:lang w:val="en-US" w:eastAsia="zh-CN"/>
                    </w:rPr>
                    <w:t>34.8</w:t>
                  </w:r>
                </w:p>
              </w:tc>
              <w:tc>
                <w:tcPr>
                  <w:tcW w:w="672" w:type="dxa"/>
                  <w:tcBorders>
                    <w:tl2br w:val="nil"/>
                    <w:tr2bl w:val="nil"/>
                  </w:tcBorders>
                  <w:noWrap w:val="0"/>
                  <w:vAlign w:val="center"/>
                </w:tcPr>
                <w:p w14:paraId="161F021B">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6</w:t>
                  </w:r>
                  <w:r>
                    <w:rPr>
                      <w:rFonts w:hint="default"/>
                      <w:color w:val="auto"/>
                      <w:sz w:val="18"/>
                      <w:szCs w:val="18"/>
                      <w:highlight w:val="none"/>
                    </w:rPr>
                    <w:t>/3</w:t>
                  </w:r>
                  <w:r>
                    <w:rPr>
                      <w:rFonts w:hint="eastAsia"/>
                      <w:color w:val="auto"/>
                      <w:sz w:val="18"/>
                      <w:szCs w:val="18"/>
                      <w:highlight w:val="none"/>
                      <w:lang w:val="en-US" w:eastAsia="zh-CN"/>
                    </w:rPr>
                    <w:t>4.6</w:t>
                  </w:r>
                </w:p>
              </w:tc>
            </w:tr>
            <w:tr w14:paraId="264A2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dxa"/>
                  <w:tcBorders>
                    <w:tl2br w:val="nil"/>
                    <w:tr2bl w:val="nil"/>
                  </w:tcBorders>
                  <w:noWrap w:val="0"/>
                  <w:vAlign w:val="center"/>
                </w:tcPr>
                <w:p w14:paraId="5712B87A">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eastAsia"/>
                      <w:color w:val="auto"/>
                      <w:sz w:val="18"/>
                      <w:szCs w:val="18"/>
                      <w:highlight w:val="none"/>
                      <w:lang w:val="en-US" w:eastAsia="zh-CN"/>
                    </w:rPr>
                    <w:t>汽油通气管口</w:t>
                  </w:r>
                </w:p>
              </w:tc>
              <w:tc>
                <w:tcPr>
                  <w:tcW w:w="401" w:type="dxa"/>
                  <w:tcBorders>
                    <w:tl2br w:val="nil"/>
                    <w:tr2bl w:val="nil"/>
                  </w:tcBorders>
                  <w:noWrap w:val="0"/>
                  <w:vAlign w:val="center"/>
                </w:tcPr>
                <w:p w14:paraId="28552D3E">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0C5AD417">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807" w:type="dxa"/>
                  <w:tcBorders>
                    <w:tl2br w:val="nil"/>
                    <w:tr2bl w:val="nil"/>
                  </w:tcBorders>
                  <w:noWrap w:val="0"/>
                  <w:vAlign w:val="center"/>
                </w:tcPr>
                <w:p w14:paraId="4651C0EE">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67094AEF">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shd w:val="clear" w:color="auto" w:fill="auto"/>
                  <w:noWrap w:val="0"/>
                  <w:vAlign w:val="center"/>
                </w:tcPr>
                <w:p w14:paraId="5EFB21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rPr>
                    <w:t>3/</w:t>
                  </w:r>
                  <w:r>
                    <w:rPr>
                      <w:rFonts w:hint="eastAsia"/>
                      <w:color w:val="auto"/>
                      <w:sz w:val="18"/>
                      <w:szCs w:val="18"/>
                      <w:highlight w:val="none"/>
                      <w:lang w:val="en-US" w:eastAsia="zh-CN"/>
                    </w:rPr>
                    <w:t>29.3</w:t>
                  </w:r>
                </w:p>
              </w:tc>
              <w:tc>
                <w:tcPr>
                  <w:tcW w:w="584" w:type="dxa"/>
                  <w:tcBorders>
                    <w:tl2br w:val="nil"/>
                    <w:tr2bl w:val="nil"/>
                  </w:tcBorders>
                  <w:shd w:val="clear" w:color="auto" w:fill="auto"/>
                  <w:noWrap w:val="0"/>
                  <w:vAlign w:val="center"/>
                </w:tcPr>
                <w:p w14:paraId="0F740DC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rPr>
                    <w:t>--</w:t>
                  </w:r>
                </w:p>
              </w:tc>
              <w:tc>
                <w:tcPr>
                  <w:tcW w:w="672" w:type="dxa"/>
                  <w:tcBorders>
                    <w:tl2br w:val="nil"/>
                    <w:tr2bl w:val="nil"/>
                  </w:tcBorders>
                  <w:shd w:val="clear" w:color="auto" w:fill="auto"/>
                  <w:noWrap w:val="0"/>
                  <w:vAlign w:val="center"/>
                </w:tcPr>
                <w:p w14:paraId="5839F86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rPr>
                    <w:t>8/</w:t>
                  </w:r>
                  <w:r>
                    <w:rPr>
                      <w:rFonts w:hint="eastAsia"/>
                      <w:color w:val="auto"/>
                      <w:sz w:val="18"/>
                      <w:szCs w:val="18"/>
                      <w:highlight w:val="none"/>
                      <w:lang w:val="en-US" w:eastAsia="zh-CN"/>
                    </w:rPr>
                    <w:t>12.9</w:t>
                  </w:r>
                </w:p>
              </w:tc>
              <w:tc>
                <w:tcPr>
                  <w:tcW w:w="762" w:type="dxa"/>
                  <w:tcBorders>
                    <w:tl2br w:val="nil"/>
                    <w:tr2bl w:val="nil"/>
                  </w:tcBorders>
                  <w:shd w:val="clear" w:color="auto" w:fill="auto"/>
                  <w:noWrap w:val="0"/>
                  <w:vAlign w:val="center"/>
                </w:tcPr>
                <w:p w14:paraId="70A816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rPr>
                    <w:t>8/</w:t>
                  </w:r>
                  <w:r>
                    <w:rPr>
                      <w:rFonts w:hint="eastAsia"/>
                      <w:color w:val="auto"/>
                      <w:sz w:val="18"/>
                      <w:szCs w:val="18"/>
                      <w:highlight w:val="none"/>
                      <w:lang w:val="en-US" w:eastAsia="zh-CN"/>
                    </w:rPr>
                    <w:t>35.1</w:t>
                  </w:r>
                </w:p>
              </w:tc>
              <w:tc>
                <w:tcPr>
                  <w:tcW w:w="672" w:type="dxa"/>
                  <w:tcBorders>
                    <w:tl2br w:val="nil"/>
                    <w:tr2bl w:val="nil"/>
                  </w:tcBorders>
                  <w:shd w:val="clear" w:color="auto" w:fill="auto"/>
                  <w:noWrap w:val="0"/>
                  <w:vAlign w:val="center"/>
                </w:tcPr>
                <w:p w14:paraId="3BB2D57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rPr>
                    <w:t>8/</w:t>
                  </w:r>
                  <w:r>
                    <w:rPr>
                      <w:rFonts w:hint="eastAsia"/>
                      <w:color w:val="auto"/>
                      <w:sz w:val="18"/>
                      <w:szCs w:val="18"/>
                      <w:highlight w:val="none"/>
                      <w:lang w:val="en-US" w:eastAsia="zh-CN"/>
                    </w:rPr>
                    <w:t>30.6</w:t>
                  </w:r>
                </w:p>
              </w:tc>
              <w:tc>
                <w:tcPr>
                  <w:tcW w:w="672" w:type="dxa"/>
                  <w:tcBorders>
                    <w:tl2br w:val="nil"/>
                    <w:tr2bl w:val="nil"/>
                  </w:tcBorders>
                  <w:shd w:val="clear" w:color="auto" w:fill="auto"/>
                  <w:noWrap w:val="0"/>
                  <w:vAlign w:val="center"/>
                </w:tcPr>
                <w:p w14:paraId="39BF9D9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rPr>
                    <w:t>6/</w:t>
                  </w:r>
                  <w:r>
                    <w:rPr>
                      <w:rFonts w:hint="eastAsia"/>
                      <w:color w:val="auto"/>
                      <w:sz w:val="18"/>
                      <w:szCs w:val="18"/>
                      <w:highlight w:val="none"/>
                      <w:lang w:val="en-US" w:eastAsia="zh-CN"/>
                    </w:rPr>
                    <w:t>34.8</w:t>
                  </w:r>
                </w:p>
              </w:tc>
              <w:tc>
                <w:tcPr>
                  <w:tcW w:w="672" w:type="dxa"/>
                  <w:tcBorders>
                    <w:tl2br w:val="nil"/>
                    <w:tr2bl w:val="nil"/>
                  </w:tcBorders>
                  <w:shd w:val="clear" w:color="auto" w:fill="auto"/>
                  <w:noWrap w:val="0"/>
                  <w:vAlign w:val="center"/>
                </w:tcPr>
                <w:p w14:paraId="63F5B4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color w:val="auto"/>
                      <w:sz w:val="18"/>
                      <w:szCs w:val="18"/>
                      <w:highlight w:val="none"/>
                    </w:rPr>
                    <w:t>8/3</w:t>
                  </w:r>
                  <w:r>
                    <w:rPr>
                      <w:rFonts w:hint="eastAsia"/>
                      <w:color w:val="auto"/>
                      <w:sz w:val="18"/>
                      <w:szCs w:val="18"/>
                      <w:highlight w:val="none"/>
                      <w:lang w:val="en-US" w:eastAsia="zh-CN"/>
                    </w:rPr>
                    <w:t>4.6</w:t>
                  </w:r>
                </w:p>
              </w:tc>
            </w:tr>
            <w:tr w14:paraId="3447F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dxa"/>
                  <w:tcBorders>
                    <w:tl2br w:val="nil"/>
                    <w:tr2bl w:val="nil"/>
                  </w:tcBorders>
                  <w:noWrap w:val="0"/>
                  <w:vAlign w:val="center"/>
                </w:tcPr>
                <w:p w14:paraId="28419365">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油品卸车点</w:t>
                  </w:r>
                </w:p>
              </w:tc>
              <w:tc>
                <w:tcPr>
                  <w:tcW w:w="401" w:type="dxa"/>
                  <w:tcBorders>
                    <w:tl2br w:val="nil"/>
                    <w:tr2bl w:val="nil"/>
                  </w:tcBorders>
                  <w:noWrap w:val="0"/>
                  <w:vAlign w:val="center"/>
                </w:tcPr>
                <w:p w14:paraId="45755F30">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184B9408">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807" w:type="dxa"/>
                  <w:tcBorders>
                    <w:tl2br w:val="nil"/>
                    <w:tr2bl w:val="nil"/>
                  </w:tcBorders>
                  <w:noWrap w:val="0"/>
                  <w:vAlign w:val="center"/>
                </w:tcPr>
                <w:p w14:paraId="5FC30F6E">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0F64D0A7">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6F3B2C7C">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584" w:type="dxa"/>
                  <w:tcBorders>
                    <w:tl2br w:val="nil"/>
                    <w:tr2bl w:val="nil"/>
                  </w:tcBorders>
                  <w:noWrap w:val="0"/>
                  <w:vAlign w:val="center"/>
                </w:tcPr>
                <w:p w14:paraId="2A2CBB2C">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c>
                <w:tcPr>
                  <w:tcW w:w="672" w:type="dxa"/>
                  <w:tcBorders>
                    <w:tl2br w:val="nil"/>
                    <w:tr2bl w:val="nil"/>
                  </w:tcBorders>
                  <w:noWrap w:val="0"/>
                  <w:vAlign w:val="center"/>
                </w:tcPr>
                <w:p w14:paraId="2ECEC359">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w:t>
                  </w:r>
                  <w:r>
                    <w:rPr>
                      <w:rFonts w:hint="eastAsia"/>
                      <w:color w:val="auto"/>
                      <w:sz w:val="18"/>
                      <w:szCs w:val="18"/>
                      <w:highlight w:val="none"/>
                      <w:lang w:val="en-US" w:eastAsia="zh-CN"/>
                    </w:rPr>
                    <w:t>16</w:t>
                  </w:r>
                </w:p>
              </w:tc>
              <w:tc>
                <w:tcPr>
                  <w:tcW w:w="762" w:type="dxa"/>
                  <w:tcBorders>
                    <w:tl2br w:val="nil"/>
                    <w:tr2bl w:val="nil"/>
                  </w:tcBorders>
                  <w:noWrap w:val="0"/>
                  <w:vAlign w:val="center"/>
                </w:tcPr>
                <w:p w14:paraId="3DD30EF9">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8/</w:t>
                  </w:r>
                  <w:r>
                    <w:rPr>
                      <w:rFonts w:hint="eastAsia"/>
                      <w:color w:val="auto"/>
                      <w:sz w:val="18"/>
                      <w:szCs w:val="18"/>
                      <w:highlight w:val="none"/>
                      <w:lang w:val="en-US" w:eastAsia="zh-CN"/>
                    </w:rPr>
                    <w:t>14.3</w:t>
                  </w:r>
                </w:p>
              </w:tc>
              <w:tc>
                <w:tcPr>
                  <w:tcW w:w="672" w:type="dxa"/>
                  <w:tcBorders>
                    <w:tl2br w:val="nil"/>
                    <w:tr2bl w:val="nil"/>
                  </w:tcBorders>
                  <w:noWrap w:val="0"/>
                  <w:vAlign w:val="center"/>
                </w:tcPr>
                <w:p w14:paraId="2F6DF1E3">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w:t>
                  </w:r>
                  <w:r>
                    <w:rPr>
                      <w:rFonts w:hint="eastAsia"/>
                      <w:color w:val="auto"/>
                      <w:sz w:val="18"/>
                      <w:szCs w:val="18"/>
                      <w:highlight w:val="none"/>
                      <w:lang w:val="en-US" w:eastAsia="zh-CN"/>
                    </w:rPr>
                    <w:t>6.9</w:t>
                  </w:r>
                </w:p>
              </w:tc>
              <w:tc>
                <w:tcPr>
                  <w:tcW w:w="672" w:type="dxa"/>
                  <w:tcBorders>
                    <w:tl2br w:val="nil"/>
                    <w:tr2bl w:val="nil"/>
                  </w:tcBorders>
                  <w:noWrap w:val="0"/>
                  <w:vAlign w:val="center"/>
                </w:tcPr>
                <w:p w14:paraId="787345B1">
                  <w:pPr>
                    <w:keepNext w:val="0"/>
                    <w:keepLines w:val="0"/>
                    <w:suppressLineNumbers w:val="0"/>
                    <w:spacing w:before="0" w:beforeAutospacing="0" w:after="0" w:afterAutospacing="0"/>
                    <w:ind w:left="0" w:right="0"/>
                    <w:jc w:val="center"/>
                    <w:rPr>
                      <w:rFonts w:hint="eastAsia" w:eastAsia="宋体"/>
                      <w:color w:val="auto"/>
                      <w:sz w:val="18"/>
                      <w:szCs w:val="18"/>
                      <w:highlight w:val="none"/>
                      <w:lang w:eastAsia="zh-CN"/>
                    </w:rPr>
                  </w:pPr>
                  <w:r>
                    <w:rPr>
                      <w:rFonts w:hint="default"/>
                      <w:color w:val="auto"/>
                      <w:sz w:val="18"/>
                      <w:szCs w:val="18"/>
                      <w:highlight w:val="none"/>
                    </w:rPr>
                    <w:t>6/20.</w:t>
                  </w:r>
                  <w:r>
                    <w:rPr>
                      <w:rFonts w:hint="eastAsia"/>
                      <w:color w:val="auto"/>
                      <w:sz w:val="18"/>
                      <w:szCs w:val="18"/>
                      <w:highlight w:val="none"/>
                      <w:lang w:val="en-US" w:eastAsia="zh-CN"/>
                    </w:rPr>
                    <w:t>6</w:t>
                  </w:r>
                </w:p>
              </w:tc>
              <w:tc>
                <w:tcPr>
                  <w:tcW w:w="672" w:type="dxa"/>
                  <w:tcBorders>
                    <w:tl2br w:val="nil"/>
                    <w:tr2bl w:val="nil"/>
                  </w:tcBorders>
                  <w:noWrap w:val="0"/>
                  <w:vAlign w:val="center"/>
                </w:tcPr>
                <w:p w14:paraId="57E68B56">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w:t>
                  </w:r>
                  <w:r>
                    <w:rPr>
                      <w:rFonts w:hint="eastAsia"/>
                      <w:color w:val="auto"/>
                      <w:sz w:val="18"/>
                      <w:szCs w:val="18"/>
                      <w:highlight w:val="none"/>
                      <w:lang w:val="en-US" w:eastAsia="zh-CN"/>
                    </w:rPr>
                    <w:t>8.8</w:t>
                  </w:r>
                </w:p>
              </w:tc>
            </w:tr>
            <w:tr w14:paraId="06B3C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dxa"/>
                  <w:tcBorders>
                    <w:tl2br w:val="nil"/>
                    <w:tr2bl w:val="nil"/>
                  </w:tcBorders>
                  <w:noWrap w:val="0"/>
                  <w:vAlign w:val="center"/>
                </w:tcPr>
                <w:p w14:paraId="4891DD71">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加油机</w:t>
                  </w:r>
                </w:p>
              </w:tc>
              <w:tc>
                <w:tcPr>
                  <w:tcW w:w="401" w:type="dxa"/>
                  <w:tcBorders>
                    <w:tl2br w:val="nil"/>
                    <w:tr2bl w:val="nil"/>
                  </w:tcBorders>
                  <w:noWrap w:val="0"/>
                  <w:vAlign w:val="center"/>
                </w:tcPr>
                <w:p w14:paraId="4DD43A06">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5F095773">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807" w:type="dxa"/>
                  <w:tcBorders>
                    <w:tl2br w:val="nil"/>
                    <w:tr2bl w:val="nil"/>
                  </w:tcBorders>
                  <w:noWrap w:val="0"/>
                  <w:vAlign w:val="center"/>
                </w:tcPr>
                <w:p w14:paraId="7A38A931">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2552F61A">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54A60D4D">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584" w:type="dxa"/>
                  <w:tcBorders>
                    <w:tl2br w:val="nil"/>
                    <w:tr2bl w:val="nil"/>
                  </w:tcBorders>
                  <w:noWrap w:val="0"/>
                  <w:vAlign w:val="center"/>
                </w:tcPr>
                <w:p w14:paraId="050FA8A4">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1ED0CD5C">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2/</w:t>
                  </w:r>
                  <w:r>
                    <w:rPr>
                      <w:rFonts w:hint="eastAsia"/>
                      <w:color w:val="auto"/>
                      <w:sz w:val="18"/>
                      <w:szCs w:val="18"/>
                      <w:highlight w:val="none"/>
                      <w:lang w:val="en-US" w:eastAsia="zh-CN"/>
                    </w:rPr>
                    <w:t>2.3</w:t>
                  </w:r>
                </w:p>
              </w:tc>
              <w:tc>
                <w:tcPr>
                  <w:tcW w:w="762" w:type="dxa"/>
                  <w:tcBorders>
                    <w:tl2br w:val="nil"/>
                    <w:tr2bl w:val="nil"/>
                  </w:tcBorders>
                  <w:noWrap w:val="0"/>
                  <w:vAlign w:val="center"/>
                </w:tcPr>
                <w:p w14:paraId="23731B44">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6/2</w:t>
                  </w:r>
                  <w:r>
                    <w:rPr>
                      <w:rFonts w:hint="eastAsia"/>
                      <w:color w:val="auto"/>
                      <w:sz w:val="18"/>
                      <w:szCs w:val="18"/>
                      <w:highlight w:val="none"/>
                      <w:lang w:val="en-US" w:eastAsia="zh-CN"/>
                    </w:rPr>
                    <w:t>1.7</w:t>
                  </w:r>
                </w:p>
              </w:tc>
              <w:tc>
                <w:tcPr>
                  <w:tcW w:w="672" w:type="dxa"/>
                  <w:tcBorders>
                    <w:tl2br w:val="nil"/>
                    <w:tr2bl w:val="nil"/>
                  </w:tcBorders>
                  <w:noWrap w:val="0"/>
                  <w:vAlign w:val="center"/>
                </w:tcPr>
                <w:p w14:paraId="1804DF27">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w:t>
                  </w:r>
                  <w:r>
                    <w:rPr>
                      <w:rFonts w:hint="eastAsia"/>
                      <w:color w:val="auto"/>
                      <w:sz w:val="18"/>
                      <w:szCs w:val="18"/>
                      <w:highlight w:val="none"/>
                      <w:lang w:val="en-US" w:eastAsia="zh-CN"/>
                    </w:rPr>
                    <w:t>18.9</w:t>
                  </w:r>
                </w:p>
              </w:tc>
              <w:tc>
                <w:tcPr>
                  <w:tcW w:w="672" w:type="dxa"/>
                  <w:tcBorders>
                    <w:tl2br w:val="nil"/>
                    <w:tr2bl w:val="nil"/>
                  </w:tcBorders>
                  <w:noWrap w:val="0"/>
                  <w:vAlign w:val="center"/>
                </w:tcPr>
                <w:p w14:paraId="3F738E57">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w:t>
                  </w:r>
                  <w:r>
                    <w:rPr>
                      <w:rFonts w:hint="eastAsia"/>
                      <w:color w:val="auto"/>
                      <w:sz w:val="18"/>
                      <w:szCs w:val="18"/>
                      <w:highlight w:val="none"/>
                      <w:lang w:val="en-US" w:eastAsia="zh-CN"/>
                    </w:rPr>
                    <w:t>26.7</w:t>
                  </w:r>
                </w:p>
              </w:tc>
              <w:tc>
                <w:tcPr>
                  <w:tcW w:w="672" w:type="dxa"/>
                  <w:tcBorders>
                    <w:tl2br w:val="nil"/>
                    <w:tr2bl w:val="nil"/>
                  </w:tcBorders>
                  <w:noWrap w:val="0"/>
                  <w:vAlign w:val="center"/>
                </w:tcPr>
                <w:p w14:paraId="2B508E7E">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6/</w:t>
                  </w:r>
                  <w:r>
                    <w:rPr>
                      <w:rFonts w:hint="eastAsia"/>
                      <w:color w:val="auto"/>
                      <w:sz w:val="18"/>
                      <w:szCs w:val="18"/>
                      <w:highlight w:val="none"/>
                      <w:lang w:val="en-US" w:eastAsia="zh-CN"/>
                    </w:rPr>
                    <w:t>22.3</w:t>
                  </w:r>
                </w:p>
              </w:tc>
            </w:tr>
            <w:tr w14:paraId="7B718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dxa"/>
                  <w:tcBorders>
                    <w:tl2br w:val="nil"/>
                    <w:tr2bl w:val="nil"/>
                  </w:tcBorders>
                  <w:noWrap w:val="0"/>
                  <w:vAlign w:val="center"/>
                </w:tcPr>
                <w:p w14:paraId="6A23493A">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加气机</w:t>
                  </w:r>
                </w:p>
              </w:tc>
              <w:tc>
                <w:tcPr>
                  <w:tcW w:w="401" w:type="dxa"/>
                  <w:tcBorders>
                    <w:tl2br w:val="nil"/>
                    <w:tr2bl w:val="nil"/>
                  </w:tcBorders>
                  <w:noWrap w:val="0"/>
                  <w:vAlign w:val="center"/>
                </w:tcPr>
                <w:p w14:paraId="16BA6889">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7B7C2612">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807" w:type="dxa"/>
                  <w:tcBorders>
                    <w:tl2br w:val="nil"/>
                    <w:tr2bl w:val="nil"/>
                  </w:tcBorders>
                  <w:noWrap w:val="0"/>
                  <w:vAlign w:val="center"/>
                </w:tcPr>
                <w:p w14:paraId="6D8397AA">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1FB117AE">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11E4E375">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584" w:type="dxa"/>
                  <w:tcBorders>
                    <w:tl2br w:val="nil"/>
                    <w:tr2bl w:val="nil"/>
                  </w:tcBorders>
                  <w:noWrap w:val="0"/>
                  <w:vAlign w:val="center"/>
                </w:tcPr>
                <w:p w14:paraId="4BC8971F">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51E87E7B">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762" w:type="dxa"/>
                  <w:tcBorders>
                    <w:tl2br w:val="nil"/>
                    <w:tr2bl w:val="nil"/>
                  </w:tcBorders>
                  <w:noWrap w:val="0"/>
                  <w:vAlign w:val="center"/>
                </w:tcPr>
                <w:p w14:paraId="17AF4DE5">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2/</w:t>
                  </w:r>
                  <w:r>
                    <w:rPr>
                      <w:rFonts w:hint="eastAsia"/>
                      <w:color w:val="auto"/>
                      <w:sz w:val="18"/>
                      <w:szCs w:val="18"/>
                      <w:highlight w:val="none"/>
                      <w:lang w:val="en-US" w:eastAsia="zh-CN"/>
                    </w:rPr>
                    <w:t>22.5</w:t>
                  </w:r>
                </w:p>
              </w:tc>
              <w:tc>
                <w:tcPr>
                  <w:tcW w:w="672" w:type="dxa"/>
                  <w:tcBorders>
                    <w:tl2br w:val="nil"/>
                    <w:tr2bl w:val="nil"/>
                  </w:tcBorders>
                  <w:noWrap w:val="0"/>
                  <w:vAlign w:val="center"/>
                </w:tcPr>
                <w:p w14:paraId="78127BE3">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c>
                <w:tcPr>
                  <w:tcW w:w="672" w:type="dxa"/>
                  <w:tcBorders>
                    <w:tl2br w:val="nil"/>
                    <w:tr2bl w:val="nil"/>
                  </w:tcBorders>
                  <w:noWrap w:val="0"/>
                  <w:vAlign w:val="center"/>
                </w:tcPr>
                <w:p w14:paraId="0EFB5360">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c>
                <w:tcPr>
                  <w:tcW w:w="672" w:type="dxa"/>
                  <w:tcBorders>
                    <w:tl2br w:val="nil"/>
                    <w:tr2bl w:val="nil"/>
                  </w:tcBorders>
                  <w:noWrap w:val="0"/>
                  <w:vAlign w:val="center"/>
                </w:tcPr>
                <w:p w14:paraId="16E07A46">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r>
            <w:tr w14:paraId="2A9E1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dxa"/>
                  <w:tcBorders>
                    <w:tl2br w:val="nil"/>
                    <w:tr2bl w:val="nil"/>
                  </w:tcBorders>
                  <w:noWrap w:val="0"/>
                  <w:vAlign w:val="center"/>
                </w:tcPr>
                <w:p w14:paraId="45C834CF">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LNG储罐</w:t>
                  </w:r>
                </w:p>
              </w:tc>
              <w:tc>
                <w:tcPr>
                  <w:tcW w:w="401" w:type="dxa"/>
                  <w:tcBorders>
                    <w:tl2br w:val="nil"/>
                    <w:tr2bl w:val="nil"/>
                  </w:tcBorders>
                  <w:noWrap w:val="0"/>
                  <w:vAlign w:val="center"/>
                </w:tcPr>
                <w:p w14:paraId="28569E0E">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6A541789">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807" w:type="dxa"/>
                  <w:tcBorders>
                    <w:tl2br w:val="nil"/>
                    <w:tr2bl w:val="nil"/>
                  </w:tcBorders>
                  <w:noWrap w:val="0"/>
                  <w:vAlign w:val="center"/>
                </w:tcPr>
                <w:p w14:paraId="331FFBC9">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6B3D7F56">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1DD80603">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584" w:type="dxa"/>
                  <w:tcBorders>
                    <w:tl2br w:val="nil"/>
                    <w:tr2bl w:val="nil"/>
                  </w:tcBorders>
                  <w:noWrap w:val="0"/>
                  <w:vAlign w:val="center"/>
                </w:tcPr>
                <w:p w14:paraId="7B1281C5">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62B730BB">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762" w:type="dxa"/>
                  <w:tcBorders>
                    <w:tl2br w:val="nil"/>
                    <w:tr2bl w:val="nil"/>
                  </w:tcBorders>
                  <w:noWrap w:val="0"/>
                  <w:vAlign w:val="center"/>
                </w:tcPr>
                <w:p w14:paraId="6D2CF958">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29463427">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2/</w:t>
                  </w:r>
                  <w:r>
                    <w:rPr>
                      <w:rFonts w:hint="eastAsia"/>
                      <w:color w:val="auto"/>
                      <w:sz w:val="18"/>
                      <w:szCs w:val="18"/>
                      <w:highlight w:val="none"/>
                      <w:lang w:val="en-US" w:eastAsia="zh-CN"/>
                    </w:rPr>
                    <w:t>6.4</w:t>
                  </w:r>
                </w:p>
              </w:tc>
              <w:tc>
                <w:tcPr>
                  <w:tcW w:w="672" w:type="dxa"/>
                  <w:tcBorders>
                    <w:tl2br w:val="nil"/>
                    <w:tr2bl w:val="nil"/>
                  </w:tcBorders>
                  <w:noWrap w:val="0"/>
                  <w:vAlign w:val="center"/>
                </w:tcPr>
                <w:p w14:paraId="067DB57C">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c>
                <w:tcPr>
                  <w:tcW w:w="672" w:type="dxa"/>
                  <w:tcBorders>
                    <w:tl2br w:val="nil"/>
                    <w:tr2bl w:val="nil"/>
                  </w:tcBorders>
                  <w:noWrap w:val="0"/>
                  <w:vAlign w:val="center"/>
                </w:tcPr>
                <w:p w14:paraId="630C9C36">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r>
            <w:tr w14:paraId="4A870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dxa"/>
                  <w:tcBorders>
                    <w:tl2br w:val="nil"/>
                    <w:tr2bl w:val="nil"/>
                  </w:tcBorders>
                  <w:noWrap w:val="0"/>
                  <w:vAlign w:val="center"/>
                </w:tcPr>
                <w:p w14:paraId="3C5A4256">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LNG卸车点</w:t>
                  </w:r>
                </w:p>
              </w:tc>
              <w:tc>
                <w:tcPr>
                  <w:tcW w:w="401" w:type="dxa"/>
                  <w:tcBorders>
                    <w:tl2br w:val="nil"/>
                    <w:tr2bl w:val="nil"/>
                  </w:tcBorders>
                  <w:noWrap w:val="0"/>
                  <w:vAlign w:val="center"/>
                </w:tcPr>
                <w:p w14:paraId="3D9B14BB">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3DF79A6E">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807" w:type="dxa"/>
                  <w:tcBorders>
                    <w:tl2br w:val="nil"/>
                    <w:tr2bl w:val="nil"/>
                  </w:tcBorders>
                  <w:noWrap w:val="0"/>
                  <w:vAlign w:val="center"/>
                </w:tcPr>
                <w:p w14:paraId="2CBCE997">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3CB942F5">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172E42DB">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584" w:type="dxa"/>
                  <w:tcBorders>
                    <w:tl2br w:val="nil"/>
                    <w:tr2bl w:val="nil"/>
                  </w:tcBorders>
                  <w:noWrap w:val="0"/>
                  <w:vAlign w:val="center"/>
                </w:tcPr>
                <w:p w14:paraId="637247EC">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1A060DA0">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762" w:type="dxa"/>
                  <w:tcBorders>
                    <w:tl2br w:val="nil"/>
                    <w:tr2bl w:val="nil"/>
                  </w:tcBorders>
                  <w:noWrap w:val="0"/>
                  <w:vAlign w:val="center"/>
                </w:tcPr>
                <w:p w14:paraId="27DE542C">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307EB7A5">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0174B151">
                  <w:pPr>
                    <w:keepNext w:val="0"/>
                    <w:keepLines w:val="0"/>
                    <w:suppressLineNumbers w:val="0"/>
                    <w:spacing w:before="0" w:beforeAutospacing="0" w:after="0" w:afterAutospacing="0"/>
                    <w:ind w:left="0" w:right="0"/>
                    <w:jc w:val="center"/>
                    <w:rPr>
                      <w:rFonts w:hint="default" w:eastAsia="宋体"/>
                      <w:color w:val="auto"/>
                      <w:sz w:val="18"/>
                      <w:szCs w:val="18"/>
                      <w:highlight w:val="none"/>
                      <w:lang w:val="en-US" w:eastAsia="zh-CN"/>
                    </w:rPr>
                  </w:pPr>
                  <w:r>
                    <w:rPr>
                      <w:rFonts w:hint="default"/>
                      <w:color w:val="auto"/>
                      <w:sz w:val="18"/>
                      <w:szCs w:val="18"/>
                      <w:highlight w:val="none"/>
                    </w:rPr>
                    <w:t>3/</w:t>
                  </w:r>
                  <w:r>
                    <w:rPr>
                      <w:rFonts w:hint="eastAsia"/>
                      <w:color w:val="auto"/>
                      <w:sz w:val="18"/>
                      <w:szCs w:val="18"/>
                      <w:highlight w:val="none"/>
                      <w:lang w:val="en-US" w:eastAsia="zh-CN"/>
                    </w:rPr>
                    <w:t>12.6</w:t>
                  </w:r>
                </w:p>
              </w:tc>
              <w:tc>
                <w:tcPr>
                  <w:tcW w:w="672" w:type="dxa"/>
                  <w:tcBorders>
                    <w:tl2br w:val="nil"/>
                    <w:tr2bl w:val="nil"/>
                  </w:tcBorders>
                  <w:noWrap w:val="0"/>
                  <w:vAlign w:val="center"/>
                </w:tcPr>
                <w:p w14:paraId="67A2EADE">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r>
            <w:tr w14:paraId="50C28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dxa"/>
                  <w:tcBorders>
                    <w:tl2br w:val="nil"/>
                    <w:tr2bl w:val="nil"/>
                  </w:tcBorders>
                  <w:noWrap w:val="0"/>
                  <w:vAlign w:val="center"/>
                </w:tcPr>
                <w:p w14:paraId="6289B879">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LNG放散管</w:t>
                  </w:r>
                </w:p>
              </w:tc>
              <w:tc>
                <w:tcPr>
                  <w:tcW w:w="401" w:type="dxa"/>
                  <w:tcBorders>
                    <w:tl2br w:val="nil"/>
                    <w:tr2bl w:val="nil"/>
                  </w:tcBorders>
                  <w:noWrap w:val="0"/>
                  <w:vAlign w:val="center"/>
                </w:tcPr>
                <w:p w14:paraId="7CF8CE61">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549E2EEF">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807" w:type="dxa"/>
                  <w:tcBorders>
                    <w:tl2br w:val="nil"/>
                    <w:tr2bl w:val="nil"/>
                  </w:tcBorders>
                  <w:noWrap w:val="0"/>
                  <w:vAlign w:val="center"/>
                </w:tcPr>
                <w:p w14:paraId="4334D154">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2CEEC1FF">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4E46A370">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584" w:type="dxa"/>
                  <w:tcBorders>
                    <w:tl2br w:val="nil"/>
                    <w:tr2bl w:val="nil"/>
                  </w:tcBorders>
                  <w:noWrap w:val="0"/>
                  <w:vAlign w:val="center"/>
                </w:tcPr>
                <w:p w14:paraId="5E60584E">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71D14628">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762" w:type="dxa"/>
                  <w:tcBorders>
                    <w:tl2br w:val="nil"/>
                    <w:tr2bl w:val="nil"/>
                  </w:tcBorders>
                  <w:noWrap w:val="0"/>
                  <w:vAlign w:val="center"/>
                </w:tcPr>
                <w:p w14:paraId="7267E360">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6A8DEC20">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2A05BDB5">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2FFA06E8">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r>
            <w:tr w14:paraId="648B5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0" w:type="dxa"/>
                  <w:tcBorders>
                    <w:tl2br w:val="nil"/>
                    <w:tr2bl w:val="nil"/>
                  </w:tcBorders>
                  <w:noWrap w:val="0"/>
                  <w:vAlign w:val="center"/>
                </w:tcPr>
                <w:p w14:paraId="7B13D2C4">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围墙</w:t>
                  </w:r>
                </w:p>
              </w:tc>
              <w:tc>
                <w:tcPr>
                  <w:tcW w:w="401" w:type="dxa"/>
                  <w:tcBorders>
                    <w:tl2br w:val="nil"/>
                    <w:tr2bl w:val="nil"/>
                  </w:tcBorders>
                  <w:noWrap w:val="0"/>
                  <w:vAlign w:val="center"/>
                </w:tcPr>
                <w:p w14:paraId="21BD12CA">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2C403481">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2/3.4</w:t>
                  </w:r>
                </w:p>
              </w:tc>
              <w:tc>
                <w:tcPr>
                  <w:tcW w:w="807" w:type="dxa"/>
                  <w:tcBorders>
                    <w:tl2br w:val="nil"/>
                    <w:tr2bl w:val="nil"/>
                  </w:tcBorders>
                  <w:noWrap w:val="0"/>
                  <w:vAlign w:val="center"/>
                </w:tcPr>
                <w:p w14:paraId="5EFE6502">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2/8</w:t>
                  </w:r>
                </w:p>
              </w:tc>
              <w:tc>
                <w:tcPr>
                  <w:tcW w:w="672" w:type="dxa"/>
                  <w:tcBorders>
                    <w:tl2br w:val="nil"/>
                    <w:tr2bl w:val="nil"/>
                  </w:tcBorders>
                  <w:noWrap w:val="0"/>
                  <w:vAlign w:val="center"/>
                </w:tcPr>
                <w:p w14:paraId="72D32359">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672" w:type="dxa"/>
                  <w:tcBorders>
                    <w:tl2br w:val="nil"/>
                    <w:tr2bl w:val="nil"/>
                  </w:tcBorders>
                  <w:noWrap w:val="0"/>
                  <w:vAlign w:val="center"/>
                </w:tcPr>
                <w:p w14:paraId="6815A2F4">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c>
                <w:tcPr>
                  <w:tcW w:w="584" w:type="dxa"/>
                  <w:tcBorders>
                    <w:tl2br w:val="nil"/>
                    <w:tr2bl w:val="nil"/>
                  </w:tcBorders>
                  <w:noWrap w:val="0"/>
                  <w:vAlign w:val="center"/>
                </w:tcPr>
                <w:p w14:paraId="2500AE23">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c>
                <w:tcPr>
                  <w:tcW w:w="672" w:type="dxa"/>
                  <w:tcBorders>
                    <w:tl2br w:val="nil"/>
                    <w:tr2bl w:val="nil"/>
                  </w:tcBorders>
                  <w:noWrap w:val="0"/>
                  <w:vAlign w:val="center"/>
                </w:tcPr>
                <w:p w14:paraId="7875F978">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w:t>
                  </w:r>
                </w:p>
              </w:tc>
              <w:tc>
                <w:tcPr>
                  <w:tcW w:w="762" w:type="dxa"/>
                  <w:tcBorders>
                    <w:tl2br w:val="nil"/>
                    <w:tr2bl w:val="nil"/>
                  </w:tcBorders>
                  <w:noWrap w:val="0"/>
                  <w:vAlign w:val="center"/>
                </w:tcPr>
                <w:p w14:paraId="15C9BDCB">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4/10.4</w:t>
                  </w:r>
                </w:p>
              </w:tc>
              <w:tc>
                <w:tcPr>
                  <w:tcW w:w="672" w:type="dxa"/>
                  <w:tcBorders>
                    <w:tl2br w:val="nil"/>
                    <w:tr2bl w:val="nil"/>
                  </w:tcBorders>
                  <w:noWrap w:val="0"/>
                  <w:vAlign w:val="center"/>
                </w:tcPr>
                <w:p w14:paraId="2F07F5D1">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2/3.6</w:t>
                  </w:r>
                </w:p>
              </w:tc>
              <w:tc>
                <w:tcPr>
                  <w:tcW w:w="672" w:type="dxa"/>
                  <w:tcBorders>
                    <w:tl2br w:val="nil"/>
                    <w:tr2bl w:val="nil"/>
                  </w:tcBorders>
                  <w:noWrap w:val="0"/>
                  <w:vAlign w:val="center"/>
                </w:tcPr>
                <w:p w14:paraId="551C523E">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2/5.5</w:t>
                  </w:r>
                </w:p>
              </w:tc>
              <w:tc>
                <w:tcPr>
                  <w:tcW w:w="672" w:type="dxa"/>
                  <w:tcBorders>
                    <w:tl2br w:val="nil"/>
                    <w:tr2bl w:val="nil"/>
                  </w:tcBorders>
                  <w:noWrap w:val="0"/>
                  <w:vAlign w:val="center"/>
                </w:tcPr>
                <w:p w14:paraId="7F3AA11F">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2/4.6</w:t>
                  </w:r>
                </w:p>
              </w:tc>
            </w:tr>
          </w:tbl>
          <w:p w14:paraId="5EC1E38E">
            <w:pPr>
              <w:pStyle w:val="54"/>
              <w:keepNext w:val="0"/>
              <w:keepLines w:val="0"/>
              <w:suppressLineNumbers w:val="0"/>
              <w:spacing w:before="0" w:beforeAutospacing="0" w:after="0" w:afterAutospacing="0"/>
              <w:ind w:left="0" w:right="0" w:firstLine="175" w:firstLineChars="83"/>
              <w:rPr>
                <w:rFonts w:hint="eastAsia"/>
                <w:b/>
                <w:bCs/>
                <w:color w:val="auto"/>
                <w:sz w:val="21"/>
                <w:szCs w:val="21"/>
                <w:highlight w:val="none"/>
              </w:rPr>
            </w:pPr>
            <w:r>
              <w:rPr>
                <w:rFonts w:hint="eastAsia"/>
                <w:b/>
                <w:bCs/>
                <w:color w:val="auto"/>
                <w:sz w:val="21"/>
                <w:szCs w:val="21"/>
                <w:highlight w:val="none"/>
              </w:rPr>
              <w:t>注：A/</w:t>
            </w:r>
            <w:r>
              <w:rPr>
                <w:rFonts w:hint="default"/>
                <w:b/>
                <w:bCs/>
                <w:color w:val="auto"/>
                <w:sz w:val="21"/>
                <w:szCs w:val="21"/>
                <w:highlight w:val="none"/>
              </w:rPr>
              <w:t>B</w:t>
            </w:r>
            <w:r>
              <w:rPr>
                <w:rFonts w:hint="eastAsia"/>
                <w:b/>
                <w:bCs/>
                <w:color w:val="auto"/>
                <w:sz w:val="21"/>
                <w:szCs w:val="21"/>
                <w:highlight w:val="none"/>
              </w:rPr>
              <w:t>，A为</w:t>
            </w:r>
            <w:r>
              <w:rPr>
                <w:rFonts w:hint="default"/>
                <w:b/>
                <w:bCs/>
                <w:color w:val="auto"/>
                <w:sz w:val="21"/>
                <w:szCs w:val="21"/>
                <w:highlight w:val="none"/>
              </w:rPr>
              <w:t>《汽车加油加气加氢站技术标准》</w:t>
            </w:r>
            <w:r>
              <w:rPr>
                <w:rFonts w:hint="eastAsia"/>
                <w:b/>
                <w:bCs/>
                <w:color w:val="auto"/>
                <w:sz w:val="21"/>
                <w:szCs w:val="21"/>
                <w:highlight w:val="none"/>
              </w:rPr>
              <w:t>（</w:t>
            </w:r>
            <w:r>
              <w:rPr>
                <w:rFonts w:hint="default"/>
                <w:b/>
                <w:bCs/>
                <w:color w:val="auto"/>
                <w:sz w:val="21"/>
                <w:szCs w:val="21"/>
                <w:highlight w:val="none"/>
              </w:rPr>
              <w:t>GB50156-2021</w:t>
            </w:r>
            <w:r>
              <w:rPr>
                <w:rFonts w:hint="eastAsia"/>
                <w:b/>
                <w:bCs/>
                <w:color w:val="auto"/>
                <w:sz w:val="21"/>
                <w:szCs w:val="21"/>
                <w:highlight w:val="none"/>
              </w:rPr>
              <w:t>）第5.0.13条要求间距，B为实际间距。</w:t>
            </w:r>
          </w:p>
          <w:p w14:paraId="72DE631A">
            <w:pPr>
              <w:pStyle w:val="54"/>
              <w:keepNext w:val="0"/>
              <w:keepLines w:val="0"/>
              <w:suppressLineNumbers w:val="0"/>
              <w:spacing w:before="0" w:beforeAutospacing="0" w:after="0" w:afterAutospacing="0"/>
              <w:ind w:left="0" w:right="0" w:firstLine="480"/>
              <w:rPr>
                <w:rFonts w:hint="default"/>
                <w:color w:val="auto"/>
                <w:highlight w:val="none"/>
              </w:rPr>
            </w:pPr>
            <w:r>
              <w:rPr>
                <w:rFonts w:hint="default"/>
                <w:color w:val="auto"/>
                <w:highlight w:val="none"/>
              </w:rPr>
              <w:t>综上所述，本项目将加油加气区、油罐区、</w:t>
            </w:r>
            <w:r>
              <w:rPr>
                <w:rFonts w:hint="eastAsia"/>
                <w:color w:val="auto"/>
                <w:highlight w:val="none"/>
              </w:rPr>
              <w:t>LNG储罐区、</w:t>
            </w:r>
            <w:r>
              <w:rPr>
                <w:rFonts w:hint="default"/>
                <w:color w:val="auto"/>
                <w:highlight w:val="none"/>
              </w:rPr>
              <w:t>站房等分区设置，各功能区相对独立，减少了彼此的干扰，既方便管理，又减少了安全隐患，</w:t>
            </w:r>
            <w:r>
              <w:rPr>
                <w:rFonts w:hint="eastAsia"/>
                <w:color w:val="auto"/>
                <w:highlight w:val="none"/>
              </w:rPr>
              <w:t>项目</w:t>
            </w:r>
            <w:r>
              <w:rPr>
                <w:rFonts w:hint="default"/>
                <w:color w:val="auto"/>
                <w:highlight w:val="none"/>
              </w:rPr>
              <w:t>功能分区明确，布局较合理；同时总图布置充分考虑了消防、安全、环保等规范规定的要求，站内设施之间的防火距离满足《汽车加油加气加氢站技术标准》</w:t>
            </w:r>
            <w:r>
              <w:rPr>
                <w:rFonts w:hint="eastAsia"/>
                <w:color w:val="auto"/>
                <w:highlight w:val="none"/>
              </w:rPr>
              <w:t>（</w:t>
            </w:r>
            <w:r>
              <w:rPr>
                <w:rFonts w:hint="default"/>
                <w:color w:val="auto"/>
                <w:highlight w:val="none"/>
              </w:rPr>
              <w:t>GB50156-2021</w:t>
            </w:r>
            <w:r>
              <w:rPr>
                <w:rFonts w:hint="eastAsia"/>
                <w:color w:val="auto"/>
                <w:highlight w:val="none"/>
              </w:rPr>
              <w:t>）</w:t>
            </w:r>
            <w:r>
              <w:rPr>
                <w:rFonts w:hint="default"/>
                <w:color w:val="auto"/>
                <w:highlight w:val="none"/>
              </w:rPr>
              <w:t>表5.0.13中的各项要求。</w:t>
            </w:r>
          </w:p>
          <w:p w14:paraId="647B57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color w:val="auto"/>
                <w:highlight w:val="none"/>
                <w:lang w:val="en-US"/>
              </w:rPr>
            </w:pPr>
            <w:r>
              <w:rPr>
                <w:rFonts w:hint="default"/>
                <w:color w:val="auto"/>
                <w:highlight w:val="none"/>
              </w:rPr>
              <w:t>综上所述，从环保角度分析，本项目平面布置合理可行。</w:t>
            </w:r>
          </w:p>
        </w:tc>
      </w:tr>
      <w:tr w14:paraId="5346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222" w:type="dxa"/>
            <w:noWrap w:val="0"/>
            <w:vAlign w:val="center"/>
          </w:tcPr>
          <w:p w14:paraId="4B5396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工艺流程和产排污环节</w:t>
            </w:r>
          </w:p>
          <w:p w14:paraId="7BF8DC3C">
            <w:pPr>
              <w:pStyle w:val="15"/>
              <w:keepNext w:val="0"/>
              <w:keepLines w:val="0"/>
              <w:suppressLineNumbers w:val="0"/>
              <w:spacing w:afterAutospacing="0"/>
              <w:ind w:right="0"/>
              <w:rPr>
                <w:rFonts w:hint="default" w:ascii="Times New Roman" w:hAnsi="Times New Roman" w:cs="Times New Roman"/>
                <w:color w:val="auto"/>
                <w:highlight w:val="none"/>
              </w:rPr>
            </w:pPr>
          </w:p>
          <w:p w14:paraId="196571B6">
            <w:pPr>
              <w:pStyle w:val="29"/>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6EC62D5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0D966FFF">
            <w:pPr>
              <w:pStyle w:val="15"/>
              <w:keepNext w:val="0"/>
              <w:keepLines w:val="0"/>
              <w:suppressLineNumbers w:val="0"/>
              <w:spacing w:afterAutospacing="0"/>
              <w:ind w:right="0"/>
              <w:rPr>
                <w:rFonts w:hint="default" w:ascii="Times New Roman" w:hAnsi="Times New Roman" w:cs="Times New Roman"/>
                <w:color w:val="auto"/>
                <w:highlight w:val="none"/>
              </w:rPr>
            </w:pPr>
          </w:p>
          <w:p w14:paraId="63C4FDF9">
            <w:pPr>
              <w:pStyle w:val="29"/>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60F62CA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47748D9F">
            <w:pPr>
              <w:pStyle w:val="15"/>
              <w:keepNext w:val="0"/>
              <w:keepLines w:val="0"/>
              <w:suppressLineNumbers w:val="0"/>
              <w:spacing w:afterAutospacing="0"/>
              <w:ind w:right="0"/>
              <w:rPr>
                <w:rFonts w:hint="default" w:ascii="Times New Roman" w:hAnsi="Times New Roman" w:cs="Times New Roman"/>
                <w:color w:val="auto"/>
                <w:highlight w:val="none"/>
              </w:rPr>
            </w:pPr>
          </w:p>
          <w:p w14:paraId="14374432">
            <w:pPr>
              <w:pStyle w:val="29"/>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235171B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0A6E3E55">
            <w:pPr>
              <w:pStyle w:val="15"/>
              <w:keepNext w:val="0"/>
              <w:keepLines w:val="0"/>
              <w:suppressLineNumbers w:val="0"/>
              <w:spacing w:afterAutospacing="0"/>
              <w:ind w:right="0"/>
              <w:rPr>
                <w:rFonts w:hint="default" w:ascii="Times New Roman" w:hAnsi="Times New Roman" w:cs="Times New Roman"/>
                <w:color w:val="auto"/>
                <w:highlight w:val="none"/>
              </w:rPr>
            </w:pPr>
          </w:p>
          <w:p w14:paraId="7D5288C2">
            <w:pPr>
              <w:pStyle w:val="29"/>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201250D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797B07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highlight w:val="none"/>
              </w:rPr>
            </w:pPr>
          </w:p>
          <w:p w14:paraId="35758F09">
            <w:pPr>
              <w:pStyle w:val="29"/>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37CE1199">
            <w:pPr>
              <w:pStyle w:val="15"/>
              <w:keepNext w:val="0"/>
              <w:keepLines w:val="0"/>
              <w:suppressLineNumbers w:val="0"/>
              <w:spacing w:afterAutospacing="0"/>
              <w:ind w:right="0"/>
              <w:rPr>
                <w:rFonts w:hint="default" w:ascii="Times New Roman" w:hAnsi="Times New Roman" w:cs="Times New Roman"/>
                <w:color w:val="auto"/>
                <w:highlight w:val="none"/>
              </w:rPr>
            </w:pPr>
          </w:p>
          <w:p w14:paraId="25061835">
            <w:pPr>
              <w:pStyle w:val="29"/>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5937" w:type="dxa"/>
            <w:noWrap w:val="0"/>
            <w:vAlign w:val="center"/>
          </w:tcPr>
          <w:p w14:paraId="0B1C6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1、施工期工艺流程和产污环节</w:t>
            </w:r>
          </w:p>
          <w:p w14:paraId="5D3112BD">
            <w:pPr>
              <w:pStyle w:val="55"/>
              <w:keepNext w:val="0"/>
              <w:keepLines w:val="0"/>
              <w:suppressLineNumbers w:val="0"/>
              <w:spacing w:before="0" w:beforeAutospacing="0" w:after="0" w:afterAutospacing="0"/>
              <w:ind w:left="0" w:right="0"/>
              <w:rPr>
                <w:rFonts w:hint="default"/>
                <w:b/>
                <w:bCs/>
                <w:color w:val="auto"/>
                <w:kern w:val="2"/>
                <w:highlight w:val="none"/>
              </w:rPr>
            </w:pPr>
            <w:r>
              <w:rPr>
                <w:rFonts w:hint="default"/>
                <w:b/>
                <w:bCs/>
                <w:color w:val="auto"/>
                <w:kern w:val="2"/>
                <w:highlight w:val="none"/>
              </w:rPr>
              <w:t>（</w:t>
            </w:r>
            <w:r>
              <w:rPr>
                <w:rFonts w:hint="eastAsia"/>
                <w:b/>
                <w:bCs/>
                <w:color w:val="auto"/>
                <w:kern w:val="2"/>
                <w:highlight w:val="none"/>
                <w:lang w:val="en-US" w:eastAsia="zh-CN"/>
              </w:rPr>
              <w:t>1</w:t>
            </w:r>
            <w:r>
              <w:rPr>
                <w:rFonts w:hint="default"/>
                <w:b/>
                <w:bCs/>
                <w:color w:val="auto"/>
                <w:kern w:val="2"/>
                <w:highlight w:val="none"/>
              </w:rPr>
              <w:t xml:space="preserve">）施工期工艺流程 </w:t>
            </w:r>
          </w:p>
          <w:p w14:paraId="77C65D8F">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本项目为加油加气站建设项目，项目建设地为平整净地，因此，本项目施工期不存在大规模的土石方工程。本工程建设内容主要包括该加油加气站站房、罩棚、油罐区、加气设备区相关配套设施的建设以及设备的安装等。工程施工期工艺流程及产污</w:t>
            </w:r>
            <w:r>
              <w:rPr>
                <w:rFonts w:hint="eastAsia"/>
                <w:color w:val="auto"/>
                <w:sz w:val="24"/>
                <w:highlight w:val="none"/>
              </w:rPr>
              <w:t>环节见</w:t>
            </w:r>
            <w:r>
              <w:rPr>
                <w:rFonts w:hint="default"/>
                <w:color w:val="auto"/>
                <w:sz w:val="24"/>
                <w:highlight w:val="none"/>
              </w:rPr>
              <w:t>图</w:t>
            </w:r>
            <w:r>
              <w:rPr>
                <w:rFonts w:hint="eastAsia"/>
                <w:color w:val="auto"/>
                <w:sz w:val="24"/>
                <w:highlight w:val="none"/>
              </w:rPr>
              <w:t>2-2</w:t>
            </w:r>
            <w:r>
              <w:rPr>
                <w:rFonts w:hint="default"/>
                <w:color w:val="auto"/>
                <w:sz w:val="24"/>
                <w:highlight w:val="none"/>
              </w:rPr>
              <w:t>所示。</w:t>
            </w:r>
          </w:p>
          <w:p w14:paraId="79A0938B">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color w:val="auto"/>
                <w:highlight w:val="none"/>
              </w:rPr>
              <w:drawing>
                <wp:inline distT="0" distB="0" distL="114300" distR="114300">
                  <wp:extent cx="4899025" cy="3233420"/>
                  <wp:effectExtent l="0" t="0" r="15875" b="508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15"/>
                          <a:stretch>
                            <a:fillRect/>
                          </a:stretch>
                        </pic:blipFill>
                        <pic:spPr>
                          <a:xfrm>
                            <a:off x="0" y="0"/>
                            <a:ext cx="4899025" cy="3233420"/>
                          </a:xfrm>
                          <a:prstGeom prst="rect">
                            <a:avLst/>
                          </a:prstGeom>
                          <a:noFill/>
                          <a:ln>
                            <a:noFill/>
                          </a:ln>
                        </pic:spPr>
                      </pic:pic>
                    </a:graphicData>
                  </a:graphic>
                </wp:inline>
              </w:drawing>
            </w:r>
          </w:p>
          <w:p w14:paraId="6CBCE558">
            <w:pPr>
              <w:keepNext w:val="0"/>
              <w:keepLines w:val="0"/>
              <w:suppressLineNumbers w:val="0"/>
              <w:snapToGrid w:val="0"/>
              <w:spacing w:before="0" w:beforeAutospacing="0" w:after="0" w:afterAutospacing="0" w:line="360" w:lineRule="auto"/>
              <w:ind w:left="0" w:right="0" w:firstLine="482"/>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图 2-2  施工期主要作业流程及产污环节图</w:t>
            </w:r>
          </w:p>
          <w:p w14:paraId="20865375">
            <w:pPr>
              <w:keepNext w:val="0"/>
              <w:keepLines w:val="0"/>
              <w:suppressLineNumbers w:val="0"/>
              <w:spacing w:before="0" w:beforeAutospacing="0" w:after="0" w:afterAutospacing="0" w:line="360" w:lineRule="auto"/>
              <w:ind w:left="0" w:right="0" w:firstLine="482" w:firstLineChars="200"/>
              <w:contextualSpacing/>
              <w:rPr>
                <w:rFonts w:hint="default"/>
                <w:b/>
                <w:bCs/>
                <w:color w:val="auto"/>
                <w:sz w:val="24"/>
                <w:highlight w:val="none"/>
              </w:rPr>
            </w:pPr>
            <w:r>
              <w:rPr>
                <w:rFonts w:hint="eastAsia"/>
                <w:b/>
                <w:bCs/>
                <w:color w:val="auto"/>
                <w:sz w:val="24"/>
                <w:highlight w:val="none"/>
              </w:rPr>
              <w:t>（</w:t>
            </w:r>
            <w:r>
              <w:rPr>
                <w:rFonts w:hint="eastAsia"/>
                <w:b/>
                <w:bCs/>
                <w:color w:val="auto"/>
                <w:sz w:val="24"/>
                <w:highlight w:val="none"/>
                <w:lang w:val="en-US" w:eastAsia="zh-CN"/>
              </w:rPr>
              <w:t>2</w:t>
            </w:r>
            <w:r>
              <w:rPr>
                <w:rFonts w:hint="eastAsia"/>
                <w:b/>
                <w:bCs/>
                <w:color w:val="auto"/>
                <w:sz w:val="24"/>
                <w:highlight w:val="none"/>
              </w:rPr>
              <w:t>）施工期主要污染工序</w:t>
            </w:r>
          </w:p>
          <w:p w14:paraId="3D726CEB">
            <w:pPr>
              <w:keepNext w:val="0"/>
              <w:keepLines w:val="0"/>
              <w:suppressLineNumbers w:val="0"/>
              <w:spacing w:before="0" w:beforeAutospacing="0" w:after="0" w:afterAutospacing="0" w:line="360" w:lineRule="auto"/>
              <w:ind w:left="0" w:right="0" w:firstLine="480" w:firstLineChars="200"/>
              <w:contextualSpacing/>
              <w:rPr>
                <w:rFonts w:hint="default"/>
                <w:color w:val="auto"/>
                <w:sz w:val="24"/>
                <w:highlight w:val="none"/>
              </w:rPr>
            </w:pPr>
            <w:r>
              <w:rPr>
                <w:rFonts w:hint="default"/>
                <w:color w:val="auto"/>
                <w:sz w:val="24"/>
                <w:highlight w:val="none"/>
              </w:rPr>
              <w:t>项目施工期将主要涉及场地平整，站房、加油加气罩棚、油罐区、相关配套设施建设和装修，地面硬化，加油加气站设备的安装以及场地景观配置等内容。</w:t>
            </w:r>
            <w:r>
              <w:rPr>
                <w:rFonts w:hint="eastAsia"/>
                <w:color w:val="auto"/>
                <w:sz w:val="24"/>
                <w:highlight w:val="none"/>
              </w:rPr>
              <w:t>其</w:t>
            </w:r>
            <w:r>
              <w:rPr>
                <w:rFonts w:hint="default"/>
                <w:color w:val="auto"/>
                <w:sz w:val="24"/>
                <w:highlight w:val="none"/>
              </w:rPr>
              <w:t>施工期</w:t>
            </w:r>
            <w:r>
              <w:rPr>
                <w:rFonts w:hint="eastAsia"/>
                <w:color w:val="auto"/>
                <w:sz w:val="24"/>
                <w:highlight w:val="none"/>
              </w:rPr>
              <w:t>主要污染物为</w:t>
            </w:r>
            <w:r>
              <w:rPr>
                <w:rFonts w:hint="default"/>
                <w:color w:val="auto"/>
                <w:sz w:val="24"/>
                <w:highlight w:val="none"/>
              </w:rPr>
              <w:t>：</w:t>
            </w:r>
          </w:p>
          <w:p w14:paraId="2BDAB07C">
            <w:pPr>
              <w:keepNext w:val="0"/>
              <w:keepLines w:val="0"/>
              <w:suppressLineNumbers w:val="0"/>
              <w:spacing w:before="0" w:beforeAutospacing="0" w:after="0" w:afterAutospacing="0" w:line="360" w:lineRule="auto"/>
              <w:ind w:left="0" w:right="0" w:firstLine="480" w:firstLineChars="200"/>
              <w:contextualSpacing/>
              <w:rPr>
                <w:rFonts w:hint="default"/>
                <w:color w:val="auto"/>
                <w:sz w:val="24"/>
                <w:highlight w:val="none"/>
              </w:rPr>
            </w:pPr>
            <w:r>
              <w:rPr>
                <w:rFonts w:hint="default"/>
                <w:color w:val="auto"/>
                <w:sz w:val="24"/>
                <w:highlight w:val="none"/>
              </w:rPr>
              <w:t xml:space="preserve">废气：施工扬尘、施工机械燃油废气和装修废气。 </w:t>
            </w:r>
          </w:p>
          <w:p w14:paraId="4A394053">
            <w:pPr>
              <w:keepNext w:val="0"/>
              <w:keepLines w:val="0"/>
              <w:suppressLineNumbers w:val="0"/>
              <w:spacing w:before="0" w:beforeAutospacing="0" w:after="0" w:afterAutospacing="0" w:line="360" w:lineRule="auto"/>
              <w:ind w:left="0" w:right="0" w:firstLine="480" w:firstLineChars="200"/>
              <w:contextualSpacing/>
              <w:rPr>
                <w:rFonts w:hint="default"/>
                <w:color w:val="auto"/>
                <w:sz w:val="24"/>
                <w:highlight w:val="none"/>
              </w:rPr>
            </w:pPr>
            <w:r>
              <w:rPr>
                <w:rFonts w:hint="default"/>
                <w:color w:val="auto"/>
                <w:sz w:val="24"/>
                <w:highlight w:val="none"/>
              </w:rPr>
              <w:t>废水：</w:t>
            </w:r>
            <w:r>
              <w:rPr>
                <w:rFonts w:hint="eastAsia"/>
                <w:color w:val="auto"/>
                <w:sz w:val="24"/>
                <w:highlight w:val="none"/>
              </w:rPr>
              <w:t>施工废水</w:t>
            </w:r>
            <w:r>
              <w:rPr>
                <w:rFonts w:hint="default"/>
                <w:color w:val="auto"/>
                <w:sz w:val="24"/>
                <w:highlight w:val="none"/>
              </w:rPr>
              <w:t>和施工人员的生活污水。</w:t>
            </w:r>
          </w:p>
          <w:p w14:paraId="58001475">
            <w:pPr>
              <w:keepNext w:val="0"/>
              <w:keepLines w:val="0"/>
              <w:suppressLineNumbers w:val="0"/>
              <w:spacing w:before="0" w:beforeAutospacing="0" w:after="0" w:afterAutospacing="0" w:line="360" w:lineRule="auto"/>
              <w:ind w:left="0" w:right="0" w:firstLine="480" w:firstLineChars="200"/>
              <w:contextualSpacing/>
              <w:rPr>
                <w:rFonts w:hint="default"/>
                <w:color w:val="auto"/>
                <w:sz w:val="24"/>
                <w:highlight w:val="none"/>
              </w:rPr>
            </w:pPr>
            <w:r>
              <w:rPr>
                <w:rFonts w:hint="default"/>
                <w:color w:val="auto"/>
                <w:sz w:val="24"/>
                <w:highlight w:val="none"/>
              </w:rPr>
              <w:t>噪声：主要来源于施工设备</w:t>
            </w:r>
            <w:r>
              <w:rPr>
                <w:rFonts w:hint="eastAsia"/>
                <w:color w:val="auto"/>
                <w:sz w:val="24"/>
                <w:highlight w:val="none"/>
              </w:rPr>
              <w:t>产生的设备</w:t>
            </w:r>
            <w:r>
              <w:rPr>
                <w:rFonts w:hint="default"/>
                <w:color w:val="auto"/>
                <w:sz w:val="24"/>
                <w:highlight w:val="none"/>
              </w:rPr>
              <w:t>噪声</w:t>
            </w:r>
            <w:r>
              <w:rPr>
                <w:rFonts w:hint="eastAsia"/>
                <w:color w:val="auto"/>
                <w:sz w:val="24"/>
                <w:highlight w:val="none"/>
              </w:rPr>
              <w:t>和</w:t>
            </w:r>
            <w:r>
              <w:rPr>
                <w:rFonts w:hint="default"/>
                <w:color w:val="auto"/>
                <w:sz w:val="24"/>
                <w:highlight w:val="none"/>
              </w:rPr>
              <w:t>运输车辆噪声。</w:t>
            </w:r>
          </w:p>
          <w:p w14:paraId="3A65C4BC">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固体废物：主要有建筑垃圾</w:t>
            </w:r>
            <w:r>
              <w:rPr>
                <w:rFonts w:hint="eastAsia"/>
                <w:color w:val="auto"/>
                <w:sz w:val="24"/>
                <w:highlight w:val="none"/>
              </w:rPr>
              <w:t>、</w:t>
            </w:r>
            <w:r>
              <w:rPr>
                <w:rFonts w:hint="default"/>
                <w:color w:val="auto"/>
                <w:sz w:val="24"/>
                <w:highlight w:val="none"/>
              </w:rPr>
              <w:t>废弃包装材料及施工人员</w:t>
            </w:r>
            <w:r>
              <w:rPr>
                <w:rFonts w:hint="eastAsia"/>
                <w:color w:val="auto"/>
                <w:sz w:val="24"/>
                <w:highlight w:val="none"/>
              </w:rPr>
              <w:t>产生的</w:t>
            </w:r>
            <w:r>
              <w:rPr>
                <w:rFonts w:hint="default"/>
                <w:color w:val="auto"/>
                <w:sz w:val="24"/>
                <w:highlight w:val="none"/>
              </w:rPr>
              <w:t>生活垃圾。</w:t>
            </w:r>
          </w:p>
          <w:p w14:paraId="27B83873">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default" w:ascii="Times New Roman" w:hAnsi="Times New Roman" w:eastAsia="宋体" w:cs="Times New Roman"/>
                <w:b/>
                <w:color w:val="auto"/>
                <w:sz w:val="24"/>
                <w:szCs w:val="24"/>
                <w:highlight w:val="none"/>
              </w:rPr>
              <w:t>2、</w:t>
            </w:r>
            <w:r>
              <w:rPr>
                <w:rFonts w:hint="default"/>
                <w:b/>
                <w:bCs/>
                <w:color w:val="auto"/>
                <w:sz w:val="24"/>
                <w:highlight w:val="none"/>
              </w:rPr>
              <w:t>营运期工艺流程及产污环节分析</w:t>
            </w:r>
          </w:p>
          <w:p w14:paraId="08F51354">
            <w:pPr>
              <w:keepNext w:val="0"/>
              <w:keepLines w:val="0"/>
              <w:suppressLineNumbers w:val="0"/>
              <w:spacing w:before="0" w:beforeAutospacing="0" w:after="0" w:afterAutospacing="0" w:line="360" w:lineRule="auto"/>
              <w:ind w:left="0" w:right="0" w:firstLine="482" w:firstLineChars="200"/>
              <w:textAlignment w:val="baseline"/>
              <w:rPr>
                <w:rFonts w:hint="default"/>
                <w:b/>
                <w:bCs/>
                <w:color w:val="auto"/>
                <w:sz w:val="24"/>
                <w:highlight w:val="none"/>
              </w:rPr>
            </w:pPr>
            <w:r>
              <w:rPr>
                <w:rFonts w:hint="default"/>
                <w:b/>
                <w:bCs/>
                <w:color w:val="auto"/>
                <w:sz w:val="24"/>
                <w:highlight w:val="none"/>
              </w:rPr>
              <w:t>（</w:t>
            </w:r>
            <w:r>
              <w:rPr>
                <w:rFonts w:hint="eastAsia"/>
                <w:b/>
                <w:bCs/>
                <w:color w:val="auto"/>
                <w:sz w:val="24"/>
                <w:highlight w:val="none"/>
                <w:lang w:val="en-US" w:eastAsia="zh-CN"/>
              </w:rPr>
              <w:t>1</w:t>
            </w:r>
            <w:r>
              <w:rPr>
                <w:rFonts w:hint="default"/>
                <w:b/>
                <w:bCs/>
                <w:color w:val="auto"/>
                <w:sz w:val="24"/>
                <w:highlight w:val="none"/>
              </w:rPr>
              <w:t>）营运期工艺流程</w:t>
            </w:r>
          </w:p>
          <w:p w14:paraId="6234620F">
            <w:pPr>
              <w:keepNext w:val="0"/>
              <w:keepLines w:val="0"/>
              <w:suppressLineNumbers w:val="0"/>
              <w:spacing w:before="0" w:beforeAutospacing="0" w:after="0" w:afterAutospacing="0" w:line="360" w:lineRule="auto"/>
              <w:ind w:left="0" w:right="0" w:firstLine="482" w:firstLineChars="200"/>
              <w:textAlignment w:val="baseline"/>
              <w:rPr>
                <w:rFonts w:hint="default"/>
                <w:b/>
                <w:bCs/>
                <w:color w:val="auto"/>
                <w:sz w:val="24"/>
                <w:highlight w:val="none"/>
                <w:lang w:val="en-US" w:eastAsia="zh-CN"/>
              </w:rPr>
            </w:pPr>
            <w:r>
              <w:rPr>
                <w:rFonts w:hint="eastAsia"/>
                <w:b/>
                <w:bCs/>
                <w:color w:val="auto"/>
                <w:sz w:val="24"/>
                <w:highlight w:val="none"/>
                <w:lang w:val="en-US" w:eastAsia="zh-CN"/>
              </w:rPr>
              <w:t>1）</w:t>
            </w:r>
            <w:r>
              <w:rPr>
                <w:rFonts w:hint="default"/>
                <w:b/>
                <w:bCs/>
                <w:color w:val="auto"/>
                <w:sz w:val="24"/>
                <w:highlight w:val="none"/>
                <w:lang w:val="en-US" w:eastAsia="zh-CN"/>
              </w:rPr>
              <w:t>加油加气站营运期产污情况</w:t>
            </w:r>
          </w:p>
          <w:p w14:paraId="3374F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本项目营运期仅为来往车辆提供加油服务，</w:t>
            </w:r>
            <w:r>
              <w:rPr>
                <w:rFonts w:hint="eastAsia" w:ascii="Times New Roman" w:hAnsi="Times New Roman" w:eastAsia="宋体" w:cs="Times New Roman"/>
                <w:b w:val="0"/>
                <w:bCs w:val="0"/>
                <w:color w:val="auto"/>
                <w:sz w:val="24"/>
                <w:szCs w:val="24"/>
                <w:highlight w:val="none"/>
                <w:lang w:val="en-US" w:eastAsia="zh-CN"/>
              </w:rPr>
              <w:t>并对加油车辆提供洗车增值服务，</w:t>
            </w:r>
            <w:r>
              <w:rPr>
                <w:rFonts w:hint="default" w:ascii="Times New Roman" w:hAnsi="Times New Roman" w:eastAsia="宋体" w:cs="Times New Roman"/>
                <w:b w:val="0"/>
                <w:bCs w:val="0"/>
                <w:color w:val="auto"/>
                <w:sz w:val="24"/>
                <w:szCs w:val="24"/>
                <w:highlight w:val="none"/>
                <w:lang w:val="en-US" w:eastAsia="zh-CN"/>
              </w:rPr>
              <w:t>暂不提供车辆维修服务；项目设置1栋2F的站房，其内包括：为便利店</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办公室、值班室等，主要产生生活污水和生活垃圾。</w:t>
            </w:r>
          </w:p>
          <w:p w14:paraId="56DAD0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同时，项目营运期储油罐罐体内会因长时间静止而产生一定量的废油渣，加油加气站清洗油罐的主要程序为打开油孔、抽吸油渣、排除油气、油气测试、罐内清洗、验收。项目储油罐一般3年委托专业清罐单位进行清洗，产生的少量清洗废水，由清洗单位回收处置；油罐达到使用年限后直接进行更换，储油罐更换应由具有资质的专业单位进行更换，更换的废油罐直接由该单位拉走进行处置，其中的含油废水、油渣不外排。</w:t>
            </w:r>
          </w:p>
          <w:p w14:paraId="128FA8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项目运营期工艺流程及产污环节详见下图</w:t>
            </w:r>
            <w:r>
              <w:rPr>
                <w:rFonts w:hint="eastAsia" w:ascii="Times New Roman" w:hAnsi="Times New Roman" w:eastAsia="宋体" w:cs="Times New Roman"/>
                <w:b w:val="0"/>
                <w:bCs w:val="0"/>
                <w:color w:val="auto"/>
                <w:sz w:val="24"/>
                <w:szCs w:val="24"/>
                <w:highlight w:val="none"/>
                <w:lang w:val="en-US" w:eastAsia="zh-CN"/>
              </w:rPr>
              <w:t>2-3</w:t>
            </w:r>
            <w:r>
              <w:rPr>
                <w:rFonts w:hint="default" w:ascii="Times New Roman" w:hAnsi="Times New Roman" w:eastAsia="宋体" w:cs="Times New Roman"/>
                <w:b w:val="0"/>
                <w:bCs w:val="0"/>
                <w:color w:val="auto"/>
                <w:sz w:val="24"/>
                <w:szCs w:val="24"/>
                <w:highlight w:val="none"/>
                <w:lang w:val="en-US" w:eastAsia="zh-CN"/>
              </w:rPr>
              <w:t>所示。</w:t>
            </w:r>
          </w:p>
          <w:p w14:paraId="3CBF52E8">
            <w:pPr>
              <w:keepNext w:val="0"/>
              <w:keepLines w:val="0"/>
              <w:suppressLineNumbers w:val="0"/>
              <w:spacing w:before="0" w:beforeAutospacing="0" w:after="0" w:afterAutospacing="0"/>
              <w:ind w:left="0" w:right="0"/>
              <w:jc w:val="center"/>
              <w:rPr>
                <w:rFonts w:hint="default"/>
                <w:b/>
                <w:bCs/>
                <w:color w:val="auto"/>
                <w:kern w:val="2"/>
                <w:sz w:val="21"/>
                <w:szCs w:val="21"/>
                <w:highlight w:val="none"/>
              </w:rPr>
            </w:pPr>
            <w:r>
              <w:rPr>
                <w:rFonts w:hint="eastAsia"/>
                <w:color w:val="auto"/>
                <w:szCs w:val="36"/>
                <w:highlight w:val="none"/>
              </w:rPr>
              <w:object>
                <v:shape id="_x0000_i1026" o:spt="75" type="#_x0000_t75" style="height:226pt;width:388.3pt;" o:ole="t" filled="f" o:preferrelative="t" stroked="f" coordsize="21600,21600">
                  <v:path/>
                  <v:fill on="f" focussize="0,0"/>
                  <v:stroke on="f"/>
                  <v:imagedata r:id="rId17" cropleft="104f" croptop="2754f" cropright="3967f" cropbottom="25714f" o:title=""/>
                  <o:lock v:ext="edit" aspectratio="f"/>
                  <w10:wrap type="none"/>
                  <w10:anchorlock/>
                </v:shape>
                <o:OLEObject Type="Embed" ProgID="Visio.Drawing.11" ShapeID="_x0000_i1026" DrawAspect="Content" ObjectID="_1468075726" r:id="rId16">
                  <o:LockedField>false</o:LockedField>
                </o:OLEObject>
              </w:object>
            </w:r>
            <w:r>
              <w:rPr>
                <w:rFonts w:hint="eastAsia" w:ascii="Times New Roman" w:hAnsi="Times New Roman" w:eastAsia="黑体" w:cs="Times New Roman"/>
                <w:b/>
                <w:bCs/>
                <w:color w:val="auto"/>
                <w:kern w:val="0"/>
                <w:sz w:val="20"/>
                <w:szCs w:val="20"/>
                <w:highlight w:val="none"/>
                <w:lang w:val="en-US" w:eastAsia="zh-CN" w:bidi="ar-SA"/>
              </w:rPr>
              <w:t>图2-3</w:t>
            </w:r>
            <w:r>
              <w:rPr>
                <w:rFonts w:hint="default" w:ascii="Times New Roman" w:hAnsi="Times New Roman" w:eastAsia="黑体" w:cs="Times New Roman"/>
                <w:b/>
                <w:bCs/>
                <w:color w:val="auto"/>
                <w:kern w:val="0"/>
                <w:sz w:val="20"/>
                <w:szCs w:val="20"/>
                <w:highlight w:val="none"/>
                <w:lang w:val="en-US" w:eastAsia="zh-CN" w:bidi="ar-SA"/>
              </w:rPr>
              <w:t xml:space="preserve"> 项目营运期工艺流程及产污环节图</w:t>
            </w:r>
          </w:p>
          <w:p w14:paraId="0E78B3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加油工序工艺流程</w:t>
            </w:r>
          </w:p>
          <w:p w14:paraId="0214C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①工艺流程</w:t>
            </w:r>
          </w:p>
          <w:p w14:paraId="0AAD3D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油品由专用罐车拉运至站内卸油场，通过密闭接头连接油槽车和卸油口，以自流方式卸油，油品按照不同规格分别固定贮存于地埋式钢制油罐中。给汽车加油时，通过加油机将油品计量打入汽车油箱。油罐车卸油和加油机加油配有油气回收系统，整个工艺密闭作业。项目营运期加油工艺流程及产污环节见下图</w:t>
            </w:r>
            <w:r>
              <w:rPr>
                <w:rFonts w:hint="eastAsia" w:ascii="Times New Roman" w:hAnsi="Times New Roman" w:eastAsia="宋体" w:cs="Times New Roman"/>
                <w:b w:val="0"/>
                <w:bCs w:val="0"/>
                <w:color w:val="auto"/>
                <w:sz w:val="24"/>
                <w:szCs w:val="24"/>
                <w:highlight w:val="none"/>
                <w:lang w:val="en-US" w:eastAsia="zh-CN"/>
              </w:rPr>
              <w:t>2-4</w:t>
            </w:r>
            <w:r>
              <w:rPr>
                <w:rFonts w:hint="default" w:ascii="Times New Roman" w:hAnsi="Times New Roman" w:eastAsia="宋体" w:cs="Times New Roman"/>
                <w:b w:val="0"/>
                <w:bCs w:val="0"/>
                <w:color w:val="auto"/>
                <w:sz w:val="24"/>
                <w:szCs w:val="24"/>
                <w:highlight w:val="none"/>
                <w:lang w:val="en-US" w:eastAsia="zh-CN"/>
              </w:rPr>
              <w:t>所示。</w:t>
            </w:r>
          </w:p>
          <w:p w14:paraId="3EFA833E">
            <w:pPr>
              <w:keepNext w:val="0"/>
              <w:keepLines w:val="0"/>
              <w:suppressLineNumbers w:val="0"/>
              <w:spacing w:before="0" w:beforeAutospacing="0" w:after="0" w:afterAutospacing="0"/>
              <w:ind w:left="0" w:right="0"/>
              <w:jc w:val="center"/>
              <w:rPr>
                <w:rFonts w:hint="eastAsia" w:ascii="Times New Roman" w:hAnsi="Times New Roman" w:eastAsia="黑体" w:cs="Times New Roman"/>
                <w:b/>
                <w:bCs/>
                <w:color w:val="auto"/>
                <w:kern w:val="0"/>
                <w:sz w:val="20"/>
                <w:szCs w:val="20"/>
                <w:highlight w:val="none"/>
                <w:lang w:val="en-US" w:eastAsia="zh-CN" w:bidi="ar-SA"/>
              </w:rPr>
            </w:pPr>
            <w:r>
              <w:rPr>
                <w:rFonts w:hint="default"/>
                <w:color w:val="auto"/>
                <w:highlight w:val="none"/>
              </w:rPr>
              <w:object>
                <v:shape id="_x0000_i1027" o:spt="75" type="#_x0000_t75" style="height:124.35pt;width:398.45pt;" o:ole="t" filled="f" o:preferrelative="t" stroked="f" coordsize="21600,21600">
                  <v:path/>
                  <v:fill on="f" focussize="0,0"/>
                  <v:stroke on="f"/>
                  <v:imagedata r:id="rId19" o:title=""/>
                  <o:lock v:ext="edit" aspectratio="t"/>
                  <w10:wrap type="none"/>
                  <w10:anchorlock/>
                </v:shape>
                <o:OLEObject Type="Embed" ProgID="Visio.DrawingConvertable.15" ShapeID="_x0000_i1027" DrawAspect="Content" ObjectID="_1468075727" r:id="rId18">
                  <o:LockedField>false</o:LockedField>
                </o:OLEObject>
              </w:object>
            </w:r>
            <w:r>
              <w:rPr>
                <w:rFonts w:hint="eastAsia" w:ascii="Times New Roman" w:hAnsi="Times New Roman" w:eastAsia="黑体" w:cs="Times New Roman"/>
                <w:b/>
                <w:bCs/>
                <w:color w:val="auto"/>
                <w:kern w:val="0"/>
                <w:sz w:val="20"/>
                <w:szCs w:val="20"/>
                <w:highlight w:val="none"/>
                <w:lang w:val="en-US" w:eastAsia="zh-CN" w:bidi="ar-SA"/>
              </w:rPr>
              <w:t>图2-4 项目营运期加油工艺流程及产污环节图</w:t>
            </w:r>
          </w:p>
          <w:p w14:paraId="7B55F6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②工艺流程简述：</w:t>
            </w:r>
          </w:p>
          <w:p w14:paraId="63F153A7">
            <w:pPr>
              <w:keepNext w:val="0"/>
              <w:keepLines w:val="0"/>
              <w:suppressLineNumbers w:val="0"/>
              <w:spacing w:before="0" w:beforeAutospacing="0" w:after="0" w:afterAutospacing="0" w:line="360" w:lineRule="auto"/>
              <w:ind w:left="0" w:right="0" w:firstLine="480" w:firstLineChars="200"/>
              <w:contextualSpacing/>
              <w:rPr>
                <w:rFonts w:hint="default"/>
                <w:color w:val="auto"/>
                <w:sz w:val="24"/>
                <w:highlight w:val="none"/>
              </w:rPr>
            </w:pPr>
            <w:r>
              <w:rPr>
                <w:rFonts w:hint="eastAsia"/>
                <w:color w:val="auto"/>
                <w:sz w:val="24"/>
                <w:highlight w:val="none"/>
                <w:lang w:val="en-US" w:eastAsia="zh-CN"/>
              </w:rPr>
              <w:t>A</w:t>
            </w:r>
            <w:r>
              <w:rPr>
                <w:rFonts w:hint="default"/>
                <w:color w:val="auto"/>
                <w:sz w:val="24"/>
                <w:highlight w:val="none"/>
              </w:rPr>
              <w:t>卸油：由成品油罐车将燃料油运至加油站处，采用浸没式密闭卸油方式，将燃料油分别卸到各埋地式储油罐中。在卸油过程中，由于机械力的作用，加剧了油品的挥发程度，产生了油气。而储油罐中的气体空间随着油品的液位升高而减少，气体压力增大。为保持压力的平衡，一部分气体通过呼吸阀排出汽车槽车</w:t>
            </w:r>
            <w:r>
              <w:rPr>
                <w:rFonts w:hint="eastAsia"/>
                <w:color w:val="auto"/>
                <w:sz w:val="24"/>
                <w:highlight w:val="none"/>
              </w:rPr>
              <w:t>（</w:t>
            </w:r>
            <w:r>
              <w:rPr>
                <w:rFonts w:hint="default"/>
                <w:color w:val="auto"/>
                <w:sz w:val="24"/>
                <w:highlight w:val="none"/>
              </w:rPr>
              <w:t>此过程为</w:t>
            </w:r>
            <w:r>
              <w:rPr>
                <w:rFonts w:hint="eastAsia"/>
                <w:color w:val="auto"/>
                <w:sz w:val="24"/>
                <w:highlight w:val="none"/>
              </w:rPr>
              <w:t>“</w:t>
            </w:r>
            <w:r>
              <w:rPr>
                <w:rFonts w:hint="default"/>
                <w:color w:val="auto"/>
                <w:sz w:val="24"/>
                <w:highlight w:val="none"/>
              </w:rPr>
              <w:t>大呼吸</w:t>
            </w:r>
            <w:r>
              <w:rPr>
                <w:rFonts w:hint="eastAsia"/>
                <w:color w:val="auto"/>
                <w:sz w:val="24"/>
                <w:highlight w:val="none"/>
              </w:rPr>
              <w:t>”）</w:t>
            </w:r>
            <w:r>
              <w:rPr>
                <w:rFonts w:hint="default"/>
                <w:color w:val="auto"/>
                <w:sz w:val="24"/>
                <w:highlight w:val="none"/>
              </w:rPr>
              <w:t>，卸油油气回收系统主要是针对这一部分逃逸的气体而设计的，其基本原理就是用导管将逃逸的油气重新输送回油罐车里，完成油气循环的卸油过程，回收油气效率约为9</w:t>
            </w:r>
            <w:r>
              <w:rPr>
                <w:rFonts w:hint="eastAsia"/>
                <w:color w:val="auto"/>
                <w:sz w:val="24"/>
                <w:highlight w:val="none"/>
              </w:rPr>
              <w:t>0</w:t>
            </w:r>
            <w:r>
              <w:rPr>
                <w:rFonts w:hint="default"/>
                <w:color w:val="auto"/>
                <w:sz w:val="24"/>
                <w:highlight w:val="none"/>
              </w:rPr>
              <w:t>%。</w:t>
            </w:r>
          </w:p>
          <w:p w14:paraId="33E35304">
            <w:pPr>
              <w:keepNext w:val="0"/>
              <w:keepLines w:val="0"/>
              <w:suppressLineNumbers w:val="0"/>
              <w:spacing w:before="0" w:beforeAutospacing="0" w:after="0" w:afterAutospacing="0" w:line="360" w:lineRule="auto"/>
              <w:ind w:left="0" w:right="0" w:firstLine="480" w:firstLineChars="200"/>
              <w:contextualSpacing/>
              <w:rPr>
                <w:rFonts w:hint="eastAsia"/>
                <w:color w:val="auto"/>
                <w:sz w:val="24"/>
                <w:highlight w:val="none"/>
              </w:rPr>
            </w:pPr>
            <w:r>
              <w:rPr>
                <w:rFonts w:hint="eastAsia"/>
                <w:color w:val="auto"/>
                <w:sz w:val="24"/>
                <w:szCs w:val="24"/>
                <w:highlight w:val="none"/>
                <w:lang w:val="en-US" w:eastAsia="zh-CN"/>
              </w:rPr>
              <w:t>B</w:t>
            </w:r>
            <w:r>
              <w:rPr>
                <w:rFonts w:hint="default"/>
                <w:color w:val="auto"/>
                <w:sz w:val="24"/>
                <w:szCs w:val="24"/>
                <w:highlight w:val="none"/>
              </w:rPr>
              <w:t>储油：</w:t>
            </w:r>
            <w:r>
              <w:rPr>
                <w:rFonts w:hint="eastAsia" w:ascii="宋体" w:hAnsi="宋体" w:cs="宋体"/>
                <w:color w:val="auto"/>
                <w:spacing w:val="2"/>
                <w:sz w:val="24"/>
                <w:szCs w:val="24"/>
                <w:highlight w:val="none"/>
              </w:rPr>
              <w:t>本项目设置</w:t>
            </w:r>
            <w:r>
              <w:rPr>
                <w:rFonts w:hint="eastAsia" w:eastAsia="宋体"/>
                <w:color w:val="auto"/>
                <w:spacing w:val="2"/>
                <w:sz w:val="24"/>
                <w:szCs w:val="24"/>
                <w:highlight w:val="none"/>
                <w:lang w:val="en-US" w:eastAsia="zh-CN"/>
              </w:rPr>
              <w:t>4</w:t>
            </w:r>
            <w:r>
              <w:rPr>
                <w:rFonts w:hint="eastAsia" w:ascii="宋体" w:hAnsi="宋体" w:cs="宋体"/>
                <w:color w:val="auto"/>
                <w:spacing w:val="2"/>
                <w:sz w:val="24"/>
                <w:szCs w:val="24"/>
                <w:highlight w:val="none"/>
              </w:rPr>
              <w:t>座地埋油罐，其中，</w:t>
            </w:r>
            <w:r>
              <w:rPr>
                <w:rFonts w:hint="eastAsia" w:eastAsia="宋体"/>
                <w:color w:val="auto"/>
                <w:spacing w:val="2"/>
                <w:sz w:val="24"/>
                <w:szCs w:val="24"/>
                <w:highlight w:val="none"/>
                <w:lang w:val="en-US" w:eastAsia="zh-CN"/>
              </w:rPr>
              <w:t>20</w:t>
            </w:r>
            <w:r>
              <w:rPr>
                <w:rFonts w:hint="default" w:eastAsia="Times New Roman"/>
                <w:color w:val="auto"/>
                <w:spacing w:val="2"/>
                <w:sz w:val="24"/>
                <w:szCs w:val="24"/>
                <w:highlight w:val="none"/>
              </w:rPr>
              <w:t>m</w:t>
            </w:r>
            <w:r>
              <w:rPr>
                <w:rFonts w:hint="default" w:eastAsia="Times New Roman"/>
                <w:color w:val="auto"/>
                <w:spacing w:val="2"/>
                <w:sz w:val="24"/>
                <w:szCs w:val="24"/>
                <w:highlight w:val="none"/>
                <w:vertAlign w:val="superscript"/>
              </w:rPr>
              <w:t>3</w:t>
            </w:r>
            <w:r>
              <w:rPr>
                <w:rFonts w:hint="eastAsia" w:ascii="宋体" w:hAnsi="宋体" w:cs="宋体"/>
                <w:color w:val="auto"/>
                <w:spacing w:val="2"/>
                <w:sz w:val="24"/>
                <w:szCs w:val="24"/>
                <w:highlight w:val="none"/>
              </w:rPr>
              <w:t>油罐</w:t>
            </w:r>
            <w:r>
              <w:rPr>
                <w:rFonts w:hint="default" w:eastAsia="Times New Roman"/>
                <w:color w:val="auto"/>
                <w:spacing w:val="2"/>
                <w:sz w:val="24"/>
                <w:szCs w:val="24"/>
                <w:highlight w:val="none"/>
              </w:rPr>
              <w:t>92#</w:t>
            </w:r>
            <w:r>
              <w:rPr>
                <w:rFonts w:hint="eastAsia" w:ascii="宋体" w:hAnsi="宋体" w:cs="宋体"/>
                <w:color w:val="auto"/>
                <w:spacing w:val="2"/>
                <w:sz w:val="24"/>
                <w:szCs w:val="24"/>
                <w:highlight w:val="none"/>
              </w:rPr>
              <w:t>汽油、</w:t>
            </w:r>
            <w:r>
              <w:rPr>
                <w:rFonts w:hint="eastAsia" w:eastAsia="宋体"/>
                <w:color w:val="auto"/>
                <w:spacing w:val="2"/>
                <w:sz w:val="24"/>
                <w:szCs w:val="24"/>
                <w:highlight w:val="none"/>
                <w:lang w:val="en-US" w:eastAsia="zh-CN"/>
              </w:rPr>
              <w:t>20</w:t>
            </w:r>
            <w:r>
              <w:rPr>
                <w:rFonts w:hint="default" w:eastAsia="Times New Roman"/>
                <w:color w:val="auto"/>
                <w:spacing w:val="2"/>
                <w:sz w:val="24"/>
                <w:szCs w:val="24"/>
                <w:highlight w:val="none"/>
              </w:rPr>
              <w:t>m</w:t>
            </w:r>
            <w:r>
              <w:rPr>
                <w:rFonts w:hint="default" w:eastAsia="Times New Roman"/>
                <w:color w:val="auto"/>
                <w:spacing w:val="2"/>
                <w:sz w:val="24"/>
                <w:szCs w:val="24"/>
                <w:highlight w:val="none"/>
                <w:vertAlign w:val="superscript"/>
              </w:rPr>
              <w:t>3</w:t>
            </w:r>
            <w:r>
              <w:rPr>
                <w:rFonts w:hint="eastAsia" w:ascii="宋体" w:hAnsi="宋体" w:cs="宋体"/>
                <w:color w:val="auto"/>
                <w:spacing w:val="2"/>
                <w:sz w:val="24"/>
                <w:szCs w:val="24"/>
                <w:highlight w:val="none"/>
              </w:rPr>
              <w:t>油罐</w:t>
            </w:r>
            <w:r>
              <w:rPr>
                <w:rFonts w:hint="eastAsia" w:eastAsia="Times New Roman"/>
                <w:color w:val="auto"/>
                <w:spacing w:val="2"/>
                <w:sz w:val="24"/>
                <w:szCs w:val="24"/>
                <w:highlight w:val="none"/>
              </w:rPr>
              <w:t>95</w:t>
            </w:r>
            <w:r>
              <w:rPr>
                <w:rFonts w:hint="default" w:eastAsia="Times New Roman"/>
                <w:color w:val="auto"/>
                <w:spacing w:val="2"/>
                <w:sz w:val="24"/>
                <w:szCs w:val="24"/>
                <w:highlight w:val="none"/>
              </w:rPr>
              <w:t>#</w:t>
            </w:r>
            <w:r>
              <w:rPr>
                <w:rFonts w:hint="eastAsia" w:ascii="宋体" w:hAnsi="宋体" w:cs="宋体"/>
                <w:color w:val="auto"/>
                <w:spacing w:val="2"/>
                <w:sz w:val="24"/>
                <w:szCs w:val="24"/>
                <w:highlight w:val="none"/>
              </w:rPr>
              <w:t>汽油各</w:t>
            </w:r>
            <w:r>
              <w:rPr>
                <w:rFonts w:hint="default" w:eastAsia="Times New Roman"/>
                <w:color w:val="auto"/>
                <w:spacing w:val="2"/>
                <w:sz w:val="24"/>
                <w:szCs w:val="24"/>
                <w:highlight w:val="none"/>
              </w:rPr>
              <w:t>1</w:t>
            </w:r>
            <w:r>
              <w:rPr>
                <w:rFonts w:hint="eastAsia" w:ascii="宋体" w:hAnsi="宋体" w:cs="宋体"/>
                <w:color w:val="auto"/>
                <w:spacing w:val="2"/>
                <w:sz w:val="24"/>
                <w:szCs w:val="24"/>
                <w:highlight w:val="none"/>
              </w:rPr>
              <w:t>座，</w:t>
            </w:r>
            <w:r>
              <w:rPr>
                <w:rFonts w:hint="eastAsia" w:eastAsia="宋体"/>
                <w:color w:val="auto"/>
                <w:spacing w:val="2"/>
                <w:sz w:val="24"/>
                <w:szCs w:val="24"/>
                <w:highlight w:val="none"/>
                <w:lang w:val="en-US" w:eastAsia="zh-CN"/>
              </w:rPr>
              <w:t>30</w:t>
            </w:r>
            <w:r>
              <w:rPr>
                <w:rFonts w:hint="default" w:eastAsia="Times New Roman"/>
                <w:color w:val="auto"/>
                <w:spacing w:val="2"/>
                <w:sz w:val="24"/>
                <w:szCs w:val="24"/>
                <w:highlight w:val="none"/>
              </w:rPr>
              <w:t>m</w:t>
            </w:r>
            <w:r>
              <w:rPr>
                <w:rFonts w:hint="default" w:eastAsia="Times New Roman"/>
                <w:color w:val="auto"/>
                <w:spacing w:val="2"/>
                <w:sz w:val="24"/>
                <w:szCs w:val="24"/>
                <w:highlight w:val="none"/>
                <w:vertAlign w:val="superscript"/>
              </w:rPr>
              <w:t>3</w:t>
            </w:r>
            <w:r>
              <w:rPr>
                <w:rFonts w:hint="eastAsia" w:ascii="宋体" w:hAnsi="宋体" w:cs="宋体"/>
                <w:color w:val="auto"/>
                <w:spacing w:val="2"/>
                <w:sz w:val="24"/>
                <w:szCs w:val="24"/>
                <w:highlight w:val="none"/>
              </w:rPr>
              <w:t>油罐</w:t>
            </w:r>
            <w:r>
              <w:rPr>
                <w:rFonts w:hint="eastAsia" w:eastAsia="Times New Roman"/>
                <w:color w:val="auto"/>
                <w:spacing w:val="2"/>
                <w:sz w:val="24"/>
                <w:szCs w:val="24"/>
                <w:highlight w:val="none"/>
              </w:rPr>
              <w:t>0</w:t>
            </w:r>
            <w:r>
              <w:rPr>
                <w:rFonts w:hint="default" w:eastAsia="Times New Roman"/>
                <w:color w:val="auto"/>
                <w:spacing w:val="2"/>
                <w:sz w:val="24"/>
                <w:szCs w:val="24"/>
                <w:highlight w:val="none"/>
              </w:rPr>
              <w:t>#</w:t>
            </w:r>
            <w:r>
              <w:rPr>
                <w:rFonts w:hint="eastAsia" w:ascii="宋体" w:hAnsi="宋体" w:cs="宋体"/>
                <w:color w:val="auto"/>
                <w:spacing w:val="2"/>
                <w:sz w:val="24"/>
                <w:szCs w:val="24"/>
                <w:highlight w:val="none"/>
              </w:rPr>
              <w:t>柴油</w:t>
            </w:r>
            <w:r>
              <w:rPr>
                <w:rFonts w:hint="eastAsia" w:eastAsia="宋体"/>
                <w:color w:val="auto"/>
                <w:spacing w:val="2"/>
                <w:sz w:val="24"/>
                <w:szCs w:val="24"/>
                <w:highlight w:val="none"/>
                <w:lang w:val="en-US" w:eastAsia="zh-CN"/>
              </w:rPr>
              <w:t>2</w:t>
            </w:r>
            <w:r>
              <w:rPr>
                <w:rFonts w:hint="eastAsia" w:ascii="宋体" w:hAnsi="宋体" w:cs="宋体"/>
                <w:color w:val="auto"/>
                <w:spacing w:val="2"/>
                <w:sz w:val="24"/>
                <w:szCs w:val="24"/>
                <w:highlight w:val="none"/>
              </w:rPr>
              <w:t>座，油罐区总容积为</w:t>
            </w:r>
            <w:r>
              <w:rPr>
                <w:rFonts w:hint="default"/>
                <w:color w:val="auto"/>
                <w:sz w:val="24"/>
                <w:szCs w:val="24"/>
                <w:highlight w:val="none"/>
              </w:rPr>
              <w:t>1</w:t>
            </w:r>
            <w:r>
              <w:rPr>
                <w:rFonts w:hint="eastAsia"/>
                <w:color w:val="auto"/>
                <w:sz w:val="24"/>
                <w:szCs w:val="24"/>
                <w:highlight w:val="none"/>
                <w:lang w:val="en-US" w:eastAsia="zh-CN"/>
              </w:rPr>
              <w:t>0</w:t>
            </w:r>
            <w:r>
              <w:rPr>
                <w:rFonts w:hint="default"/>
                <w:color w:val="auto"/>
                <w:sz w:val="24"/>
                <w:szCs w:val="24"/>
                <w:highlight w:val="none"/>
              </w:rPr>
              <w:t>0m</w:t>
            </w:r>
            <w:r>
              <w:rPr>
                <w:rFonts w:hint="eastAsia"/>
                <w:color w:val="auto"/>
                <w:sz w:val="24"/>
                <w:szCs w:val="24"/>
                <w:highlight w:val="none"/>
                <w:vertAlign w:val="superscript"/>
              </w:rPr>
              <w:t>3</w:t>
            </w:r>
            <w:r>
              <w:rPr>
                <w:rFonts w:hint="eastAsia"/>
                <w:color w:val="auto"/>
                <w:sz w:val="24"/>
                <w:szCs w:val="24"/>
                <w:highlight w:val="none"/>
              </w:rPr>
              <w:t>，总储存能力为</w:t>
            </w:r>
            <w:r>
              <w:rPr>
                <w:rFonts w:hint="eastAsia"/>
                <w:color w:val="auto"/>
                <w:sz w:val="24"/>
                <w:szCs w:val="24"/>
                <w:highlight w:val="none"/>
                <w:lang w:val="en-US" w:eastAsia="zh-CN"/>
              </w:rPr>
              <w:t>70</w:t>
            </w:r>
            <w:r>
              <w:rPr>
                <w:rFonts w:hint="default"/>
                <w:color w:val="auto"/>
                <w:sz w:val="24"/>
                <w:szCs w:val="24"/>
                <w:highlight w:val="none"/>
              </w:rPr>
              <w:t>m</w:t>
            </w:r>
            <w:r>
              <w:rPr>
                <w:rFonts w:hint="default"/>
                <w:color w:val="auto"/>
                <w:sz w:val="24"/>
                <w:szCs w:val="24"/>
                <w:highlight w:val="none"/>
                <w:vertAlign w:val="superscript"/>
              </w:rPr>
              <w:t>3</w:t>
            </w:r>
            <w:r>
              <w:rPr>
                <w:rFonts w:hint="eastAsia" w:ascii="宋体" w:hAnsi="宋体" w:cs="宋体"/>
                <w:color w:val="auto"/>
                <w:spacing w:val="2"/>
                <w:sz w:val="24"/>
                <w:szCs w:val="24"/>
                <w:highlight w:val="none"/>
              </w:rPr>
              <w:t>（柴油折半计）。汽</w:t>
            </w:r>
            <w:r>
              <w:rPr>
                <w:rFonts w:hint="default"/>
                <w:color w:val="auto"/>
                <w:sz w:val="24"/>
                <w:szCs w:val="24"/>
                <w:highlight w:val="none"/>
              </w:rPr>
              <w:t>油、柴油在</w:t>
            </w:r>
            <w:r>
              <w:rPr>
                <w:rFonts w:hint="default"/>
                <w:color w:val="auto"/>
                <w:sz w:val="24"/>
                <w:highlight w:val="none"/>
              </w:rPr>
              <w:t>储存罐中常压储存。储油罐采用地埋卧式双层油罐，采用电子式液位计进行汽油密闭测量，预防溢油事故，并安装二次油气回收装置。在油罐的顶板上安装机械呼吸阀，由压力阀和真空阀组成，当罐内油气压力大于油罐允许压力时，油蒸汽经过压力阀外逸</w:t>
            </w:r>
            <w:r>
              <w:rPr>
                <w:rFonts w:hint="eastAsia"/>
                <w:color w:val="auto"/>
                <w:sz w:val="24"/>
                <w:highlight w:val="none"/>
              </w:rPr>
              <w:t>（</w:t>
            </w:r>
            <w:r>
              <w:rPr>
                <w:rFonts w:hint="default"/>
                <w:color w:val="auto"/>
                <w:sz w:val="24"/>
                <w:highlight w:val="none"/>
              </w:rPr>
              <w:t>外逸油蒸汽进入二次油气回收系统</w:t>
            </w:r>
            <w:r>
              <w:rPr>
                <w:rFonts w:hint="eastAsia"/>
                <w:color w:val="auto"/>
                <w:sz w:val="24"/>
                <w:highlight w:val="none"/>
              </w:rPr>
              <w:t>）</w:t>
            </w:r>
            <w:r>
              <w:rPr>
                <w:rFonts w:hint="default"/>
                <w:color w:val="auto"/>
                <w:sz w:val="24"/>
                <w:highlight w:val="none"/>
              </w:rPr>
              <w:t>，此时真空阀处于关闭状态；当罐内油气压力小于油罐允许的真空度时，新鲜空气通过真空阀进入罐内，此时压力阀处于关闭状态。允许压力靠调节盘的重量来控制。通过调节平衡油罐内外压力，对油罐储油起到安全保护作用。采用储油油气回收系统将埋地油罐随大气压和气温变化产生正压时排放的油气回收至储罐，回收效率约为90%。</w:t>
            </w:r>
          </w:p>
          <w:p w14:paraId="2B467C43">
            <w:pPr>
              <w:keepNext w:val="0"/>
              <w:keepLines w:val="0"/>
              <w:suppressLineNumbers w:val="0"/>
              <w:spacing w:before="0" w:beforeAutospacing="0" w:after="0" w:afterAutospacing="0" w:line="360" w:lineRule="auto"/>
              <w:ind w:left="0" w:right="0" w:firstLine="480" w:firstLineChars="200"/>
              <w:contextualSpacing/>
              <w:rPr>
                <w:rFonts w:hint="eastAsia"/>
                <w:color w:val="auto"/>
                <w:sz w:val="24"/>
                <w:highlight w:val="none"/>
              </w:rPr>
            </w:pPr>
            <w:r>
              <w:rPr>
                <w:rFonts w:hint="eastAsia"/>
                <w:color w:val="auto"/>
                <w:sz w:val="24"/>
                <w:highlight w:val="none"/>
                <w:lang w:val="en-US" w:eastAsia="zh-CN"/>
              </w:rPr>
              <w:t>C</w:t>
            </w:r>
            <w:r>
              <w:rPr>
                <w:rFonts w:hint="default"/>
                <w:color w:val="auto"/>
                <w:sz w:val="24"/>
                <w:highlight w:val="none"/>
              </w:rPr>
              <w:t>加油：加油机选用自动税控计量加油，加油枪为油气回收型加油枪。工作人员根据顾客需要的品种和数量在加油机上预置，确认油品无误，提枪加油，进行油品加注时，加油机本身自带的泵将油品由储油罐吸到加油机内，加油机发油采用自吸式油枪的配套加油工艺，埋地油罐内的油品由加油机自吸泵通过管道输送至加油机向汽车加油，加油完毕后收枪复位。加油过程中产生的油气采用真空辅助方式密闭收集；加油软管配备拉断截止阀防止溢油滴油。加油油气回收系统回收油气效率约为90%。</w:t>
            </w:r>
          </w:p>
          <w:p w14:paraId="0F5A67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③油气回收系统回收流程</w:t>
            </w:r>
          </w:p>
          <w:p w14:paraId="16B513DC">
            <w:pPr>
              <w:keepNext w:val="0"/>
              <w:keepLines w:val="0"/>
              <w:suppressLineNumbers w:val="0"/>
              <w:spacing w:before="0" w:beforeAutospacing="0" w:after="0" w:afterAutospacing="0" w:line="360" w:lineRule="auto"/>
              <w:ind w:left="0" w:right="0" w:firstLine="480" w:firstLineChars="200"/>
              <w:contextualSpacing/>
              <w:rPr>
                <w:rFonts w:hint="default"/>
                <w:color w:val="auto"/>
                <w:sz w:val="24"/>
                <w:highlight w:val="none"/>
              </w:rPr>
            </w:pPr>
            <w:r>
              <w:rPr>
                <w:rFonts w:hint="default"/>
                <w:color w:val="auto"/>
                <w:sz w:val="24"/>
                <w:highlight w:val="none"/>
              </w:rPr>
              <w:t>本加油站采用地埋式储油罐，卸油方式为密闭卸油，密闭性较好。为减少加油站卸油、储油过程造成的挥发性油气无组织排放，项目拟采取以密闭收集为基础的油气回收系统，包括卸油</w:t>
            </w:r>
            <w:r>
              <w:rPr>
                <w:rFonts w:hint="eastAsia"/>
                <w:color w:val="auto"/>
                <w:sz w:val="24"/>
                <w:highlight w:val="none"/>
              </w:rPr>
              <w:t>（</w:t>
            </w:r>
            <w:r>
              <w:rPr>
                <w:rFonts w:hint="default"/>
                <w:color w:val="auto"/>
                <w:sz w:val="24"/>
                <w:highlight w:val="none"/>
              </w:rPr>
              <w:t>一次</w:t>
            </w:r>
            <w:r>
              <w:rPr>
                <w:rFonts w:hint="eastAsia"/>
                <w:color w:val="auto"/>
                <w:sz w:val="24"/>
                <w:highlight w:val="none"/>
              </w:rPr>
              <w:t>）</w:t>
            </w:r>
            <w:r>
              <w:rPr>
                <w:rFonts w:hint="default"/>
                <w:color w:val="auto"/>
                <w:sz w:val="24"/>
                <w:highlight w:val="none"/>
              </w:rPr>
              <w:t>油气回收系统、分散式加油</w:t>
            </w:r>
            <w:r>
              <w:rPr>
                <w:rFonts w:hint="eastAsia"/>
                <w:color w:val="auto"/>
                <w:sz w:val="24"/>
                <w:highlight w:val="none"/>
              </w:rPr>
              <w:t>（</w:t>
            </w:r>
            <w:r>
              <w:rPr>
                <w:rFonts w:hint="default"/>
                <w:color w:val="auto"/>
                <w:sz w:val="24"/>
                <w:highlight w:val="none"/>
              </w:rPr>
              <w:t>二次</w:t>
            </w:r>
            <w:r>
              <w:rPr>
                <w:rFonts w:hint="eastAsia"/>
                <w:color w:val="auto"/>
                <w:sz w:val="24"/>
                <w:highlight w:val="none"/>
              </w:rPr>
              <w:t>）</w:t>
            </w:r>
            <w:r>
              <w:rPr>
                <w:rFonts w:hint="default"/>
                <w:color w:val="auto"/>
                <w:sz w:val="24"/>
                <w:highlight w:val="none"/>
              </w:rPr>
              <w:t>油气回收系统</w:t>
            </w:r>
            <w:r>
              <w:rPr>
                <w:rFonts w:hint="eastAsia"/>
                <w:color w:val="auto"/>
                <w:sz w:val="24"/>
                <w:highlight w:val="none"/>
              </w:rPr>
              <w:t>、储油（三次）油气回收系统</w:t>
            </w:r>
            <w:r>
              <w:rPr>
                <w:rFonts w:hint="default"/>
                <w:color w:val="auto"/>
                <w:sz w:val="24"/>
                <w:highlight w:val="none"/>
              </w:rPr>
              <w:t>。其中卸油油气回收系统回收效率为9</w:t>
            </w:r>
            <w:r>
              <w:rPr>
                <w:rFonts w:hint="eastAsia"/>
                <w:color w:val="auto"/>
                <w:sz w:val="24"/>
                <w:highlight w:val="none"/>
              </w:rPr>
              <w:t>0</w:t>
            </w:r>
            <w:r>
              <w:rPr>
                <w:rFonts w:hint="default"/>
                <w:color w:val="auto"/>
                <w:sz w:val="24"/>
                <w:highlight w:val="none"/>
              </w:rPr>
              <w:t>%，加油油气回收系统回收效率为90%</w:t>
            </w:r>
            <w:r>
              <w:rPr>
                <w:rFonts w:hint="eastAsia"/>
                <w:color w:val="auto"/>
                <w:sz w:val="24"/>
                <w:highlight w:val="none"/>
              </w:rPr>
              <w:t>，储油油气回收系统回收效率约为90%。</w:t>
            </w:r>
          </w:p>
          <w:p w14:paraId="2CC5805E">
            <w:pPr>
              <w:keepNext w:val="0"/>
              <w:keepLines w:val="0"/>
              <w:suppressLineNumbers w:val="0"/>
              <w:spacing w:before="0" w:beforeAutospacing="0" w:after="0" w:afterAutospacing="0" w:line="360" w:lineRule="auto"/>
              <w:ind w:left="0" w:right="0" w:firstLine="480" w:firstLineChars="200"/>
              <w:contextualSpacing/>
              <w:rPr>
                <w:rFonts w:hint="default"/>
                <w:color w:val="auto"/>
                <w:sz w:val="24"/>
                <w:highlight w:val="none"/>
              </w:rPr>
            </w:pPr>
            <w:r>
              <w:rPr>
                <w:rFonts w:hint="eastAsia"/>
                <w:color w:val="auto"/>
                <w:sz w:val="24"/>
                <w:highlight w:val="none"/>
              </w:rPr>
              <w:t>卸油和分散式加油</w:t>
            </w:r>
            <w:r>
              <w:rPr>
                <w:rFonts w:hint="default"/>
                <w:color w:val="auto"/>
                <w:sz w:val="24"/>
                <w:highlight w:val="none"/>
              </w:rPr>
              <w:t>油气回收系统采用加压法回收工艺。通过加压将油气组分从气相转换到液相。</w:t>
            </w:r>
          </w:p>
          <w:p w14:paraId="63B52244">
            <w:pPr>
              <w:keepNext w:val="0"/>
              <w:keepLines w:val="0"/>
              <w:suppressLineNumbers w:val="0"/>
              <w:spacing w:before="0" w:beforeAutospacing="0" w:after="0" w:afterAutospacing="0" w:line="360" w:lineRule="auto"/>
              <w:ind w:left="0" w:right="0" w:firstLine="480" w:firstLineChars="200"/>
              <w:contextualSpacing/>
              <w:rPr>
                <w:rFonts w:hint="default"/>
                <w:color w:val="auto"/>
                <w:sz w:val="24"/>
                <w:highlight w:val="none"/>
              </w:rPr>
            </w:pPr>
            <w:r>
              <w:rPr>
                <w:rFonts w:hint="eastAsia"/>
                <w:color w:val="auto"/>
                <w:sz w:val="24"/>
                <w:highlight w:val="none"/>
              </w:rPr>
              <w:t>卸油（一次）油气回收</w:t>
            </w:r>
            <w:r>
              <w:rPr>
                <w:rFonts w:hint="default"/>
                <w:color w:val="auto"/>
                <w:sz w:val="24"/>
                <w:highlight w:val="none"/>
              </w:rPr>
              <w:t>：埋地油罐的气相空间与槽车的气相空间通过卸油点的油气回收气相工艺管线及气相软管连通，在卸油过程将汽油储罐中的油气回收到油罐车内。本站在密闭卸油点处设立了油气回收专用接头，当采用卸油油气回收时，通过DN80的导静电耐油软管，将密闭卸油点处的油气回收接头与油罐车上的油气回收管道接口相连，当储油罐内液面上升时，液面之上的油气在压力作用下流入油罐车内。可以达到回收等体积的油气的效果。卸油油气回收示意图如</w:t>
            </w:r>
            <w:r>
              <w:rPr>
                <w:rFonts w:hint="eastAsia"/>
                <w:color w:val="auto"/>
                <w:sz w:val="24"/>
                <w:highlight w:val="none"/>
              </w:rPr>
              <w:t>图2-5所示。</w:t>
            </w:r>
          </w:p>
          <w:p w14:paraId="7DDB13B6">
            <w:pPr>
              <w:keepNext w:val="0"/>
              <w:keepLines w:val="0"/>
              <w:suppressLineNumbers w:val="0"/>
              <w:spacing w:before="65" w:beforeAutospacing="0" w:after="0" w:afterAutospacing="0" w:line="3209" w:lineRule="exact"/>
              <w:ind w:left="0" w:right="0" w:firstLine="98"/>
              <w:textAlignment w:val="center"/>
              <w:rPr>
                <w:rFonts w:hint="default"/>
                <w:color w:val="auto"/>
                <w:highlight w:val="none"/>
              </w:rPr>
            </w:pPr>
            <w:r>
              <w:rPr>
                <w:rFonts w:hint="default"/>
                <w:color w:val="auto"/>
                <w:highlight w:val="none"/>
              </w:rPr>
              <w:drawing>
                <wp:inline distT="0" distB="0" distL="114300" distR="114300">
                  <wp:extent cx="4872355" cy="2037715"/>
                  <wp:effectExtent l="0" t="0" r="4445" b="635"/>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20"/>
                          <a:stretch>
                            <a:fillRect/>
                          </a:stretch>
                        </pic:blipFill>
                        <pic:spPr>
                          <a:xfrm>
                            <a:off x="0" y="0"/>
                            <a:ext cx="4872355" cy="2037715"/>
                          </a:xfrm>
                          <a:prstGeom prst="rect">
                            <a:avLst/>
                          </a:prstGeom>
                          <a:noFill/>
                          <a:ln>
                            <a:noFill/>
                          </a:ln>
                        </pic:spPr>
                      </pic:pic>
                    </a:graphicData>
                  </a:graphic>
                </wp:inline>
              </w:drawing>
            </w:r>
          </w:p>
          <w:p w14:paraId="3BD921AE">
            <w:pPr>
              <w:pStyle w:val="55"/>
              <w:keepNext w:val="0"/>
              <w:keepLines w:val="0"/>
              <w:suppressLineNumbers w:val="0"/>
              <w:spacing w:before="0" w:beforeAutospacing="0" w:after="0" w:afterAutospacing="0"/>
              <w:ind w:left="0" w:right="0" w:firstLine="422"/>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图2-5 卸油油气回收系统示意图</w:t>
            </w:r>
          </w:p>
          <w:p w14:paraId="4FD373E2">
            <w:pPr>
              <w:keepNext w:val="0"/>
              <w:keepLines w:val="0"/>
              <w:suppressLineNumbers w:val="0"/>
              <w:spacing w:before="0" w:beforeAutospacing="0" w:after="0" w:afterAutospacing="0" w:line="360" w:lineRule="auto"/>
              <w:ind w:left="0" w:right="0" w:firstLine="480" w:firstLineChars="200"/>
              <w:contextualSpacing/>
              <w:rPr>
                <w:rFonts w:hint="eastAsia"/>
                <w:color w:val="auto"/>
                <w:sz w:val="24"/>
                <w:highlight w:val="none"/>
              </w:rPr>
            </w:pPr>
            <w:r>
              <w:rPr>
                <w:rFonts w:hint="eastAsia"/>
                <w:color w:val="auto"/>
                <w:sz w:val="24"/>
                <w:highlight w:val="none"/>
              </w:rPr>
              <w:t>加油（二次）油气回收：本项目采用分散式加油油气回收系统管线，当采用加油油气回收时使用油气回收型加油枪，并在加油机内安装真空泵。真空泵控制板与加油机脉冲发生器连接，当加油枪加油时，获得脉冲信号，真空泵启动，通过加油枪回收油气。</w:t>
            </w:r>
          </w:p>
          <w:p w14:paraId="0FA168C0">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highlight w:val="none"/>
              </w:rPr>
            </w:pPr>
            <w:r>
              <w:rPr>
                <w:rFonts w:hint="eastAsia"/>
                <w:color w:val="auto"/>
                <w:sz w:val="24"/>
                <w:highlight w:val="none"/>
              </w:rPr>
              <w:t>所有加油机的油气回收管线进</w:t>
            </w:r>
            <w:r>
              <w:rPr>
                <w:rFonts w:hint="default" w:ascii="Times New Roman" w:hAnsi="Times New Roman" w:cs="Times New Roman"/>
                <w:color w:val="auto"/>
                <w:highlight w:val="none"/>
              </w:rPr>
              <w:t>口并联，汇集到加油油气回收总管，加油油气回收总管直接进入最低标号油罐，起到回收加油油气的作用。在启动卸油油气回收及加油油气回收系统时，需将汽油储罐的通气管连通。如启动油气回收系统，不会产生过多油气，选用两根DN50的通气管并联即可满足使用要求。启动油气回收系统时为了防止在卸油过程中串油，需在汽油储罐卸油管线上安装卸油防溢阀。同时为了保证整个系统的密闭性，连通的汽油通气管需设阻火型机械呼吸阀和防雨型阻火器，并对应安装球阀。阻火型机械呼吸阀的球阀为常开状态，当储罐内气压过高时，机械呼吸阀打开，集中排出油气，当储罐内气压过低时，机械呼吸阀打开，空气可进入储罐内。防雨型阻火器下的球阀为常闭状态，当阻火型机械呼吸阀失去作用时，可打开防雨型阻火器下的球阀，防止储罐内气压过高或过低，对储罐造成破坏。加油（二次）油气回收系统示意图如图2-6所示。</w:t>
            </w:r>
          </w:p>
          <w:p w14:paraId="7DD5E03E">
            <w:pPr>
              <w:pStyle w:val="33"/>
              <w:keepNext w:val="0"/>
              <w:keepLines w:val="0"/>
              <w:suppressLineNumbers w:val="0"/>
              <w:spacing w:before="0" w:beforeAutospacing="0" w:after="0" w:afterAutospacing="0" w:line="360" w:lineRule="auto"/>
              <w:ind w:left="0" w:right="0"/>
              <w:jc w:val="center"/>
              <w:rPr>
                <w:rFonts w:hint="default"/>
                <w:color w:val="auto"/>
                <w:highlight w:val="none"/>
              </w:rPr>
            </w:pPr>
            <w:r>
              <w:rPr>
                <w:rFonts w:hint="default"/>
                <w:color w:val="auto"/>
                <w:highlight w:val="none"/>
              </w:rPr>
              <w:drawing>
                <wp:inline distT="0" distB="0" distL="114300" distR="114300">
                  <wp:extent cx="4832985" cy="2376805"/>
                  <wp:effectExtent l="0" t="0" r="5715" b="444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21"/>
                          <a:stretch>
                            <a:fillRect/>
                          </a:stretch>
                        </pic:blipFill>
                        <pic:spPr>
                          <a:xfrm>
                            <a:off x="0" y="0"/>
                            <a:ext cx="4832985" cy="2376805"/>
                          </a:xfrm>
                          <a:prstGeom prst="rect">
                            <a:avLst/>
                          </a:prstGeom>
                          <a:noFill/>
                          <a:ln>
                            <a:noFill/>
                          </a:ln>
                        </pic:spPr>
                      </pic:pic>
                    </a:graphicData>
                  </a:graphic>
                </wp:inline>
              </w:drawing>
            </w:r>
          </w:p>
          <w:p w14:paraId="04E4C8C1">
            <w:pPr>
              <w:pStyle w:val="55"/>
              <w:keepNext w:val="0"/>
              <w:keepLines w:val="0"/>
              <w:suppressLineNumbers w:val="0"/>
              <w:spacing w:before="0" w:beforeAutospacing="0" w:after="0" w:afterAutospacing="0"/>
              <w:ind w:left="0" w:right="0" w:firstLine="422"/>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图2-6 加油油气回收系统示意图</w:t>
            </w:r>
          </w:p>
          <w:p w14:paraId="6E70691E">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highlight w:val="none"/>
              </w:rPr>
            </w:pPr>
            <w:r>
              <w:rPr>
                <w:rFonts w:hint="eastAsia" w:ascii="Times New Roman" w:hAnsi="Times New Roman" w:cs="Times New Roman"/>
                <w:color w:val="auto"/>
                <w:highlight w:val="none"/>
              </w:rPr>
              <w:t>储油（三次）油气回收系统：加油站油气回收系统部分排放的油气和埋地油罐部分排放的油气，通过阻火器进入三次油气回收设备，经超低温板式换热器进行冷却，将80%气体冷凝成液体，经出油口返回油罐，其他气体经管道进入活性炭罐进行二次吸附，经活性炭过滤出后的合格气体，通过外排管道排出。</w:t>
            </w:r>
          </w:p>
          <w:p w14:paraId="30E5E26B">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highlight w:val="none"/>
              </w:rPr>
            </w:pPr>
            <w:r>
              <w:rPr>
                <w:rFonts w:hint="eastAsia" w:ascii="Times New Roman" w:hAnsi="Times New Roman" w:cs="Times New Roman"/>
                <w:color w:val="auto"/>
                <w:highlight w:val="none"/>
              </w:rPr>
              <w:t>当活性炭吸附饱和后，通过大功率真空泵抽真空，将高浓度油气抽回进气管道，再进行二次冷凝。活性炭管由A、B两个切换运行，保证设备不间断运行。储油（三次）油气回收系统示意图如图2-7所示。</w:t>
            </w:r>
          </w:p>
          <w:p w14:paraId="6461404B">
            <w:pPr>
              <w:keepNext w:val="0"/>
              <w:keepLines w:val="0"/>
              <w:suppressLineNumbers w:val="0"/>
              <w:spacing w:before="0" w:beforeAutospacing="0" w:after="0" w:afterAutospacing="0"/>
              <w:ind w:left="0" w:right="0"/>
              <w:jc w:val="center"/>
              <w:rPr>
                <w:rFonts w:hint="eastAsia"/>
                <w:color w:val="auto"/>
                <w:highlight w:val="none"/>
              </w:rPr>
            </w:pPr>
            <w:r>
              <w:rPr>
                <w:rFonts w:hint="default"/>
                <w:color w:val="auto"/>
                <w:highlight w:val="none"/>
              </w:rPr>
              <w:drawing>
                <wp:inline distT="0" distB="0" distL="114300" distR="114300">
                  <wp:extent cx="4238625" cy="3155315"/>
                  <wp:effectExtent l="0" t="0" r="9525" b="698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22"/>
                          <a:srcRect r="932" b="-485"/>
                          <a:stretch>
                            <a:fillRect/>
                          </a:stretch>
                        </pic:blipFill>
                        <pic:spPr>
                          <a:xfrm>
                            <a:off x="0" y="0"/>
                            <a:ext cx="4238625" cy="3155315"/>
                          </a:xfrm>
                          <a:prstGeom prst="rect">
                            <a:avLst/>
                          </a:prstGeom>
                          <a:noFill/>
                          <a:ln>
                            <a:noFill/>
                          </a:ln>
                        </pic:spPr>
                      </pic:pic>
                    </a:graphicData>
                  </a:graphic>
                </wp:inline>
              </w:drawing>
            </w:r>
          </w:p>
          <w:p w14:paraId="16303503">
            <w:pPr>
              <w:pStyle w:val="55"/>
              <w:keepNext w:val="0"/>
              <w:keepLines w:val="0"/>
              <w:suppressLineNumbers w:val="0"/>
              <w:spacing w:before="0" w:beforeAutospacing="0" w:after="0" w:afterAutospacing="0"/>
              <w:ind w:left="0" w:right="0" w:firstLine="422"/>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图2-7 储油气回收系统示意图</w:t>
            </w:r>
          </w:p>
          <w:p w14:paraId="4D0564FB">
            <w:pPr>
              <w:pStyle w:val="33"/>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rPr>
              <w:t>3）</w:t>
            </w:r>
            <w:r>
              <w:rPr>
                <w:rFonts w:hint="default" w:ascii="Times New Roman" w:hAnsi="Times New Roman" w:cs="Times New Roman"/>
                <w:b/>
                <w:bCs/>
                <w:color w:val="auto"/>
                <w:highlight w:val="none"/>
              </w:rPr>
              <w:t>加</w:t>
            </w:r>
            <w:r>
              <w:rPr>
                <w:rFonts w:hint="eastAsia" w:ascii="Times New Roman" w:hAnsi="Times New Roman" w:cs="Times New Roman"/>
                <w:b/>
                <w:bCs/>
                <w:color w:val="auto"/>
                <w:highlight w:val="none"/>
              </w:rPr>
              <w:t>气</w:t>
            </w:r>
            <w:r>
              <w:rPr>
                <w:rFonts w:hint="default" w:ascii="Times New Roman" w:hAnsi="Times New Roman" w:cs="Times New Roman"/>
                <w:b/>
                <w:bCs/>
                <w:color w:val="auto"/>
                <w:highlight w:val="none"/>
              </w:rPr>
              <w:t>工序工艺流程</w:t>
            </w:r>
          </w:p>
          <w:p w14:paraId="0F717F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①工艺流程</w:t>
            </w:r>
          </w:p>
          <w:p w14:paraId="002FB413">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加气部分运营期工艺流程分五个步骤：LNG 槽车进站、LNG卸车及储存、LNG高压气化及LNG暂存、LNG加注，此外还包括检修及安全防控的泄压操作。其工艺流程及产污环节见图2-8。</w:t>
            </w:r>
          </w:p>
          <w:p w14:paraId="1DA221B0">
            <w:pPr>
              <w:keepNext w:val="0"/>
              <w:keepLines w:val="0"/>
              <w:suppressLineNumbers w:val="0"/>
              <w:spacing w:before="0" w:beforeAutospacing="0" w:after="0" w:afterAutospacing="0"/>
              <w:ind w:left="0" w:right="0"/>
              <w:jc w:val="center"/>
              <w:rPr>
                <w:rFonts w:hint="eastAsia"/>
                <w:color w:val="auto"/>
                <w:highlight w:val="none"/>
              </w:rPr>
            </w:pPr>
            <w:r>
              <w:rPr>
                <w:rFonts w:hint="default"/>
                <w:color w:val="auto"/>
                <w:highlight w:val="none"/>
              </w:rPr>
              <w:object>
                <v:shape id="_x0000_i1028" o:spt="75" type="#_x0000_t75" style="height:261.05pt;width:296pt;" o:ole="t" filled="f" o:preferrelative="t" stroked="f" coordsize="21600,21600">
                  <v:path/>
                  <v:fill on="f" focussize="0,0"/>
                  <v:stroke on="f"/>
                  <v:imagedata r:id="rId24" o:title=""/>
                  <o:lock v:ext="edit" aspectratio="t"/>
                  <w10:wrap type="none"/>
                  <w10:anchorlock/>
                </v:shape>
                <o:OLEObject Type="Embed" ProgID="Visio.DrawingConvertable.15" ShapeID="_x0000_i1028" DrawAspect="Content" ObjectID="_1468075728" r:id="rId23">
                  <o:LockedField>false</o:LockedField>
                </o:OLEObject>
              </w:object>
            </w:r>
          </w:p>
          <w:p w14:paraId="10F199E7">
            <w:pPr>
              <w:pStyle w:val="55"/>
              <w:keepNext w:val="0"/>
              <w:keepLines w:val="0"/>
              <w:suppressLineNumbers w:val="0"/>
              <w:spacing w:before="0" w:beforeAutospacing="0" w:after="0" w:afterAutospacing="0"/>
              <w:ind w:left="0" w:right="0" w:firstLine="422"/>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color w:val="auto"/>
                <w:kern w:val="0"/>
                <w:sz w:val="20"/>
                <w:szCs w:val="20"/>
                <w:highlight w:val="none"/>
                <w:lang w:val="en-US" w:eastAsia="zh-CN" w:bidi="ar-SA"/>
              </w:rPr>
              <w:t>图2-8 项目营运期加气工艺流程和产污环节图</w:t>
            </w:r>
          </w:p>
          <w:p w14:paraId="788A8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②工艺流程简述：</w:t>
            </w:r>
          </w:p>
          <w:p w14:paraId="5E8003F6">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液化天然气槽车进站后，与站内的进罐LNG管线、槽车气相管线及增压器 的LNG管线相连接，开启槽车储罐增压器，将进入增压器内的LNG气化后送回槽车上部，使得LNG槽车上的压力升高，形成槽车与储罐之间的压差，将LNG压入LNG储罐内。卸车结束后，槽车中的气相天然气由槽车拉回LNG生产厂进行回收。</w:t>
            </w:r>
          </w:p>
          <w:p w14:paraId="1907E1CC">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加注LNG时，开启低温潜液泵，将LNG从储罐输送到LNG加气机，给LNG燃料车充装。当储罐压力过低时，打开储罐增压泵，气化后的气体输送到储罐气相部分，升高LNG罐内压力。考虑到检修和储罐非正常工作压力时能够卸压，储罐设有安全阀在线监测超压放散。安全放空的低压</w:t>
            </w:r>
            <w:r>
              <w:rPr>
                <w:rFonts w:hint="eastAsia" w:cs="Times New Roman"/>
                <w:color w:val="auto"/>
                <w:highlight w:val="none"/>
                <w:lang w:eastAsia="zh-CN"/>
              </w:rPr>
              <w:t>液化天然气</w:t>
            </w:r>
            <w:r>
              <w:rPr>
                <w:rFonts w:hint="eastAsia" w:ascii="Times New Roman" w:hAnsi="Times New Roman" w:cs="Times New Roman"/>
                <w:color w:val="auto"/>
                <w:highlight w:val="none"/>
              </w:rPr>
              <w:t>经过低压EAG加热器加热气化后，经站内</w:t>
            </w:r>
            <w:r>
              <w:rPr>
                <w:rFonts w:hint="eastAsia" w:cs="Times New Roman"/>
                <w:color w:val="auto"/>
                <w:highlight w:val="none"/>
                <w:lang w:val="en-US" w:eastAsia="zh-CN"/>
              </w:rPr>
              <w:t>10</w:t>
            </w:r>
            <w:r>
              <w:rPr>
                <w:rFonts w:hint="eastAsia" w:ascii="Times New Roman" w:hAnsi="Times New Roman" w:cs="Times New Roman"/>
                <w:color w:val="auto"/>
                <w:highlight w:val="none"/>
              </w:rPr>
              <w:t>m低压放散管高点排入大气。</w:t>
            </w:r>
          </w:p>
          <w:p w14:paraId="20FDD6BD">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A</w:t>
            </w:r>
            <w:r>
              <w:rPr>
                <w:rFonts w:hint="eastAsia" w:ascii="Times New Roman" w:hAnsi="Times New Roman" w:cs="Times New Roman"/>
                <w:color w:val="auto"/>
                <w:highlight w:val="none"/>
              </w:rPr>
              <w:t>卸车工序</w:t>
            </w:r>
          </w:p>
          <w:p w14:paraId="15FE2E8C">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液化天然气槽车进站后，与站内的进罐LNG管线、槽车气相管线及增压器的 LNG管线相连接，开启槽车储罐增压器，将进入增压器内的LNG气化后送回槽车上部，使得LNG槽车上的压力升高，形成槽车与储罐之间的压差（压差0.1MPa以上），将LNG压入LNG储罐内。卸车结束后，槽车中的气相天然气由槽车拉回LNG生产厂进行回收。</w:t>
            </w:r>
          </w:p>
          <w:p w14:paraId="6D130B95">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rPr>
              <w:t>该工序污染源主要为设备运行噪声、槽车中的气相天然气及接头处逸出的微量天然气。</w:t>
            </w:r>
          </w:p>
          <w:p w14:paraId="3C35C11F">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B</w:t>
            </w:r>
            <w:r>
              <w:rPr>
                <w:rFonts w:hint="eastAsia" w:ascii="Times New Roman" w:hAnsi="Times New Roman" w:cs="Times New Roman"/>
                <w:color w:val="auto"/>
                <w:highlight w:val="none"/>
              </w:rPr>
              <w:t>调压工序</w:t>
            </w:r>
          </w:p>
          <w:p w14:paraId="65CDB216">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考虑到储罐非正常工作压力及检修时，需要对储罐进行升压及卸压调节。流程中各压力段设有安全阀在线监测压力。安全放空的低压</w:t>
            </w:r>
            <w:r>
              <w:rPr>
                <w:rFonts w:hint="eastAsia" w:cs="Times New Roman"/>
                <w:color w:val="auto"/>
                <w:highlight w:val="none"/>
                <w:lang w:eastAsia="zh-CN"/>
              </w:rPr>
              <w:t>液化天然气</w:t>
            </w:r>
            <w:r>
              <w:rPr>
                <w:rFonts w:hint="eastAsia" w:ascii="Times New Roman" w:hAnsi="Times New Roman" w:cs="Times New Roman"/>
                <w:color w:val="auto"/>
                <w:highlight w:val="none"/>
              </w:rPr>
              <w:t>经过低压EAG加热器加热气化后，经站内</w:t>
            </w:r>
            <w:r>
              <w:rPr>
                <w:rFonts w:hint="eastAsia" w:cs="Times New Roman"/>
                <w:color w:val="auto"/>
                <w:highlight w:val="none"/>
                <w:lang w:val="en-US" w:eastAsia="zh-CN"/>
              </w:rPr>
              <w:t>10</w:t>
            </w:r>
            <w:r>
              <w:rPr>
                <w:rFonts w:hint="eastAsia" w:ascii="Times New Roman" w:hAnsi="Times New Roman" w:cs="Times New Roman"/>
                <w:color w:val="auto"/>
                <w:highlight w:val="none"/>
              </w:rPr>
              <w:t>m高低压放散管排入大气。</w:t>
            </w:r>
          </w:p>
          <w:p w14:paraId="39A7B18A">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在LNG正常储存过程中，会因储罐保温层的漏热使得储罐内微量的LNG受热气化，这部分气体称之为BOG，BOG气体由于体积比LNG体积大而使得储罐的压力增加。一般情况下，加气站正常运行过程中，储罐内压力会随着储罐内LNG液体的减少而降低，但当加气站加注量较少时，储罐内的压力因BOG的作用而升高。LNG储罐正常的工作压力为1MPa~1.44MPa，当由于上述原因造成储罐压力低于或者高于正常工作压力时，为保障LNG储罐的正常压力，需对储罐进行调压。</w:t>
            </w:r>
          </w:p>
          <w:p w14:paraId="7CA8A3FA">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a</w:t>
            </w:r>
            <w:r>
              <w:rPr>
                <w:rFonts w:hint="eastAsia" w:cs="Times New Roman"/>
                <w:color w:val="auto"/>
                <w:highlight w:val="none"/>
                <w:lang w:val="en-US" w:eastAsia="zh-CN"/>
              </w:rPr>
              <w:t>.</w:t>
            </w:r>
            <w:r>
              <w:rPr>
                <w:rFonts w:hint="eastAsia" w:ascii="Times New Roman" w:hAnsi="Times New Roman" w:cs="Times New Roman"/>
                <w:color w:val="auto"/>
                <w:highlight w:val="none"/>
              </w:rPr>
              <w:t>升压流程</w:t>
            </w:r>
          </w:p>
          <w:p w14:paraId="450F9EA9">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当储罐压力过低时，打开槽车储罐增压器，气化后的气体输送到储罐气相部分，升高LNG罐内压力。</w:t>
            </w:r>
          </w:p>
          <w:p w14:paraId="77206BA9">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b</w:t>
            </w:r>
            <w:r>
              <w:rPr>
                <w:rFonts w:hint="eastAsia" w:cs="Times New Roman"/>
                <w:color w:val="auto"/>
                <w:highlight w:val="none"/>
                <w:lang w:val="en-US" w:eastAsia="zh-CN"/>
              </w:rPr>
              <w:t>.</w:t>
            </w:r>
            <w:r>
              <w:rPr>
                <w:rFonts w:hint="eastAsia" w:ascii="Times New Roman" w:hAnsi="Times New Roman" w:cs="Times New Roman"/>
                <w:color w:val="auto"/>
                <w:highlight w:val="none"/>
              </w:rPr>
              <w:t>卸压流程</w:t>
            </w:r>
          </w:p>
          <w:p w14:paraId="08744BD3">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当外界气温过高或储罐内BOG气体过多或检修时，需排除储罐内部分或全部BOG气体，安全阀排放出的这部分气体称之为EAG。这部分气体经过低压EAG加热器加热气化后，经站内</w:t>
            </w:r>
            <w:r>
              <w:rPr>
                <w:rFonts w:hint="eastAsia" w:cs="Times New Roman"/>
                <w:color w:val="auto"/>
                <w:highlight w:val="none"/>
                <w:lang w:val="en-US" w:eastAsia="zh-CN"/>
              </w:rPr>
              <w:t>10</w:t>
            </w:r>
            <w:r>
              <w:rPr>
                <w:rFonts w:hint="eastAsia" w:ascii="Times New Roman" w:hAnsi="Times New Roman" w:cs="Times New Roman"/>
                <w:color w:val="auto"/>
                <w:highlight w:val="none"/>
              </w:rPr>
              <w:t>m高低压放散管排入大气。</w:t>
            </w:r>
          </w:p>
          <w:p w14:paraId="521BDB2E">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rPr>
              <w:t>该工序污染源主要为储罐卸压过程中放空的少量天然气及设备运行噪声。</w:t>
            </w:r>
          </w:p>
          <w:p w14:paraId="0FBB7EB7">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cs="Times New Roman"/>
                <w:color w:val="auto"/>
                <w:highlight w:val="none"/>
                <w:lang w:val="en-US" w:eastAsia="zh-CN"/>
              </w:rPr>
              <w:t>c.</w:t>
            </w:r>
            <w:r>
              <w:rPr>
                <w:rFonts w:hint="eastAsia" w:ascii="Times New Roman" w:hAnsi="Times New Roman" w:cs="Times New Roman"/>
                <w:color w:val="auto"/>
                <w:highlight w:val="none"/>
              </w:rPr>
              <w:t>加气工艺</w:t>
            </w:r>
          </w:p>
          <w:p w14:paraId="4ACD4F12">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储罐中的饱和LNG加压计量后通过加气机给车辆加注LNG，加注的LNG压力≦1.6MPa。在给车辆加注时，先将加注、回气管路通过专用的LNG加液、回气软管与车辆上的车载气瓶进液、回气接口相连接，通过回气口回收车载瓶中余气以降低车载储瓶内的压力，低温储罐内的LNG通过低温潜液泵输送，手动操作加气机枪以控制潜液泵的运转，最终实现加注作业。</w:t>
            </w:r>
          </w:p>
          <w:p w14:paraId="01107A17">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b w:val="0"/>
                <w:bCs w:val="0"/>
                <w:color w:val="auto"/>
                <w:highlight w:val="none"/>
              </w:rPr>
            </w:pPr>
            <w:r>
              <w:rPr>
                <w:rFonts w:hint="eastAsia" w:ascii="Times New Roman" w:hAnsi="Times New Roman" w:cs="Times New Roman"/>
                <w:b w:val="0"/>
                <w:bCs w:val="0"/>
                <w:color w:val="auto"/>
                <w:highlight w:val="none"/>
              </w:rPr>
              <w:t>LNG在加注过程中，会有相关管阀接驳口产生少量的天然气无组织排放。</w:t>
            </w:r>
          </w:p>
          <w:p w14:paraId="3F7DFD93">
            <w:pPr>
              <w:keepNext w:val="0"/>
              <w:keepLines w:val="0"/>
              <w:suppressLineNumbers w:val="0"/>
              <w:spacing w:before="0" w:beforeAutospacing="0" w:after="0" w:afterAutospacing="0" w:line="360" w:lineRule="auto"/>
              <w:ind w:left="0" w:right="0" w:firstLine="482" w:firstLineChars="200"/>
              <w:contextualSpacing/>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rPr>
              <w:t>该工序污染源主要为加注过程中产生的天然气无组织废气及设备运行、设备噪声。</w:t>
            </w:r>
          </w:p>
          <w:p w14:paraId="778DB4CE">
            <w:pPr>
              <w:pStyle w:val="33"/>
              <w:keepNext w:val="0"/>
              <w:keepLines w:val="0"/>
              <w:suppressLineNumbers w:val="0"/>
              <w:tabs>
                <w:tab w:val="left" w:pos="377"/>
              </w:tabs>
              <w:spacing w:before="0" w:beforeAutospacing="0" w:after="0" w:afterAutospacing="0" w:line="360" w:lineRule="auto"/>
              <w:ind w:left="0" w:right="0" w:firstLine="482" w:firstLineChars="200"/>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产污环节</w:t>
            </w:r>
          </w:p>
          <w:p w14:paraId="5C404599">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本项目运营期主要工艺为运输、装卸、储存、输送及计量销售汽油、柴油和液化天然气LNG，主要产生的污染物有废气、废水、噪声及固废等。</w:t>
            </w:r>
          </w:p>
          <w:p w14:paraId="3C2341D9">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（1）废水：主要为洗车区洗车废水、地面冲洗废水、加油加气站员工及司乘人员产生的生活污水和初期雨水；</w:t>
            </w:r>
          </w:p>
          <w:p w14:paraId="6D6829A7">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（2）废气：主要为卸油、加油等过程中可能逸漏少量有机气体（非甲烷总烃）、卸车、加气、卸压等过程泄漏和放散的天然气、外来车辆产生的机动车尾气、</w:t>
            </w:r>
            <w:r>
              <w:rPr>
                <w:rFonts w:hint="eastAsia" w:cs="Times New Roman"/>
                <w:color w:val="auto"/>
                <w:highlight w:val="none"/>
                <w:lang w:val="en-US" w:eastAsia="zh-CN"/>
              </w:rPr>
              <w:t>撬装</w:t>
            </w:r>
            <w:r>
              <w:rPr>
                <w:rFonts w:hint="eastAsia" w:ascii="Times New Roman" w:hAnsi="Times New Roman" w:cs="Times New Roman"/>
                <w:color w:val="auto"/>
                <w:highlight w:val="none"/>
              </w:rPr>
              <w:t>柴油发电机废气；</w:t>
            </w:r>
          </w:p>
          <w:p w14:paraId="57414152">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（3）噪声：主要为加气机、加油机、潜油泵、备用</w:t>
            </w:r>
            <w:r>
              <w:rPr>
                <w:rFonts w:hint="eastAsia" w:cs="Times New Roman"/>
                <w:color w:val="auto"/>
                <w:highlight w:val="none"/>
                <w:lang w:val="en-US" w:eastAsia="zh-CN"/>
              </w:rPr>
              <w:t>撬装</w:t>
            </w:r>
            <w:r>
              <w:rPr>
                <w:rFonts w:hint="eastAsia" w:ascii="Times New Roman" w:hAnsi="Times New Roman" w:cs="Times New Roman"/>
                <w:color w:val="auto"/>
                <w:highlight w:val="none"/>
              </w:rPr>
              <w:t>柴油发电机、增压器、潜液泵等产生的设备噪声、进出车辆噪声；</w:t>
            </w:r>
          </w:p>
          <w:p w14:paraId="725205BF">
            <w:pPr>
              <w:keepNext w:val="0"/>
              <w:keepLines w:val="0"/>
              <w:suppressLineNumbers w:val="0"/>
              <w:spacing w:before="0" w:beforeAutospacing="0" w:after="0" w:afterAutospacing="0" w:line="360" w:lineRule="auto"/>
              <w:ind w:left="0" w:right="0" w:firstLine="480" w:firstLineChars="200"/>
              <w:contextualSpacing/>
              <w:rPr>
                <w:rFonts w:hint="eastAsia" w:ascii="Times New Roman" w:hAnsi="Times New Roman" w:cs="Times New Roman"/>
                <w:color w:val="auto"/>
                <w:highlight w:val="none"/>
              </w:rPr>
            </w:pPr>
            <w:r>
              <w:rPr>
                <w:rFonts w:hint="eastAsia" w:ascii="Times New Roman" w:hAnsi="Times New Roman" w:cs="Times New Roman"/>
                <w:color w:val="auto"/>
                <w:highlight w:val="none"/>
              </w:rPr>
              <w:t>（4）固体废弃物：主要为预处理池污泥、隔油池废油污、储油罐清罐废水及废渣、油品检验过程中产生的废油、沾油废物（含油废砂和含油擦拭物）和员工产生的生活垃圾。</w:t>
            </w:r>
          </w:p>
          <w:p w14:paraId="343BA277">
            <w:pPr>
              <w:keepNext w:val="0"/>
              <w:keepLines w:val="0"/>
              <w:suppressLineNumbers w:val="0"/>
              <w:spacing w:before="0" w:beforeAutospacing="0" w:after="0" w:afterAutospacing="0" w:line="360" w:lineRule="auto"/>
              <w:ind w:left="0" w:right="0" w:firstLine="480" w:firstLineChars="200"/>
              <w:contextualSpacing/>
              <w:rPr>
                <w:rFonts w:hint="default"/>
                <w:color w:val="auto"/>
                <w:highlight w:val="none"/>
                <w:lang w:val="en-US" w:eastAsia="zh-CN"/>
              </w:rPr>
            </w:pPr>
            <w:r>
              <w:rPr>
                <w:rFonts w:hint="eastAsia" w:ascii="Times New Roman" w:hAnsi="Times New Roman" w:cs="Times New Roman"/>
                <w:color w:val="auto"/>
                <w:highlight w:val="none"/>
              </w:rPr>
              <w:t>通过工程分析，营运期评价重点是废水、噪声、废气、固体废弃物，同时存在突发性污染事故的潜在环境风险。</w:t>
            </w:r>
          </w:p>
        </w:tc>
      </w:tr>
      <w:tr w14:paraId="5400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9" w:hRule="atLeast"/>
          <w:jc w:val="center"/>
        </w:trPr>
        <w:tc>
          <w:tcPr>
            <w:tcW w:w="222" w:type="dxa"/>
            <w:noWrap w:val="0"/>
            <w:vAlign w:val="center"/>
          </w:tcPr>
          <w:p w14:paraId="7E08F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与项目有关的原有环境污染问题</w:t>
            </w:r>
          </w:p>
        </w:tc>
        <w:tc>
          <w:tcPr>
            <w:tcW w:w="5937" w:type="dxa"/>
            <w:noWrap w:val="0"/>
            <w:vAlign w:val="center"/>
          </w:tcPr>
          <w:p w14:paraId="518CE329">
            <w:pPr>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无</w:t>
            </w:r>
          </w:p>
        </w:tc>
      </w:tr>
    </w:tbl>
    <w:p w14:paraId="0B4FA3EB">
      <w:pPr>
        <w:tabs>
          <w:tab w:val="left" w:pos="1267"/>
        </w:tabs>
        <w:bidi w:val="0"/>
        <w:jc w:val="left"/>
        <w:rPr>
          <w:color w:val="auto"/>
          <w:highlight w:val="none"/>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5EEFCA65">
      <w:pPr>
        <w:pStyle w:val="30"/>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三、区域环境质量现状、环境保护目标及评价标准</w:t>
      </w:r>
    </w:p>
    <w:tbl>
      <w:tblPr>
        <w:tblStyle w:val="23"/>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8815"/>
      </w:tblGrid>
      <w:tr w14:paraId="53E4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3" w:type="dxa"/>
            <w:vAlign w:val="center"/>
          </w:tcPr>
          <w:p w14:paraId="2B8F4166">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区域</w:t>
            </w:r>
          </w:p>
          <w:p w14:paraId="4AB5E3BE">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w:t>
            </w:r>
          </w:p>
          <w:p w14:paraId="2CF585CF">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质量</w:t>
            </w:r>
          </w:p>
          <w:p w14:paraId="5DAD8895">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现状</w:t>
            </w:r>
          </w:p>
        </w:tc>
        <w:tc>
          <w:tcPr>
            <w:tcW w:w="8759" w:type="dxa"/>
            <w:vAlign w:val="center"/>
          </w:tcPr>
          <w:p w14:paraId="08831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1、大气环境质量现状</w:t>
            </w:r>
          </w:p>
          <w:p w14:paraId="2A3E68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72" w:firstLineChars="196"/>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基本污染物现状</w:t>
            </w:r>
          </w:p>
          <w:p w14:paraId="65A9A70E">
            <w:pPr>
              <w:keepNext w:val="0"/>
              <w:keepLines w:val="0"/>
              <w:suppressLineNumbers w:val="0"/>
              <w:spacing w:before="0" w:beforeAutospacing="0" w:after="0" w:afterAutospacing="0" w:line="360" w:lineRule="auto"/>
              <w:ind w:left="0" w:right="0" w:firstLine="470" w:firstLineChars="196"/>
              <w:rPr>
                <w:rFonts w:hint="default"/>
                <w:color w:val="auto"/>
                <w:sz w:val="24"/>
                <w:szCs w:val="24"/>
                <w:highlight w:val="none"/>
              </w:rPr>
            </w:pPr>
            <w:r>
              <w:rPr>
                <w:rFonts w:hint="default"/>
                <w:color w:val="auto"/>
                <w:sz w:val="24"/>
                <w:szCs w:val="24"/>
                <w:highlight w:val="none"/>
              </w:rPr>
              <w:t>根据《建设项目环境影响报告表编制技术指南（污染影响类）（试行）》中“常规污染物引用与建设项目距离近的有效数据，包括近3年的规划环境影响评价的监测数据，国家、地方环境空气质量监测网数据或生态环境主管部门公开发布的质量数据等。”的规定。本次评价采用达州市生态环境局</w:t>
            </w:r>
            <w:r>
              <w:rPr>
                <w:rFonts w:hint="eastAsia"/>
                <w:color w:val="auto"/>
                <w:sz w:val="24"/>
                <w:szCs w:val="24"/>
                <w:highlight w:val="none"/>
              </w:rPr>
              <w:t>202</w:t>
            </w:r>
            <w:r>
              <w:rPr>
                <w:rFonts w:hint="eastAsia"/>
                <w:color w:val="auto"/>
                <w:sz w:val="24"/>
                <w:szCs w:val="24"/>
                <w:highlight w:val="none"/>
                <w:lang w:val="en-US" w:eastAsia="zh-CN"/>
              </w:rPr>
              <w:t>5</w:t>
            </w:r>
            <w:r>
              <w:rPr>
                <w:rFonts w:hint="default"/>
                <w:color w:val="auto"/>
                <w:sz w:val="24"/>
                <w:szCs w:val="24"/>
                <w:highlight w:val="none"/>
              </w:rPr>
              <w:t>年</w:t>
            </w:r>
            <w:r>
              <w:rPr>
                <w:rFonts w:hint="eastAsia"/>
                <w:color w:val="auto"/>
                <w:sz w:val="24"/>
                <w:szCs w:val="24"/>
                <w:highlight w:val="none"/>
              </w:rPr>
              <w:t>1</w:t>
            </w:r>
            <w:r>
              <w:rPr>
                <w:rFonts w:hint="default"/>
                <w:color w:val="auto"/>
                <w:sz w:val="24"/>
                <w:szCs w:val="24"/>
                <w:highlight w:val="none"/>
              </w:rPr>
              <w:t>月公布的《</w:t>
            </w:r>
            <w:r>
              <w:rPr>
                <w:rFonts w:hint="eastAsia"/>
                <w:color w:val="auto"/>
                <w:kern w:val="0"/>
                <w:sz w:val="24"/>
                <w:highlight w:val="none"/>
              </w:rPr>
              <w:t>达州市202</w:t>
            </w:r>
            <w:r>
              <w:rPr>
                <w:rFonts w:hint="eastAsia"/>
                <w:color w:val="auto"/>
                <w:kern w:val="0"/>
                <w:sz w:val="24"/>
                <w:highlight w:val="none"/>
                <w:lang w:val="en-US" w:eastAsia="zh-CN"/>
              </w:rPr>
              <w:t>4</w:t>
            </w:r>
            <w:r>
              <w:rPr>
                <w:rFonts w:hint="eastAsia"/>
                <w:color w:val="auto"/>
                <w:kern w:val="0"/>
                <w:sz w:val="24"/>
                <w:highlight w:val="none"/>
              </w:rPr>
              <w:t>年环境空气质量现状</w:t>
            </w:r>
            <w:r>
              <w:rPr>
                <w:rFonts w:hint="default"/>
                <w:color w:val="auto"/>
                <w:sz w:val="24"/>
                <w:szCs w:val="24"/>
                <w:highlight w:val="none"/>
              </w:rPr>
              <w:t>》中相关数据和结论。</w:t>
            </w:r>
          </w:p>
          <w:p w14:paraId="792A512B">
            <w:pPr>
              <w:keepNext w:val="0"/>
              <w:keepLines w:val="0"/>
              <w:suppressLineNumbers w:val="0"/>
              <w:spacing w:before="0" w:beforeAutospacing="0" w:after="0" w:afterAutospacing="0" w:line="360" w:lineRule="auto"/>
              <w:ind w:left="0" w:right="0" w:firstLine="470" w:firstLineChars="196"/>
              <w:rPr>
                <w:rFonts w:hint="default"/>
                <w:color w:val="auto"/>
                <w:sz w:val="24"/>
                <w:szCs w:val="24"/>
                <w:highlight w:val="none"/>
              </w:rPr>
            </w:pPr>
            <w:r>
              <w:rPr>
                <w:rFonts w:hint="default"/>
                <w:color w:val="auto"/>
                <w:sz w:val="24"/>
                <w:szCs w:val="24"/>
                <w:highlight w:val="none"/>
              </w:rPr>
              <w:t>根据《</w:t>
            </w:r>
            <w:r>
              <w:rPr>
                <w:rFonts w:hint="eastAsia"/>
                <w:color w:val="auto"/>
                <w:kern w:val="0"/>
                <w:sz w:val="24"/>
                <w:highlight w:val="none"/>
              </w:rPr>
              <w:t>达州市202</w:t>
            </w:r>
            <w:r>
              <w:rPr>
                <w:rFonts w:hint="eastAsia"/>
                <w:color w:val="auto"/>
                <w:kern w:val="0"/>
                <w:sz w:val="24"/>
                <w:highlight w:val="none"/>
                <w:lang w:val="en-US" w:eastAsia="zh-CN"/>
              </w:rPr>
              <w:t>4</w:t>
            </w:r>
            <w:r>
              <w:rPr>
                <w:rFonts w:hint="eastAsia"/>
                <w:color w:val="auto"/>
                <w:kern w:val="0"/>
                <w:sz w:val="24"/>
                <w:highlight w:val="none"/>
              </w:rPr>
              <w:t>年环境空气质量状</w:t>
            </w:r>
            <w:r>
              <w:rPr>
                <w:rFonts w:hint="eastAsia"/>
                <w:color w:val="auto"/>
                <w:kern w:val="0"/>
                <w:sz w:val="24"/>
                <w:highlight w:val="none"/>
                <w:lang w:val="en-US" w:eastAsia="zh-CN"/>
              </w:rPr>
              <w:t>况</w:t>
            </w:r>
            <w:r>
              <w:rPr>
                <w:rFonts w:hint="default"/>
                <w:color w:val="auto"/>
                <w:sz w:val="24"/>
                <w:szCs w:val="24"/>
                <w:highlight w:val="none"/>
              </w:rPr>
              <w:t>》：</w:t>
            </w:r>
            <w:r>
              <w:rPr>
                <w:rFonts w:hint="eastAsia"/>
                <w:color w:val="auto"/>
                <w:sz w:val="24"/>
                <w:szCs w:val="24"/>
                <w:highlight w:val="none"/>
                <w:lang w:val="en-US" w:eastAsia="zh-CN"/>
              </w:rPr>
              <w:t>通川区</w:t>
            </w:r>
            <w:r>
              <w:rPr>
                <w:rFonts w:hint="eastAsia"/>
                <w:color w:val="auto"/>
                <w:sz w:val="24"/>
                <w:szCs w:val="24"/>
                <w:highlight w:val="none"/>
              </w:rPr>
              <w:t>202</w:t>
            </w:r>
            <w:r>
              <w:rPr>
                <w:rFonts w:hint="eastAsia"/>
                <w:color w:val="auto"/>
                <w:sz w:val="24"/>
                <w:szCs w:val="24"/>
                <w:highlight w:val="none"/>
                <w:lang w:val="en-US" w:eastAsia="zh-CN"/>
              </w:rPr>
              <w:t>4</w:t>
            </w:r>
            <w:r>
              <w:rPr>
                <w:rFonts w:hint="eastAsia"/>
                <w:color w:val="auto"/>
                <w:sz w:val="24"/>
                <w:szCs w:val="24"/>
                <w:highlight w:val="none"/>
              </w:rPr>
              <w:t>年1月1日至12月31日对城区环境空气质量进行了连续自动监测。全年有效监测天数36</w:t>
            </w:r>
            <w:r>
              <w:rPr>
                <w:rFonts w:hint="eastAsia"/>
                <w:color w:val="auto"/>
                <w:sz w:val="24"/>
                <w:szCs w:val="24"/>
                <w:highlight w:val="none"/>
                <w:lang w:val="en-US" w:eastAsia="zh-CN"/>
              </w:rPr>
              <w:t>6</w:t>
            </w:r>
            <w:r>
              <w:rPr>
                <w:rFonts w:hint="eastAsia"/>
                <w:color w:val="auto"/>
                <w:sz w:val="24"/>
                <w:szCs w:val="24"/>
                <w:highlight w:val="none"/>
              </w:rPr>
              <w:t>天，达标天数</w:t>
            </w:r>
            <w:r>
              <w:rPr>
                <w:rFonts w:hint="eastAsia"/>
                <w:color w:val="auto"/>
                <w:sz w:val="24"/>
                <w:szCs w:val="24"/>
                <w:highlight w:val="none"/>
                <w:lang w:val="en-US" w:eastAsia="zh-CN"/>
              </w:rPr>
              <w:t>334</w:t>
            </w:r>
            <w:r>
              <w:rPr>
                <w:rFonts w:hint="eastAsia"/>
                <w:color w:val="auto"/>
                <w:sz w:val="24"/>
                <w:szCs w:val="24"/>
                <w:highlight w:val="none"/>
              </w:rPr>
              <w:t>天，达标率为</w:t>
            </w:r>
            <w:r>
              <w:rPr>
                <w:rFonts w:hint="eastAsia"/>
                <w:color w:val="auto"/>
                <w:sz w:val="24"/>
                <w:szCs w:val="24"/>
                <w:highlight w:val="none"/>
                <w:lang w:val="en-US" w:eastAsia="zh-CN"/>
              </w:rPr>
              <w:t>91.3</w:t>
            </w:r>
            <w:r>
              <w:rPr>
                <w:rFonts w:hint="eastAsia"/>
                <w:color w:val="auto"/>
                <w:sz w:val="24"/>
                <w:szCs w:val="24"/>
                <w:highlight w:val="none"/>
              </w:rPr>
              <w:t>%。其中：优</w:t>
            </w:r>
            <w:r>
              <w:rPr>
                <w:rFonts w:hint="eastAsia"/>
                <w:color w:val="auto"/>
                <w:sz w:val="24"/>
                <w:szCs w:val="24"/>
                <w:highlight w:val="none"/>
                <w:lang w:val="en-US" w:eastAsia="zh-CN"/>
              </w:rPr>
              <w:t>168</w:t>
            </w:r>
            <w:r>
              <w:rPr>
                <w:rFonts w:hint="eastAsia"/>
                <w:color w:val="auto"/>
                <w:sz w:val="24"/>
                <w:szCs w:val="24"/>
                <w:highlight w:val="none"/>
              </w:rPr>
              <w:t>天，占</w:t>
            </w:r>
            <w:r>
              <w:rPr>
                <w:rFonts w:hint="eastAsia"/>
                <w:color w:val="auto"/>
                <w:sz w:val="24"/>
                <w:szCs w:val="24"/>
                <w:highlight w:val="none"/>
                <w:lang w:val="en-US" w:eastAsia="zh-CN"/>
              </w:rPr>
              <w:t>45.9</w:t>
            </w:r>
            <w:r>
              <w:rPr>
                <w:rFonts w:hint="eastAsia"/>
                <w:color w:val="auto"/>
                <w:sz w:val="24"/>
                <w:szCs w:val="24"/>
                <w:highlight w:val="none"/>
              </w:rPr>
              <w:t>%，良</w:t>
            </w:r>
            <w:r>
              <w:rPr>
                <w:rFonts w:hint="eastAsia"/>
                <w:color w:val="auto"/>
                <w:sz w:val="24"/>
                <w:szCs w:val="24"/>
                <w:highlight w:val="none"/>
                <w:lang w:val="en-US" w:eastAsia="zh-CN"/>
              </w:rPr>
              <w:t>166</w:t>
            </w:r>
            <w:r>
              <w:rPr>
                <w:rFonts w:hint="eastAsia"/>
                <w:color w:val="auto"/>
                <w:sz w:val="24"/>
                <w:szCs w:val="24"/>
                <w:highlight w:val="none"/>
              </w:rPr>
              <w:t>天，占</w:t>
            </w:r>
            <w:r>
              <w:rPr>
                <w:rFonts w:hint="eastAsia"/>
                <w:color w:val="auto"/>
                <w:sz w:val="24"/>
                <w:szCs w:val="24"/>
                <w:highlight w:val="none"/>
                <w:lang w:val="en-US" w:eastAsia="zh-CN"/>
              </w:rPr>
              <w:t>45.4</w:t>
            </w:r>
            <w:r>
              <w:rPr>
                <w:rFonts w:hint="eastAsia"/>
                <w:color w:val="auto"/>
                <w:sz w:val="24"/>
                <w:szCs w:val="24"/>
                <w:highlight w:val="none"/>
              </w:rPr>
              <w:t>%，轻度污染</w:t>
            </w:r>
            <w:r>
              <w:rPr>
                <w:rFonts w:hint="eastAsia"/>
                <w:color w:val="auto"/>
                <w:sz w:val="24"/>
                <w:szCs w:val="24"/>
                <w:highlight w:val="none"/>
                <w:lang w:val="en-US" w:eastAsia="zh-CN"/>
              </w:rPr>
              <w:t>25</w:t>
            </w:r>
            <w:r>
              <w:rPr>
                <w:rFonts w:hint="eastAsia"/>
                <w:color w:val="auto"/>
                <w:sz w:val="24"/>
                <w:szCs w:val="24"/>
                <w:highlight w:val="none"/>
              </w:rPr>
              <w:t>天，占</w:t>
            </w:r>
            <w:r>
              <w:rPr>
                <w:rFonts w:hint="eastAsia"/>
                <w:color w:val="auto"/>
                <w:sz w:val="24"/>
                <w:szCs w:val="24"/>
                <w:highlight w:val="none"/>
                <w:lang w:val="en-US" w:eastAsia="zh-CN"/>
              </w:rPr>
              <w:t>6.8</w:t>
            </w:r>
            <w:r>
              <w:rPr>
                <w:rFonts w:hint="eastAsia"/>
                <w:color w:val="auto"/>
                <w:sz w:val="24"/>
                <w:szCs w:val="24"/>
                <w:highlight w:val="none"/>
              </w:rPr>
              <w:t>%，中度污染</w:t>
            </w:r>
            <w:r>
              <w:rPr>
                <w:rFonts w:hint="eastAsia"/>
                <w:color w:val="auto"/>
                <w:sz w:val="24"/>
                <w:szCs w:val="24"/>
                <w:highlight w:val="none"/>
                <w:lang w:val="en-US" w:eastAsia="zh-CN"/>
              </w:rPr>
              <w:t>7</w:t>
            </w:r>
            <w:r>
              <w:rPr>
                <w:rFonts w:hint="eastAsia"/>
                <w:color w:val="auto"/>
                <w:sz w:val="24"/>
                <w:szCs w:val="24"/>
                <w:highlight w:val="none"/>
              </w:rPr>
              <w:t>天，占</w:t>
            </w:r>
            <w:r>
              <w:rPr>
                <w:rFonts w:hint="eastAsia"/>
                <w:color w:val="auto"/>
                <w:sz w:val="24"/>
                <w:szCs w:val="24"/>
                <w:highlight w:val="none"/>
                <w:lang w:val="en-US" w:eastAsia="zh-CN"/>
              </w:rPr>
              <w:t>1.9</w:t>
            </w:r>
            <w:r>
              <w:rPr>
                <w:rFonts w:hint="eastAsia"/>
                <w:color w:val="auto"/>
                <w:sz w:val="24"/>
                <w:szCs w:val="24"/>
                <w:highlight w:val="none"/>
              </w:rPr>
              <w:t>%。</w:t>
            </w:r>
          </w:p>
          <w:p w14:paraId="0F1B3E65">
            <w:pPr>
              <w:keepNext w:val="0"/>
              <w:keepLines w:val="0"/>
              <w:suppressLineNumbers w:val="0"/>
              <w:spacing w:before="0" w:beforeAutospacing="0" w:after="0" w:afterAutospacing="0" w:line="360" w:lineRule="auto"/>
              <w:ind w:left="0" w:right="0" w:firstLine="480" w:firstLineChars="200"/>
              <w:rPr>
                <w:rFonts w:hint="default"/>
                <w:color w:val="auto"/>
                <w:sz w:val="24"/>
                <w:szCs w:val="24"/>
                <w:highlight w:val="none"/>
              </w:rPr>
            </w:pPr>
            <w:r>
              <w:rPr>
                <w:rFonts w:hint="eastAsia"/>
                <w:color w:val="auto"/>
                <w:sz w:val="24"/>
                <w:szCs w:val="24"/>
                <w:highlight w:val="none"/>
                <w:lang w:val="en-US" w:eastAsia="zh-CN"/>
              </w:rPr>
              <w:t>通川区内</w:t>
            </w:r>
            <w:r>
              <w:rPr>
                <w:rFonts w:hint="default" w:ascii="Times New Roman" w:hAnsi="Times New Roman" w:cs="Times New Roman"/>
                <w:color w:val="auto"/>
                <w:sz w:val="24"/>
                <w:szCs w:val="24"/>
                <w:highlight w:val="none"/>
              </w:rPr>
              <w:t>SO</w:t>
            </w:r>
            <w:r>
              <w:rPr>
                <w:rFonts w:hint="default" w:ascii="Times New Roman" w:hAnsi="Times New Roman" w:cs="Times New Roman"/>
                <w:color w:val="auto"/>
                <w:sz w:val="24"/>
                <w:szCs w:val="24"/>
                <w:highlight w:val="none"/>
                <w:vertAlign w:val="subscript"/>
              </w:rPr>
              <w:t>2</w:t>
            </w:r>
            <w:r>
              <w:rPr>
                <w:rFonts w:hint="eastAsia"/>
                <w:color w:val="auto"/>
                <w:sz w:val="24"/>
                <w:szCs w:val="24"/>
                <w:highlight w:val="none"/>
              </w:rPr>
              <w:t>年均值为</w:t>
            </w:r>
            <w:r>
              <w:rPr>
                <w:rFonts w:hint="eastAsia"/>
                <w:color w:val="auto"/>
                <w:sz w:val="24"/>
                <w:szCs w:val="24"/>
                <w:highlight w:val="none"/>
                <w:lang w:val="en-US" w:eastAsia="zh-CN"/>
              </w:rPr>
              <w:t>9</w:t>
            </w:r>
            <w:r>
              <w:rPr>
                <w:rFonts w:hint="eastAsia"/>
                <w:color w:val="auto"/>
                <w:sz w:val="24"/>
                <w:szCs w:val="24"/>
                <w:highlight w:val="none"/>
              </w:rPr>
              <w:t>微克/立方米，</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2</w:t>
            </w:r>
            <w:r>
              <w:rPr>
                <w:rFonts w:hint="eastAsia"/>
                <w:color w:val="auto"/>
                <w:sz w:val="24"/>
                <w:szCs w:val="24"/>
                <w:highlight w:val="none"/>
              </w:rPr>
              <w:t>年均值为</w:t>
            </w:r>
            <w:r>
              <w:rPr>
                <w:rFonts w:hint="eastAsia"/>
                <w:color w:val="auto"/>
                <w:sz w:val="24"/>
                <w:szCs w:val="24"/>
                <w:highlight w:val="none"/>
                <w:lang w:val="en-US" w:eastAsia="zh-CN"/>
              </w:rPr>
              <w:t>31</w:t>
            </w:r>
            <w:r>
              <w:rPr>
                <w:rFonts w:hint="eastAsia"/>
                <w:color w:val="auto"/>
                <w:sz w:val="24"/>
                <w:szCs w:val="24"/>
                <w:highlight w:val="none"/>
              </w:rPr>
              <w:t>微克/立方米，</w:t>
            </w:r>
            <w:r>
              <w:rPr>
                <w:rFonts w:hint="default" w:ascii="Times New Roman" w:hAnsi="Times New Roman" w:cs="Times New Roman"/>
                <w:color w:val="auto"/>
                <w:sz w:val="24"/>
                <w:szCs w:val="24"/>
                <w:highlight w:val="none"/>
              </w:rPr>
              <w:t>CO</w:t>
            </w:r>
            <w:r>
              <w:rPr>
                <w:rFonts w:hint="eastAsia"/>
                <w:color w:val="auto"/>
                <w:sz w:val="24"/>
                <w:szCs w:val="24"/>
                <w:highlight w:val="none"/>
              </w:rPr>
              <w:t>年均值为1.</w:t>
            </w:r>
            <w:r>
              <w:rPr>
                <w:rFonts w:hint="eastAsia"/>
                <w:color w:val="auto"/>
                <w:sz w:val="24"/>
                <w:szCs w:val="24"/>
                <w:highlight w:val="none"/>
                <w:lang w:val="en-US" w:eastAsia="zh-CN"/>
              </w:rPr>
              <w:t>3</w:t>
            </w:r>
            <w:r>
              <w:rPr>
                <w:rFonts w:hint="eastAsia"/>
                <w:color w:val="auto"/>
                <w:sz w:val="24"/>
                <w:szCs w:val="24"/>
                <w:highlight w:val="none"/>
              </w:rPr>
              <w:t>毫克/立方米，</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vertAlign w:val="subscript"/>
              </w:rPr>
              <w:t>3</w:t>
            </w:r>
            <w:r>
              <w:rPr>
                <w:rFonts w:hint="eastAsia"/>
                <w:color w:val="auto"/>
                <w:sz w:val="24"/>
                <w:szCs w:val="24"/>
                <w:highlight w:val="none"/>
              </w:rPr>
              <w:t>年均值为</w:t>
            </w:r>
            <w:r>
              <w:rPr>
                <w:rFonts w:hint="eastAsia"/>
                <w:color w:val="auto"/>
                <w:sz w:val="24"/>
                <w:szCs w:val="24"/>
                <w:highlight w:val="none"/>
                <w:lang w:val="en-US" w:eastAsia="zh-CN"/>
              </w:rPr>
              <w:t>133</w:t>
            </w:r>
            <w:r>
              <w:rPr>
                <w:rFonts w:hint="eastAsia"/>
                <w:color w:val="auto"/>
                <w:sz w:val="24"/>
                <w:szCs w:val="24"/>
                <w:highlight w:val="none"/>
              </w:rPr>
              <w:t>微克/立方米，</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2.5</w:t>
            </w:r>
            <w:r>
              <w:rPr>
                <w:rFonts w:hint="eastAsia"/>
                <w:color w:val="auto"/>
                <w:sz w:val="24"/>
                <w:szCs w:val="24"/>
                <w:highlight w:val="none"/>
              </w:rPr>
              <w:t>年均值为</w:t>
            </w:r>
            <w:r>
              <w:rPr>
                <w:rFonts w:hint="eastAsia"/>
                <w:color w:val="auto"/>
                <w:sz w:val="24"/>
                <w:szCs w:val="24"/>
                <w:highlight w:val="none"/>
                <w:lang w:val="en-US" w:eastAsia="zh-CN"/>
              </w:rPr>
              <w:t>28</w:t>
            </w:r>
            <w:r>
              <w:rPr>
                <w:rFonts w:hint="eastAsia"/>
                <w:color w:val="auto"/>
                <w:sz w:val="24"/>
                <w:szCs w:val="24"/>
                <w:highlight w:val="none"/>
              </w:rPr>
              <w:t>微克/立方米，</w:t>
            </w:r>
            <w:r>
              <w:rPr>
                <w:rFonts w:hint="default" w:ascii="Times New Roman" w:hAnsi="Times New Roman" w:cs="Times New Roman"/>
                <w:color w:val="auto"/>
                <w:sz w:val="24"/>
                <w:szCs w:val="24"/>
                <w:highlight w:val="none"/>
              </w:rPr>
              <w:t>PM</w:t>
            </w:r>
            <w:r>
              <w:rPr>
                <w:rFonts w:hint="default" w:ascii="Times New Roman" w:hAnsi="Times New Roman" w:cs="Times New Roman"/>
                <w:color w:val="auto"/>
                <w:sz w:val="24"/>
                <w:szCs w:val="24"/>
                <w:highlight w:val="none"/>
                <w:vertAlign w:val="subscript"/>
              </w:rPr>
              <w:t>10</w:t>
            </w:r>
            <w:r>
              <w:rPr>
                <w:rFonts w:hint="eastAsia"/>
                <w:color w:val="auto"/>
                <w:sz w:val="24"/>
                <w:szCs w:val="24"/>
                <w:highlight w:val="none"/>
              </w:rPr>
              <w:t>年均值为5</w:t>
            </w:r>
            <w:r>
              <w:rPr>
                <w:rFonts w:hint="eastAsia"/>
                <w:color w:val="auto"/>
                <w:sz w:val="24"/>
                <w:szCs w:val="24"/>
                <w:highlight w:val="none"/>
                <w:lang w:val="en-US" w:eastAsia="zh-CN"/>
              </w:rPr>
              <w:t>0</w:t>
            </w:r>
            <w:r>
              <w:rPr>
                <w:rFonts w:hint="eastAsia"/>
                <w:color w:val="auto"/>
                <w:sz w:val="24"/>
                <w:szCs w:val="24"/>
                <w:highlight w:val="none"/>
              </w:rPr>
              <w:t>微克/立方米，</w:t>
            </w:r>
            <w:r>
              <w:rPr>
                <w:rFonts w:hint="eastAsia"/>
                <w:color w:val="auto"/>
                <w:sz w:val="24"/>
                <w:szCs w:val="24"/>
                <w:highlight w:val="none"/>
                <w:lang w:val="en-US" w:eastAsia="zh-CN"/>
              </w:rPr>
              <w:t>通川区内</w:t>
            </w:r>
            <w:r>
              <w:rPr>
                <w:rFonts w:hint="eastAsia"/>
                <w:color w:val="auto"/>
                <w:sz w:val="24"/>
                <w:szCs w:val="24"/>
                <w:highlight w:val="none"/>
              </w:rPr>
              <w:t>环境空气质量年均值达到《环境空气质量标准》（</w:t>
            </w:r>
            <w:r>
              <w:rPr>
                <w:rFonts w:hint="default"/>
                <w:color w:val="auto"/>
                <w:sz w:val="24"/>
                <w:szCs w:val="24"/>
                <w:highlight w:val="none"/>
              </w:rPr>
              <w:t>GB3095</w:t>
            </w:r>
            <w:r>
              <w:rPr>
                <w:rFonts w:hint="eastAsia"/>
                <w:color w:val="auto"/>
                <w:sz w:val="24"/>
                <w:szCs w:val="24"/>
                <w:highlight w:val="none"/>
              </w:rPr>
              <w:t>—2012）中二级标准。</w:t>
            </w:r>
          </w:p>
          <w:p w14:paraId="30C2C7D2">
            <w:pPr>
              <w:keepNext w:val="0"/>
              <w:keepLines w:val="0"/>
              <w:suppressLineNumbers w:val="0"/>
              <w:spacing w:before="0" w:beforeAutospacing="0" w:after="0" w:afterAutospacing="0" w:line="360" w:lineRule="auto"/>
              <w:ind w:left="0" w:right="0" w:firstLine="470" w:firstLineChars="196"/>
              <w:rPr>
                <w:rFonts w:hint="eastAsia" w:ascii="Times New Roman" w:hAnsi="Times New Roman" w:eastAsia="宋体" w:cs="Times New Roman"/>
                <w:color w:val="auto"/>
                <w:sz w:val="24"/>
                <w:szCs w:val="24"/>
                <w:highlight w:val="none"/>
                <w:lang w:eastAsia="zh-CN"/>
              </w:rPr>
            </w:pPr>
            <w:r>
              <w:rPr>
                <w:rFonts w:hint="eastAsia"/>
                <w:color w:val="auto"/>
                <w:sz w:val="24"/>
                <w:szCs w:val="24"/>
                <w:highlight w:val="none"/>
                <w:lang w:val="en-US" w:eastAsia="zh-CN"/>
              </w:rPr>
              <w:t>本</w:t>
            </w:r>
            <w:r>
              <w:rPr>
                <w:rFonts w:hint="default"/>
                <w:color w:val="auto"/>
                <w:sz w:val="24"/>
                <w:szCs w:val="24"/>
                <w:highlight w:val="none"/>
              </w:rPr>
              <w:t>项目位于</w:t>
            </w:r>
            <w:r>
              <w:rPr>
                <w:rFonts w:hint="default" w:eastAsia="宋体" w:cs="Times New Roman"/>
                <w:color w:val="auto"/>
                <w:sz w:val="24"/>
                <w:szCs w:val="24"/>
                <w:highlight w:val="none"/>
                <w:lang w:val="en-US" w:eastAsia="zh-CN"/>
              </w:rPr>
              <w:t>四川省达州市</w:t>
            </w:r>
            <w:r>
              <w:rPr>
                <w:rFonts w:hint="eastAsia" w:eastAsia="宋体" w:cs="Times New Roman"/>
                <w:color w:val="auto"/>
                <w:sz w:val="24"/>
                <w:szCs w:val="24"/>
                <w:highlight w:val="none"/>
                <w:lang w:val="en-US" w:eastAsia="zh-CN"/>
              </w:rPr>
              <w:t>通川区东岳收费站出口</w:t>
            </w:r>
            <w:r>
              <w:rPr>
                <w:rFonts w:hint="default"/>
                <w:color w:val="auto"/>
                <w:sz w:val="24"/>
                <w:szCs w:val="24"/>
                <w:highlight w:val="none"/>
              </w:rPr>
              <w:t>，</w:t>
            </w:r>
            <w:r>
              <w:rPr>
                <w:rFonts w:hint="eastAsia"/>
                <w:color w:val="auto"/>
                <w:sz w:val="24"/>
                <w:szCs w:val="24"/>
                <w:highlight w:val="none"/>
                <w:lang w:val="en-US" w:eastAsia="zh-CN"/>
              </w:rPr>
              <w:t>故本项目</w:t>
            </w:r>
            <w:r>
              <w:rPr>
                <w:rFonts w:hint="eastAsia" w:cs="Times New Roman"/>
                <w:color w:val="auto"/>
                <w:szCs w:val="21"/>
                <w:highlight w:val="none"/>
              </w:rPr>
              <w:t>所在区域为达标区。</w:t>
            </w:r>
          </w:p>
          <w:p w14:paraId="03E021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361" w:firstLineChars="150"/>
              <w:textAlignment w:val="auto"/>
              <w:rPr>
                <w:rFonts w:hint="default" w:ascii="Times New Roman" w:hAnsi="Times New Roman" w:eastAsia="宋体" w:cs="Times New Roman"/>
                <w:b/>
                <w:color w:val="auto"/>
                <w:kern w:val="24"/>
                <w:sz w:val="24"/>
                <w:szCs w:val="24"/>
                <w:highlight w:val="none"/>
              </w:rPr>
            </w:pPr>
            <w:r>
              <w:rPr>
                <w:rFonts w:hint="default" w:ascii="Times New Roman" w:hAnsi="Times New Roman" w:eastAsia="宋体" w:cs="Times New Roman"/>
                <w:b/>
                <w:color w:val="auto"/>
                <w:kern w:val="24"/>
                <w:sz w:val="24"/>
                <w:szCs w:val="24"/>
                <w:highlight w:val="none"/>
              </w:rPr>
              <w:t>（2）其他污染物现状</w:t>
            </w:r>
          </w:p>
          <w:p w14:paraId="1265BD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Times New Roman"/>
                <w:color w:val="auto"/>
                <w:sz w:val="24"/>
                <w:szCs w:val="24"/>
                <w:highlight w:val="none"/>
                <w:lang w:val="en-US" w:eastAsia="zh-CN"/>
              </w:rPr>
            </w:pPr>
            <w:r>
              <w:rPr>
                <w:rFonts w:hint="default"/>
                <w:color w:val="auto"/>
                <w:szCs w:val="24"/>
                <w:highlight w:val="none"/>
              </w:rPr>
              <w:t>为了解区域</w:t>
            </w:r>
            <w:r>
              <w:rPr>
                <w:rFonts w:hint="eastAsia"/>
                <w:color w:val="auto"/>
                <w:szCs w:val="24"/>
                <w:highlight w:val="none"/>
              </w:rPr>
              <w:t>大气</w:t>
            </w:r>
            <w:r>
              <w:rPr>
                <w:rFonts w:hint="default"/>
                <w:color w:val="auto"/>
                <w:szCs w:val="24"/>
                <w:highlight w:val="none"/>
              </w:rPr>
              <w:t>环境质量现状，</w:t>
            </w:r>
            <w:r>
              <w:rPr>
                <w:rFonts w:hint="eastAsia"/>
                <w:color w:val="auto"/>
                <w:szCs w:val="24"/>
                <w:highlight w:val="none"/>
              </w:rPr>
              <w:t>本次评价委托达州恒福环境监测服务有限公司于202</w:t>
            </w:r>
            <w:r>
              <w:rPr>
                <w:rFonts w:hint="eastAsia"/>
                <w:color w:val="auto"/>
                <w:szCs w:val="24"/>
                <w:highlight w:val="none"/>
                <w:lang w:val="en-US" w:eastAsia="zh-CN"/>
              </w:rPr>
              <w:t>5</w:t>
            </w:r>
            <w:r>
              <w:rPr>
                <w:rFonts w:hint="eastAsia"/>
                <w:color w:val="auto"/>
                <w:szCs w:val="24"/>
                <w:highlight w:val="none"/>
              </w:rPr>
              <w:t>年</w:t>
            </w:r>
            <w:r>
              <w:rPr>
                <w:rFonts w:hint="eastAsia"/>
                <w:color w:val="auto"/>
                <w:szCs w:val="24"/>
                <w:highlight w:val="none"/>
                <w:lang w:val="en-US" w:eastAsia="zh-CN"/>
              </w:rPr>
              <w:t>5</w:t>
            </w:r>
            <w:r>
              <w:rPr>
                <w:rFonts w:hint="eastAsia"/>
                <w:color w:val="auto"/>
                <w:szCs w:val="24"/>
                <w:highlight w:val="none"/>
              </w:rPr>
              <w:t>月</w:t>
            </w:r>
            <w:r>
              <w:rPr>
                <w:rFonts w:hint="eastAsia"/>
                <w:color w:val="auto"/>
                <w:szCs w:val="24"/>
                <w:highlight w:val="none"/>
                <w:lang w:val="en-US" w:eastAsia="zh-CN"/>
              </w:rPr>
              <w:t>26</w:t>
            </w:r>
            <w:r>
              <w:rPr>
                <w:rFonts w:hint="eastAsia"/>
                <w:color w:val="auto"/>
                <w:szCs w:val="24"/>
                <w:highlight w:val="none"/>
              </w:rPr>
              <w:t>日</w:t>
            </w:r>
            <w:r>
              <w:rPr>
                <w:rFonts w:hint="eastAsia"/>
                <w:color w:val="auto"/>
                <w:szCs w:val="24"/>
                <w:highlight w:val="none"/>
                <w:lang w:eastAsia="zh-CN"/>
              </w:rPr>
              <w:t>—</w:t>
            </w:r>
            <w:r>
              <w:rPr>
                <w:rFonts w:hint="eastAsia"/>
                <w:color w:val="auto"/>
                <w:szCs w:val="24"/>
                <w:highlight w:val="none"/>
                <w:lang w:val="en-US" w:eastAsia="zh-CN"/>
              </w:rPr>
              <w:t>28</w:t>
            </w:r>
            <w:r>
              <w:rPr>
                <w:rFonts w:hint="eastAsia"/>
                <w:color w:val="auto"/>
                <w:szCs w:val="24"/>
                <w:highlight w:val="none"/>
              </w:rPr>
              <w:t>日对区域大气环境质量现状进行监测</w:t>
            </w:r>
            <w:r>
              <w:rPr>
                <w:rFonts w:hint="eastAsia"/>
                <w:color w:val="auto"/>
                <w:szCs w:val="24"/>
                <w:highlight w:val="none"/>
                <w:lang w:eastAsia="zh-CN"/>
              </w:rPr>
              <w:t>。</w:t>
            </w:r>
          </w:p>
          <w:p w14:paraId="378B3D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①</w:t>
            </w:r>
            <w:r>
              <w:rPr>
                <w:rFonts w:hint="default" w:ascii="Times New Roman" w:hAnsi="Times New Roman" w:eastAsia="宋体" w:cs="Times New Roman"/>
                <w:b/>
                <w:color w:val="auto"/>
                <w:sz w:val="24"/>
                <w:szCs w:val="24"/>
                <w:highlight w:val="none"/>
              </w:rPr>
              <w:t>监测因子</w:t>
            </w:r>
          </w:p>
          <w:p w14:paraId="459B8A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w:t>
            </w:r>
            <w:r>
              <w:rPr>
                <w:rFonts w:hint="eastAsia" w:cs="Times New Roman"/>
                <w:color w:val="auto"/>
                <w:sz w:val="24"/>
                <w:szCs w:val="24"/>
                <w:highlight w:val="none"/>
                <w:lang w:val="en-US" w:eastAsia="zh-CN"/>
              </w:rPr>
              <w:t>VOC</w:t>
            </w:r>
            <w:r>
              <w:rPr>
                <w:rFonts w:hint="default" w:ascii="Times New Roman" w:hAnsi="Times New Roman" w:eastAsia="宋体" w:cs="Times New Roman"/>
                <w:color w:val="auto"/>
                <w:sz w:val="24"/>
                <w:szCs w:val="24"/>
                <w:highlight w:val="none"/>
              </w:rPr>
              <w:t>。</w:t>
            </w:r>
          </w:p>
          <w:p w14:paraId="7C0B0B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②</w:t>
            </w:r>
            <w:r>
              <w:rPr>
                <w:rFonts w:hint="default" w:ascii="Times New Roman" w:hAnsi="Times New Roman" w:eastAsia="宋体" w:cs="Times New Roman"/>
                <w:b/>
                <w:color w:val="auto"/>
                <w:sz w:val="24"/>
                <w:szCs w:val="24"/>
                <w:highlight w:val="none"/>
              </w:rPr>
              <w:t>监测时段</w:t>
            </w:r>
          </w:p>
          <w:p w14:paraId="0F8E08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rPr>
              <w:t>日</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rPr>
              <w:t>日，共</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天。</w:t>
            </w:r>
          </w:p>
          <w:p w14:paraId="1FD076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③</w:t>
            </w:r>
            <w:r>
              <w:rPr>
                <w:rFonts w:hint="default" w:ascii="Times New Roman" w:hAnsi="Times New Roman" w:eastAsia="宋体" w:cs="Times New Roman"/>
                <w:b/>
                <w:color w:val="auto"/>
                <w:sz w:val="24"/>
                <w:szCs w:val="24"/>
                <w:highlight w:val="none"/>
              </w:rPr>
              <w:t>监测结果</w:t>
            </w:r>
          </w:p>
          <w:p w14:paraId="7730AA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宋体" w:cs="Times New Roman"/>
                <w:color w:val="auto"/>
                <w:sz w:val="24"/>
                <w:szCs w:val="24"/>
                <w:highlight w:val="none"/>
              </w:rPr>
              <w:t>区域环境空气质量现状监测结果见表3-</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14:paraId="0A99E6F6">
            <w:pPr>
              <w:keepNext w:val="0"/>
              <w:keepLines w:val="0"/>
              <w:suppressLineNumbers w:val="0"/>
              <w:bidi w:val="0"/>
              <w:spacing w:before="0" w:beforeAutospacing="0" w:after="0" w:afterAutospacing="0" w:line="360" w:lineRule="auto"/>
              <w:ind w:left="0" w:right="0"/>
              <w:rPr>
                <w:rFonts w:hint="default"/>
                <w:color w:val="auto"/>
                <w:highlight w:val="none"/>
                <w:lang w:val="en-US" w:eastAsia="zh-CN"/>
              </w:rPr>
            </w:pPr>
          </w:p>
          <w:p w14:paraId="421F152B">
            <w:pPr>
              <w:keepNext w:val="0"/>
              <w:keepLines w:val="0"/>
              <w:suppressLineNumbers w:val="0"/>
              <w:bidi w:val="0"/>
              <w:spacing w:before="0" w:beforeAutospacing="0" w:after="0" w:afterAutospacing="0" w:line="360" w:lineRule="auto"/>
              <w:ind w:left="0" w:right="0"/>
              <w:rPr>
                <w:rFonts w:hint="default"/>
                <w:color w:val="auto"/>
                <w:highlight w:val="none"/>
                <w:lang w:val="en-US" w:eastAsia="zh-CN"/>
              </w:rPr>
            </w:pPr>
          </w:p>
          <w:p w14:paraId="445265EA">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rPr>
            </w:pPr>
            <w:r>
              <w:rPr>
                <w:rFonts w:hint="default" w:ascii="Times New Roman" w:hAnsi="Times New Roman" w:eastAsia="黑体" w:cs="Times New Roman"/>
                <w:b/>
                <w:bCs/>
                <w:color w:val="auto"/>
                <w:kern w:val="0"/>
                <w:sz w:val="20"/>
                <w:szCs w:val="20"/>
                <w:highlight w:val="none"/>
                <w:lang w:val="en-US" w:eastAsia="zh-CN"/>
              </w:rPr>
              <w:t>表3-</w:t>
            </w:r>
            <w:r>
              <w:rPr>
                <w:rFonts w:hint="eastAsia" w:ascii="Times New Roman" w:hAnsi="Times New Roman" w:eastAsia="黑体" w:cs="Times New Roman"/>
                <w:b/>
                <w:bCs/>
                <w:color w:val="auto"/>
                <w:kern w:val="0"/>
                <w:sz w:val="20"/>
                <w:szCs w:val="20"/>
                <w:highlight w:val="none"/>
                <w:lang w:val="en-US" w:eastAsia="zh-CN"/>
              </w:rPr>
              <w:t>1</w:t>
            </w:r>
            <w:r>
              <w:rPr>
                <w:rFonts w:hint="default" w:ascii="Times New Roman" w:hAnsi="Times New Roman" w:eastAsia="黑体" w:cs="Times New Roman"/>
                <w:b/>
                <w:bCs/>
                <w:color w:val="auto"/>
                <w:kern w:val="0"/>
                <w:sz w:val="20"/>
                <w:szCs w:val="20"/>
                <w:highlight w:val="none"/>
                <w:lang w:val="en-US" w:eastAsia="zh-CN"/>
              </w:rPr>
              <w:t xml:space="preserve">  </w:t>
            </w:r>
            <w:r>
              <w:rPr>
                <w:rFonts w:hint="eastAsia" w:ascii="Times New Roman" w:hAnsi="Times New Roman" w:eastAsia="黑体" w:cs="Times New Roman"/>
                <w:b/>
                <w:bCs/>
                <w:color w:val="auto"/>
                <w:kern w:val="0"/>
                <w:sz w:val="20"/>
                <w:szCs w:val="20"/>
                <w:highlight w:val="none"/>
                <w:lang w:val="en-US" w:eastAsia="zh-CN"/>
              </w:rPr>
              <w:t>环境</w:t>
            </w:r>
            <w:r>
              <w:rPr>
                <w:rFonts w:hint="eastAsia" w:eastAsia="黑体" w:cs="Times New Roman"/>
                <w:b/>
                <w:bCs/>
                <w:color w:val="auto"/>
                <w:kern w:val="0"/>
                <w:sz w:val="20"/>
                <w:szCs w:val="20"/>
                <w:highlight w:val="none"/>
                <w:lang w:val="en-US" w:eastAsia="zh-CN"/>
              </w:rPr>
              <w:t>空气监测</w:t>
            </w:r>
            <w:r>
              <w:rPr>
                <w:rFonts w:hint="default" w:ascii="Times New Roman" w:hAnsi="Times New Roman" w:eastAsia="黑体" w:cs="Times New Roman"/>
                <w:b/>
                <w:bCs/>
                <w:color w:val="auto"/>
                <w:kern w:val="0"/>
                <w:sz w:val="20"/>
                <w:szCs w:val="20"/>
                <w:highlight w:val="none"/>
                <w:lang w:val="en-US" w:eastAsia="zh-CN"/>
              </w:rPr>
              <w:t>结果表</w:t>
            </w:r>
            <w:r>
              <w:rPr>
                <w:rFonts w:hint="eastAsia" w:ascii="Times New Roman" w:hAnsi="Times New Roman" w:eastAsia="黑体" w:cs="Times New Roman"/>
                <w:b/>
                <w:bCs/>
                <w:color w:val="auto"/>
                <w:kern w:val="0"/>
                <w:sz w:val="20"/>
                <w:szCs w:val="20"/>
                <w:highlight w:val="none"/>
                <w:lang w:val="en-US" w:eastAsia="zh-CN"/>
              </w:rPr>
              <w:t xml:space="preserve">           </w:t>
            </w:r>
            <w:r>
              <w:rPr>
                <w:rFonts w:hint="default" w:ascii="Times New Roman" w:hAnsi="Times New Roman" w:eastAsia="黑体" w:cs="Times New Roman"/>
                <w:b/>
                <w:bCs/>
                <w:color w:val="auto"/>
                <w:kern w:val="0"/>
                <w:sz w:val="20"/>
                <w:szCs w:val="20"/>
                <w:highlight w:val="none"/>
                <w:lang w:val="en-US" w:eastAsia="zh-CN"/>
              </w:rPr>
              <w:t>单位：mg/</w:t>
            </w:r>
            <w:r>
              <w:rPr>
                <w:rFonts w:hint="eastAsia" w:ascii="Times New Roman" w:hAnsi="Times New Roman" w:eastAsia="黑体" w:cs="Times New Roman"/>
                <w:b/>
                <w:bCs/>
                <w:color w:val="auto"/>
                <w:kern w:val="0"/>
                <w:sz w:val="20"/>
                <w:szCs w:val="20"/>
                <w:highlight w:val="none"/>
                <w:lang w:val="en-US" w:eastAsia="zh-CN"/>
              </w:rPr>
              <w:t>m</w:t>
            </w:r>
            <w:r>
              <w:rPr>
                <w:rFonts w:hint="eastAsia" w:ascii="Times New Roman" w:hAnsi="Times New Roman" w:eastAsia="黑体" w:cs="Times New Roman"/>
                <w:b/>
                <w:bCs/>
                <w:color w:val="auto"/>
                <w:kern w:val="0"/>
                <w:sz w:val="20"/>
                <w:szCs w:val="20"/>
                <w:highlight w:val="none"/>
                <w:vertAlign w:val="superscript"/>
                <w:lang w:val="en-US" w:eastAsia="zh-CN"/>
              </w:rPr>
              <w:t>3</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708"/>
              <w:gridCol w:w="1134"/>
              <w:gridCol w:w="712"/>
              <w:gridCol w:w="713"/>
              <w:gridCol w:w="712"/>
              <w:gridCol w:w="713"/>
              <w:gridCol w:w="713"/>
              <w:gridCol w:w="712"/>
              <w:gridCol w:w="713"/>
              <w:gridCol w:w="713"/>
            </w:tblGrid>
            <w:tr w14:paraId="745CB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25" w:type="dxa"/>
                  <w:vMerge w:val="restart"/>
                  <w:tcBorders>
                    <w:tl2br w:val="nil"/>
                    <w:tr2bl w:val="nil"/>
                  </w:tcBorders>
                  <w:noWrap w:val="0"/>
                  <w:vAlign w:val="center"/>
                </w:tcPr>
                <w:p w14:paraId="7441391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检测点编号及位置</w:t>
                  </w:r>
                </w:p>
              </w:tc>
              <w:tc>
                <w:tcPr>
                  <w:tcW w:w="708" w:type="dxa"/>
                  <w:vMerge w:val="restart"/>
                  <w:tcBorders>
                    <w:tl2br w:val="nil"/>
                    <w:tr2bl w:val="nil"/>
                  </w:tcBorders>
                  <w:noWrap w:val="0"/>
                  <w:vAlign w:val="center"/>
                </w:tcPr>
                <w:p w14:paraId="6928D44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检测因子</w:t>
                  </w:r>
                </w:p>
              </w:tc>
              <w:tc>
                <w:tcPr>
                  <w:tcW w:w="1134" w:type="dxa"/>
                  <w:vMerge w:val="restart"/>
                  <w:tcBorders>
                    <w:tl2br w:val="nil"/>
                    <w:tr2bl w:val="nil"/>
                  </w:tcBorders>
                  <w:noWrap w:val="0"/>
                  <w:vAlign w:val="center"/>
                </w:tcPr>
                <w:p w14:paraId="7A7DCC8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采样日期</w:t>
                  </w:r>
                </w:p>
              </w:tc>
              <w:tc>
                <w:tcPr>
                  <w:tcW w:w="5701" w:type="dxa"/>
                  <w:gridSpan w:val="8"/>
                  <w:tcBorders>
                    <w:tl2br w:val="nil"/>
                    <w:tr2bl w:val="nil"/>
                  </w:tcBorders>
                  <w:noWrap w:val="0"/>
                  <w:vAlign w:val="center"/>
                </w:tcPr>
                <w:p w14:paraId="1E8BBD3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检测结果</w:t>
                  </w:r>
                </w:p>
              </w:tc>
            </w:tr>
            <w:tr w14:paraId="2ECA6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25" w:type="dxa"/>
                  <w:vMerge w:val="continue"/>
                  <w:tcBorders>
                    <w:tl2br w:val="nil"/>
                    <w:tr2bl w:val="nil"/>
                  </w:tcBorders>
                  <w:noWrap w:val="0"/>
                  <w:vAlign w:val="center"/>
                </w:tcPr>
                <w:p w14:paraId="60D4384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p>
              </w:tc>
              <w:tc>
                <w:tcPr>
                  <w:tcW w:w="708" w:type="dxa"/>
                  <w:vMerge w:val="continue"/>
                  <w:tcBorders>
                    <w:tl2br w:val="nil"/>
                    <w:tr2bl w:val="nil"/>
                  </w:tcBorders>
                  <w:noWrap w:val="0"/>
                  <w:vAlign w:val="center"/>
                </w:tcPr>
                <w:p w14:paraId="152C738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p>
              </w:tc>
              <w:tc>
                <w:tcPr>
                  <w:tcW w:w="1134" w:type="dxa"/>
                  <w:vMerge w:val="continue"/>
                  <w:tcBorders>
                    <w:tl2br w:val="nil"/>
                    <w:tr2bl w:val="nil"/>
                  </w:tcBorders>
                  <w:noWrap w:val="0"/>
                  <w:vAlign w:val="center"/>
                </w:tcPr>
                <w:p w14:paraId="7C062FD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p>
              </w:tc>
              <w:tc>
                <w:tcPr>
                  <w:tcW w:w="712" w:type="dxa"/>
                  <w:tcBorders>
                    <w:tl2br w:val="nil"/>
                    <w:tr2bl w:val="nil"/>
                  </w:tcBorders>
                  <w:noWrap w:val="0"/>
                  <w:vAlign w:val="center"/>
                </w:tcPr>
                <w:p w14:paraId="702EF17E">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第一次</w:t>
                  </w:r>
                </w:p>
              </w:tc>
              <w:tc>
                <w:tcPr>
                  <w:tcW w:w="713" w:type="dxa"/>
                  <w:tcBorders>
                    <w:tl2br w:val="nil"/>
                    <w:tr2bl w:val="nil"/>
                  </w:tcBorders>
                  <w:noWrap w:val="0"/>
                  <w:vAlign w:val="center"/>
                </w:tcPr>
                <w:p w14:paraId="56918DA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第二次</w:t>
                  </w:r>
                </w:p>
              </w:tc>
              <w:tc>
                <w:tcPr>
                  <w:tcW w:w="712" w:type="dxa"/>
                  <w:tcBorders>
                    <w:tl2br w:val="nil"/>
                    <w:tr2bl w:val="nil"/>
                  </w:tcBorders>
                  <w:noWrap w:val="0"/>
                  <w:vAlign w:val="center"/>
                </w:tcPr>
                <w:p w14:paraId="48147AD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第三次</w:t>
                  </w:r>
                </w:p>
              </w:tc>
              <w:tc>
                <w:tcPr>
                  <w:tcW w:w="713" w:type="dxa"/>
                  <w:tcBorders>
                    <w:tl2br w:val="nil"/>
                    <w:tr2bl w:val="nil"/>
                  </w:tcBorders>
                  <w:noWrap w:val="0"/>
                  <w:vAlign w:val="center"/>
                </w:tcPr>
                <w:p w14:paraId="6D8725D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第四次</w:t>
                  </w:r>
                </w:p>
              </w:tc>
              <w:tc>
                <w:tcPr>
                  <w:tcW w:w="713" w:type="dxa"/>
                  <w:tcBorders>
                    <w:tl2br w:val="nil"/>
                    <w:tr2bl w:val="nil"/>
                  </w:tcBorders>
                  <w:noWrap w:val="0"/>
                  <w:vAlign w:val="center"/>
                </w:tcPr>
                <w:p w14:paraId="151C639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第五次</w:t>
                  </w:r>
                </w:p>
              </w:tc>
              <w:tc>
                <w:tcPr>
                  <w:tcW w:w="712" w:type="dxa"/>
                  <w:tcBorders>
                    <w:tl2br w:val="nil"/>
                    <w:tr2bl w:val="nil"/>
                  </w:tcBorders>
                  <w:noWrap w:val="0"/>
                  <w:vAlign w:val="center"/>
                </w:tcPr>
                <w:p w14:paraId="156919B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第六次</w:t>
                  </w:r>
                </w:p>
              </w:tc>
              <w:tc>
                <w:tcPr>
                  <w:tcW w:w="713" w:type="dxa"/>
                  <w:tcBorders>
                    <w:tl2br w:val="nil"/>
                    <w:tr2bl w:val="nil"/>
                  </w:tcBorders>
                  <w:noWrap w:val="0"/>
                  <w:vAlign w:val="center"/>
                </w:tcPr>
                <w:p w14:paraId="10D4745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第七次</w:t>
                  </w:r>
                </w:p>
              </w:tc>
              <w:tc>
                <w:tcPr>
                  <w:tcW w:w="713" w:type="dxa"/>
                  <w:tcBorders>
                    <w:tl2br w:val="nil"/>
                    <w:tr2bl w:val="nil"/>
                  </w:tcBorders>
                  <w:noWrap w:val="0"/>
                  <w:vAlign w:val="center"/>
                </w:tcPr>
                <w:p w14:paraId="179AF2F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第八次</w:t>
                  </w:r>
                </w:p>
              </w:tc>
            </w:tr>
            <w:tr w14:paraId="3436D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5" w:type="dxa"/>
                  <w:vMerge w:val="restart"/>
                  <w:tcBorders>
                    <w:tl2br w:val="nil"/>
                    <w:tr2bl w:val="nil"/>
                  </w:tcBorders>
                  <w:noWrap w:val="0"/>
                  <w:vAlign w:val="center"/>
                </w:tcPr>
                <w:p w14:paraId="460BBD9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G1</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项目范围内</w:t>
                  </w:r>
                </w:p>
              </w:tc>
              <w:tc>
                <w:tcPr>
                  <w:tcW w:w="708" w:type="dxa"/>
                  <w:vMerge w:val="restart"/>
                  <w:tcBorders>
                    <w:tl2br w:val="nil"/>
                    <w:tr2bl w:val="nil"/>
                  </w:tcBorders>
                  <w:noWrap w:val="0"/>
                  <w:vAlign w:val="center"/>
                </w:tcPr>
                <w:p w14:paraId="7B00D78D">
                  <w:pPr>
                    <w:pStyle w:val="40"/>
                    <w:keepNext w:val="0"/>
                    <w:keepLines w:val="0"/>
                    <w:suppressLineNumbers w:val="0"/>
                    <w:snapToGrid w:val="0"/>
                    <w:spacing w:before="0" w:beforeAutospacing="0" w:after="0" w:afterAutospacing="0"/>
                    <w:ind w:left="-120" w:leftChars="-50" w:right="-120" w:rightChars="-5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TVOC</w:t>
                  </w:r>
                </w:p>
              </w:tc>
              <w:tc>
                <w:tcPr>
                  <w:tcW w:w="1134" w:type="dxa"/>
                  <w:tcBorders>
                    <w:tl2br w:val="nil"/>
                    <w:tr2bl w:val="nil"/>
                  </w:tcBorders>
                  <w:noWrap w:val="0"/>
                  <w:vAlign w:val="center"/>
                </w:tcPr>
                <w:p w14:paraId="25D95521">
                  <w:pPr>
                    <w:keepNext w:val="0"/>
                    <w:keepLines w:val="0"/>
                    <w:suppressLineNumbers w:val="0"/>
                    <w:snapToGrid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.05.</w:t>
                  </w:r>
                  <w:r>
                    <w:rPr>
                      <w:rFonts w:hint="default" w:ascii="Times New Roman" w:hAnsi="Times New Roman" w:cs="Times New Roman"/>
                      <w:color w:val="auto"/>
                      <w:sz w:val="21"/>
                      <w:szCs w:val="21"/>
                      <w:highlight w:val="none"/>
                      <w:lang w:val="en-US" w:eastAsia="zh-CN"/>
                    </w:rPr>
                    <w:t>26</w:t>
                  </w:r>
                </w:p>
              </w:tc>
              <w:tc>
                <w:tcPr>
                  <w:tcW w:w="712" w:type="dxa"/>
                  <w:tcBorders>
                    <w:tl2br w:val="nil"/>
                    <w:tr2bl w:val="nil"/>
                  </w:tcBorders>
                  <w:noWrap w:val="0"/>
                  <w:vAlign w:val="center"/>
                </w:tcPr>
                <w:p w14:paraId="6645AF14">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156</w:t>
                  </w:r>
                </w:p>
              </w:tc>
              <w:tc>
                <w:tcPr>
                  <w:tcW w:w="713" w:type="dxa"/>
                  <w:tcBorders>
                    <w:tl2br w:val="nil"/>
                    <w:tr2bl w:val="nil"/>
                  </w:tcBorders>
                  <w:noWrap w:val="0"/>
                  <w:vAlign w:val="center"/>
                </w:tcPr>
                <w:p w14:paraId="2B53C505">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287</w:t>
                  </w:r>
                </w:p>
              </w:tc>
              <w:tc>
                <w:tcPr>
                  <w:tcW w:w="712" w:type="dxa"/>
                  <w:tcBorders>
                    <w:tl2br w:val="nil"/>
                    <w:tr2bl w:val="nil"/>
                  </w:tcBorders>
                  <w:noWrap w:val="0"/>
                  <w:vAlign w:val="center"/>
                </w:tcPr>
                <w:p w14:paraId="7B56CA45">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222</w:t>
                  </w:r>
                </w:p>
              </w:tc>
              <w:tc>
                <w:tcPr>
                  <w:tcW w:w="713" w:type="dxa"/>
                  <w:tcBorders>
                    <w:tl2br w:val="nil"/>
                    <w:tr2bl w:val="nil"/>
                  </w:tcBorders>
                  <w:noWrap w:val="0"/>
                  <w:vAlign w:val="center"/>
                </w:tcPr>
                <w:p w14:paraId="5A224B44">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229</w:t>
                  </w:r>
                </w:p>
              </w:tc>
              <w:tc>
                <w:tcPr>
                  <w:tcW w:w="713" w:type="dxa"/>
                  <w:tcBorders>
                    <w:tl2br w:val="nil"/>
                    <w:tr2bl w:val="nil"/>
                  </w:tcBorders>
                  <w:noWrap w:val="0"/>
                  <w:vAlign w:val="center"/>
                </w:tcPr>
                <w:p w14:paraId="4302D822">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226</w:t>
                  </w:r>
                </w:p>
              </w:tc>
              <w:tc>
                <w:tcPr>
                  <w:tcW w:w="712" w:type="dxa"/>
                  <w:tcBorders>
                    <w:tl2br w:val="nil"/>
                    <w:tr2bl w:val="nil"/>
                  </w:tcBorders>
                  <w:noWrap w:val="0"/>
                  <w:vAlign w:val="center"/>
                </w:tcPr>
                <w:p w14:paraId="180DA629">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179</w:t>
                  </w:r>
                </w:p>
              </w:tc>
              <w:tc>
                <w:tcPr>
                  <w:tcW w:w="713" w:type="dxa"/>
                  <w:tcBorders>
                    <w:tl2br w:val="nil"/>
                    <w:tr2bl w:val="nil"/>
                  </w:tcBorders>
                  <w:noWrap w:val="0"/>
                  <w:vAlign w:val="center"/>
                </w:tcPr>
                <w:p w14:paraId="1D3CB2C0">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199</w:t>
                  </w:r>
                </w:p>
              </w:tc>
              <w:tc>
                <w:tcPr>
                  <w:tcW w:w="713" w:type="dxa"/>
                  <w:tcBorders>
                    <w:tl2br w:val="nil"/>
                    <w:tr2bl w:val="nil"/>
                  </w:tcBorders>
                  <w:noWrap w:val="0"/>
                  <w:vAlign w:val="center"/>
                </w:tcPr>
                <w:p w14:paraId="5FF1BA23">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175</w:t>
                  </w:r>
                </w:p>
              </w:tc>
            </w:tr>
            <w:tr w14:paraId="0937B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5" w:type="dxa"/>
                  <w:vMerge w:val="continue"/>
                  <w:tcBorders>
                    <w:tl2br w:val="nil"/>
                    <w:tr2bl w:val="nil"/>
                  </w:tcBorders>
                  <w:noWrap w:val="0"/>
                  <w:vAlign w:val="center"/>
                </w:tcPr>
                <w:p w14:paraId="07EDA57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08" w:type="dxa"/>
                  <w:vMerge w:val="continue"/>
                  <w:tcBorders>
                    <w:tl2br w:val="nil"/>
                    <w:tr2bl w:val="nil"/>
                  </w:tcBorders>
                  <w:noWrap w:val="0"/>
                  <w:vAlign w:val="center"/>
                </w:tcPr>
                <w:p w14:paraId="0A4EEC45">
                  <w:pPr>
                    <w:pStyle w:val="40"/>
                    <w:keepNext w:val="0"/>
                    <w:keepLines w:val="0"/>
                    <w:suppressLineNumbers w:val="0"/>
                    <w:snapToGrid w:val="0"/>
                    <w:spacing w:before="0" w:beforeAutospacing="0" w:after="0" w:afterAutospacing="0"/>
                    <w:ind w:left="0" w:right="0"/>
                    <w:rPr>
                      <w:rFonts w:hint="default" w:ascii="Times New Roman" w:hAnsi="Times New Roman" w:cs="Times New Roman"/>
                      <w:color w:val="auto"/>
                      <w:sz w:val="21"/>
                      <w:szCs w:val="21"/>
                      <w:highlight w:val="none"/>
                    </w:rPr>
                  </w:pPr>
                </w:p>
              </w:tc>
              <w:tc>
                <w:tcPr>
                  <w:tcW w:w="1134" w:type="dxa"/>
                  <w:tcBorders>
                    <w:tl2br w:val="nil"/>
                    <w:tr2bl w:val="nil"/>
                  </w:tcBorders>
                  <w:noWrap w:val="0"/>
                  <w:vAlign w:val="center"/>
                </w:tcPr>
                <w:p w14:paraId="7E11702E">
                  <w:pPr>
                    <w:keepNext w:val="0"/>
                    <w:keepLines w:val="0"/>
                    <w:suppressLineNumbers w:val="0"/>
                    <w:snapToGrid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.05</w:t>
                  </w:r>
                  <w:r>
                    <w:rPr>
                      <w:rFonts w:hint="default" w:ascii="Times New Roman" w:hAnsi="Times New Roman" w:cs="Times New Roman"/>
                      <w:color w:val="auto"/>
                      <w:sz w:val="21"/>
                      <w:szCs w:val="21"/>
                      <w:highlight w:val="none"/>
                      <w:lang w:val="en-US" w:eastAsia="zh-CN"/>
                    </w:rPr>
                    <w:t>.27</w:t>
                  </w:r>
                </w:p>
              </w:tc>
              <w:tc>
                <w:tcPr>
                  <w:tcW w:w="712" w:type="dxa"/>
                  <w:tcBorders>
                    <w:tl2br w:val="nil"/>
                    <w:tr2bl w:val="nil"/>
                  </w:tcBorders>
                  <w:noWrap w:val="0"/>
                  <w:vAlign w:val="center"/>
                </w:tcPr>
                <w:p w14:paraId="066B7812">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298</w:t>
                  </w:r>
                </w:p>
              </w:tc>
              <w:tc>
                <w:tcPr>
                  <w:tcW w:w="713" w:type="dxa"/>
                  <w:tcBorders>
                    <w:tl2br w:val="nil"/>
                    <w:tr2bl w:val="nil"/>
                  </w:tcBorders>
                  <w:noWrap w:val="0"/>
                  <w:vAlign w:val="center"/>
                </w:tcPr>
                <w:p w14:paraId="4B6DBB90">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174</w:t>
                  </w:r>
                </w:p>
              </w:tc>
              <w:tc>
                <w:tcPr>
                  <w:tcW w:w="712" w:type="dxa"/>
                  <w:tcBorders>
                    <w:tl2br w:val="nil"/>
                    <w:tr2bl w:val="nil"/>
                  </w:tcBorders>
                  <w:noWrap w:val="0"/>
                  <w:vAlign w:val="center"/>
                </w:tcPr>
                <w:p w14:paraId="5D96ECBC">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249</w:t>
                  </w:r>
                </w:p>
              </w:tc>
              <w:tc>
                <w:tcPr>
                  <w:tcW w:w="713" w:type="dxa"/>
                  <w:tcBorders>
                    <w:tl2br w:val="nil"/>
                    <w:tr2bl w:val="nil"/>
                  </w:tcBorders>
                  <w:noWrap w:val="0"/>
                  <w:vAlign w:val="center"/>
                </w:tcPr>
                <w:p w14:paraId="09953B52">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146</w:t>
                  </w:r>
                </w:p>
              </w:tc>
              <w:tc>
                <w:tcPr>
                  <w:tcW w:w="713" w:type="dxa"/>
                  <w:tcBorders>
                    <w:tl2br w:val="nil"/>
                    <w:tr2bl w:val="nil"/>
                  </w:tcBorders>
                  <w:noWrap w:val="0"/>
                  <w:vAlign w:val="center"/>
                </w:tcPr>
                <w:p w14:paraId="45702786">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245</w:t>
                  </w:r>
                </w:p>
              </w:tc>
              <w:tc>
                <w:tcPr>
                  <w:tcW w:w="712" w:type="dxa"/>
                  <w:tcBorders>
                    <w:tl2br w:val="nil"/>
                    <w:tr2bl w:val="nil"/>
                  </w:tcBorders>
                  <w:noWrap w:val="0"/>
                  <w:vAlign w:val="center"/>
                </w:tcPr>
                <w:p w14:paraId="3B0BC002">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268</w:t>
                  </w:r>
                </w:p>
              </w:tc>
              <w:tc>
                <w:tcPr>
                  <w:tcW w:w="713" w:type="dxa"/>
                  <w:tcBorders>
                    <w:tl2br w:val="nil"/>
                    <w:tr2bl w:val="nil"/>
                  </w:tcBorders>
                  <w:noWrap w:val="0"/>
                  <w:vAlign w:val="center"/>
                </w:tcPr>
                <w:p w14:paraId="6562C283">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100</w:t>
                  </w:r>
                </w:p>
              </w:tc>
              <w:tc>
                <w:tcPr>
                  <w:tcW w:w="713" w:type="dxa"/>
                  <w:tcBorders>
                    <w:tl2br w:val="nil"/>
                    <w:tr2bl w:val="nil"/>
                  </w:tcBorders>
                  <w:noWrap w:val="0"/>
                  <w:vAlign w:val="center"/>
                </w:tcPr>
                <w:p w14:paraId="1E8FCEEE">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180</w:t>
                  </w:r>
                </w:p>
              </w:tc>
            </w:tr>
            <w:tr w14:paraId="732F1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5" w:type="dxa"/>
                  <w:vMerge w:val="continue"/>
                  <w:tcBorders>
                    <w:tl2br w:val="nil"/>
                    <w:tr2bl w:val="nil"/>
                  </w:tcBorders>
                  <w:noWrap w:val="0"/>
                  <w:vAlign w:val="center"/>
                </w:tcPr>
                <w:p w14:paraId="355EF93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08" w:type="dxa"/>
                  <w:vMerge w:val="continue"/>
                  <w:tcBorders>
                    <w:tl2br w:val="nil"/>
                    <w:tr2bl w:val="nil"/>
                  </w:tcBorders>
                  <w:noWrap w:val="0"/>
                  <w:vAlign w:val="center"/>
                </w:tcPr>
                <w:p w14:paraId="3F0B75A2">
                  <w:pPr>
                    <w:pStyle w:val="40"/>
                    <w:keepNext w:val="0"/>
                    <w:keepLines w:val="0"/>
                    <w:suppressLineNumbers w:val="0"/>
                    <w:snapToGrid w:val="0"/>
                    <w:spacing w:before="0" w:beforeAutospacing="0" w:after="0" w:afterAutospacing="0"/>
                    <w:ind w:left="0" w:right="0"/>
                    <w:rPr>
                      <w:rFonts w:hint="default" w:ascii="Times New Roman" w:hAnsi="Times New Roman" w:cs="Times New Roman"/>
                      <w:color w:val="auto"/>
                      <w:sz w:val="21"/>
                      <w:szCs w:val="21"/>
                      <w:highlight w:val="none"/>
                    </w:rPr>
                  </w:pPr>
                </w:p>
              </w:tc>
              <w:tc>
                <w:tcPr>
                  <w:tcW w:w="1134" w:type="dxa"/>
                  <w:tcBorders>
                    <w:tl2br w:val="nil"/>
                    <w:tr2bl w:val="nil"/>
                  </w:tcBorders>
                  <w:noWrap w:val="0"/>
                  <w:vAlign w:val="center"/>
                </w:tcPr>
                <w:p w14:paraId="05DBF38D">
                  <w:pPr>
                    <w:keepNext w:val="0"/>
                    <w:keepLines w:val="0"/>
                    <w:suppressLineNumbers w:val="0"/>
                    <w:snapToGrid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.05.</w:t>
                  </w:r>
                  <w:r>
                    <w:rPr>
                      <w:rFonts w:hint="default" w:ascii="Times New Roman" w:hAnsi="Times New Roman" w:cs="Times New Roman"/>
                      <w:color w:val="auto"/>
                      <w:sz w:val="21"/>
                      <w:szCs w:val="21"/>
                      <w:highlight w:val="none"/>
                      <w:lang w:val="en-US" w:eastAsia="zh-CN"/>
                    </w:rPr>
                    <w:t>28</w:t>
                  </w:r>
                </w:p>
              </w:tc>
              <w:tc>
                <w:tcPr>
                  <w:tcW w:w="712" w:type="dxa"/>
                  <w:tcBorders>
                    <w:tl2br w:val="nil"/>
                    <w:tr2bl w:val="nil"/>
                  </w:tcBorders>
                  <w:noWrap w:val="0"/>
                  <w:vAlign w:val="center"/>
                </w:tcPr>
                <w:p w14:paraId="1872F1EB">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087</w:t>
                  </w:r>
                </w:p>
              </w:tc>
              <w:tc>
                <w:tcPr>
                  <w:tcW w:w="713" w:type="dxa"/>
                  <w:tcBorders>
                    <w:tl2br w:val="nil"/>
                    <w:tr2bl w:val="nil"/>
                  </w:tcBorders>
                  <w:noWrap w:val="0"/>
                  <w:vAlign w:val="center"/>
                </w:tcPr>
                <w:p w14:paraId="18887DEE">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269</w:t>
                  </w:r>
                </w:p>
              </w:tc>
              <w:tc>
                <w:tcPr>
                  <w:tcW w:w="712" w:type="dxa"/>
                  <w:tcBorders>
                    <w:tl2br w:val="nil"/>
                    <w:tr2bl w:val="nil"/>
                  </w:tcBorders>
                  <w:noWrap w:val="0"/>
                  <w:vAlign w:val="center"/>
                </w:tcPr>
                <w:p w14:paraId="64F9E7D6">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252</w:t>
                  </w:r>
                </w:p>
              </w:tc>
              <w:tc>
                <w:tcPr>
                  <w:tcW w:w="713" w:type="dxa"/>
                  <w:tcBorders>
                    <w:tl2br w:val="nil"/>
                    <w:tr2bl w:val="nil"/>
                  </w:tcBorders>
                  <w:noWrap w:val="0"/>
                  <w:vAlign w:val="center"/>
                </w:tcPr>
                <w:p w14:paraId="182A8D1F">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224</w:t>
                  </w:r>
                </w:p>
              </w:tc>
              <w:tc>
                <w:tcPr>
                  <w:tcW w:w="713" w:type="dxa"/>
                  <w:tcBorders>
                    <w:tl2br w:val="nil"/>
                    <w:tr2bl w:val="nil"/>
                  </w:tcBorders>
                  <w:noWrap w:val="0"/>
                  <w:vAlign w:val="center"/>
                </w:tcPr>
                <w:p w14:paraId="3CE56C66">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285</w:t>
                  </w:r>
                </w:p>
              </w:tc>
              <w:tc>
                <w:tcPr>
                  <w:tcW w:w="712" w:type="dxa"/>
                  <w:tcBorders>
                    <w:tl2br w:val="nil"/>
                    <w:tr2bl w:val="nil"/>
                  </w:tcBorders>
                  <w:noWrap w:val="0"/>
                  <w:vAlign w:val="center"/>
                </w:tcPr>
                <w:p w14:paraId="51F0864B">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206</w:t>
                  </w:r>
                </w:p>
              </w:tc>
              <w:tc>
                <w:tcPr>
                  <w:tcW w:w="713" w:type="dxa"/>
                  <w:tcBorders>
                    <w:tl2br w:val="nil"/>
                    <w:tr2bl w:val="nil"/>
                  </w:tcBorders>
                  <w:noWrap w:val="0"/>
                  <w:vAlign w:val="center"/>
                </w:tcPr>
                <w:p w14:paraId="20FB70DC">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115</w:t>
                  </w:r>
                </w:p>
              </w:tc>
              <w:tc>
                <w:tcPr>
                  <w:tcW w:w="713" w:type="dxa"/>
                  <w:tcBorders>
                    <w:tl2br w:val="nil"/>
                    <w:tr2bl w:val="nil"/>
                  </w:tcBorders>
                  <w:noWrap w:val="0"/>
                  <w:vAlign w:val="center"/>
                </w:tcPr>
                <w:p w14:paraId="3437E7E9">
                  <w:pPr>
                    <w:keepNext w:val="0"/>
                    <w:keepLines w:val="0"/>
                    <w:suppressLineNumbers w:val="0"/>
                    <w:spacing w:before="0" w:beforeAutospacing="0" w:after="0" w:afterAutospacing="0"/>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112</w:t>
                  </w:r>
                </w:p>
              </w:tc>
            </w:tr>
          </w:tbl>
          <w:p w14:paraId="1B3CEB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eastAsia="zh-CN"/>
              </w:rPr>
              <w:t>（</w:t>
            </w:r>
            <w:r>
              <w:rPr>
                <w:rFonts w:hint="eastAsia"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）其他污染物现状评价</w:t>
            </w:r>
          </w:p>
          <w:p w14:paraId="7D03F2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①评价因子</w:t>
            </w:r>
          </w:p>
          <w:p w14:paraId="068BEF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w:t>
            </w:r>
            <w:r>
              <w:rPr>
                <w:rFonts w:hint="eastAsia" w:cs="Times New Roman"/>
                <w:color w:val="auto"/>
                <w:sz w:val="24"/>
                <w:szCs w:val="24"/>
                <w:highlight w:val="none"/>
                <w:lang w:val="en-US" w:eastAsia="zh-CN"/>
              </w:rPr>
              <w:t>VOC</w:t>
            </w:r>
            <w:r>
              <w:rPr>
                <w:rFonts w:hint="default" w:ascii="Times New Roman" w:hAnsi="Times New Roman" w:eastAsia="宋体" w:cs="Times New Roman"/>
                <w:color w:val="auto"/>
                <w:sz w:val="24"/>
                <w:szCs w:val="24"/>
                <w:highlight w:val="none"/>
              </w:rPr>
              <w:t>。</w:t>
            </w:r>
          </w:p>
          <w:p w14:paraId="7AF354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②评价标准</w:t>
            </w:r>
          </w:p>
          <w:p w14:paraId="1757CE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执行《环境影响评价技术导则—大气环境》（HJ2.2-2018）附录D其他污染物空气质量浓度参考限值要求。</w:t>
            </w:r>
          </w:p>
          <w:p w14:paraId="3F8D90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③评价方法</w:t>
            </w:r>
          </w:p>
          <w:p w14:paraId="5BFA51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采用</w:t>
            </w:r>
            <w:r>
              <w:rPr>
                <w:rFonts w:hint="eastAsia" w:cs="Times New Roman"/>
                <w:color w:val="auto"/>
                <w:sz w:val="24"/>
                <w:szCs w:val="24"/>
                <w:highlight w:val="none"/>
                <w:lang w:val="en-US" w:eastAsia="zh-CN"/>
              </w:rPr>
              <w:t>最大浓度占标率</w:t>
            </w:r>
            <w:r>
              <w:rPr>
                <w:rFonts w:hint="default" w:ascii="Times New Roman" w:hAnsi="Times New Roman" w:eastAsia="宋体" w:cs="Times New Roman"/>
                <w:color w:val="auto"/>
                <w:sz w:val="24"/>
                <w:szCs w:val="24"/>
                <w:highlight w:val="none"/>
              </w:rPr>
              <w:t>法，公式为：</w:t>
            </w:r>
          </w:p>
          <w:p w14:paraId="0D21F5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i/>
                <w:color w:val="auto"/>
                <w:sz w:val="24"/>
                <w:szCs w:val="24"/>
                <w:highlight w:val="none"/>
                <w:lang w:val="en-US" w:eastAsia="zh-CN"/>
              </w:rPr>
            </w:pPr>
            <w:r>
              <w:rPr>
                <w:rFonts w:hint="default" w:ascii="Times New Roman" w:hAnsi="Times New Roman" w:eastAsia="宋体" w:cs="Times New Roman"/>
                <w:i/>
                <w:color w:val="auto"/>
                <w:sz w:val="24"/>
                <w:szCs w:val="24"/>
                <w:highlight w:val="none"/>
              </w:rPr>
              <w:t>P</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 xml:space="preserve"> =</w:t>
            </w:r>
            <m:oMath>
              <m:r>
                <m:rPr>
                  <m:sty m:val="p"/>
                </m:rPr>
                <w:rPr>
                  <w:rFonts w:hint="eastAsia" w:ascii="Cambria Math" w:hAnsi="Cambria Math" w:cs="Times New Roman"/>
                  <w:color w:val="auto"/>
                  <w:sz w:val="24"/>
                  <w:szCs w:val="24"/>
                  <w:highlight w:val="none"/>
                  <w:lang w:eastAsia="zh-CN"/>
                </w:rPr>
                <m:t>（</m:t>
              </m:r>
              <m:r>
                <m:rPr/>
                <w:rPr>
                  <w:rFonts w:hint="default" w:ascii="Cambria Math" w:hAnsi="Cambria Math"/>
                  <w:color w:val="auto"/>
                  <w:szCs w:val="24"/>
                  <w:highlight w:val="none"/>
                </w:rPr>
                <m:t>C</m:t>
              </m:r>
              <m:r>
                <m:rPr/>
                <w:rPr>
                  <w:rFonts w:hint="default" w:ascii="Cambria Math" w:hAnsi="Cambria Math"/>
                  <w:color w:val="auto"/>
                  <w:szCs w:val="24"/>
                  <w:highlight w:val="none"/>
                  <w:vertAlign w:val="subscript"/>
                </w:rPr>
                <m:t>i</m:t>
              </m:r>
              <m:r>
                <m:rPr/>
                <w:rPr>
                  <w:rFonts w:hint="default" w:ascii="Cambria Math" w:hAnsi="Cambria Math"/>
                  <w:color w:val="auto"/>
                  <w:szCs w:val="24"/>
                  <w:highlight w:val="none"/>
                </w:rPr>
                <m:t>/S</m:t>
              </m:r>
              <m:r>
                <m:rPr/>
                <w:rPr>
                  <w:rFonts w:hint="default" w:ascii="Cambria Math" w:hAnsi="Cambria Math"/>
                  <w:color w:val="auto"/>
                  <w:szCs w:val="24"/>
                  <w:highlight w:val="none"/>
                  <w:vertAlign w:val="subscript"/>
                </w:rPr>
                <m:t>i</m:t>
              </m:r>
              <m:r>
                <m:rPr>
                  <m:sty m:val="p"/>
                </m:rPr>
                <w:rPr>
                  <w:rFonts w:hint="eastAsia" w:ascii="Cambria Math" w:hAnsi="Cambria Math"/>
                  <w:color w:val="auto"/>
                  <w:szCs w:val="24"/>
                  <w:highlight w:val="none"/>
                  <w:vertAlign w:val="subscript"/>
                  <w:lang w:eastAsia="zh-CN"/>
                </w:rPr>
                <m:t>）</m:t>
              </m:r>
              <m:r>
                <m:rPr/>
                <w:rPr>
                  <w:rFonts w:hint="default" w:ascii="Cambria Math" w:hAnsi="Cambria Math" w:cs="Times New Roman"/>
                  <w:color w:val="auto"/>
                  <w:sz w:val="24"/>
                  <w:szCs w:val="36"/>
                  <w:highlight w:val="none"/>
                </w:rPr>
                <m:t>×</m:t>
              </m:r>
              <m:r>
                <m:rPr>
                  <m:sty m:val="p"/>
                </m:rPr>
                <w:rPr>
                  <w:rFonts w:hint="default" w:ascii="Times New Roman" w:hAnsi="Times New Roman" w:cs="Times New Roman"/>
                  <w:color w:val="auto"/>
                  <w:sz w:val="24"/>
                  <w:szCs w:val="36"/>
                  <w:highlight w:val="none"/>
                  <w:lang w:val="en-US" w:eastAsia="zh-CN"/>
                </w:rPr>
                <m:t>1</m:t>
              </m:r>
            </m:oMath>
            <w:r>
              <w:rPr>
                <w:rFonts w:hint="default" w:ascii="Times New Roman" w:hAnsi="Times New Roman" w:cs="Times New Roman"/>
                <w:i w:val="0"/>
                <w:iCs/>
                <w:color w:val="auto"/>
                <w:sz w:val="24"/>
                <w:szCs w:val="36"/>
                <w:highlight w:val="none"/>
                <w:lang w:val="en-US" w:eastAsia="zh-CN"/>
              </w:rPr>
              <w:t>00%</w:t>
            </w:r>
          </w:p>
          <w:p w14:paraId="42303987">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i/>
                <w:color w:val="auto"/>
                <w:sz w:val="24"/>
                <w:szCs w:val="24"/>
                <w:highlight w:val="none"/>
              </w:rPr>
              <w:t>P</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——第</w:t>
            </w:r>
            <w:r>
              <w:rPr>
                <w:rFonts w:hint="default" w:ascii="Times New Roman" w:hAnsi="Times New Roman" w:eastAsia="宋体" w:cs="Times New Roman"/>
                <w:i/>
                <w:color w:val="auto"/>
                <w:sz w:val="24"/>
                <w:szCs w:val="24"/>
                <w:highlight w:val="none"/>
              </w:rPr>
              <w:t>i</w:t>
            </w:r>
            <w:r>
              <w:rPr>
                <w:rFonts w:hint="default" w:ascii="Times New Roman" w:hAnsi="Times New Roman" w:eastAsia="宋体" w:cs="Times New Roman"/>
                <w:color w:val="auto"/>
                <w:sz w:val="24"/>
                <w:szCs w:val="24"/>
                <w:highlight w:val="none"/>
              </w:rPr>
              <w:t>个污染物</w:t>
            </w:r>
            <w:r>
              <w:rPr>
                <w:rFonts w:hint="eastAsia" w:cs="Times New Roman"/>
                <w:color w:val="auto"/>
                <w:sz w:val="24"/>
                <w:szCs w:val="24"/>
                <w:highlight w:val="none"/>
                <w:lang w:eastAsia="zh-CN"/>
              </w:rPr>
              <w:t>的</w:t>
            </w:r>
            <w:r>
              <w:rPr>
                <w:rFonts w:hint="eastAsia" w:cs="Times New Roman"/>
                <w:color w:val="auto"/>
                <w:sz w:val="24"/>
                <w:szCs w:val="24"/>
                <w:highlight w:val="none"/>
                <w:lang w:val="en-US" w:eastAsia="zh-CN"/>
              </w:rPr>
              <w:t>最大地面空气浓度占标率</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w:t>
            </w:r>
          </w:p>
          <w:p w14:paraId="601C3CF6">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i/>
                <w:iCs/>
                <w:color w:val="auto"/>
                <w:sz w:val="24"/>
                <w:szCs w:val="24"/>
                <w:highlight w:val="none"/>
              </w:rPr>
            </w:pP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——第</w:t>
            </w:r>
            <w:r>
              <w:rPr>
                <w:rFonts w:hint="default" w:ascii="Times New Roman" w:hAnsi="Times New Roman" w:eastAsia="宋体" w:cs="Times New Roman"/>
                <w:i/>
                <w:color w:val="auto"/>
                <w:sz w:val="24"/>
                <w:szCs w:val="24"/>
                <w:highlight w:val="none"/>
              </w:rPr>
              <w:t>i</w:t>
            </w:r>
            <w:r>
              <w:rPr>
                <w:rFonts w:hint="default" w:ascii="Times New Roman" w:hAnsi="Times New Roman" w:eastAsia="宋体" w:cs="Times New Roman"/>
                <w:color w:val="auto"/>
                <w:sz w:val="24"/>
                <w:szCs w:val="24"/>
                <w:highlight w:val="none"/>
              </w:rPr>
              <w:t>个污染物实测浓度值，mg/m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710F9D59">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S</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——第</w:t>
            </w:r>
            <w:r>
              <w:rPr>
                <w:rFonts w:hint="default" w:ascii="Times New Roman" w:hAnsi="Times New Roman" w:eastAsia="宋体" w:cs="Times New Roman"/>
                <w:i/>
                <w:color w:val="auto"/>
                <w:sz w:val="24"/>
                <w:szCs w:val="24"/>
                <w:highlight w:val="none"/>
              </w:rPr>
              <w:t>i</w:t>
            </w:r>
            <w:r>
              <w:rPr>
                <w:rFonts w:hint="default" w:ascii="Times New Roman" w:hAnsi="Times New Roman" w:eastAsia="宋体" w:cs="Times New Roman"/>
                <w:color w:val="auto"/>
                <w:sz w:val="24"/>
                <w:szCs w:val="24"/>
                <w:highlight w:val="none"/>
              </w:rPr>
              <w:t>个污染物评价标准限值，mg/m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3E88A4AB">
            <w:pPr>
              <w:pStyle w:val="11"/>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当</w:t>
            </w:r>
            <w:r>
              <w:rPr>
                <w:rFonts w:hint="default" w:ascii="Times New Roman" w:hAnsi="Times New Roman" w:eastAsia="宋体" w:cs="Times New Roman"/>
                <w:i/>
                <w:color w:val="auto"/>
                <w:sz w:val="24"/>
                <w:szCs w:val="24"/>
                <w:highlight w:val="none"/>
              </w:rPr>
              <w:t>P</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值大于1</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时，表明大气环境已受到该项评价因子所表征的污染物的污染。</w:t>
            </w:r>
            <w:r>
              <w:rPr>
                <w:rFonts w:hint="default" w:ascii="Times New Roman" w:hAnsi="Times New Roman" w:eastAsia="宋体" w:cs="Times New Roman"/>
                <w:i/>
                <w:color w:val="auto"/>
                <w:sz w:val="24"/>
                <w:szCs w:val="24"/>
                <w:highlight w:val="none"/>
              </w:rPr>
              <w:t>P</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值越大，受污染程度越重；</w:t>
            </w:r>
            <w:r>
              <w:rPr>
                <w:rFonts w:hint="default" w:ascii="Times New Roman" w:hAnsi="Times New Roman" w:eastAsia="宋体" w:cs="Times New Roman"/>
                <w:i/>
                <w:color w:val="auto"/>
                <w:sz w:val="24"/>
                <w:szCs w:val="24"/>
                <w:highlight w:val="none"/>
              </w:rPr>
              <w:t>P</w:t>
            </w:r>
            <w:r>
              <w:rPr>
                <w:rFonts w:hint="default" w:ascii="Times New Roman" w:hAnsi="Times New Roman" w:eastAsia="宋体" w:cs="Times New Roman"/>
                <w:i/>
                <w:color w:val="auto"/>
                <w:sz w:val="24"/>
                <w:szCs w:val="24"/>
                <w:highlight w:val="none"/>
                <w:vertAlign w:val="subscript"/>
              </w:rPr>
              <w:t>i</w:t>
            </w:r>
            <w:r>
              <w:rPr>
                <w:rFonts w:hint="default" w:ascii="Times New Roman" w:hAnsi="Times New Roman" w:eastAsia="宋体" w:cs="Times New Roman"/>
                <w:color w:val="auto"/>
                <w:sz w:val="24"/>
                <w:szCs w:val="24"/>
                <w:highlight w:val="none"/>
              </w:rPr>
              <w:t>值越小，受污染程度越轻。</w:t>
            </w:r>
          </w:p>
          <w:p w14:paraId="77FC42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④评价结果</w:t>
            </w:r>
          </w:p>
          <w:p w14:paraId="592738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区域环境空气其他污染物现状评价结果见表3-</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p>
          <w:p w14:paraId="4FDB799C">
            <w:pPr>
              <w:keepNext w:val="0"/>
              <w:keepLines w:val="0"/>
              <w:suppressLineNumbers w:val="0"/>
              <w:spacing w:before="0" w:beforeAutospacing="0" w:after="0" w:afterAutospacing="0" w:line="360" w:lineRule="auto"/>
              <w:ind w:left="0" w:right="0" w:firstLine="402" w:firstLineChars="200"/>
              <w:jc w:val="center"/>
              <w:rPr>
                <w:rFonts w:hint="default" w:eastAsia="黑体"/>
                <w:b/>
                <w:bCs/>
                <w:color w:val="auto"/>
                <w:kern w:val="0"/>
                <w:sz w:val="20"/>
                <w:szCs w:val="20"/>
                <w:highlight w:val="none"/>
              </w:rPr>
            </w:pPr>
            <w:r>
              <w:rPr>
                <w:rFonts w:hint="default" w:ascii="Times New Roman" w:hAnsi="Times New Roman" w:eastAsia="黑体" w:cs="Times New Roman"/>
                <w:b/>
                <w:bCs/>
                <w:color w:val="auto"/>
                <w:kern w:val="0"/>
                <w:sz w:val="20"/>
                <w:szCs w:val="20"/>
                <w:highlight w:val="none"/>
                <w:lang w:val="en-US" w:eastAsia="zh-CN"/>
              </w:rPr>
              <w:t>表3</w:t>
            </w:r>
            <w:r>
              <w:rPr>
                <w:rFonts w:hint="eastAsia" w:ascii="Times New Roman" w:hAnsi="Times New Roman" w:eastAsia="黑体" w:cs="Times New Roman"/>
                <w:b/>
                <w:bCs/>
                <w:color w:val="auto"/>
                <w:kern w:val="0"/>
                <w:sz w:val="20"/>
                <w:szCs w:val="20"/>
                <w:highlight w:val="none"/>
                <w:lang w:val="en-US" w:eastAsia="zh-CN"/>
              </w:rPr>
              <w:t>-2</w:t>
            </w:r>
            <w:r>
              <w:rPr>
                <w:rFonts w:hint="default" w:ascii="Times New Roman" w:hAnsi="Times New Roman" w:eastAsia="黑体" w:cs="Times New Roman"/>
                <w:b/>
                <w:bCs/>
                <w:color w:val="auto"/>
                <w:kern w:val="0"/>
                <w:sz w:val="20"/>
                <w:szCs w:val="20"/>
                <w:highlight w:val="none"/>
                <w:lang w:val="en-US" w:eastAsia="zh-CN"/>
              </w:rPr>
              <w:t xml:space="preserve">  </w:t>
            </w:r>
            <w:r>
              <w:rPr>
                <w:rFonts w:hint="default" w:eastAsia="黑体"/>
                <w:b/>
                <w:bCs/>
                <w:color w:val="auto"/>
                <w:kern w:val="0"/>
                <w:sz w:val="20"/>
                <w:szCs w:val="20"/>
                <w:highlight w:val="none"/>
              </w:rPr>
              <w:t>其他污染物现状评价结果</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1125"/>
              <w:gridCol w:w="1320"/>
              <w:gridCol w:w="1612"/>
              <w:gridCol w:w="1463"/>
              <w:gridCol w:w="1022"/>
              <w:gridCol w:w="1101"/>
            </w:tblGrid>
            <w:tr w14:paraId="546DE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tblHeader/>
              </w:trPr>
              <w:tc>
                <w:tcPr>
                  <w:tcW w:w="554" w:type="pct"/>
                  <w:tcBorders>
                    <w:tl2br w:val="nil"/>
                    <w:tr2bl w:val="nil"/>
                  </w:tcBorders>
                  <w:vAlign w:val="center"/>
                </w:tcPr>
                <w:p w14:paraId="3F7B3BBF">
                  <w:pPr>
                    <w:keepNext w:val="0"/>
                    <w:keepLines w:val="0"/>
                    <w:suppressLineNumbers w:val="0"/>
                    <w:spacing w:before="0" w:beforeAutospacing="0" w:after="0" w:afterAutospacing="0"/>
                    <w:ind w:left="0" w:right="0"/>
                    <w:jc w:val="center"/>
                    <w:rPr>
                      <w:rFonts w:hint="default"/>
                      <w:b/>
                      <w:bCs/>
                      <w:color w:val="auto"/>
                      <w:sz w:val="21"/>
                      <w:highlight w:val="none"/>
                    </w:rPr>
                  </w:pPr>
                  <w:r>
                    <w:rPr>
                      <w:rFonts w:hint="default"/>
                      <w:b/>
                      <w:bCs/>
                      <w:color w:val="auto"/>
                      <w:sz w:val="21"/>
                      <w:highlight w:val="none"/>
                    </w:rPr>
                    <w:t>污染物</w:t>
                  </w:r>
                </w:p>
              </w:tc>
              <w:tc>
                <w:tcPr>
                  <w:tcW w:w="654" w:type="pct"/>
                  <w:tcBorders>
                    <w:tl2br w:val="nil"/>
                    <w:tr2bl w:val="nil"/>
                  </w:tcBorders>
                  <w:vAlign w:val="center"/>
                </w:tcPr>
                <w:p w14:paraId="59C2F125">
                  <w:pPr>
                    <w:keepNext w:val="0"/>
                    <w:keepLines w:val="0"/>
                    <w:suppressLineNumbers w:val="0"/>
                    <w:spacing w:before="0" w:beforeAutospacing="0" w:after="0" w:afterAutospacing="0"/>
                    <w:ind w:left="0" w:right="0"/>
                    <w:jc w:val="center"/>
                    <w:rPr>
                      <w:rFonts w:hint="default"/>
                      <w:b/>
                      <w:bCs/>
                      <w:color w:val="auto"/>
                      <w:sz w:val="21"/>
                      <w:highlight w:val="none"/>
                    </w:rPr>
                  </w:pPr>
                  <w:r>
                    <w:rPr>
                      <w:rFonts w:hint="default"/>
                      <w:b/>
                      <w:bCs/>
                      <w:color w:val="auto"/>
                      <w:sz w:val="21"/>
                      <w:highlight w:val="none"/>
                    </w:rPr>
                    <w:t>平均时间</w:t>
                  </w:r>
                </w:p>
              </w:tc>
              <w:tc>
                <w:tcPr>
                  <w:tcW w:w="767" w:type="pct"/>
                  <w:tcBorders>
                    <w:tl2br w:val="nil"/>
                    <w:tr2bl w:val="nil"/>
                  </w:tcBorders>
                  <w:vAlign w:val="center"/>
                </w:tcPr>
                <w:p w14:paraId="67F96B0B">
                  <w:pPr>
                    <w:keepNext w:val="0"/>
                    <w:keepLines w:val="0"/>
                    <w:suppressLineNumbers w:val="0"/>
                    <w:spacing w:before="0" w:beforeAutospacing="0" w:after="0" w:afterAutospacing="0"/>
                    <w:ind w:left="0" w:right="0"/>
                    <w:jc w:val="center"/>
                    <w:rPr>
                      <w:rFonts w:hint="default"/>
                      <w:b/>
                      <w:bCs/>
                      <w:color w:val="auto"/>
                      <w:sz w:val="21"/>
                      <w:highlight w:val="none"/>
                    </w:rPr>
                  </w:pPr>
                  <w:r>
                    <w:rPr>
                      <w:rFonts w:hint="default"/>
                      <w:b/>
                      <w:bCs/>
                      <w:color w:val="auto"/>
                      <w:sz w:val="21"/>
                      <w:highlight w:val="none"/>
                    </w:rPr>
                    <w:t>评价标准（mg/m</w:t>
                  </w:r>
                  <w:r>
                    <w:rPr>
                      <w:rFonts w:hint="default"/>
                      <w:b/>
                      <w:bCs/>
                      <w:color w:val="auto"/>
                      <w:sz w:val="21"/>
                      <w:highlight w:val="none"/>
                      <w:vertAlign w:val="superscript"/>
                    </w:rPr>
                    <w:t>3</w:t>
                  </w:r>
                  <w:r>
                    <w:rPr>
                      <w:rFonts w:hint="default"/>
                      <w:b/>
                      <w:bCs/>
                      <w:color w:val="auto"/>
                      <w:sz w:val="21"/>
                      <w:highlight w:val="none"/>
                    </w:rPr>
                    <w:t>）</w:t>
                  </w:r>
                </w:p>
              </w:tc>
              <w:tc>
                <w:tcPr>
                  <w:tcW w:w="937" w:type="pct"/>
                  <w:tcBorders>
                    <w:tl2br w:val="nil"/>
                    <w:tr2bl w:val="nil"/>
                  </w:tcBorders>
                  <w:vAlign w:val="center"/>
                </w:tcPr>
                <w:p w14:paraId="46C27EAF">
                  <w:pPr>
                    <w:keepNext w:val="0"/>
                    <w:keepLines w:val="0"/>
                    <w:suppressLineNumbers w:val="0"/>
                    <w:spacing w:before="0" w:beforeAutospacing="0" w:after="0" w:afterAutospacing="0"/>
                    <w:ind w:left="0" w:right="0"/>
                    <w:jc w:val="center"/>
                    <w:rPr>
                      <w:rFonts w:hint="default"/>
                      <w:b/>
                      <w:bCs/>
                      <w:color w:val="auto"/>
                      <w:sz w:val="21"/>
                      <w:highlight w:val="none"/>
                    </w:rPr>
                  </w:pPr>
                  <w:r>
                    <w:rPr>
                      <w:rFonts w:hint="default"/>
                      <w:b/>
                      <w:bCs/>
                      <w:color w:val="auto"/>
                      <w:sz w:val="21"/>
                      <w:highlight w:val="none"/>
                    </w:rPr>
                    <w:t>监测浓度范围（mg/m</w:t>
                  </w:r>
                  <w:r>
                    <w:rPr>
                      <w:rFonts w:hint="default"/>
                      <w:b/>
                      <w:bCs/>
                      <w:color w:val="auto"/>
                      <w:sz w:val="21"/>
                      <w:highlight w:val="none"/>
                      <w:vertAlign w:val="superscript"/>
                    </w:rPr>
                    <w:t>3</w:t>
                  </w:r>
                  <w:r>
                    <w:rPr>
                      <w:rFonts w:hint="default"/>
                      <w:b/>
                      <w:bCs/>
                      <w:color w:val="auto"/>
                      <w:sz w:val="21"/>
                      <w:highlight w:val="none"/>
                    </w:rPr>
                    <w:t>）</w:t>
                  </w:r>
                </w:p>
              </w:tc>
              <w:tc>
                <w:tcPr>
                  <w:tcW w:w="850" w:type="pct"/>
                  <w:tcBorders>
                    <w:tl2br w:val="nil"/>
                    <w:tr2bl w:val="nil"/>
                  </w:tcBorders>
                  <w:vAlign w:val="center"/>
                </w:tcPr>
                <w:p w14:paraId="20F42835">
                  <w:pPr>
                    <w:keepNext w:val="0"/>
                    <w:keepLines w:val="0"/>
                    <w:suppressLineNumbers w:val="0"/>
                    <w:spacing w:before="0" w:beforeAutospacing="0" w:after="0" w:afterAutospacing="0"/>
                    <w:ind w:left="0" w:right="0"/>
                    <w:jc w:val="center"/>
                    <w:rPr>
                      <w:rFonts w:hint="default"/>
                      <w:b/>
                      <w:bCs/>
                      <w:color w:val="auto"/>
                      <w:sz w:val="21"/>
                      <w:highlight w:val="none"/>
                    </w:rPr>
                  </w:pPr>
                  <w:r>
                    <w:rPr>
                      <w:rFonts w:hint="default"/>
                      <w:b/>
                      <w:bCs/>
                      <w:color w:val="auto"/>
                      <w:sz w:val="21"/>
                      <w:highlight w:val="none"/>
                    </w:rPr>
                    <w:t>最大浓度占标率（%）</w:t>
                  </w:r>
                </w:p>
              </w:tc>
              <w:tc>
                <w:tcPr>
                  <w:tcW w:w="594" w:type="pct"/>
                  <w:tcBorders>
                    <w:tl2br w:val="nil"/>
                    <w:tr2bl w:val="nil"/>
                  </w:tcBorders>
                  <w:vAlign w:val="center"/>
                </w:tcPr>
                <w:p w14:paraId="63D1DB37">
                  <w:pPr>
                    <w:keepNext w:val="0"/>
                    <w:keepLines w:val="0"/>
                    <w:suppressLineNumbers w:val="0"/>
                    <w:spacing w:before="0" w:beforeAutospacing="0" w:after="0" w:afterAutospacing="0"/>
                    <w:ind w:left="0" w:right="0"/>
                    <w:jc w:val="center"/>
                    <w:rPr>
                      <w:rFonts w:hint="default"/>
                      <w:b/>
                      <w:bCs/>
                      <w:color w:val="auto"/>
                      <w:sz w:val="21"/>
                      <w:highlight w:val="none"/>
                    </w:rPr>
                  </w:pPr>
                  <w:r>
                    <w:rPr>
                      <w:rFonts w:hint="default"/>
                      <w:b/>
                      <w:bCs/>
                      <w:color w:val="auto"/>
                      <w:sz w:val="21"/>
                      <w:highlight w:val="none"/>
                    </w:rPr>
                    <w:t>超标率（%）</w:t>
                  </w:r>
                </w:p>
              </w:tc>
              <w:tc>
                <w:tcPr>
                  <w:tcW w:w="640" w:type="pct"/>
                  <w:tcBorders>
                    <w:tl2br w:val="nil"/>
                    <w:tr2bl w:val="nil"/>
                  </w:tcBorders>
                  <w:vAlign w:val="center"/>
                </w:tcPr>
                <w:p w14:paraId="5701DD13">
                  <w:pPr>
                    <w:keepNext w:val="0"/>
                    <w:keepLines w:val="0"/>
                    <w:suppressLineNumbers w:val="0"/>
                    <w:spacing w:before="0" w:beforeAutospacing="0" w:after="0" w:afterAutospacing="0"/>
                    <w:ind w:left="0" w:right="0"/>
                    <w:jc w:val="center"/>
                    <w:rPr>
                      <w:rFonts w:hint="default"/>
                      <w:b/>
                      <w:bCs/>
                      <w:color w:val="auto"/>
                      <w:sz w:val="21"/>
                      <w:highlight w:val="none"/>
                    </w:rPr>
                  </w:pPr>
                  <w:r>
                    <w:rPr>
                      <w:rFonts w:hint="default"/>
                      <w:b/>
                      <w:bCs/>
                      <w:color w:val="auto"/>
                      <w:sz w:val="21"/>
                      <w:highlight w:val="none"/>
                    </w:rPr>
                    <w:t>达标情况</w:t>
                  </w:r>
                </w:p>
              </w:tc>
            </w:tr>
            <w:tr w14:paraId="01C3B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54" w:type="pct"/>
                  <w:tcBorders>
                    <w:tl2br w:val="nil"/>
                    <w:tr2bl w:val="nil"/>
                  </w:tcBorders>
                  <w:vAlign w:val="center"/>
                </w:tcPr>
                <w:p w14:paraId="501F6C95">
                  <w:pPr>
                    <w:keepNext w:val="0"/>
                    <w:keepLines w:val="0"/>
                    <w:suppressLineNumbers w:val="0"/>
                    <w:spacing w:before="0" w:beforeAutospacing="0" w:after="0" w:afterAutospacing="0"/>
                    <w:ind w:left="0" w:right="0"/>
                    <w:jc w:val="center"/>
                    <w:rPr>
                      <w:rFonts w:hint="eastAsia" w:eastAsia="宋体"/>
                      <w:color w:val="auto"/>
                      <w:sz w:val="21"/>
                      <w:highlight w:val="none"/>
                      <w:lang w:eastAsia="zh-CN"/>
                    </w:rPr>
                  </w:pPr>
                  <w:r>
                    <w:rPr>
                      <w:rFonts w:hint="default" w:ascii="Times New Roman" w:hAnsi="Times New Roman" w:eastAsia="宋体" w:cs="Times New Roman"/>
                      <w:color w:val="auto"/>
                      <w:sz w:val="24"/>
                      <w:szCs w:val="24"/>
                      <w:highlight w:val="none"/>
                    </w:rPr>
                    <w:t>T</w:t>
                  </w:r>
                  <w:r>
                    <w:rPr>
                      <w:rFonts w:hint="eastAsia" w:cs="Times New Roman"/>
                      <w:color w:val="auto"/>
                      <w:sz w:val="24"/>
                      <w:szCs w:val="24"/>
                      <w:highlight w:val="none"/>
                      <w:lang w:val="en-US" w:eastAsia="zh-CN"/>
                    </w:rPr>
                    <w:t>VOC</w:t>
                  </w:r>
                </w:p>
              </w:tc>
              <w:tc>
                <w:tcPr>
                  <w:tcW w:w="654" w:type="pct"/>
                  <w:tcBorders>
                    <w:tl2br w:val="nil"/>
                    <w:tr2bl w:val="nil"/>
                  </w:tcBorders>
                  <w:vAlign w:val="center"/>
                </w:tcPr>
                <w:p w14:paraId="7764EFFA">
                  <w:pPr>
                    <w:keepNext w:val="0"/>
                    <w:keepLines w:val="0"/>
                    <w:suppressLineNumbers w:val="0"/>
                    <w:spacing w:before="0" w:beforeAutospacing="0" w:after="0" w:afterAutospacing="0"/>
                    <w:ind w:left="0" w:right="0"/>
                    <w:jc w:val="center"/>
                    <w:rPr>
                      <w:rFonts w:hint="default"/>
                      <w:color w:val="auto"/>
                      <w:sz w:val="21"/>
                      <w:highlight w:val="none"/>
                    </w:rPr>
                  </w:pPr>
                  <w:r>
                    <w:rPr>
                      <w:rFonts w:hint="eastAsia"/>
                      <w:color w:val="auto"/>
                      <w:sz w:val="21"/>
                      <w:highlight w:val="none"/>
                      <w:lang w:val="en-US" w:eastAsia="zh-CN"/>
                    </w:rPr>
                    <w:t>8</w:t>
                  </w:r>
                  <w:r>
                    <w:rPr>
                      <w:rFonts w:hint="default"/>
                      <w:color w:val="auto"/>
                      <w:sz w:val="21"/>
                      <w:highlight w:val="none"/>
                    </w:rPr>
                    <w:t>h平均</w:t>
                  </w:r>
                </w:p>
              </w:tc>
              <w:tc>
                <w:tcPr>
                  <w:tcW w:w="767" w:type="pct"/>
                  <w:tcBorders>
                    <w:tl2br w:val="nil"/>
                    <w:tr2bl w:val="nil"/>
                  </w:tcBorders>
                  <w:vAlign w:val="center"/>
                </w:tcPr>
                <w:p w14:paraId="349043BF">
                  <w:pPr>
                    <w:keepNext w:val="0"/>
                    <w:keepLines w:val="0"/>
                    <w:suppressLineNumbers w:val="0"/>
                    <w:spacing w:before="0" w:beforeAutospacing="0" w:after="0" w:afterAutospacing="0"/>
                    <w:ind w:left="0" w:right="0"/>
                    <w:jc w:val="center"/>
                    <w:rPr>
                      <w:rFonts w:hint="eastAsia" w:eastAsia="宋体"/>
                      <w:color w:val="auto"/>
                      <w:sz w:val="21"/>
                      <w:highlight w:val="none"/>
                      <w:lang w:eastAsia="zh-CN"/>
                    </w:rPr>
                  </w:pPr>
                  <w:r>
                    <w:rPr>
                      <w:rFonts w:hint="default"/>
                      <w:color w:val="auto"/>
                      <w:sz w:val="21"/>
                      <w:highlight w:val="none"/>
                    </w:rPr>
                    <w:t>0.</w:t>
                  </w:r>
                  <w:r>
                    <w:rPr>
                      <w:rFonts w:hint="eastAsia"/>
                      <w:color w:val="auto"/>
                      <w:sz w:val="21"/>
                      <w:highlight w:val="none"/>
                      <w:lang w:val="en-US" w:eastAsia="zh-CN"/>
                    </w:rPr>
                    <w:t>6</w:t>
                  </w:r>
                </w:p>
              </w:tc>
              <w:tc>
                <w:tcPr>
                  <w:tcW w:w="937" w:type="pct"/>
                  <w:tcBorders>
                    <w:tl2br w:val="nil"/>
                    <w:tr2bl w:val="nil"/>
                  </w:tcBorders>
                  <w:vAlign w:val="center"/>
                </w:tcPr>
                <w:p w14:paraId="2EBDC626">
                  <w:pPr>
                    <w:keepNext w:val="0"/>
                    <w:keepLines w:val="0"/>
                    <w:suppressLineNumbers w:val="0"/>
                    <w:spacing w:before="0" w:beforeAutospacing="0" w:after="0" w:afterAutospacing="0"/>
                    <w:ind w:left="0" w:right="0"/>
                    <w:jc w:val="center"/>
                    <w:rPr>
                      <w:rFonts w:hint="default" w:eastAsia="宋体"/>
                      <w:color w:val="auto"/>
                      <w:sz w:val="21"/>
                      <w:highlight w:val="none"/>
                      <w:lang w:val="en-US" w:eastAsia="zh-CN"/>
                    </w:rPr>
                  </w:pPr>
                  <w:r>
                    <w:rPr>
                      <w:rFonts w:hint="default"/>
                      <w:color w:val="auto"/>
                      <w:sz w:val="21"/>
                      <w:highlight w:val="none"/>
                    </w:rPr>
                    <w:t>0.</w:t>
                  </w:r>
                  <w:r>
                    <w:rPr>
                      <w:rFonts w:hint="eastAsia"/>
                      <w:color w:val="auto"/>
                      <w:sz w:val="21"/>
                      <w:highlight w:val="none"/>
                      <w:lang w:val="en-US" w:eastAsia="zh-CN"/>
                    </w:rPr>
                    <w:t>0087</w:t>
                  </w:r>
                  <w:r>
                    <w:rPr>
                      <w:rFonts w:hint="default"/>
                      <w:color w:val="auto"/>
                      <w:sz w:val="21"/>
                      <w:highlight w:val="none"/>
                    </w:rPr>
                    <w:t>~0.</w:t>
                  </w:r>
                  <w:r>
                    <w:rPr>
                      <w:rFonts w:hint="eastAsia"/>
                      <w:color w:val="auto"/>
                      <w:sz w:val="21"/>
                      <w:highlight w:val="none"/>
                      <w:lang w:val="en-US" w:eastAsia="zh-CN"/>
                    </w:rPr>
                    <w:t>0298</w:t>
                  </w:r>
                </w:p>
              </w:tc>
              <w:tc>
                <w:tcPr>
                  <w:tcW w:w="850" w:type="pct"/>
                  <w:tcBorders>
                    <w:tl2br w:val="nil"/>
                    <w:tr2bl w:val="nil"/>
                  </w:tcBorders>
                  <w:vAlign w:val="center"/>
                </w:tcPr>
                <w:p w14:paraId="03BC8625">
                  <w:pPr>
                    <w:keepNext w:val="0"/>
                    <w:keepLines w:val="0"/>
                    <w:suppressLineNumbers w:val="0"/>
                    <w:spacing w:before="0" w:beforeAutospacing="0" w:after="0" w:afterAutospacing="0"/>
                    <w:ind w:left="0" w:right="0"/>
                    <w:jc w:val="center"/>
                    <w:rPr>
                      <w:rFonts w:hint="default"/>
                      <w:color w:val="auto"/>
                      <w:sz w:val="21"/>
                      <w:highlight w:val="none"/>
                      <w:lang w:val="en-US"/>
                    </w:rPr>
                  </w:pPr>
                  <w:r>
                    <w:rPr>
                      <w:rFonts w:hint="eastAsia"/>
                      <w:color w:val="auto"/>
                      <w:sz w:val="21"/>
                      <w:highlight w:val="none"/>
                      <w:lang w:val="en-US" w:eastAsia="zh-CN"/>
                    </w:rPr>
                    <w:t>4.97</w:t>
                  </w:r>
                </w:p>
              </w:tc>
              <w:tc>
                <w:tcPr>
                  <w:tcW w:w="594" w:type="pct"/>
                  <w:tcBorders>
                    <w:tl2br w:val="nil"/>
                    <w:tr2bl w:val="nil"/>
                  </w:tcBorders>
                  <w:vAlign w:val="center"/>
                </w:tcPr>
                <w:p w14:paraId="7898EC49">
                  <w:pPr>
                    <w:keepNext w:val="0"/>
                    <w:keepLines w:val="0"/>
                    <w:suppressLineNumbers w:val="0"/>
                    <w:spacing w:before="0" w:beforeAutospacing="0" w:after="0" w:afterAutospacing="0"/>
                    <w:ind w:left="0" w:right="0"/>
                    <w:jc w:val="center"/>
                    <w:rPr>
                      <w:rFonts w:hint="default"/>
                      <w:color w:val="auto"/>
                      <w:sz w:val="21"/>
                      <w:highlight w:val="none"/>
                    </w:rPr>
                  </w:pPr>
                  <w:r>
                    <w:rPr>
                      <w:rFonts w:hint="default"/>
                      <w:color w:val="auto"/>
                      <w:sz w:val="21"/>
                      <w:highlight w:val="none"/>
                    </w:rPr>
                    <w:t>0</w:t>
                  </w:r>
                </w:p>
              </w:tc>
              <w:tc>
                <w:tcPr>
                  <w:tcW w:w="640" w:type="pct"/>
                  <w:tcBorders>
                    <w:tl2br w:val="nil"/>
                    <w:tr2bl w:val="nil"/>
                  </w:tcBorders>
                  <w:vAlign w:val="center"/>
                </w:tcPr>
                <w:p w14:paraId="62C24EC4">
                  <w:pPr>
                    <w:keepNext w:val="0"/>
                    <w:keepLines w:val="0"/>
                    <w:suppressLineNumbers w:val="0"/>
                    <w:spacing w:before="0" w:beforeAutospacing="0" w:after="0" w:afterAutospacing="0"/>
                    <w:ind w:left="0" w:right="0"/>
                    <w:jc w:val="center"/>
                    <w:rPr>
                      <w:rFonts w:hint="default"/>
                      <w:color w:val="auto"/>
                      <w:sz w:val="21"/>
                      <w:highlight w:val="none"/>
                    </w:rPr>
                  </w:pPr>
                  <w:r>
                    <w:rPr>
                      <w:rFonts w:hint="default"/>
                      <w:color w:val="auto"/>
                      <w:sz w:val="21"/>
                      <w:highlight w:val="none"/>
                    </w:rPr>
                    <w:t>达标</w:t>
                  </w:r>
                </w:p>
              </w:tc>
            </w:tr>
          </w:tbl>
          <w:p w14:paraId="68107C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由上表可知，评价区域环境空气中</w:t>
            </w:r>
            <w:r>
              <w:rPr>
                <w:rFonts w:hint="eastAsia" w:cs="Times New Roman"/>
                <w:color w:val="auto"/>
                <w:sz w:val="24"/>
                <w:szCs w:val="24"/>
                <w:highlight w:val="none"/>
                <w:lang w:val="en-US" w:eastAsia="zh-CN"/>
              </w:rPr>
              <w:t>TVOC</w:t>
            </w:r>
            <w:r>
              <w:rPr>
                <w:rFonts w:hint="default" w:ascii="Times New Roman" w:hAnsi="Times New Roman" w:eastAsia="宋体" w:cs="Times New Roman"/>
                <w:color w:val="auto"/>
                <w:sz w:val="24"/>
                <w:szCs w:val="24"/>
                <w:highlight w:val="none"/>
              </w:rPr>
              <w:t>满足《环境影响评价技术导则—大气环境》（HJ2.2-2018）附录D其他污染物空气质量浓度参考限值要求，项目所在区域环境空气质量良好</w:t>
            </w:r>
            <w:r>
              <w:rPr>
                <w:rFonts w:hint="default" w:ascii="Times New Roman" w:hAnsi="Times New Roman" w:cs="Times New Roman"/>
                <w:color w:val="auto"/>
                <w:sz w:val="24"/>
                <w:szCs w:val="24"/>
                <w:highlight w:val="none"/>
                <w:lang w:eastAsia="zh-CN"/>
              </w:rPr>
              <w:t>。</w:t>
            </w:r>
          </w:p>
          <w:p w14:paraId="3E2001EC">
            <w:pPr>
              <w:keepNext w:val="0"/>
              <w:keepLines w:val="0"/>
              <w:suppressLineNumbers w:val="0"/>
              <w:spacing w:before="0" w:beforeAutospacing="0" w:after="0" w:afterAutospacing="0" w:line="360" w:lineRule="auto"/>
              <w:ind w:left="0" w:right="0" w:firstLine="480"/>
              <w:rPr>
                <w:rFonts w:hint="default"/>
                <w:b/>
                <w:bCs/>
                <w:color w:val="auto"/>
                <w:sz w:val="24"/>
                <w:szCs w:val="24"/>
                <w:highlight w:val="none"/>
              </w:rPr>
            </w:pPr>
            <w:r>
              <w:rPr>
                <w:rFonts w:hint="default"/>
                <w:b/>
                <w:bCs/>
                <w:color w:val="auto"/>
                <w:sz w:val="24"/>
                <w:szCs w:val="24"/>
                <w:highlight w:val="none"/>
              </w:rPr>
              <w:t>二、地表水环境质量现状</w:t>
            </w:r>
          </w:p>
          <w:p w14:paraId="773C4198">
            <w:pPr>
              <w:keepNext w:val="0"/>
              <w:keepLines w:val="0"/>
              <w:widowControl/>
              <w:suppressLineNumbers w:val="0"/>
              <w:spacing w:before="0" w:beforeAutospacing="0" w:after="0" w:afterAutospacing="0" w:line="360" w:lineRule="auto"/>
              <w:ind w:left="0" w:right="0" w:firstLine="480" w:firstLineChars="200"/>
              <w:rPr>
                <w:rFonts w:hint="default"/>
                <w:color w:val="auto"/>
                <w:kern w:val="0"/>
                <w:sz w:val="24"/>
                <w:highlight w:val="none"/>
                <w:lang w:bidi="ar"/>
              </w:rPr>
            </w:pPr>
            <w:r>
              <w:rPr>
                <w:rFonts w:hint="default"/>
                <w:color w:val="auto"/>
                <w:sz w:val="24"/>
                <w:highlight w:val="none"/>
              </w:rPr>
              <w:t>项目所在地</w:t>
            </w:r>
            <w:r>
              <w:rPr>
                <w:rFonts w:hint="eastAsia"/>
                <w:color w:val="auto"/>
                <w:sz w:val="24"/>
                <w:highlight w:val="none"/>
              </w:rPr>
              <w:t>附近的</w:t>
            </w:r>
            <w:r>
              <w:rPr>
                <w:rFonts w:hint="default"/>
                <w:color w:val="auto"/>
                <w:sz w:val="24"/>
                <w:highlight w:val="none"/>
              </w:rPr>
              <w:t>河流为</w:t>
            </w:r>
            <w:r>
              <w:rPr>
                <w:rFonts w:hint="eastAsia"/>
                <w:color w:val="auto"/>
                <w:sz w:val="24"/>
                <w:highlight w:val="none"/>
              </w:rPr>
              <w:t>州河</w:t>
            </w:r>
            <w:r>
              <w:rPr>
                <w:rFonts w:hint="default"/>
                <w:color w:val="auto"/>
                <w:sz w:val="24"/>
                <w:highlight w:val="none"/>
              </w:rPr>
              <w:t>，水功能类别执行《地表水环境质量标准》（GB3838-2002）Ⅲ类水域水质标准。</w:t>
            </w:r>
          </w:p>
          <w:p w14:paraId="6B4C6A60">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根据《建设项目环境影响报告表编制技术指南（污染影响类）（试行）》 中有关水环境质量现状调查的规定，引用与建设项目距离近的有效数据，包括近3年的规划环境影响评价的监测数据，所在流域控制单元内国家、地方控制断面监测数据，生态环境主管部门发布的水环境质量数据或地表水达标情况的结论。</w:t>
            </w:r>
          </w:p>
          <w:p w14:paraId="507B84CB">
            <w:pPr>
              <w:keepNext w:val="0"/>
              <w:keepLines w:val="0"/>
              <w:suppressLineNumbers w:val="0"/>
              <w:spacing w:before="0" w:beforeAutospacing="0" w:after="0" w:afterAutospacing="0" w:line="360" w:lineRule="auto"/>
              <w:ind w:left="0" w:right="0" w:firstLine="480" w:firstLineChars="200"/>
              <w:rPr>
                <w:rFonts w:hint="eastAsia"/>
                <w:color w:val="auto"/>
                <w:kern w:val="0"/>
                <w:sz w:val="24"/>
                <w:highlight w:val="none"/>
                <w:lang w:bidi="ar"/>
              </w:rPr>
            </w:pPr>
            <w:r>
              <w:rPr>
                <w:rFonts w:hint="default"/>
                <w:color w:val="auto"/>
                <w:kern w:val="0"/>
                <w:sz w:val="24"/>
                <w:highlight w:val="none"/>
                <w:lang w:bidi="ar"/>
              </w:rPr>
              <w:t>本次评价选用</w:t>
            </w:r>
            <w:r>
              <w:rPr>
                <w:rFonts w:hint="eastAsia"/>
                <w:color w:val="auto"/>
                <w:kern w:val="0"/>
                <w:sz w:val="24"/>
                <w:highlight w:val="none"/>
                <w:lang w:bidi="ar"/>
              </w:rPr>
              <w:t>达州市</w:t>
            </w:r>
            <w:r>
              <w:rPr>
                <w:rFonts w:hint="default"/>
                <w:color w:val="auto"/>
                <w:kern w:val="0"/>
                <w:sz w:val="24"/>
                <w:highlight w:val="none"/>
                <w:lang w:bidi="ar"/>
              </w:rPr>
              <w:t>生态环境局202</w:t>
            </w:r>
            <w:r>
              <w:rPr>
                <w:rFonts w:hint="eastAsia"/>
                <w:color w:val="auto"/>
                <w:kern w:val="0"/>
                <w:sz w:val="24"/>
                <w:highlight w:val="none"/>
                <w:lang w:val="en-US" w:eastAsia="zh-CN" w:bidi="ar"/>
              </w:rPr>
              <w:t>5</w:t>
            </w:r>
            <w:r>
              <w:rPr>
                <w:rFonts w:hint="default"/>
                <w:color w:val="auto"/>
                <w:kern w:val="0"/>
                <w:sz w:val="24"/>
                <w:highlight w:val="none"/>
                <w:lang w:bidi="ar"/>
              </w:rPr>
              <w:t>年</w:t>
            </w:r>
            <w:r>
              <w:rPr>
                <w:rFonts w:hint="eastAsia"/>
                <w:color w:val="auto"/>
                <w:kern w:val="0"/>
                <w:sz w:val="24"/>
                <w:highlight w:val="none"/>
                <w:lang w:val="en-US" w:eastAsia="zh-CN" w:bidi="ar"/>
              </w:rPr>
              <w:t>5</w:t>
            </w:r>
            <w:r>
              <w:rPr>
                <w:rFonts w:hint="default"/>
                <w:color w:val="auto"/>
                <w:kern w:val="0"/>
                <w:sz w:val="24"/>
                <w:highlight w:val="none"/>
                <w:lang w:bidi="ar"/>
              </w:rPr>
              <w:t>月</w:t>
            </w:r>
            <w:r>
              <w:rPr>
                <w:rFonts w:hint="eastAsia"/>
                <w:color w:val="auto"/>
                <w:kern w:val="0"/>
                <w:sz w:val="24"/>
                <w:highlight w:val="none"/>
                <w:lang w:bidi="ar"/>
              </w:rPr>
              <w:t>1</w:t>
            </w:r>
            <w:r>
              <w:rPr>
                <w:rFonts w:hint="eastAsia"/>
                <w:color w:val="auto"/>
                <w:kern w:val="0"/>
                <w:sz w:val="24"/>
                <w:highlight w:val="none"/>
                <w:lang w:val="en-US" w:eastAsia="zh-CN" w:bidi="ar"/>
              </w:rPr>
              <w:t>3</w:t>
            </w:r>
            <w:r>
              <w:rPr>
                <w:rFonts w:hint="default"/>
                <w:color w:val="auto"/>
                <w:kern w:val="0"/>
                <w:sz w:val="24"/>
                <w:highlight w:val="none"/>
                <w:lang w:bidi="ar"/>
              </w:rPr>
              <w:t>日公布的</w:t>
            </w:r>
            <w:r>
              <w:rPr>
                <w:rFonts w:hint="eastAsia"/>
                <w:color w:val="auto"/>
                <w:kern w:val="0"/>
                <w:sz w:val="24"/>
                <w:highlight w:val="none"/>
                <w:lang w:bidi="ar"/>
              </w:rPr>
              <w:t>《20</w:t>
            </w:r>
            <w:r>
              <w:rPr>
                <w:rFonts w:hint="default"/>
                <w:color w:val="auto"/>
                <w:kern w:val="0"/>
                <w:sz w:val="24"/>
                <w:highlight w:val="none"/>
                <w:lang w:bidi="ar"/>
              </w:rPr>
              <w:t>2</w:t>
            </w:r>
            <w:r>
              <w:rPr>
                <w:rFonts w:hint="eastAsia"/>
                <w:color w:val="auto"/>
                <w:kern w:val="0"/>
                <w:sz w:val="24"/>
                <w:highlight w:val="none"/>
                <w:lang w:val="en-US" w:eastAsia="zh-CN" w:bidi="ar"/>
              </w:rPr>
              <w:t>5</w:t>
            </w:r>
            <w:r>
              <w:rPr>
                <w:rFonts w:hint="eastAsia"/>
                <w:color w:val="auto"/>
                <w:kern w:val="0"/>
                <w:sz w:val="24"/>
                <w:highlight w:val="none"/>
                <w:lang w:bidi="ar"/>
              </w:rPr>
              <w:t>年</w:t>
            </w:r>
            <w:r>
              <w:rPr>
                <w:rFonts w:hint="eastAsia"/>
                <w:color w:val="auto"/>
                <w:kern w:val="0"/>
                <w:sz w:val="24"/>
                <w:highlight w:val="none"/>
                <w:lang w:val="en-US" w:eastAsia="zh-CN" w:bidi="ar"/>
              </w:rPr>
              <w:t>4</w:t>
            </w:r>
            <w:r>
              <w:rPr>
                <w:rFonts w:hint="eastAsia"/>
                <w:color w:val="auto"/>
                <w:kern w:val="0"/>
                <w:sz w:val="24"/>
                <w:highlight w:val="none"/>
                <w:lang w:bidi="ar"/>
              </w:rPr>
              <w:t>月达州市地表水水质月报》中水环境质量状况：</w:t>
            </w:r>
            <w:r>
              <w:rPr>
                <w:rFonts w:hint="default"/>
                <w:color w:val="auto"/>
                <w:kern w:val="0"/>
                <w:sz w:val="24"/>
                <w:highlight w:val="none"/>
                <w:lang w:bidi="ar"/>
              </w:rPr>
              <w:t>202</w:t>
            </w:r>
            <w:r>
              <w:rPr>
                <w:rFonts w:hint="eastAsia"/>
                <w:color w:val="auto"/>
                <w:kern w:val="0"/>
                <w:sz w:val="24"/>
                <w:highlight w:val="none"/>
                <w:lang w:val="en-US" w:eastAsia="zh-CN" w:bidi="ar"/>
              </w:rPr>
              <w:t>5</w:t>
            </w:r>
            <w:r>
              <w:rPr>
                <w:rFonts w:hint="default"/>
                <w:color w:val="auto"/>
                <w:kern w:val="0"/>
                <w:sz w:val="24"/>
                <w:highlight w:val="none"/>
                <w:lang w:bidi="ar"/>
              </w:rPr>
              <w:t>年</w:t>
            </w:r>
            <w:r>
              <w:rPr>
                <w:rFonts w:hint="eastAsia"/>
                <w:color w:val="auto"/>
                <w:kern w:val="0"/>
                <w:sz w:val="24"/>
                <w:highlight w:val="none"/>
                <w:lang w:val="en-US" w:eastAsia="zh-CN" w:bidi="ar"/>
              </w:rPr>
              <w:t>4</w:t>
            </w:r>
            <w:r>
              <w:rPr>
                <w:rFonts w:hint="default"/>
                <w:color w:val="auto"/>
                <w:kern w:val="0"/>
                <w:sz w:val="24"/>
                <w:highlight w:val="none"/>
                <w:lang w:bidi="ar"/>
              </w:rPr>
              <w:t>月全市3</w:t>
            </w:r>
            <w:r>
              <w:rPr>
                <w:rFonts w:hint="eastAsia"/>
                <w:color w:val="auto"/>
                <w:kern w:val="0"/>
                <w:sz w:val="24"/>
                <w:highlight w:val="none"/>
                <w:lang w:val="en-US" w:eastAsia="zh-CN" w:bidi="ar"/>
              </w:rPr>
              <w:t>7</w:t>
            </w:r>
            <w:r>
              <w:rPr>
                <w:rFonts w:hint="default"/>
                <w:color w:val="auto"/>
                <w:kern w:val="0"/>
                <w:sz w:val="24"/>
                <w:highlight w:val="none"/>
                <w:lang w:bidi="ar"/>
              </w:rPr>
              <w:t>个河流断面中，优（Ⅰ~Ⅱ类）良（Ⅲ类）水质断面3</w:t>
            </w:r>
            <w:r>
              <w:rPr>
                <w:rFonts w:hint="eastAsia"/>
                <w:color w:val="auto"/>
                <w:kern w:val="0"/>
                <w:sz w:val="24"/>
                <w:highlight w:val="none"/>
                <w:lang w:val="en-US" w:eastAsia="zh-CN" w:bidi="ar"/>
              </w:rPr>
              <w:t>4</w:t>
            </w:r>
            <w:r>
              <w:rPr>
                <w:rFonts w:hint="default"/>
                <w:color w:val="auto"/>
                <w:kern w:val="0"/>
                <w:sz w:val="24"/>
                <w:highlight w:val="none"/>
                <w:lang w:bidi="ar"/>
              </w:rPr>
              <w:t>个，占比91.</w:t>
            </w:r>
            <w:r>
              <w:rPr>
                <w:rFonts w:hint="eastAsia"/>
                <w:color w:val="auto"/>
                <w:kern w:val="0"/>
                <w:sz w:val="24"/>
                <w:highlight w:val="none"/>
                <w:lang w:val="en-US" w:eastAsia="zh-CN" w:bidi="ar"/>
              </w:rPr>
              <w:t>9</w:t>
            </w:r>
            <w:r>
              <w:rPr>
                <w:rFonts w:hint="default"/>
                <w:color w:val="auto"/>
                <w:kern w:val="0"/>
                <w:sz w:val="24"/>
                <w:highlight w:val="none"/>
                <w:lang w:bidi="ar"/>
              </w:rPr>
              <w:t>%；</w:t>
            </w:r>
            <w:r>
              <w:rPr>
                <w:rFonts w:hint="eastAsia"/>
                <w:color w:val="auto"/>
                <w:kern w:val="0"/>
                <w:sz w:val="24"/>
                <w:highlight w:val="none"/>
                <w:lang w:bidi="ar"/>
              </w:rPr>
              <w:t>明月江李家渡、平滩河牛角滩、流江河白兔乡断面水质为</w:t>
            </w:r>
            <w:r>
              <w:rPr>
                <w:rFonts w:hint="eastAsia"/>
                <w:color w:val="auto"/>
                <w:kern w:val="0"/>
                <w:sz w:val="24"/>
                <w:highlight w:val="none"/>
                <w:lang w:eastAsia="zh-CN" w:bidi="ar"/>
              </w:rPr>
              <w:t>Ⅳ类</w:t>
            </w:r>
            <w:r>
              <w:rPr>
                <w:rFonts w:hint="eastAsia"/>
                <w:color w:val="auto"/>
                <w:kern w:val="0"/>
                <w:sz w:val="24"/>
                <w:highlight w:val="none"/>
                <w:lang w:bidi="ar"/>
              </w:rPr>
              <w:t>，轻度污染</w:t>
            </w:r>
            <w:r>
              <w:rPr>
                <w:rFonts w:hint="default"/>
                <w:color w:val="auto"/>
                <w:kern w:val="0"/>
                <w:sz w:val="24"/>
                <w:highlight w:val="none"/>
                <w:lang w:bidi="ar"/>
              </w:rPr>
              <w:t>，主要污染指标为高锰酸盐指数、化学需氧量</w:t>
            </w:r>
            <w:r>
              <w:rPr>
                <w:rFonts w:hint="eastAsia"/>
                <w:color w:val="auto"/>
                <w:kern w:val="0"/>
                <w:sz w:val="24"/>
                <w:highlight w:val="none"/>
                <w:lang w:val="en-US" w:eastAsia="zh-CN" w:bidi="ar"/>
              </w:rPr>
              <w:t>以及总磷</w:t>
            </w:r>
            <w:r>
              <w:rPr>
                <w:rFonts w:hint="default"/>
                <w:color w:val="auto"/>
                <w:kern w:val="0"/>
                <w:sz w:val="24"/>
                <w:highlight w:val="none"/>
                <w:lang w:bidi="ar"/>
              </w:rPr>
              <w:t>。</w:t>
            </w:r>
          </w:p>
          <w:p w14:paraId="139200CE">
            <w:pPr>
              <w:keepNext w:val="0"/>
              <w:keepLines w:val="0"/>
              <w:suppressLineNumbers w:val="0"/>
              <w:spacing w:before="0" w:beforeAutospacing="0" w:after="0" w:afterAutospacing="0" w:line="360" w:lineRule="auto"/>
              <w:ind w:left="0" w:right="0" w:firstLine="480" w:firstLineChars="200"/>
              <w:rPr>
                <w:rFonts w:hint="eastAsia"/>
                <w:color w:val="auto"/>
                <w:kern w:val="0"/>
                <w:sz w:val="24"/>
                <w:highlight w:val="none"/>
                <w:lang w:bidi="ar"/>
              </w:rPr>
            </w:pPr>
            <w:r>
              <w:rPr>
                <w:rFonts w:hint="default"/>
                <w:color w:val="auto"/>
                <w:kern w:val="0"/>
                <w:sz w:val="24"/>
                <w:highlight w:val="none"/>
                <w:lang w:bidi="ar"/>
              </w:rPr>
              <w:t>区域水质评价结果表如下</w:t>
            </w:r>
            <w:r>
              <w:rPr>
                <w:rFonts w:hint="eastAsia"/>
                <w:color w:val="auto"/>
                <w:kern w:val="0"/>
                <w:sz w:val="24"/>
                <w:highlight w:val="none"/>
                <w:lang w:bidi="ar"/>
              </w:rPr>
              <w:t>：</w:t>
            </w:r>
          </w:p>
          <w:p w14:paraId="67BE8C44">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rPr>
            </w:pPr>
            <w:r>
              <w:rPr>
                <w:rFonts w:hint="eastAsia" w:ascii="Times New Roman" w:hAnsi="Times New Roman" w:eastAsia="黑体" w:cs="Times New Roman"/>
                <w:b/>
                <w:bCs/>
                <w:color w:val="auto"/>
                <w:kern w:val="0"/>
                <w:sz w:val="20"/>
                <w:szCs w:val="20"/>
                <w:highlight w:val="none"/>
                <w:lang w:val="en-US" w:eastAsia="zh-CN"/>
              </w:rPr>
              <w:t>表3-</w:t>
            </w:r>
            <w:r>
              <w:rPr>
                <w:rFonts w:hint="eastAsia" w:eastAsia="黑体" w:cs="Times New Roman"/>
                <w:b/>
                <w:bCs/>
                <w:color w:val="auto"/>
                <w:kern w:val="0"/>
                <w:sz w:val="20"/>
                <w:szCs w:val="20"/>
                <w:highlight w:val="none"/>
                <w:lang w:val="en-US" w:eastAsia="zh-CN"/>
              </w:rPr>
              <w:t>3</w:t>
            </w:r>
            <w:r>
              <w:rPr>
                <w:rFonts w:hint="eastAsia" w:ascii="Times New Roman" w:hAnsi="Times New Roman" w:eastAsia="黑体" w:cs="Times New Roman"/>
                <w:b/>
                <w:bCs/>
                <w:color w:val="auto"/>
                <w:kern w:val="0"/>
                <w:sz w:val="20"/>
                <w:szCs w:val="20"/>
                <w:highlight w:val="none"/>
                <w:lang w:val="en-US" w:eastAsia="zh-CN"/>
              </w:rPr>
              <w:t xml:space="preserve"> </w:t>
            </w:r>
            <w:r>
              <w:rPr>
                <w:rFonts w:hint="eastAsia" w:eastAsia="黑体" w:cs="Times New Roman"/>
                <w:b/>
                <w:bCs/>
                <w:color w:val="auto"/>
                <w:kern w:val="0"/>
                <w:sz w:val="20"/>
                <w:szCs w:val="20"/>
                <w:highlight w:val="none"/>
                <w:lang w:val="en-US" w:eastAsia="zh-CN"/>
              </w:rPr>
              <w:t xml:space="preserve"> </w:t>
            </w:r>
            <w:r>
              <w:rPr>
                <w:rFonts w:hint="eastAsia" w:ascii="Times New Roman" w:hAnsi="Times New Roman" w:eastAsia="黑体" w:cs="Times New Roman"/>
                <w:b/>
                <w:bCs/>
                <w:color w:val="auto"/>
                <w:kern w:val="0"/>
                <w:sz w:val="20"/>
                <w:szCs w:val="20"/>
                <w:highlight w:val="none"/>
                <w:lang w:val="en-US" w:eastAsia="zh-CN"/>
              </w:rPr>
              <w:t>2025年4月州河水质评价结果表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170"/>
              <w:gridCol w:w="2130"/>
              <w:gridCol w:w="908"/>
              <w:gridCol w:w="676"/>
              <w:gridCol w:w="753"/>
              <w:gridCol w:w="752"/>
              <w:gridCol w:w="1395"/>
            </w:tblGrid>
            <w:tr w14:paraId="224EC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71" w:type="pct"/>
                  <w:tcBorders>
                    <w:tl2br w:val="nil"/>
                    <w:tr2bl w:val="nil"/>
                  </w:tcBorders>
                  <w:noWrap w:val="0"/>
                  <w:vAlign w:val="center"/>
                </w:tcPr>
                <w:p w14:paraId="56268296">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河流名称</w:t>
                  </w:r>
                </w:p>
              </w:tc>
              <w:tc>
                <w:tcPr>
                  <w:tcW w:w="680" w:type="pct"/>
                  <w:tcBorders>
                    <w:tl2br w:val="nil"/>
                    <w:tr2bl w:val="nil"/>
                  </w:tcBorders>
                  <w:noWrap w:val="0"/>
                  <w:vAlign w:val="center"/>
                </w:tcPr>
                <w:p w14:paraId="51D6EF43">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断面名称</w:t>
                  </w:r>
                </w:p>
              </w:tc>
              <w:tc>
                <w:tcPr>
                  <w:tcW w:w="1238" w:type="pct"/>
                  <w:tcBorders>
                    <w:tl2br w:val="nil"/>
                    <w:tr2bl w:val="nil"/>
                  </w:tcBorders>
                  <w:noWrap w:val="0"/>
                  <w:vAlign w:val="center"/>
                </w:tcPr>
                <w:p w14:paraId="4B08BC24">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交界情况</w:t>
                  </w:r>
                </w:p>
              </w:tc>
              <w:tc>
                <w:tcPr>
                  <w:tcW w:w="528" w:type="pct"/>
                  <w:tcBorders>
                    <w:tl2br w:val="nil"/>
                    <w:tr2bl w:val="nil"/>
                  </w:tcBorders>
                  <w:noWrap w:val="0"/>
                  <w:vAlign w:val="center"/>
                </w:tcPr>
                <w:p w14:paraId="281CAFB1">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断面性质</w:t>
                  </w:r>
                </w:p>
              </w:tc>
              <w:tc>
                <w:tcPr>
                  <w:tcW w:w="393" w:type="pct"/>
                  <w:tcBorders>
                    <w:tl2br w:val="nil"/>
                    <w:tr2bl w:val="nil"/>
                  </w:tcBorders>
                  <w:noWrap w:val="0"/>
                  <w:vAlign w:val="center"/>
                </w:tcPr>
                <w:p w14:paraId="16885837">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上年同期</w:t>
                  </w:r>
                </w:p>
              </w:tc>
              <w:tc>
                <w:tcPr>
                  <w:tcW w:w="438" w:type="pct"/>
                  <w:tcBorders>
                    <w:tl2br w:val="nil"/>
                    <w:tr2bl w:val="nil"/>
                  </w:tcBorders>
                  <w:noWrap w:val="0"/>
                  <w:vAlign w:val="center"/>
                </w:tcPr>
                <w:p w14:paraId="42ACB8B1">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上月类别</w:t>
                  </w:r>
                </w:p>
              </w:tc>
              <w:tc>
                <w:tcPr>
                  <w:tcW w:w="437" w:type="pct"/>
                  <w:tcBorders>
                    <w:tl2br w:val="nil"/>
                    <w:tr2bl w:val="nil"/>
                  </w:tcBorders>
                  <w:noWrap w:val="0"/>
                  <w:vAlign w:val="center"/>
                </w:tcPr>
                <w:p w14:paraId="43C4328A">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本月类别</w:t>
                  </w:r>
                </w:p>
              </w:tc>
              <w:tc>
                <w:tcPr>
                  <w:tcW w:w="811" w:type="pct"/>
                  <w:tcBorders>
                    <w:tl2br w:val="nil"/>
                    <w:tr2bl w:val="nil"/>
                  </w:tcBorders>
                  <w:noWrap w:val="0"/>
                  <w:vAlign w:val="center"/>
                </w:tcPr>
                <w:p w14:paraId="23C090D1">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主要污染指标</w:t>
                  </w:r>
                </w:p>
                <w:p w14:paraId="3789BBA1">
                  <w:pPr>
                    <w:keepNext w:val="0"/>
                    <w:keepLines w:val="0"/>
                    <w:suppressLineNumbers w:val="0"/>
                    <w:bidi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r>
            <w:tr w14:paraId="439AD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71" w:type="pct"/>
                  <w:tcBorders>
                    <w:tl2br w:val="nil"/>
                    <w:tr2bl w:val="nil"/>
                  </w:tcBorders>
                  <w:noWrap w:val="0"/>
                  <w:vAlign w:val="center"/>
                </w:tcPr>
                <w:p w14:paraId="39C9D437">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州河干流</w:t>
                  </w:r>
                </w:p>
              </w:tc>
              <w:tc>
                <w:tcPr>
                  <w:tcW w:w="680" w:type="pct"/>
                  <w:tcBorders>
                    <w:tl2br w:val="nil"/>
                    <w:tr2bl w:val="nil"/>
                  </w:tcBorders>
                  <w:noWrap w:val="0"/>
                  <w:vAlign w:val="center"/>
                </w:tcPr>
                <w:p w14:paraId="2EE9E170">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车家河</w:t>
                  </w:r>
                </w:p>
              </w:tc>
              <w:tc>
                <w:tcPr>
                  <w:tcW w:w="1238" w:type="pct"/>
                  <w:tcBorders>
                    <w:tl2br w:val="nil"/>
                    <w:tr2bl w:val="nil"/>
                  </w:tcBorders>
                  <w:noWrap w:val="0"/>
                  <w:vAlign w:val="center"/>
                </w:tcPr>
                <w:p w14:paraId="009BF792">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市城区</w:t>
                  </w:r>
                </w:p>
              </w:tc>
              <w:tc>
                <w:tcPr>
                  <w:tcW w:w="528" w:type="pct"/>
                  <w:tcBorders>
                    <w:tl2br w:val="nil"/>
                    <w:tr2bl w:val="nil"/>
                  </w:tcBorders>
                  <w:noWrap w:val="0"/>
                  <w:vAlign w:val="center"/>
                </w:tcPr>
                <w:p w14:paraId="35679E9A">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国考</w:t>
                  </w:r>
                </w:p>
              </w:tc>
              <w:tc>
                <w:tcPr>
                  <w:tcW w:w="393" w:type="pct"/>
                  <w:tcBorders>
                    <w:tl2br w:val="nil"/>
                    <w:tr2bl w:val="nil"/>
                  </w:tcBorders>
                  <w:noWrap w:val="0"/>
                  <w:vAlign w:val="center"/>
                </w:tcPr>
                <w:p w14:paraId="33E8D0ED">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c>
                <w:tcPr>
                  <w:tcW w:w="438" w:type="pct"/>
                  <w:tcBorders>
                    <w:tl2br w:val="nil"/>
                    <w:tr2bl w:val="nil"/>
                  </w:tcBorders>
                  <w:noWrap w:val="0"/>
                  <w:vAlign w:val="center"/>
                </w:tcPr>
                <w:p w14:paraId="608FD545">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c>
                <w:tcPr>
                  <w:tcW w:w="437" w:type="pct"/>
                  <w:tcBorders>
                    <w:tl2br w:val="nil"/>
                    <w:tr2bl w:val="nil"/>
                  </w:tcBorders>
                  <w:noWrap w:val="0"/>
                  <w:vAlign w:val="center"/>
                </w:tcPr>
                <w:p w14:paraId="1362A329">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c>
                <w:tcPr>
                  <w:tcW w:w="811" w:type="pct"/>
                  <w:tcBorders>
                    <w:tl2br w:val="nil"/>
                    <w:tr2bl w:val="nil"/>
                  </w:tcBorders>
                  <w:noWrap w:val="0"/>
                  <w:vAlign w:val="center"/>
                </w:tcPr>
                <w:p w14:paraId="614C530C">
                  <w:pPr>
                    <w:keepNext w:val="0"/>
                    <w:keepLines w:val="0"/>
                    <w:suppressLineNumbers w:val="0"/>
                    <w:bidi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14:paraId="424CC46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val="en-US" w:eastAsia="zh-CN" w:bidi="ar"/>
              </w:rPr>
              <w:t>根据上表例行监测结果表明：项目区州河干流地表水质量良好，均能够达到《地表水环境质量标准》（GB3838-2002）</w:t>
            </w:r>
            <w:r>
              <w:rPr>
                <w:rFonts w:hint="eastAsia" w:cs="Times New Roman"/>
                <w:color w:val="auto"/>
                <w:kern w:val="0"/>
                <w:sz w:val="24"/>
                <w:highlight w:val="none"/>
                <w:lang w:val="en-US" w:eastAsia="zh-CN" w:bidi="ar"/>
              </w:rPr>
              <w:t>Ⅲ类</w:t>
            </w:r>
            <w:r>
              <w:rPr>
                <w:rFonts w:hint="eastAsia" w:ascii="Times New Roman" w:hAnsi="Times New Roman" w:eastAsia="宋体" w:cs="Times New Roman"/>
                <w:color w:val="auto"/>
                <w:kern w:val="0"/>
                <w:sz w:val="24"/>
                <w:highlight w:val="none"/>
                <w:lang w:val="en-US" w:eastAsia="zh-CN" w:bidi="ar"/>
              </w:rPr>
              <w:t>水质标准。</w:t>
            </w:r>
          </w:p>
          <w:p w14:paraId="45FFB04B">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3、声环境质量现状</w:t>
            </w:r>
          </w:p>
          <w:p w14:paraId="5E7D20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为了解区域声环境质量现状，</w:t>
            </w:r>
            <w:r>
              <w:rPr>
                <w:rFonts w:hint="eastAsia"/>
                <w:color w:val="auto"/>
                <w:szCs w:val="24"/>
                <w:highlight w:val="none"/>
              </w:rPr>
              <w:t>本次评价委托达州恒福环境监测服务有限公司于202</w:t>
            </w:r>
            <w:r>
              <w:rPr>
                <w:rFonts w:hint="eastAsia"/>
                <w:color w:val="auto"/>
                <w:szCs w:val="24"/>
                <w:highlight w:val="none"/>
                <w:lang w:val="en-US" w:eastAsia="zh-CN"/>
              </w:rPr>
              <w:t>5</w:t>
            </w:r>
            <w:r>
              <w:rPr>
                <w:rFonts w:hint="eastAsia"/>
                <w:color w:val="auto"/>
                <w:szCs w:val="24"/>
                <w:highlight w:val="none"/>
              </w:rPr>
              <w:t>年</w:t>
            </w:r>
            <w:r>
              <w:rPr>
                <w:rFonts w:hint="eastAsia"/>
                <w:color w:val="auto"/>
                <w:szCs w:val="24"/>
                <w:highlight w:val="none"/>
                <w:lang w:val="en-US" w:eastAsia="zh-CN"/>
              </w:rPr>
              <w:t>5</w:t>
            </w:r>
            <w:r>
              <w:rPr>
                <w:rFonts w:hint="eastAsia"/>
                <w:color w:val="auto"/>
                <w:szCs w:val="24"/>
                <w:highlight w:val="none"/>
              </w:rPr>
              <w:t>月</w:t>
            </w:r>
            <w:r>
              <w:rPr>
                <w:rFonts w:hint="eastAsia"/>
                <w:color w:val="auto"/>
                <w:szCs w:val="24"/>
                <w:highlight w:val="none"/>
                <w:lang w:val="en-US" w:eastAsia="zh-CN"/>
              </w:rPr>
              <w:t>26日—27日</w:t>
            </w:r>
            <w:r>
              <w:rPr>
                <w:rFonts w:hint="eastAsia"/>
                <w:color w:val="auto"/>
                <w:szCs w:val="24"/>
                <w:highlight w:val="none"/>
              </w:rPr>
              <w:t>对区域</w:t>
            </w:r>
            <w:r>
              <w:rPr>
                <w:rFonts w:hint="eastAsia"/>
                <w:color w:val="auto"/>
                <w:szCs w:val="24"/>
                <w:highlight w:val="none"/>
                <w:lang w:val="en-US" w:eastAsia="zh-CN"/>
              </w:rPr>
              <w:t>声</w:t>
            </w:r>
            <w:r>
              <w:rPr>
                <w:rFonts w:hint="eastAsia"/>
                <w:color w:val="auto"/>
                <w:szCs w:val="24"/>
                <w:highlight w:val="none"/>
              </w:rPr>
              <w:t>环境质量现状进行监测</w:t>
            </w:r>
            <w:r>
              <w:rPr>
                <w:rFonts w:hint="eastAsia"/>
                <w:color w:val="auto"/>
                <w:szCs w:val="24"/>
                <w:highlight w:val="none"/>
                <w:lang w:eastAsia="zh-CN"/>
              </w:rPr>
              <w:t>。</w:t>
            </w:r>
          </w:p>
          <w:p w14:paraId="6AA0E098">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①监测点位</w:t>
            </w:r>
          </w:p>
          <w:p w14:paraId="6F8F5C74">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本次环评共设噪声监测点</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个，监测点位置见表3-</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p>
          <w:p w14:paraId="0223D2A6">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rPr>
            </w:pPr>
            <w:r>
              <w:rPr>
                <w:rFonts w:hint="default" w:ascii="Times New Roman" w:hAnsi="Times New Roman" w:eastAsia="黑体" w:cs="Times New Roman"/>
                <w:b/>
                <w:bCs/>
                <w:color w:val="auto"/>
                <w:kern w:val="0"/>
                <w:sz w:val="20"/>
                <w:szCs w:val="20"/>
                <w:highlight w:val="none"/>
                <w:lang w:val="en-US" w:eastAsia="zh-CN"/>
              </w:rPr>
              <w:t>表3-</w:t>
            </w:r>
            <w:r>
              <w:rPr>
                <w:rFonts w:hint="eastAsia" w:eastAsia="黑体" w:cs="Times New Roman"/>
                <w:b/>
                <w:bCs/>
                <w:color w:val="auto"/>
                <w:kern w:val="0"/>
                <w:sz w:val="20"/>
                <w:szCs w:val="20"/>
                <w:highlight w:val="none"/>
                <w:lang w:val="en-US" w:eastAsia="zh-CN"/>
              </w:rPr>
              <w:t>4</w:t>
            </w:r>
            <w:r>
              <w:rPr>
                <w:rFonts w:hint="default" w:ascii="Times New Roman" w:hAnsi="Times New Roman" w:eastAsia="黑体" w:cs="Times New Roman"/>
                <w:b/>
                <w:bCs/>
                <w:color w:val="auto"/>
                <w:kern w:val="0"/>
                <w:sz w:val="20"/>
                <w:szCs w:val="20"/>
                <w:highlight w:val="none"/>
                <w:lang w:val="en-US" w:eastAsia="zh-CN"/>
              </w:rPr>
              <w:t xml:space="preserve"> 噪声监测点位表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17"/>
              <w:gridCol w:w="6179"/>
            </w:tblGrid>
            <w:tr w14:paraId="51FBF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406" w:type="pct"/>
                  <w:tcBorders>
                    <w:tl2br w:val="nil"/>
                    <w:tr2bl w:val="nil"/>
                  </w:tcBorders>
                  <w:vAlign w:val="center"/>
                </w:tcPr>
                <w:p w14:paraId="254DA5C8">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编号</w:t>
                  </w:r>
                </w:p>
              </w:tc>
              <w:tc>
                <w:tcPr>
                  <w:tcW w:w="3593" w:type="pct"/>
                  <w:tcBorders>
                    <w:tl2br w:val="nil"/>
                    <w:tr2bl w:val="nil"/>
                  </w:tcBorders>
                  <w:vAlign w:val="center"/>
                </w:tcPr>
                <w:p w14:paraId="67D33203">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监测点名称</w:t>
                  </w:r>
                </w:p>
              </w:tc>
            </w:tr>
            <w:tr w14:paraId="78F2C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406" w:type="pct"/>
                  <w:tcBorders>
                    <w:tl2br w:val="nil"/>
                    <w:tr2bl w:val="nil"/>
                  </w:tcBorders>
                  <w:vAlign w:val="center"/>
                </w:tcPr>
                <w:p w14:paraId="07511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N1</w:t>
                  </w:r>
                </w:p>
              </w:tc>
              <w:tc>
                <w:tcPr>
                  <w:tcW w:w="3593" w:type="pct"/>
                  <w:tcBorders>
                    <w:tl2br w:val="nil"/>
                    <w:tr2bl w:val="nil"/>
                  </w:tcBorders>
                  <w:vAlign w:val="center"/>
                </w:tcPr>
                <w:p w14:paraId="160A8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N1，</w:t>
                  </w:r>
                  <w:r>
                    <w:rPr>
                      <w:rFonts w:hint="default" w:ascii="Times New Roman" w:hAnsi="Times New Roman" w:eastAsia="宋体" w:cs="Times New Roman"/>
                      <w:color w:val="auto"/>
                      <w:kern w:val="2"/>
                      <w:sz w:val="21"/>
                      <w:szCs w:val="21"/>
                      <w:highlight w:val="none"/>
                      <w:lang w:val="en-US" w:eastAsia="zh-CN" w:bidi="ar-SA"/>
                    </w:rPr>
                    <w:t>项目北厂界外1m处</w:t>
                  </w:r>
                </w:p>
              </w:tc>
            </w:tr>
            <w:tr w14:paraId="1B354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406" w:type="pct"/>
                  <w:tcBorders>
                    <w:tl2br w:val="nil"/>
                    <w:tr2bl w:val="nil"/>
                  </w:tcBorders>
                  <w:vAlign w:val="center"/>
                </w:tcPr>
                <w:p w14:paraId="77D5AD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N</w:t>
                  </w:r>
                  <w:r>
                    <w:rPr>
                      <w:rFonts w:hint="default" w:ascii="Times New Roman" w:hAnsi="Times New Roman" w:cs="Times New Roman"/>
                      <w:color w:val="auto"/>
                      <w:sz w:val="21"/>
                      <w:szCs w:val="21"/>
                      <w:highlight w:val="none"/>
                      <w:lang w:val="en-US" w:eastAsia="zh-CN"/>
                    </w:rPr>
                    <w:t>2</w:t>
                  </w:r>
                </w:p>
              </w:tc>
              <w:tc>
                <w:tcPr>
                  <w:tcW w:w="3593" w:type="pct"/>
                  <w:tcBorders>
                    <w:tl2br w:val="nil"/>
                    <w:tr2bl w:val="nil"/>
                  </w:tcBorders>
                  <w:vAlign w:val="center"/>
                </w:tcPr>
                <w:p w14:paraId="7DE32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N2，</w:t>
                  </w:r>
                  <w:r>
                    <w:rPr>
                      <w:rFonts w:hint="default" w:ascii="Times New Roman" w:hAnsi="Times New Roman" w:eastAsia="宋体" w:cs="Times New Roman"/>
                      <w:color w:val="auto"/>
                      <w:kern w:val="2"/>
                      <w:sz w:val="21"/>
                      <w:szCs w:val="21"/>
                      <w:highlight w:val="none"/>
                      <w:lang w:val="en-US" w:eastAsia="zh-CN" w:bidi="ar-SA"/>
                    </w:rPr>
                    <w:t>项目东厂界外1m处</w:t>
                  </w:r>
                </w:p>
              </w:tc>
            </w:tr>
            <w:tr w14:paraId="6F530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406" w:type="pct"/>
                  <w:tcBorders>
                    <w:tl2br w:val="nil"/>
                    <w:tr2bl w:val="nil"/>
                  </w:tcBorders>
                  <w:vAlign w:val="center"/>
                </w:tcPr>
                <w:p w14:paraId="75E7A8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N</w:t>
                  </w:r>
                  <w:r>
                    <w:rPr>
                      <w:rFonts w:hint="default" w:ascii="Times New Roman" w:hAnsi="Times New Roman" w:cs="Times New Roman"/>
                      <w:color w:val="auto"/>
                      <w:sz w:val="21"/>
                      <w:szCs w:val="21"/>
                      <w:highlight w:val="none"/>
                      <w:lang w:val="en-US" w:eastAsia="zh-CN"/>
                    </w:rPr>
                    <w:t>3</w:t>
                  </w:r>
                </w:p>
              </w:tc>
              <w:tc>
                <w:tcPr>
                  <w:tcW w:w="3593" w:type="pct"/>
                  <w:tcBorders>
                    <w:tl2br w:val="nil"/>
                    <w:tr2bl w:val="nil"/>
                  </w:tcBorders>
                  <w:vAlign w:val="center"/>
                </w:tcPr>
                <w:p w14:paraId="50311F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N3，</w:t>
                  </w:r>
                  <w:r>
                    <w:rPr>
                      <w:rFonts w:hint="default" w:ascii="Times New Roman" w:hAnsi="Times New Roman" w:eastAsia="宋体" w:cs="Times New Roman"/>
                      <w:color w:val="auto"/>
                      <w:kern w:val="2"/>
                      <w:sz w:val="21"/>
                      <w:szCs w:val="21"/>
                      <w:highlight w:val="none"/>
                      <w:lang w:val="en-US" w:eastAsia="zh-CN" w:bidi="ar-SA"/>
                    </w:rPr>
                    <w:t>项目南厂界外1m处</w:t>
                  </w:r>
                </w:p>
              </w:tc>
            </w:tr>
            <w:tr w14:paraId="07622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406" w:type="pct"/>
                  <w:tcBorders>
                    <w:tl2br w:val="nil"/>
                    <w:tr2bl w:val="nil"/>
                  </w:tcBorders>
                  <w:vAlign w:val="center"/>
                </w:tcPr>
                <w:p w14:paraId="39B59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N</w:t>
                  </w:r>
                  <w:r>
                    <w:rPr>
                      <w:rFonts w:hint="default" w:ascii="Times New Roman" w:hAnsi="Times New Roman" w:cs="Times New Roman"/>
                      <w:color w:val="auto"/>
                      <w:sz w:val="21"/>
                      <w:szCs w:val="21"/>
                      <w:highlight w:val="none"/>
                      <w:lang w:val="en-US" w:eastAsia="zh-CN"/>
                    </w:rPr>
                    <w:t>4</w:t>
                  </w:r>
                </w:p>
              </w:tc>
              <w:tc>
                <w:tcPr>
                  <w:tcW w:w="3593" w:type="pct"/>
                  <w:tcBorders>
                    <w:tl2br w:val="nil"/>
                    <w:tr2bl w:val="nil"/>
                  </w:tcBorders>
                  <w:vAlign w:val="center"/>
                </w:tcPr>
                <w:p w14:paraId="1D01D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N4，</w:t>
                  </w:r>
                  <w:r>
                    <w:rPr>
                      <w:rFonts w:hint="default" w:ascii="Times New Roman" w:hAnsi="Times New Roman" w:eastAsia="宋体" w:cs="Times New Roman"/>
                      <w:color w:val="auto"/>
                      <w:kern w:val="2"/>
                      <w:sz w:val="21"/>
                      <w:szCs w:val="21"/>
                      <w:highlight w:val="none"/>
                      <w:lang w:val="en-US" w:eastAsia="zh-CN" w:bidi="ar-SA"/>
                    </w:rPr>
                    <w:t>项目西厂界外1m处</w:t>
                  </w:r>
                </w:p>
              </w:tc>
            </w:tr>
            <w:tr w14:paraId="07F6A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406" w:type="pct"/>
                  <w:tcBorders>
                    <w:tl2br w:val="nil"/>
                    <w:tr2bl w:val="nil"/>
                  </w:tcBorders>
                  <w:vAlign w:val="center"/>
                </w:tcPr>
                <w:p w14:paraId="3955DE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N5</w:t>
                  </w:r>
                </w:p>
              </w:tc>
              <w:tc>
                <w:tcPr>
                  <w:tcW w:w="3593" w:type="pct"/>
                  <w:tcBorders>
                    <w:tl2br w:val="nil"/>
                    <w:tr2bl w:val="nil"/>
                  </w:tcBorders>
                  <w:vAlign w:val="center"/>
                </w:tcPr>
                <w:p w14:paraId="0998B1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N5，项目南侧紧邻的东岳收费站处</w:t>
                  </w:r>
                </w:p>
              </w:tc>
            </w:tr>
          </w:tbl>
          <w:p w14:paraId="06595D1F">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②监测时间</w:t>
            </w:r>
          </w:p>
          <w:p w14:paraId="042267FC">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cs="Times New Roman"/>
                <w:snapToGrid w:val="0"/>
                <w:color w:val="auto"/>
                <w:szCs w:val="24"/>
                <w:highlight w:val="none"/>
              </w:rPr>
              <w:t>202</w:t>
            </w:r>
            <w:r>
              <w:rPr>
                <w:rFonts w:hint="eastAsia" w:cs="Times New Roman"/>
                <w:snapToGrid w:val="0"/>
                <w:color w:val="auto"/>
                <w:szCs w:val="24"/>
                <w:highlight w:val="none"/>
                <w:lang w:val="en-US" w:eastAsia="zh-CN"/>
              </w:rPr>
              <w:t>5</w:t>
            </w:r>
            <w:r>
              <w:rPr>
                <w:rFonts w:hint="default" w:cs="Times New Roman"/>
                <w:snapToGrid w:val="0"/>
                <w:color w:val="auto"/>
                <w:szCs w:val="24"/>
                <w:highlight w:val="none"/>
              </w:rPr>
              <w:t>年</w:t>
            </w:r>
            <w:r>
              <w:rPr>
                <w:rFonts w:hint="eastAsia"/>
                <w:color w:val="auto"/>
                <w:szCs w:val="24"/>
                <w:highlight w:val="none"/>
                <w:lang w:val="en-US" w:eastAsia="zh-CN"/>
              </w:rPr>
              <w:t>5</w:t>
            </w:r>
            <w:r>
              <w:rPr>
                <w:rFonts w:hint="eastAsia"/>
                <w:color w:val="auto"/>
                <w:szCs w:val="24"/>
                <w:highlight w:val="none"/>
              </w:rPr>
              <w:t>月</w:t>
            </w:r>
            <w:r>
              <w:rPr>
                <w:rFonts w:hint="eastAsia"/>
                <w:color w:val="auto"/>
                <w:szCs w:val="24"/>
                <w:highlight w:val="none"/>
                <w:lang w:val="en-US" w:eastAsia="zh-CN"/>
              </w:rPr>
              <w:t>26日—27日</w:t>
            </w:r>
            <w:r>
              <w:rPr>
                <w:rFonts w:hint="eastAsia" w:cs="Times New Roman"/>
                <w:snapToGrid w:val="0"/>
                <w:color w:val="auto"/>
                <w:szCs w:val="24"/>
                <w:highlight w:val="none"/>
                <w:lang w:eastAsia="zh-CN"/>
              </w:rPr>
              <w:t>，</w:t>
            </w:r>
            <w:r>
              <w:rPr>
                <w:rFonts w:hint="default"/>
                <w:color w:val="auto"/>
                <w:szCs w:val="21"/>
                <w:highlight w:val="none"/>
              </w:rPr>
              <w:t>检测</w:t>
            </w:r>
            <w:r>
              <w:rPr>
                <w:rFonts w:hint="eastAsia"/>
                <w:color w:val="auto"/>
                <w:szCs w:val="21"/>
                <w:highlight w:val="none"/>
                <w:lang w:val="en-US" w:eastAsia="zh-CN"/>
              </w:rPr>
              <w:t>2</w:t>
            </w:r>
            <w:r>
              <w:rPr>
                <w:rFonts w:hint="default"/>
                <w:color w:val="auto"/>
                <w:szCs w:val="21"/>
                <w:highlight w:val="none"/>
              </w:rPr>
              <w:t>天，每天昼</w:t>
            </w:r>
            <w:r>
              <w:rPr>
                <w:rFonts w:hint="eastAsia"/>
                <w:color w:val="auto"/>
                <w:szCs w:val="21"/>
                <w:highlight w:val="none"/>
              </w:rPr>
              <w:t>间</w:t>
            </w:r>
            <w:r>
              <w:rPr>
                <w:rFonts w:hint="default"/>
                <w:color w:val="auto"/>
                <w:szCs w:val="21"/>
                <w:highlight w:val="none"/>
              </w:rPr>
              <w:t>、夜</w:t>
            </w:r>
            <w:r>
              <w:rPr>
                <w:rFonts w:hint="eastAsia"/>
                <w:color w:val="auto"/>
                <w:szCs w:val="21"/>
                <w:highlight w:val="none"/>
              </w:rPr>
              <w:t>间</w:t>
            </w:r>
            <w:r>
              <w:rPr>
                <w:rFonts w:hint="default"/>
                <w:color w:val="auto"/>
                <w:szCs w:val="21"/>
                <w:highlight w:val="none"/>
              </w:rPr>
              <w:t>各检测1次</w:t>
            </w:r>
          </w:p>
          <w:p w14:paraId="1C61B76D">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③评价标准</w:t>
            </w:r>
          </w:p>
          <w:p w14:paraId="1D852C45">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zh-CN"/>
              </w:rPr>
              <w:t>执行《声环境质量标准》（GB3096-2008）2类标准</w:t>
            </w:r>
            <w:r>
              <w:rPr>
                <w:rFonts w:hint="default" w:ascii="Times New Roman" w:hAnsi="Times New Roman" w:cs="Times New Roman"/>
                <w:color w:val="auto"/>
                <w:sz w:val="24"/>
                <w:szCs w:val="24"/>
                <w:highlight w:val="none"/>
              </w:rPr>
              <w:t>。</w:t>
            </w:r>
          </w:p>
          <w:p w14:paraId="5C09D603">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④评价结果</w:t>
            </w:r>
          </w:p>
          <w:p w14:paraId="7A03D77A">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黑体" w:cs="Times New Roman"/>
                <w:b/>
                <w:bCs/>
                <w:color w:val="auto"/>
                <w:kern w:val="0"/>
                <w:sz w:val="20"/>
                <w:szCs w:val="20"/>
                <w:highlight w:val="none"/>
                <w:lang w:val="en-US" w:eastAsia="zh-CN"/>
              </w:rPr>
            </w:pPr>
            <w:r>
              <w:rPr>
                <w:rFonts w:hint="default" w:ascii="Times New Roman" w:hAnsi="Times New Roman" w:cs="Times New Roman"/>
                <w:color w:val="auto"/>
                <w:sz w:val="24"/>
                <w:szCs w:val="24"/>
                <w:highlight w:val="none"/>
              </w:rPr>
              <w:t>声环境质量现状评价结果见表3-</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14:paraId="47EAF4B4">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cs="Times New Roman"/>
                <w:b w:val="0"/>
                <w:bCs w:val="0"/>
                <w:color w:val="auto"/>
                <w:sz w:val="21"/>
                <w:szCs w:val="21"/>
                <w:highlight w:val="none"/>
              </w:rPr>
            </w:pPr>
            <w:r>
              <w:rPr>
                <w:rFonts w:hint="default" w:ascii="Times New Roman" w:hAnsi="Times New Roman" w:eastAsia="黑体" w:cs="Times New Roman"/>
                <w:b/>
                <w:bCs/>
                <w:color w:val="auto"/>
                <w:kern w:val="0"/>
                <w:sz w:val="20"/>
                <w:szCs w:val="20"/>
                <w:highlight w:val="none"/>
                <w:lang w:val="en-US" w:eastAsia="zh-CN"/>
              </w:rPr>
              <w:t>表3-</w:t>
            </w:r>
            <w:r>
              <w:rPr>
                <w:rFonts w:hint="eastAsia" w:eastAsia="黑体" w:cs="Times New Roman"/>
                <w:b/>
                <w:bCs/>
                <w:color w:val="auto"/>
                <w:kern w:val="0"/>
                <w:sz w:val="20"/>
                <w:szCs w:val="20"/>
                <w:highlight w:val="none"/>
                <w:lang w:val="en-US" w:eastAsia="zh-CN"/>
              </w:rPr>
              <w:t>5</w:t>
            </w:r>
            <w:r>
              <w:rPr>
                <w:rFonts w:hint="default" w:ascii="Times New Roman" w:hAnsi="Times New Roman" w:eastAsia="黑体" w:cs="Times New Roman"/>
                <w:b/>
                <w:bCs/>
                <w:color w:val="auto"/>
                <w:kern w:val="0"/>
                <w:sz w:val="20"/>
                <w:szCs w:val="20"/>
                <w:highlight w:val="none"/>
                <w:lang w:val="en-US" w:eastAsia="zh-CN"/>
              </w:rPr>
              <w:t xml:space="preserve">  声环境质量现状评价结果</w:t>
            </w:r>
            <w:r>
              <w:rPr>
                <w:rFonts w:hint="eastAsia" w:eastAsia="黑体" w:cs="Times New Roman"/>
                <w:b/>
                <w:bCs/>
                <w:color w:val="auto"/>
                <w:kern w:val="0"/>
                <w:sz w:val="20"/>
                <w:szCs w:val="20"/>
                <w:highlight w:val="none"/>
                <w:lang w:val="en-US" w:eastAsia="zh-CN"/>
              </w:rPr>
              <w:t xml:space="preserve">    </w:t>
            </w:r>
            <w:r>
              <w:rPr>
                <w:rFonts w:hint="default" w:ascii="Times New Roman" w:hAnsi="Times New Roman" w:eastAsia="黑体" w:cs="Times New Roman"/>
                <w:b/>
                <w:bCs/>
                <w:color w:val="auto"/>
                <w:kern w:val="0"/>
                <w:sz w:val="20"/>
                <w:szCs w:val="20"/>
                <w:highlight w:val="none"/>
                <w:lang w:val="en-US" w:eastAsia="zh-CN"/>
              </w:rPr>
              <w:t>单位：dB(A)</w:t>
            </w:r>
          </w:p>
          <w:tbl>
            <w:tblPr>
              <w:tblStyle w:val="23"/>
              <w:tblW w:w="85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756"/>
              <w:gridCol w:w="2523"/>
              <w:gridCol w:w="1277"/>
              <w:gridCol w:w="775"/>
              <w:gridCol w:w="1384"/>
              <w:gridCol w:w="723"/>
            </w:tblGrid>
            <w:tr w14:paraId="2D05C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1043" w:type="dxa"/>
                  <w:vMerge w:val="restart"/>
                  <w:tcBorders>
                    <w:tl2br w:val="nil"/>
                    <w:tr2bl w:val="nil"/>
                  </w:tcBorders>
                  <w:noWrap w:val="0"/>
                  <w:vAlign w:val="center"/>
                </w:tcPr>
                <w:p w14:paraId="595C775C">
                  <w:pPr>
                    <w:pStyle w:val="40"/>
                    <w:keepNext w:val="0"/>
                    <w:keepLines w:val="0"/>
                    <w:suppressLineNumbers w:val="0"/>
                    <w:spacing w:before="0" w:beforeAutospacing="0" w:after="0" w:afterAutospacing="0"/>
                    <w:ind w:left="0" w:right="0"/>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检测</w:t>
                  </w:r>
                </w:p>
                <w:p w14:paraId="3EAF5D55">
                  <w:pPr>
                    <w:pStyle w:val="40"/>
                    <w:keepNext w:val="0"/>
                    <w:keepLines w:val="0"/>
                    <w:suppressLineNumbers w:val="0"/>
                    <w:spacing w:before="0" w:beforeAutospacing="0" w:after="0" w:afterAutospacing="0"/>
                    <w:ind w:left="0" w:right="0"/>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时间</w:t>
                  </w:r>
                </w:p>
              </w:tc>
              <w:tc>
                <w:tcPr>
                  <w:tcW w:w="767" w:type="dxa"/>
                  <w:vMerge w:val="restart"/>
                  <w:tcBorders>
                    <w:tl2br w:val="nil"/>
                    <w:tr2bl w:val="nil"/>
                  </w:tcBorders>
                  <w:noWrap w:val="0"/>
                  <w:vAlign w:val="center"/>
                </w:tcPr>
                <w:p w14:paraId="099FF01E">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w:t>
                  </w:r>
                </w:p>
                <w:p w14:paraId="76C21339">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因子</w:t>
                  </w:r>
                </w:p>
              </w:tc>
              <w:tc>
                <w:tcPr>
                  <w:tcW w:w="2597" w:type="dxa"/>
                  <w:vMerge w:val="restart"/>
                  <w:tcBorders>
                    <w:tl2br w:val="nil"/>
                    <w:tr2bl w:val="nil"/>
                  </w:tcBorders>
                  <w:noWrap w:val="0"/>
                  <w:vAlign w:val="center"/>
                </w:tcPr>
                <w:p w14:paraId="02D75515">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检测点编号</w:t>
                  </w:r>
                </w:p>
                <w:p w14:paraId="5ECB1855">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及位置</w:t>
                  </w:r>
                </w:p>
              </w:tc>
              <w:tc>
                <w:tcPr>
                  <w:tcW w:w="2067" w:type="dxa"/>
                  <w:gridSpan w:val="2"/>
                  <w:tcBorders>
                    <w:tl2br w:val="nil"/>
                    <w:tr2bl w:val="nil"/>
                  </w:tcBorders>
                  <w:noWrap w:val="0"/>
                  <w:vAlign w:val="center"/>
                </w:tcPr>
                <w:p w14:paraId="5086C04E">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昼间</w:t>
                  </w:r>
                </w:p>
              </w:tc>
              <w:tc>
                <w:tcPr>
                  <w:tcW w:w="2125" w:type="dxa"/>
                  <w:gridSpan w:val="2"/>
                  <w:tcBorders>
                    <w:tl2br w:val="nil"/>
                    <w:tr2bl w:val="nil"/>
                  </w:tcBorders>
                  <w:noWrap w:val="0"/>
                  <w:vAlign w:val="center"/>
                </w:tcPr>
                <w:p w14:paraId="29B1AF45">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夜间</w:t>
                  </w:r>
                </w:p>
              </w:tc>
            </w:tr>
            <w:tr w14:paraId="7C882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1043" w:type="dxa"/>
                  <w:vMerge w:val="continue"/>
                  <w:tcBorders>
                    <w:tl2br w:val="nil"/>
                    <w:tr2bl w:val="nil"/>
                  </w:tcBorders>
                  <w:noWrap w:val="0"/>
                  <w:vAlign w:val="center"/>
                </w:tcPr>
                <w:p w14:paraId="3E3C4E3C">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p>
              </w:tc>
              <w:tc>
                <w:tcPr>
                  <w:tcW w:w="767" w:type="dxa"/>
                  <w:vMerge w:val="continue"/>
                  <w:tcBorders>
                    <w:tl2br w:val="nil"/>
                    <w:tr2bl w:val="nil"/>
                  </w:tcBorders>
                  <w:noWrap w:val="0"/>
                  <w:vAlign w:val="center"/>
                </w:tcPr>
                <w:p w14:paraId="6F309BAC">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p>
              </w:tc>
              <w:tc>
                <w:tcPr>
                  <w:tcW w:w="2597" w:type="dxa"/>
                  <w:vMerge w:val="continue"/>
                  <w:tcBorders>
                    <w:tl2br w:val="nil"/>
                    <w:tr2bl w:val="nil"/>
                  </w:tcBorders>
                  <w:noWrap w:val="0"/>
                  <w:vAlign w:val="center"/>
                </w:tcPr>
                <w:p w14:paraId="6390A3D4">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p>
              </w:tc>
              <w:tc>
                <w:tcPr>
                  <w:tcW w:w="1278" w:type="dxa"/>
                  <w:tcBorders>
                    <w:tl2br w:val="nil"/>
                    <w:tr2bl w:val="nil"/>
                  </w:tcBorders>
                  <w:noWrap w:val="0"/>
                  <w:vAlign w:val="center"/>
                </w:tcPr>
                <w:p w14:paraId="318B8DBC">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检测时段</w:t>
                  </w:r>
                </w:p>
              </w:tc>
              <w:tc>
                <w:tcPr>
                  <w:tcW w:w="789" w:type="dxa"/>
                  <w:tcBorders>
                    <w:tl2br w:val="nil"/>
                    <w:tr2bl w:val="nil"/>
                  </w:tcBorders>
                  <w:noWrap w:val="0"/>
                  <w:vAlign w:val="center"/>
                </w:tcPr>
                <w:p w14:paraId="668C8776">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w:t>
                  </w:r>
                </w:p>
                <w:p w14:paraId="62CFAC37">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结果</w:t>
                  </w:r>
                </w:p>
              </w:tc>
              <w:tc>
                <w:tcPr>
                  <w:tcW w:w="1390" w:type="dxa"/>
                  <w:tcBorders>
                    <w:tl2br w:val="nil"/>
                    <w:tr2bl w:val="nil"/>
                  </w:tcBorders>
                  <w:noWrap w:val="0"/>
                  <w:vAlign w:val="center"/>
                </w:tcPr>
                <w:p w14:paraId="6CCDB565">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检测时段</w:t>
                  </w:r>
                </w:p>
              </w:tc>
              <w:tc>
                <w:tcPr>
                  <w:tcW w:w="735" w:type="dxa"/>
                  <w:tcBorders>
                    <w:tl2br w:val="nil"/>
                    <w:tr2bl w:val="nil"/>
                  </w:tcBorders>
                  <w:noWrap w:val="0"/>
                  <w:vAlign w:val="center"/>
                </w:tcPr>
                <w:p w14:paraId="44566A6C">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w:t>
                  </w:r>
                </w:p>
                <w:p w14:paraId="5C44439F">
                  <w:pPr>
                    <w:pStyle w:val="40"/>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结果</w:t>
                  </w:r>
                </w:p>
              </w:tc>
            </w:tr>
            <w:tr w14:paraId="49CAC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dxa"/>
                  <w:vMerge w:val="restart"/>
                  <w:tcBorders>
                    <w:tl2br w:val="nil"/>
                    <w:tr2bl w:val="nil"/>
                  </w:tcBorders>
                  <w:noWrap w:val="0"/>
                  <w:vAlign w:val="center"/>
                </w:tcPr>
                <w:p w14:paraId="45B4B1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2025.05.26</w:t>
                  </w:r>
                </w:p>
              </w:tc>
              <w:tc>
                <w:tcPr>
                  <w:tcW w:w="767" w:type="dxa"/>
                  <w:vMerge w:val="restart"/>
                  <w:tcBorders>
                    <w:tl2br w:val="nil"/>
                    <w:tr2bl w:val="nil"/>
                  </w:tcBorders>
                  <w:noWrap w:val="0"/>
                  <w:vAlign w:val="center"/>
                </w:tcPr>
                <w:p w14:paraId="2A149C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r>
                    <w:rPr>
                      <w:rFonts w:hint="default" w:ascii="Times New Roman" w:hAnsi="Times New Roman" w:eastAsia="宋体" w:cs="Times New Roman"/>
                      <w:color w:val="auto"/>
                      <w:sz w:val="21"/>
                      <w:szCs w:val="21"/>
                      <w:highlight w:val="none"/>
                      <w:vertAlign w:val="subscript"/>
                    </w:rPr>
                    <w:t>eq</w:t>
                  </w:r>
                </w:p>
              </w:tc>
              <w:tc>
                <w:tcPr>
                  <w:tcW w:w="2597" w:type="dxa"/>
                  <w:tcBorders>
                    <w:tl2br w:val="nil"/>
                    <w:tr2bl w:val="nil"/>
                  </w:tcBorders>
                  <w:noWrap w:val="0"/>
                  <w:vAlign w:val="center"/>
                </w:tcPr>
                <w:p w14:paraId="67FA71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bCs/>
                      <w:color w:val="auto"/>
                      <w:sz w:val="21"/>
                      <w:szCs w:val="21"/>
                      <w:highlight w:val="none"/>
                    </w:rPr>
                    <w:t>N1，</w:t>
                  </w:r>
                  <w:r>
                    <w:rPr>
                      <w:rFonts w:hint="eastAsia"/>
                      <w:bCs/>
                      <w:color w:val="auto"/>
                      <w:sz w:val="21"/>
                      <w:szCs w:val="21"/>
                      <w:highlight w:val="none"/>
                      <w:lang w:eastAsia="zh-CN"/>
                    </w:rPr>
                    <w:t>项目</w:t>
                  </w:r>
                  <w:r>
                    <w:rPr>
                      <w:rFonts w:hint="default"/>
                      <w:bCs/>
                      <w:color w:val="auto"/>
                      <w:sz w:val="21"/>
                      <w:szCs w:val="21"/>
                      <w:highlight w:val="none"/>
                    </w:rPr>
                    <w:t>北厂界外1m处</w:t>
                  </w:r>
                </w:p>
              </w:tc>
              <w:tc>
                <w:tcPr>
                  <w:tcW w:w="1278" w:type="dxa"/>
                  <w:tcBorders>
                    <w:tl2br w:val="nil"/>
                    <w:tr2bl w:val="nil"/>
                  </w:tcBorders>
                  <w:noWrap w:val="0"/>
                  <w:vAlign w:val="center"/>
                </w:tcPr>
                <w:p w14:paraId="07878435">
                  <w:pPr>
                    <w:pStyle w:val="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35</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45</w:t>
                  </w:r>
                </w:p>
              </w:tc>
              <w:tc>
                <w:tcPr>
                  <w:tcW w:w="789" w:type="dxa"/>
                  <w:tcBorders>
                    <w:tl2br w:val="nil"/>
                    <w:tr2bl w:val="nil"/>
                  </w:tcBorders>
                  <w:noWrap w:val="0"/>
                  <w:vAlign w:val="center"/>
                </w:tcPr>
                <w:p w14:paraId="032B902E">
                  <w:pPr>
                    <w:pStyle w:val="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57</w:t>
                  </w:r>
                </w:p>
              </w:tc>
              <w:tc>
                <w:tcPr>
                  <w:tcW w:w="1390" w:type="dxa"/>
                  <w:tcBorders>
                    <w:tl2br w:val="nil"/>
                    <w:tr2bl w:val="nil"/>
                  </w:tcBorders>
                  <w:noWrap w:val="0"/>
                  <w:vAlign w:val="center"/>
                </w:tcPr>
                <w:p w14:paraId="3E0BE86D">
                  <w:pPr>
                    <w:pStyle w:val="40"/>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42</w:t>
                  </w: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52</w:t>
                  </w:r>
                </w:p>
              </w:tc>
              <w:tc>
                <w:tcPr>
                  <w:tcW w:w="735" w:type="dxa"/>
                  <w:tcBorders>
                    <w:tl2br w:val="nil"/>
                    <w:tr2bl w:val="nil"/>
                  </w:tcBorders>
                  <w:noWrap w:val="0"/>
                  <w:vAlign w:val="center"/>
                </w:tcPr>
                <w:p w14:paraId="0939909A">
                  <w:pPr>
                    <w:pStyle w:val="40"/>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44</w:t>
                  </w:r>
                </w:p>
              </w:tc>
            </w:tr>
            <w:tr w14:paraId="29956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dxa"/>
                  <w:vMerge w:val="continue"/>
                  <w:tcBorders>
                    <w:tl2br w:val="nil"/>
                    <w:tr2bl w:val="nil"/>
                  </w:tcBorders>
                  <w:noWrap w:val="0"/>
                  <w:vAlign w:val="center"/>
                </w:tcPr>
                <w:p w14:paraId="6BBB90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7" w:type="dxa"/>
                  <w:vMerge w:val="continue"/>
                  <w:tcBorders>
                    <w:tl2br w:val="nil"/>
                    <w:tr2bl w:val="nil"/>
                  </w:tcBorders>
                  <w:noWrap w:val="0"/>
                  <w:vAlign w:val="center"/>
                </w:tcPr>
                <w:p w14:paraId="6C9CFD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597" w:type="dxa"/>
                  <w:tcBorders>
                    <w:tl2br w:val="nil"/>
                    <w:tr2bl w:val="nil"/>
                  </w:tcBorders>
                  <w:noWrap w:val="0"/>
                  <w:vAlign w:val="center"/>
                </w:tcPr>
                <w:p w14:paraId="2C307A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bCs/>
                      <w:color w:val="auto"/>
                      <w:sz w:val="21"/>
                      <w:szCs w:val="21"/>
                      <w:highlight w:val="none"/>
                    </w:rPr>
                    <w:t>N2，</w:t>
                  </w:r>
                  <w:r>
                    <w:rPr>
                      <w:rFonts w:hint="eastAsia"/>
                      <w:bCs/>
                      <w:color w:val="auto"/>
                      <w:sz w:val="21"/>
                      <w:szCs w:val="21"/>
                      <w:highlight w:val="none"/>
                      <w:lang w:eastAsia="zh-CN"/>
                    </w:rPr>
                    <w:t>项目</w:t>
                  </w:r>
                  <w:r>
                    <w:rPr>
                      <w:rFonts w:hint="default"/>
                      <w:bCs/>
                      <w:color w:val="auto"/>
                      <w:sz w:val="21"/>
                      <w:szCs w:val="21"/>
                      <w:highlight w:val="none"/>
                    </w:rPr>
                    <w:t>东厂界外1m处</w:t>
                  </w:r>
                </w:p>
              </w:tc>
              <w:tc>
                <w:tcPr>
                  <w:tcW w:w="1278" w:type="dxa"/>
                  <w:tcBorders>
                    <w:tl2br w:val="nil"/>
                    <w:tr2bl w:val="nil"/>
                  </w:tcBorders>
                  <w:noWrap w:val="0"/>
                  <w:vAlign w:val="center"/>
                </w:tcPr>
                <w:p w14:paraId="5461DD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20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30</w:t>
                  </w:r>
                </w:p>
              </w:tc>
              <w:tc>
                <w:tcPr>
                  <w:tcW w:w="789" w:type="dxa"/>
                  <w:tcBorders>
                    <w:tl2br w:val="nil"/>
                    <w:tr2bl w:val="nil"/>
                  </w:tcBorders>
                  <w:noWrap w:val="0"/>
                  <w:vAlign w:val="center"/>
                </w:tcPr>
                <w:p w14:paraId="130078D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54</w:t>
                  </w:r>
                </w:p>
              </w:tc>
              <w:tc>
                <w:tcPr>
                  <w:tcW w:w="1390" w:type="dxa"/>
                  <w:tcBorders>
                    <w:tl2br w:val="nil"/>
                    <w:tr2bl w:val="nil"/>
                  </w:tcBorders>
                  <w:noWrap w:val="0"/>
                  <w:vAlign w:val="center"/>
                </w:tcPr>
                <w:p w14:paraId="7DACA0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28</w:t>
                  </w: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38</w:t>
                  </w:r>
                </w:p>
              </w:tc>
              <w:tc>
                <w:tcPr>
                  <w:tcW w:w="735" w:type="dxa"/>
                  <w:tcBorders>
                    <w:tl2br w:val="nil"/>
                    <w:tr2bl w:val="nil"/>
                  </w:tcBorders>
                  <w:noWrap w:val="0"/>
                  <w:vAlign w:val="center"/>
                </w:tcPr>
                <w:p w14:paraId="528C5290">
                  <w:pPr>
                    <w:pStyle w:val="40"/>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4</w:t>
                  </w:r>
                  <w:r>
                    <w:rPr>
                      <w:rFonts w:hint="eastAsia" w:ascii="Times New Roman" w:hAnsi="Times New Roman" w:eastAsia="宋体" w:cs="Times New Roman"/>
                      <w:bCs/>
                      <w:color w:val="auto"/>
                      <w:sz w:val="21"/>
                      <w:szCs w:val="21"/>
                      <w:highlight w:val="none"/>
                      <w:lang w:val="en-US" w:eastAsia="zh-CN"/>
                    </w:rPr>
                    <w:t>7</w:t>
                  </w:r>
                </w:p>
              </w:tc>
            </w:tr>
            <w:tr w14:paraId="06EA3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dxa"/>
                  <w:vMerge w:val="continue"/>
                  <w:tcBorders>
                    <w:tl2br w:val="nil"/>
                    <w:tr2bl w:val="nil"/>
                  </w:tcBorders>
                  <w:noWrap w:val="0"/>
                  <w:vAlign w:val="center"/>
                </w:tcPr>
                <w:p w14:paraId="3CE28E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7" w:type="dxa"/>
                  <w:vMerge w:val="continue"/>
                  <w:tcBorders>
                    <w:tl2br w:val="nil"/>
                    <w:tr2bl w:val="nil"/>
                  </w:tcBorders>
                  <w:noWrap w:val="0"/>
                  <w:vAlign w:val="center"/>
                </w:tcPr>
                <w:p w14:paraId="0C7DE5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597" w:type="dxa"/>
                  <w:tcBorders>
                    <w:tl2br w:val="nil"/>
                    <w:tr2bl w:val="nil"/>
                  </w:tcBorders>
                  <w:noWrap w:val="0"/>
                  <w:vAlign w:val="center"/>
                </w:tcPr>
                <w:p w14:paraId="573800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bCs/>
                      <w:color w:val="auto"/>
                      <w:sz w:val="21"/>
                      <w:szCs w:val="21"/>
                      <w:highlight w:val="none"/>
                    </w:rPr>
                    <w:t>N3，</w:t>
                  </w:r>
                  <w:r>
                    <w:rPr>
                      <w:rFonts w:hint="eastAsia"/>
                      <w:bCs/>
                      <w:color w:val="auto"/>
                      <w:sz w:val="21"/>
                      <w:szCs w:val="21"/>
                      <w:highlight w:val="none"/>
                      <w:lang w:eastAsia="zh-CN"/>
                    </w:rPr>
                    <w:t>项目</w:t>
                  </w:r>
                  <w:r>
                    <w:rPr>
                      <w:rFonts w:hint="default"/>
                      <w:bCs/>
                      <w:color w:val="auto"/>
                      <w:sz w:val="21"/>
                      <w:szCs w:val="21"/>
                      <w:highlight w:val="none"/>
                    </w:rPr>
                    <w:t>南厂界外1m处</w:t>
                  </w:r>
                </w:p>
              </w:tc>
              <w:tc>
                <w:tcPr>
                  <w:tcW w:w="1278" w:type="dxa"/>
                  <w:tcBorders>
                    <w:tl2br w:val="nil"/>
                    <w:tr2bl w:val="nil"/>
                  </w:tcBorders>
                  <w:noWrap w:val="0"/>
                  <w:vAlign w:val="center"/>
                </w:tcPr>
                <w:p w14:paraId="10B4F8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05</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15</w:t>
                  </w:r>
                </w:p>
              </w:tc>
              <w:tc>
                <w:tcPr>
                  <w:tcW w:w="789" w:type="dxa"/>
                  <w:tcBorders>
                    <w:tl2br w:val="nil"/>
                    <w:tr2bl w:val="nil"/>
                  </w:tcBorders>
                  <w:noWrap w:val="0"/>
                  <w:vAlign w:val="center"/>
                </w:tcPr>
                <w:p w14:paraId="293065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59</w:t>
                  </w:r>
                </w:p>
              </w:tc>
              <w:tc>
                <w:tcPr>
                  <w:tcW w:w="1390" w:type="dxa"/>
                  <w:tcBorders>
                    <w:tl2br w:val="nil"/>
                    <w:tr2bl w:val="nil"/>
                  </w:tcBorders>
                  <w:noWrap w:val="0"/>
                  <w:vAlign w:val="center"/>
                </w:tcPr>
                <w:p w14:paraId="4DF6809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14</w:t>
                  </w: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24</w:t>
                  </w:r>
                </w:p>
              </w:tc>
              <w:tc>
                <w:tcPr>
                  <w:tcW w:w="735" w:type="dxa"/>
                  <w:tcBorders>
                    <w:tl2br w:val="nil"/>
                    <w:tr2bl w:val="nil"/>
                  </w:tcBorders>
                  <w:noWrap w:val="0"/>
                  <w:vAlign w:val="center"/>
                </w:tcPr>
                <w:p w14:paraId="01295967">
                  <w:pPr>
                    <w:pStyle w:val="40"/>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48</w:t>
                  </w:r>
                </w:p>
              </w:tc>
            </w:tr>
            <w:tr w14:paraId="3F178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dxa"/>
                  <w:vMerge w:val="continue"/>
                  <w:tcBorders>
                    <w:tl2br w:val="nil"/>
                    <w:tr2bl w:val="nil"/>
                  </w:tcBorders>
                  <w:noWrap w:val="0"/>
                  <w:vAlign w:val="center"/>
                </w:tcPr>
                <w:p w14:paraId="5DCBC4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7" w:type="dxa"/>
                  <w:vMerge w:val="continue"/>
                  <w:tcBorders>
                    <w:tl2br w:val="nil"/>
                    <w:tr2bl w:val="nil"/>
                  </w:tcBorders>
                  <w:noWrap w:val="0"/>
                  <w:vAlign w:val="center"/>
                </w:tcPr>
                <w:p w14:paraId="7B1FD4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597" w:type="dxa"/>
                  <w:tcBorders>
                    <w:tl2br w:val="nil"/>
                    <w:tr2bl w:val="nil"/>
                  </w:tcBorders>
                  <w:noWrap w:val="0"/>
                  <w:vAlign w:val="center"/>
                </w:tcPr>
                <w:p w14:paraId="29ED24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bCs/>
                      <w:color w:val="auto"/>
                      <w:sz w:val="21"/>
                      <w:szCs w:val="21"/>
                      <w:highlight w:val="none"/>
                    </w:rPr>
                    <w:t>N4，</w:t>
                  </w:r>
                  <w:r>
                    <w:rPr>
                      <w:rFonts w:hint="eastAsia"/>
                      <w:bCs/>
                      <w:color w:val="auto"/>
                      <w:sz w:val="21"/>
                      <w:szCs w:val="21"/>
                      <w:highlight w:val="none"/>
                      <w:lang w:eastAsia="zh-CN"/>
                    </w:rPr>
                    <w:t>项目</w:t>
                  </w:r>
                  <w:r>
                    <w:rPr>
                      <w:rFonts w:hint="default"/>
                      <w:bCs/>
                      <w:color w:val="auto"/>
                      <w:sz w:val="21"/>
                      <w:szCs w:val="21"/>
                      <w:highlight w:val="none"/>
                    </w:rPr>
                    <w:t>西厂界外1m处</w:t>
                  </w:r>
                </w:p>
              </w:tc>
              <w:tc>
                <w:tcPr>
                  <w:tcW w:w="1278" w:type="dxa"/>
                  <w:tcBorders>
                    <w:tl2br w:val="nil"/>
                    <w:tr2bl w:val="nil"/>
                  </w:tcBorders>
                  <w:noWrap w:val="0"/>
                  <w:vAlign w:val="center"/>
                </w:tcPr>
                <w:p w14:paraId="0D28821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14</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50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00</w:t>
                  </w:r>
                </w:p>
              </w:tc>
              <w:tc>
                <w:tcPr>
                  <w:tcW w:w="789" w:type="dxa"/>
                  <w:tcBorders>
                    <w:tl2br w:val="nil"/>
                    <w:tr2bl w:val="nil"/>
                  </w:tcBorders>
                  <w:noWrap w:val="0"/>
                  <w:vAlign w:val="center"/>
                </w:tcPr>
                <w:p w14:paraId="3729C7C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56</w:t>
                  </w:r>
                </w:p>
              </w:tc>
              <w:tc>
                <w:tcPr>
                  <w:tcW w:w="1390" w:type="dxa"/>
                  <w:tcBorders>
                    <w:tl2br w:val="nil"/>
                    <w:tr2bl w:val="nil"/>
                  </w:tcBorders>
                  <w:noWrap w:val="0"/>
                  <w:vAlign w:val="center"/>
                </w:tcPr>
                <w:p w14:paraId="514442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00</w:t>
                  </w:r>
                  <w:r>
                    <w:rPr>
                      <w:rFonts w:hint="default" w:ascii="Times New Roman" w:hAnsi="Times New Roman" w:eastAsia="宋体" w:cs="Times New Roman"/>
                      <w:bCs/>
                      <w:color w:val="auto"/>
                      <w:sz w:val="21"/>
                      <w:szCs w:val="21"/>
                      <w:highlight w:val="none"/>
                    </w:rPr>
                    <w:t>-2</w:t>
                  </w:r>
                  <w:r>
                    <w:rPr>
                      <w:rFonts w:hint="eastAsia"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10</w:t>
                  </w:r>
                </w:p>
              </w:tc>
              <w:tc>
                <w:tcPr>
                  <w:tcW w:w="735" w:type="dxa"/>
                  <w:tcBorders>
                    <w:tl2br w:val="nil"/>
                    <w:tr2bl w:val="nil"/>
                  </w:tcBorders>
                  <w:noWrap w:val="0"/>
                  <w:vAlign w:val="center"/>
                </w:tcPr>
                <w:p w14:paraId="0A9ACAEB">
                  <w:pPr>
                    <w:pStyle w:val="40"/>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4</w:t>
                  </w:r>
                  <w:r>
                    <w:rPr>
                      <w:rFonts w:hint="eastAsia" w:ascii="Times New Roman" w:hAnsi="Times New Roman" w:eastAsia="宋体" w:cs="Times New Roman"/>
                      <w:bCs/>
                      <w:color w:val="auto"/>
                      <w:sz w:val="21"/>
                      <w:szCs w:val="21"/>
                      <w:highlight w:val="none"/>
                      <w:lang w:val="en-US" w:eastAsia="zh-CN"/>
                    </w:rPr>
                    <w:t>8</w:t>
                  </w:r>
                </w:p>
              </w:tc>
            </w:tr>
            <w:tr w14:paraId="21FEE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dxa"/>
                  <w:vMerge w:val="continue"/>
                  <w:tcBorders>
                    <w:tl2br w:val="nil"/>
                    <w:tr2bl w:val="nil"/>
                  </w:tcBorders>
                  <w:noWrap w:val="0"/>
                  <w:vAlign w:val="center"/>
                </w:tcPr>
                <w:p w14:paraId="3BC245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7" w:type="dxa"/>
                  <w:vMerge w:val="continue"/>
                  <w:tcBorders>
                    <w:tl2br w:val="nil"/>
                    <w:tr2bl w:val="nil"/>
                  </w:tcBorders>
                  <w:noWrap w:val="0"/>
                  <w:vAlign w:val="center"/>
                </w:tcPr>
                <w:p w14:paraId="1C525C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597" w:type="dxa"/>
                  <w:tcBorders>
                    <w:tl2br w:val="nil"/>
                    <w:tr2bl w:val="nil"/>
                  </w:tcBorders>
                  <w:noWrap w:val="0"/>
                  <w:vAlign w:val="center"/>
                </w:tcPr>
                <w:p w14:paraId="3A0910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bCs/>
                      <w:color w:val="auto"/>
                      <w:sz w:val="21"/>
                      <w:szCs w:val="21"/>
                      <w:highlight w:val="none"/>
                    </w:rPr>
                    <w:t>N5，</w:t>
                  </w:r>
                  <w:r>
                    <w:rPr>
                      <w:rFonts w:hint="eastAsia" w:ascii="Times New Roman" w:hAnsi="Times New Roman" w:eastAsia="宋体" w:cs="Times New Roman"/>
                      <w:color w:val="auto"/>
                      <w:kern w:val="2"/>
                      <w:sz w:val="21"/>
                      <w:szCs w:val="21"/>
                      <w:highlight w:val="none"/>
                      <w:lang w:val="en-US" w:eastAsia="zh-CN" w:bidi="ar-SA"/>
                    </w:rPr>
                    <w:t>项目南侧紧邻的东岳收费站处</w:t>
                  </w:r>
                </w:p>
              </w:tc>
              <w:tc>
                <w:tcPr>
                  <w:tcW w:w="1278" w:type="dxa"/>
                  <w:tcBorders>
                    <w:tl2br w:val="nil"/>
                    <w:tr2bl w:val="nil"/>
                  </w:tcBorders>
                  <w:noWrap w:val="0"/>
                  <w:vAlign w:val="center"/>
                </w:tcPr>
                <w:p w14:paraId="0FEA84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50</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16</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00</w:t>
                  </w:r>
                </w:p>
              </w:tc>
              <w:tc>
                <w:tcPr>
                  <w:tcW w:w="789" w:type="dxa"/>
                  <w:tcBorders>
                    <w:tl2br w:val="nil"/>
                    <w:tr2bl w:val="nil"/>
                  </w:tcBorders>
                  <w:noWrap w:val="0"/>
                  <w:vAlign w:val="center"/>
                </w:tcPr>
                <w:p w14:paraId="2BC57EA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58</w:t>
                  </w:r>
                </w:p>
              </w:tc>
              <w:tc>
                <w:tcPr>
                  <w:tcW w:w="1390" w:type="dxa"/>
                  <w:tcBorders>
                    <w:tl2br w:val="nil"/>
                    <w:tr2bl w:val="nil"/>
                  </w:tcBorders>
                  <w:noWrap w:val="0"/>
                  <w:vAlign w:val="center"/>
                </w:tcPr>
                <w:p w14:paraId="5F6C425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56</w:t>
                  </w:r>
                  <w:r>
                    <w:rPr>
                      <w:rFonts w:hint="default" w:ascii="Times New Roman" w:hAnsi="Times New Roman" w:eastAsia="宋体" w:cs="Times New Roman"/>
                      <w:bCs/>
                      <w:color w:val="auto"/>
                      <w:sz w:val="21"/>
                      <w:szCs w:val="21"/>
                      <w:highlight w:val="none"/>
                    </w:rPr>
                    <w:t>-2</w:t>
                  </w:r>
                  <w:r>
                    <w:rPr>
                      <w:rFonts w:hint="eastAsia" w:ascii="Times New Roman" w:hAnsi="Times New Roman" w:eastAsia="宋体"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06</w:t>
                  </w:r>
                </w:p>
              </w:tc>
              <w:tc>
                <w:tcPr>
                  <w:tcW w:w="735" w:type="dxa"/>
                  <w:tcBorders>
                    <w:tl2br w:val="nil"/>
                    <w:tr2bl w:val="nil"/>
                  </w:tcBorders>
                  <w:noWrap w:val="0"/>
                  <w:vAlign w:val="center"/>
                </w:tcPr>
                <w:p w14:paraId="175CD779">
                  <w:pPr>
                    <w:pStyle w:val="40"/>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44</w:t>
                  </w:r>
                </w:p>
              </w:tc>
            </w:tr>
            <w:tr w14:paraId="3C677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dxa"/>
                  <w:vMerge w:val="restart"/>
                  <w:tcBorders>
                    <w:tl2br w:val="nil"/>
                    <w:tr2bl w:val="nil"/>
                  </w:tcBorders>
                  <w:noWrap w:val="0"/>
                  <w:vAlign w:val="center"/>
                </w:tcPr>
                <w:p w14:paraId="01B2EE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2025.05.27</w:t>
                  </w:r>
                </w:p>
              </w:tc>
              <w:tc>
                <w:tcPr>
                  <w:tcW w:w="767" w:type="dxa"/>
                  <w:vMerge w:val="restart"/>
                  <w:tcBorders>
                    <w:tl2br w:val="nil"/>
                    <w:tr2bl w:val="nil"/>
                  </w:tcBorders>
                  <w:noWrap w:val="0"/>
                  <w:vAlign w:val="center"/>
                </w:tcPr>
                <w:p w14:paraId="5CDA3F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r>
                    <w:rPr>
                      <w:rFonts w:hint="default" w:ascii="Times New Roman" w:hAnsi="Times New Roman" w:eastAsia="宋体" w:cs="Times New Roman"/>
                      <w:color w:val="auto"/>
                      <w:sz w:val="21"/>
                      <w:szCs w:val="21"/>
                      <w:highlight w:val="none"/>
                      <w:vertAlign w:val="subscript"/>
                    </w:rPr>
                    <w:t>eq</w:t>
                  </w:r>
                </w:p>
              </w:tc>
              <w:tc>
                <w:tcPr>
                  <w:tcW w:w="2597" w:type="dxa"/>
                  <w:tcBorders>
                    <w:tl2br w:val="nil"/>
                    <w:tr2bl w:val="nil"/>
                  </w:tcBorders>
                  <w:noWrap w:val="0"/>
                  <w:vAlign w:val="center"/>
                </w:tcPr>
                <w:p w14:paraId="080A6E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bCs/>
                      <w:color w:val="auto"/>
                      <w:sz w:val="21"/>
                      <w:szCs w:val="21"/>
                      <w:highlight w:val="none"/>
                    </w:rPr>
                    <w:t>N1，</w:t>
                  </w:r>
                  <w:r>
                    <w:rPr>
                      <w:rFonts w:hint="eastAsia"/>
                      <w:bCs/>
                      <w:color w:val="auto"/>
                      <w:sz w:val="21"/>
                      <w:szCs w:val="21"/>
                      <w:highlight w:val="none"/>
                      <w:lang w:eastAsia="zh-CN"/>
                    </w:rPr>
                    <w:t>项目</w:t>
                  </w:r>
                  <w:r>
                    <w:rPr>
                      <w:rFonts w:hint="default"/>
                      <w:bCs/>
                      <w:color w:val="auto"/>
                      <w:sz w:val="21"/>
                      <w:szCs w:val="21"/>
                      <w:highlight w:val="none"/>
                    </w:rPr>
                    <w:t>北厂界外1m处</w:t>
                  </w:r>
                </w:p>
              </w:tc>
              <w:tc>
                <w:tcPr>
                  <w:tcW w:w="1278" w:type="dxa"/>
                  <w:tcBorders>
                    <w:tl2br w:val="nil"/>
                    <w:tr2bl w:val="nil"/>
                  </w:tcBorders>
                  <w:noWrap w:val="0"/>
                  <w:vAlign w:val="center"/>
                </w:tcPr>
                <w:p w14:paraId="2228126E">
                  <w:pPr>
                    <w:pStyle w:val="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09</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31</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09</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41</w:t>
                  </w:r>
                </w:p>
              </w:tc>
              <w:tc>
                <w:tcPr>
                  <w:tcW w:w="789" w:type="dxa"/>
                  <w:tcBorders>
                    <w:tl2br w:val="nil"/>
                    <w:tr2bl w:val="nil"/>
                  </w:tcBorders>
                  <w:noWrap w:val="0"/>
                  <w:vAlign w:val="center"/>
                </w:tcPr>
                <w:p w14:paraId="024A02D3">
                  <w:pPr>
                    <w:pStyle w:val="40"/>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54</w:t>
                  </w:r>
                </w:p>
              </w:tc>
              <w:tc>
                <w:tcPr>
                  <w:tcW w:w="1390" w:type="dxa"/>
                  <w:tcBorders>
                    <w:tl2br w:val="nil"/>
                    <w:tr2bl w:val="nil"/>
                  </w:tcBorders>
                  <w:noWrap w:val="0"/>
                  <w:vAlign w:val="center"/>
                </w:tcPr>
                <w:p w14:paraId="37B486D6">
                  <w:pPr>
                    <w:pStyle w:val="40"/>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42</w:t>
                  </w: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52</w:t>
                  </w:r>
                </w:p>
              </w:tc>
              <w:tc>
                <w:tcPr>
                  <w:tcW w:w="735" w:type="dxa"/>
                  <w:tcBorders>
                    <w:tl2br w:val="nil"/>
                    <w:tr2bl w:val="nil"/>
                  </w:tcBorders>
                  <w:noWrap w:val="0"/>
                  <w:vAlign w:val="center"/>
                </w:tcPr>
                <w:p w14:paraId="1EF91798">
                  <w:pPr>
                    <w:pStyle w:val="40"/>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4</w:t>
                  </w:r>
                  <w:r>
                    <w:rPr>
                      <w:rFonts w:hint="eastAsia" w:ascii="Times New Roman" w:hAnsi="Times New Roman" w:eastAsia="宋体" w:cs="Times New Roman"/>
                      <w:bCs/>
                      <w:color w:val="auto"/>
                      <w:sz w:val="21"/>
                      <w:szCs w:val="21"/>
                      <w:highlight w:val="none"/>
                      <w:lang w:val="en-US" w:eastAsia="zh-CN"/>
                    </w:rPr>
                    <w:t>6</w:t>
                  </w:r>
                </w:p>
              </w:tc>
            </w:tr>
            <w:tr w14:paraId="512CC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dxa"/>
                  <w:vMerge w:val="continue"/>
                  <w:tcBorders>
                    <w:tl2br w:val="nil"/>
                    <w:tr2bl w:val="nil"/>
                  </w:tcBorders>
                  <w:noWrap w:val="0"/>
                  <w:vAlign w:val="center"/>
                </w:tcPr>
                <w:p w14:paraId="202C6B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7" w:type="dxa"/>
                  <w:vMerge w:val="continue"/>
                  <w:tcBorders>
                    <w:tl2br w:val="nil"/>
                    <w:tr2bl w:val="nil"/>
                  </w:tcBorders>
                  <w:noWrap w:val="0"/>
                  <w:vAlign w:val="center"/>
                </w:tcPr>
                <w:p w14:paraId="7F83F0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597" w:type="dxa"/>
                  <w:tcBorders>
                    <w:tl2br w:val="nil"/>
                    <w:tr2bl w:val="nil"/>
                  </w:tcBorders>
                  <w:noWrap w:val="0"/>
                  <w:vAlign w:val="center"/>
                </w:tcPr>
                <w:p w14:paraId="04E2AF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bCs/>
                      <w:color w:val="auto"/>
                      <w:sz w:val="21"/>
                      <w:szCs w:val="21"/>
                      <w:highlight w:val="none"/>
                    </w:rPr>
                    <w:t>N2，</w:t>
                  </w:r>
                  <w:r>
                    <w:rPr>
                      <w:rFonts w:hint="eastAsia"/>
                      <w:bCs/>
                      <w:color w:val="auto"/>
                      <w:sz w:val="21"/>
                      <w:szCs w:val="21"/>
                      <w:highlight w:val="none"/>
                      <w:lang w:eastAsia="zh-CN"/>
                    </w:rPr>
                    <w:t>项目</w:t>
                  </w:r>
                  <w:r>
                    <w:rPr>
                      <w:rFonts w:hint="default"/>
                      <w:bCs/>
                      <w:color w:val="auto"/>
                      <w:sz w:val="21"/>
                      <w:szCs w:val="21"/>
                      <w:highlight w:val="none"/>
                    </w:rPr>
                    <w:t>东厂界外1m处</w:t>
                  </w:r>
                </w:p>
              </w:tc>
              <w:tc>
                <w:tcPr>
                  <w:tcW w:w="1278" w:type="dxa"/>
                  <w:tcBorders>
                    <w:tl2br w:val="nil"/>
                    <w:tr2bl w:val="nil"/>
                  </w:tcBorders>
                  <w:noWrap w:val="0"/>
                  <w:vAlign w:val="center"/>
                </w:tcPr>
                <w:p w14:paraId="533AC3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09</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13</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09</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23</w:t>
                  </w:r>
                </w:p>
              </w:tc>
              <w:tc>
                <w:tcPr>
                  <w:tcW w:w="789" w:type="dxa"/>
                  <w:tcBorders>
                    <w:tl2br w:val="nil"/>
                    <w:tr2bl w:val="nil"/>
                  </w:tcBorders>
                  <w:noWrap w:val="0"/>
                  <w:vAlign w:val="center"/>
                </w:tcPr>
                <w:p w14:paraId="3BC1362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53</w:t>
                  </w:r>
                </w:p>
              </w:tc>
              <w:tc>
                <w:tcPr>
                  <w:tcW w:w="1390" w:type="dxa"/>
                  <w:tcBorders>
                    <w:tl2br w:val="nil"/>
                    <w:tr2bl w:val="nil"/>
                  </w:tcBorders>
                  <w:noWrap w:val="0"/>
                  <w:vAlign w:val="center"/>
                </w:tcPr>
                <w:p w14:paraId="1356AC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28</w:t>
                  </w: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38</w:t>
                  </w:r>
                </w:p>
              </w:tc>
              <w:tc>
                <w:tcPr>
                  <w:tcW w:w="735" w:type="dxa"/>
                  <w:tcBorders>
                    <w:tl2br w:val="nil"/>
                    <w:tr2bl w:val="nil"/>
                  </w:tcBorders>
                  <w:noWrap w:val="0"/>
                  <w:vAlign w:val="center"/>
                </w:tcPr>
                <w:p w14:paraId="62F9B89E">
                  <w:pPr>
                    <w:pStyle w:val="40"/>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4</w:t>
                  </w:r>
                  <w:r>
                    <w:rPr>
                      <w:rFonts w:hint="eastAsia" w:ascii="Times New Roman" w:hAnsi="Times New Roman" w:eastAsia="宋体" w:cs="Times New Roman"/>
                      <w:bCs/>
                      <w:color w:val="auto"/>
                      <w:sz w:val="21"/>
                      <w:szCs w:val="21"/>
                      <w:highlight w:val="none"/>
                      <w:lang w:val="en-US" w:eastAsia="zh-CN"/>
                    </w:rPr>
                    <w:t>6</w:t>
                  </w:r>
                </w:p>
              </w:tc>
            </w:tr>
            <w:tr w14:paraId="70892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dxa"/>
                  <w:vMerge w:val="continue"/>
                  <w:tcBorders>
                    <w:tl2br w:val="nil"/>
                    <w:tr2bl w:val="nil"/>
                  </w:tcBorders>
                  <w:noWrap w:val="0"/>
                  <w:vAlign w:val="center"/>
                </w:tcPr>
                <w:p w14:paraId="37840A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7" w:type="dxa"/>
                  <w:vMerge w:val="continue"/>
                  <w:tcBorders>
                    <w:tl2br w:val="nil"/>
                    <w:tr2bl w:val="nil"/>
                  </w:tcBorders>
                  <w:noWrap w:val="0"/>
                  <w:vAlign w:val="center"/>
                </w:tcPr>
                <w:p w14:paraId="43D8B1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597" w:type="dxa"/>
                  <w:tcBorders>
                    <w:tl2br w:val="nil"/>
                    <w:tr2bl w:val="nil"/>
                  </w:tcBorders>
                  <w:noWrap w:val="0"/>
                  <w:vAlign w:val="center"/>
                </w:tcPr>
                <w:p w14:paraId="74B367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bCs/>
                      <w:color w:val="auto"/>
                      <w:sz w:val="21"/>
                      <w:szCs w:val="21"/>
                      <w:highlight w:val="none"/>
                    </w:rPr>
                    <w:t>N3，</w:t>
                  </w:r>
                  <w:r>
                    <w:rPr>
                      <w:rFonts w:hint="eastAsia"/>
                      <w:bCs/>
                      <w:color w:val="auto"/>
                      <w:sz w:val="21"/>
                      <w:szCs w:val="21"/>
                      <w:highlight w:val="none"/>
                      <w:lang w:eastAsia="zh-CN"/>
                    </w:rPr>
                    <w:t>项目</w:t>
                  </w:r>
                  <w:r>
                    <w:rPr>
                      <w:rFonts w:hint="default"/>
                      <w:bCs/>
                      <w:color w:val="auto"/>
                      <w:sz w:val="21"/>
                      <w:szCs w:val="21"/>
                      <w:highlight w:val="none"/>
                    </w:rPr>
                    <w:t>南厂界外1m处</w:t>
                  </w:r>
                </w:p>
              </w:tc>
              <w:tc>
                <w:tcPr>
                  <w:tcW w:w="1278" w:type="dxa"/>
                  <w:tcBorders>
                    <w:tl2br w:val="nil"/>
                    <w:tr2bl w:val="nil"/>
                  </w:tcBorders>
                  <w:noWrap w:val="0"/>
                  <w:vAlign w:val="center"/>
                </w:tcPr>
                <w:p w14:paraId="20187B7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58</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09</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08</w:t>
                  </w:r>
                </w:p>
              </w:tc>
              <w:tc>
                <w:tcPr>
                  <w:tcW w:w="789" w:type="dxa"/>
                  <w:tcBorders>
                    <w:tl2br w:val="nil"/>
                    <w:tr2bl w:val="nil"/>
                  </w:tcBorders>
                  <w:noWrap w:val="0"/>
                  <w:vAlign w:val="center"/>
                </w:tcPr>
                <w:p w14:paraId="4B5B7B7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53</w:t>
                  </w:r>
                </w:p>
              </w:tc>
              <w:tc>
                <w:tcPr>
                  <w:tcW w:w="1390" w:type="dxa"/>
                  <w:tcBorders>
                    <w:tl2br w:val="nil"/>
                    <w:tr2bl w:val="nil"/>
                  </w:tcBorders>
                  <w:noWrap w:val="0"/>
                  <w:vAlign w:val="center"/>
                </w:tcPr>
                <w:p w14:paraId="1E5B53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14</w:t>
                  </w: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24</w:t>
                  </w:r>
                </w:p>
              </w:tc>
              <w:tc>
                <w:tcPr>
                  <w:tcW w:w="735" w:type="dxa"/>
                  <w:tcBorders>
                    <w:tl2br w:val="nil"/>
                    <w:tr2bl w:val="nil"/>
                  </w:tcBorders>
                  <w:noWrap w:val="0"/>
                  <w:vAlign w:val="center"/>
                </w:tcPr>
                <w:p w14:paraId="12C48E7C">
                  <w:pPr>
                    <w:pStyle w:val="40"/>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45</w:t>
                  </w:r>
                </w:p>
              </w:tc>
            </w:tr>
            <w:tr w14:paraId="2A439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dxa"/>
                  <w:vMerge w:val="continue"/>
                  <w:tcBorders>
                    <w:tl2br w:val="nil"/>
                    <w:tr2bl w:val="nil"/>
                  </w:tcBorders>
                  <w:noWrap w:val="0"/>
                  <w:vAlign w:val="center"/>
                </w:tcPr>
                <w:p w14:paraId="7DC142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7" w:type="dxa"/>
                  <w:vMerge w:val="continue"/>
                  <w:tcBorders>
                    <w:tl2br w:val="nil"/>
                    <w:tr2bl w:val="nil"/>
                  </w:tcBorders>
                  <w:noWrap w:val="0"/>
                  <w:vAlign w:val="center"/>
                </w:tcPr>
                <w:p w14:paraId="2F85E1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597" w:type="dxa"/>
                  <w:tcBorders>
                    <w:tl2br w:val="nil"/>
                    <w:tr2bl w:val="nil"/>
                  </w:tcBorders>
                  <w:noWrap w:val="0"/>
                  <w:vAlign w:val="center"/>
                </w:tcPr>
                <w:p w14:paraId="5A0258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bCs/>
                      <w:color w:val="auto"/>
                      <w:sz w:val="21"/>
                      <w:szCs w:val="21"/>
                      <w:highlight w:val="none"/>
                    </w:rPr>
                    <w:t>N4，</w:t>
                  </w:r>
                  <w:r>
                    <w:rPr>
                      <w:rFonts w:hint="eastAsia"/>
                      <w:bCs/>
                      <w:color w:val="auto"/>
                      <w:sz w:val="21"/>
                      <w:szCs w:val="21"/>
                      <w:highlight w:val="none"/>
                      <w:lang w:eastAsia="zh-CN"/>
                    </w:rPr>
                    <w:t>项目</w:t>
                  </w:r>
                  <w:r>
                    <w:rPr>
                      <w:rFonts w:hint="default"/>
                      <w:bCs/>
                      <w:color w:val="auto"/>
                      <w:sz w:val="21"/>
                      <w:szCs w:val="21"/>
                      <w:highlight w:val="none"/>
                    </w:rPr>
                    <w:t>西厂界外1m处</w:t>
                  </w:r>
                </w:p>
              </w:tc>
              <w:tc>
                <w:tcPr>
                  <w:tcW w:w="1278" w:type="dxa"/>
                  <w:tcBorders>
                    <w:tl2br w:val="nil"/>
                    <w:tr2bl w:val="nil"/>
                  </w:tcBorders>
                  <w:noWrap w:val="0"/>
                  <w:vAlign w:val="center"/>
                </w:tcPr>
                <w:p w14:paraId="2920FF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43</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08</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53</w:t>
                  </w:r>
                </w:p>
              </w:tc>
              <w:tc>
                <w:tcPr>
                  <w:tcW w:w="789" w:type="dxa"/>
                  <w:tcBorders>
                    <w:tl2br w:val="nil"/>
                    <w:tr2bl w:val="nil"/>
                  </w:tcBorders>
                  <w:noWrap w:val="0"/>
                  <w:vAlign w:val="center"/>
                </w:tcPr>
                <w:p w14:paraId="1B2BFF4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55</w:t>
                  </w:r>
                </w:p>
              </w:tc>
              <w:tc>
                <w:tcPr>
                  <w:tcW w:w="1390" w:type="dxa"/>
                  <w:tcBorders>
                    <w:tl2br w:val="nil"/>
                    <w:tr2bl w:val="nil"/>
                  </w:tcBorders>
                  <w:noWrap w:val="0"/>
                  <w:vAlign w:val="center"/>
                </w:tcPr>
                <w:p w14:paraId="04325E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00</w:t>
                  </w: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10</w:t>
                  </w:r>
                </w:p>
              </w:tc>
              <w:tc>
                <w:tcPr>
                  <w:tcW w:w="735" w:type="dxa"/>
                  <w:tcBorders>
                    <w:tl2br w:val="nil"/>
                    <w:tr2bl w:val="nil"/>
                  </w:tcBorders>
                  <w:noWrap w:val="0"/>
                  <w:vAlign w:val="center"/>
                </w:tcPr>
                <w:p w14:paraId="73EF59F8">
                  <w:pPr>
                    <w:pStyle w:val="40"/>
                    <w:keepNext w:val="0"/>
                    <w:keepLines w:val="0"/>
                    <w:suppressLineNumbers w:val="0"/>
                    <w:spacing w:before="0" w:beforeAutospacing="0" w:after="0" w:afterAutospacing="0"/>
                    <w:ind w:left="0" w:right="0"/>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4</w:t>
                  </w:r>
                  <w:r>
                    <w:rPr>
                      <w:rFonts w:hint="eastAsia" w:ascii="Times New Roman" w:hAnsi="Times New Roman" w:eastAsia="宋体" w:cs="Times New Roman"/>
                      <w:bCs/>
                      <w:color w:val="auto"/>
                      <w:sz w:val="21"/>
                      <w:szCs w:val="21"/>
                      <w:highlight w:val="none"/>
                      <w:lang w:val="en-US" w:eastAsia="zh-CN"/>
                    </w:rPr>
                    <w:t>4</w:t>
                  </w:r>
                </w:p>
              </w:tc>
            </w:tr>
            <w:tr w14:paraId="0B96A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dxa"/>
                  <w:vMerge w:val="continue"/>
                  <w:tcBorders>
                    <w:tl2br w:val="nil"/>
                    <w:tr2bl w:val="nil"/>
                  </w:tcBorders>
                  <w:noWrap w:val="0"/>
                  <w:vAlign w:val="center"/>
                </w:tcPr>
                <w:p w14:paraId="4C1B13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67" w:type="dxa"/>
                  <w:vMerge w:val="continue"/>
                  <w:tcBorders>
                    <w:tl2br w:val="nil"/>
                    <w:tr2bl w:val="nil"/>
                  </w:tcBorders>
                  <w:noWrap w:val="0"/>
                  <w:vAlign w:val="center"/>
                </w:tcPr>
                <w:p w14:paraId="6C72A5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597" w:type="dxa"/>
                  <w:tcBorders>
                    <w:tl2br w:val="nil"/>
                    <w:tr2bl w:val="nil"/>
                  </w:tcBorders>
                  <w:noWrap w:val="0"/>
                  <w:vAlign w:val="center"/>
                </w:tcPr>
                <w:p w14:paraId="0F2BA29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bCs/>
                      <w:color w:val="auto"/>
                      <w:sz w:val="21"/>
                      <w:szCs w:val="21"/>
                      <w:highlight w:val="none"/>
                    </w:rPr>
                    <w:t>N5，</w:t>
                  </w:r>
                  <w:r>
                    <w:rPr>
                      <w:rFonts w:hint="eastAsia" w:ascii="Times New Roman" w:hAnsi="Times New Roman" w:eastAsia="宋体" w:cs="Times New Roman"/>
                      <w:color w:val="auto"/>
                      <w:kern w:val="2"/>
                      <w:sz w:val="21"/>
                      <w:szCs w:val="21"/>
                      <w:highlight w:val="none"/>
                      <w:lang w:val="en-US" w:eastAsia="zh-CN" w:bidi="ar-SA"/>
                    </w:rPr>
                    <w:t>项目南侧紧邻的东岳收费站处</w:t>
                  </w:r>
                </w:p>
              </w:tc>
              <w:tc>
                <w:tcPr>
                  <w:tcW w:w="1278" w:type="dxa"/>
                  <w:tcBorders>
                    <w:tl2br w:val="nil"/>
                    <w:tr2bl w:val="nil"/>
                  </w:tcBorders>
                  <w:noWrap w:val="0"/>
                  <w:vAlign w:val="center"/>
                </w:tcPr>
                <w:p w14:paraId="74B386E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default" w:ascii="Times New Roman" w:hAnsi="Times New Roman" w:eastAsia="宋体" w:cs="Times New Roman"/>
                      <w:bCs/>
                      <w:color w:val="auto"/>
                      <w:sz w:val="21"/>
                      <w:szCs w:val="21"/>
                      <w:highlight w:val="none"/>
                      <w:lang w:val="en-US"/>
                    </w:rPr>
                  </w:pPr>
                  <w:r>
                    <w:rPr>
                      <w:rFonts w:hint="eastAsia" w:ascii="Times New Roman" w:hAnsi="Times New Roman" w:eastAsia="宋体" w:cs="Times New Roman"/>
                      <w:bCs/>
                      <w:color w:val="auto"/>
                      <w:sz w:val="21"/>
                      <w:szCs w:val="21"/>
                      <w:highlight w:val="none"/>
                      <w:lang w:val="en-US" w:eastAsia="zh-CN"/>
                    </w:rPr>
                    <w:t>09</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46</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09</w:t>
                  </w:r>
                  <w:r>
                    <w:rPr>
                      <w:rFonts w:hint="default"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56</w:t>
                  </w:r>
                </w:p>
              </w:tc>
              <w:tc>
                <w:tcPr>
                  <w:tcW w:w="789" w:type="dxa"/>
                  <w:tcBorders>
                    <w:tl2br w:val="nil"/>
                    <w:tr2bl w:val="nil"/>
                  </w:tcBorders>
                  <w:noWrap w:val="0"/>
                  <w:vAlign w:val="center"/>
                </w:tcPr>
                <w:p w14:paraId="301356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315" w:leftChars="0" w:right="0" w:hanging="315"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53</w:t>
                  </w:r>
                </w:p>
              </w:tc>
              <w:tc>
                <w:tcPr>
                  <w:tcW w:w="1390" w:type="dxa"/>
                  <w:tcBorders>
                    <w:tl2br w:val="nil"/>
                    <w:tr2bl w:val="nil"/>
                  </w:tcBorders>
                  <w:noWrap w:val="0"/>
                  <w:vAlign w:val="center"/>
                </w:tcPr>
                <w:p w14:paraId="0E54099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bCs/>
                      <w:color w:val="auto"/>
                      <w:sz w:val="21"/>
                      <w:szCs w:val="21"/>
                      <w:highlight w:val="none"/>
                    </w:rPr>
                    <w:t>22:</w:t>
                  </w:r>
                  <w:r>
                    <w:rPr>
                      <w:rFonts w:hint="eastAsia" w:ascii="Times New Roman" w:hAnsi="Times New Roman" w:eastAsia="宋体" w:cs="Times New Roman"/>
                      <w:bCs/>
                      <w:color w:val="auto"/>
                      <w:sz w:val="21"/>
                      <w:szCs w:val="21"/>
                      <w:highlight w:val="none"/>
                      <w:lang w:val="en-US" w:eastAsia="zh-CN"/>
                    </w:rPr>
                    <w:t>56</w:t>
                  </w:r>
                  <w:r>
                    <w:rPr>
                      <w:rFonts w:hint="default" w:ascii="Times New Roman" w:hAnsi="Times New Roman" w:eastAsia="宋体" w:cs="Times New Roman"/>
                      <w:bCs/>
                      <w:color w:val="auto"/>
                      <w:sz w:val="21"/>
                      <w:szCs w:val="21"/>
                      <w:highlight w:val="none"/>
                    </w:rPr>
                    <w:t>-2</w:t>
                  </w:r>
                  <w:r>
                    <w:rPr>
                      <w:rFonts w:hint="eastAsia" w:ascii="Times New Roman" w:hAnsi="Times New Roman" w:eastAsia="宋体"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06</w:t>
                  </w:r>
                </w:p>
              </w:tc>
              <w:tc>
                <w:tcPr>
                  <w:tcW w:w="735" w:type="dxa"/>
                  <w:tcBorders>
                    <w:tl2br w:val="nil"/>
                    <w:tr2bl w:val="nil"/>
                  </w:tcBorders>
                  <w:noWrap w:val="0"/>
                  <w:vAlign w:val="center"/>
                </w:tcPr>
                <w:p w14:paraId="056FF53A">
                  <w:pPr>
                    <w:pStyle w:val="40"/>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46</w:t>
                  </w:r>
                </w:p>
              </w:tc>
            </w:tr>
          </w:tbl>
          <w:p w14:paraId="256EE49E">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结果表明，</w:t>
            </w:r>
            <w:r>
              <w:rPr>
                <w:rFonts w:hint="default" w:ascii="Times New Roman" w:hAnsi="Times New Roman" w:cs="Times New Roman"/>
                <w:color w:val="auto"/>
                <w:sz w:val="24"/>
                <w:szCs w:val="24"/>
                <w:highlight w:val="none"/>
                <w:lang w:eastAsia="zh-CN"/>
              </w:rPr>
              <w:t>项目区域各噪声</w:t>
            </w:r>
            <w:r>
              <w:rPr>
                <w:rFonts w:hint="eastAsia" w:cs="Times New Roman"/>
                <w:color w:val="auto"/>
                <w:sz w:val="24"/>
                <w:szCs w:val="24"/>
                <w:highlight w:val="none"/>
                <w:lang w:eastAsia="zh-CN"/>
              </w:rPr>
              <w:t>监测点</w:t>
            </w:r>
            <w:r>
              <w:rPr>
                <w:rFonts w:hint="default" w:ascii="Times New Roman" w:hAnsi="Times New Roman" w:cs="Times New Roman"/>
                <w:color w:val="auto"/>
                <w:sz w:val="24"/>
                <w:szCs w:val="24"/>
                <w:highlight w:val="none"/>
                <w:lang w:eastAsia="zh-CN"/>
              </w:rPr>
              <w:t>满足</w:t>
            </w:r>
            <w:r>
              <w:rPr>
                <w:rFonts w:hint="default" w:ascii="Times New Roman" w:hAnsi="Times New Roman" w:cs="Times New Roman"/>
                <w:color w:val="auto"/>
                <w:sz w:val="24"/>
                <w:szCs w:val="24"/>
                <w:highlight w:val="none"/>
              </w:rPr>
              <w:t>《声环境质量标准》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GB3096-2008</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2类标准，区域声环境质量良好。</w:t>
            </w:r>
          </w:p>
          <w:p w14:paraId="28BD2C92">
            <w:pPr>
              <w:keepNext w:val="0"/>
              <w:keepLines w:val="0"/>
              <w:suppressLineNumbers w:val="0"/>
              <w:spacing w:before="0" w:beforeAutospacing="0" w:after="0" w:afterAutospacing="0" w:line="360" w:lineRule="auto"/>
              <w:ind w:left="0" w:right="0" w:firstLine="482" w:firstLineChars="200"/>
              <w:rPr>
                <w:rFonts w:hint="default"/>
                <w:b/>
                <w:bCs/>
                <w:color w:val="auto"/>
                <w:sz w:val="24"/>
                <w:szCs w:val="24"/>
                <w:highlight w:val="none"/>
              </w:rPr>
            </w:pPr>
            <w:r>
              <w:rPr>
                <w:rFonts w:hint="eastAsia"/>
                <w:b/>
                <w:bCs/>
                <w:color w:val="auto"/>
                <w:sz w:val="24"/>
                <w:szCs w:val="24"/>
                <w:highlight w:val="none"/>
                <w:lang w:val="en-US" w:eastAsia="zh-CN"/>
              </w:rPr>
              <w:t>4</w:t>
            </w:r>
            <w:r>
              <w:rPr>
                <w:rFonts w:hint="default"/>
                <w:b/>
                <w:bCs/>
                <w:color w:val="auto"/>
                <w:sz w:val="24"/>
                <w:szCs w:val="24"/>
                <w:highlight w:val="none"/>
              </w:rPr>
              <w:t>、地下水环境质量现状</w:t>
            </w:r>
          </w:p>
          <w:p w14:paraId="7BDF281F">
            <w:pPr>
              <w:keepNext w:val="0"/>
              <w:keepLines w:val="0"/>
              <w:widowControl/>
              <w:suppressLineNumbers w:val="0"/>
              <w:spacing w:before="0" w:beforeAutospacing="0" w:after="0" w:afterAutospacing="0" w:line="360" w:lineRule="auto"/>
              <w:ind w:left="0" w:right="0" w:firstLine="480" w:firstLineChars="200"/>
              <w:jc w:val="left"/>
              <w:rPr>
                <w:rFonts w:hint="eastAsia"/>
                <w:color w:val="auto"/>
                <w:kern w:val="0"/>
                <w:sz w:val="24"/>
                <w:highlight w:val="none"/>
                <w:lang w:bidi="ar"/>
              </w:rPr>
            </w:pPr>
            <w:r>
              <w:rPr>
                <w:rFonts w:hint="default"/>
                <w:color w:val="auto"/>
                <w:kern w:val="0"/>
                <w:sz w:val="24"/>
                <w:highlight w:val="none"/>
                <w:lang w:bidi="ar"/>
              </w:rPr>
              <w:t>根据《建设项目环境影响报告表编制技术指南（污染影响类）（试行）》 中有关</w:t>
            </w:r>
            <w:r>
              <w:rPr>
                <w:rFonts w:hint="eastAsia"/>
                <w:color w:val="auto"/>
                <w:kern w:val="0"/>
                <w:sz w:val="24"/>
                <w:highlight w:val="none"/>
                <w:lang w:bidi="ar"/>
              </w:rPr>
              <w:t>地下水</w:t>
            </w:r>
            <w:r>
              <w:rPr>
                <w:rFonts w:hint="default"/>
                <w:color w:val="auto"/>
                <w:kern w:val="0"/>
                <w:sz w:val="24"/>
                <w:highlight w:val="none"/>
                <w:lang w:bidi="ar"/>
              </w:rPr>
              <w:t>环境质量现状调查的规定，</w:t>
            </w:r>
            <w:r>
              <w:rPr>
                <w:rFonts w:hint="eastAsia"/>
                <w:color w:val="auto"/>
                <w:kern w:val="0"/>
                <w:sz w:val="24"/>
                <w:highlight w:val="none"/>
                <w:lang w:bidi="ar"/>
              </w:rPr>
              <w:t>原则上不开展环境质量现状调查，建设项目存在地下水污染途径的，结合污染源、保护目标分布情况开展现状调查以留作背景值。本项目属于加油加气站项目，存在一定的地下水途径，因此本次评价</w:t>
            </w:r>
            <w:r>
              <w:rPr>
                <w:rFonts w:hint="default"/>
                <w:color w:val="auto"/>
                <w:kern w:val="0"/>
                <w:sz w:val="24"/>
                <w:highlight w:val="none"/>
                <w:lang w:bidi="ar"/>
              </w:rPr>
              <w:t>委托达州恒福环境监测服务有限公司于202</w:t>
            </w:r>
            <w:r>
              <w:rPr>
                <w:rFonts w:hint="eastAsia"/>
                <w:color w:val="auto"/>
                <w:kern w:val="0"/>
                <w:sz w:val="24"/>
                <w:highlight w:val="none"/>
                <w:lang w:val="en-US" w:eastAsia="zh-CN" w:bidi="ar"/>
              </w:rPr>
              <w:t>5</w:t>
            </w:r>
            <w:r>
              <w:rPr>
                <w:rFonts w:hint="default"/>
                <w:color w:val="auto"/>
                <w:kern w:val="0"/>
                <w:sz w:val="24"/>
                <w:highlight w:val="none"/>
                <w:lang w:bidi="ar"/>
              </w:rPr>
              <w:t>年</w:t>
            </w:r>
            <w:r>
              <w:rPr>
                <w:rFonts w:hint="eastAsia"/>
                <w:color w:val="auto"/>
                <w:kern w:val="0"/>
                <w:sz w:val="24"/>
                <w:highlight w:val="none"/>
                <w:lang w:val="en-US" w:eastAsia="zh-CN" w:bidi="ar"/>
              </w:rPr>
              <w:t>5</w:t>
            </w:r>
            <w:r>
              <w:rPr>
                <w:rFonts w:hint="default"/>
                <w:color w:val="auto"/>
                <w:kern w:val="0"/>
                <w:sz w:val="24"/>
                <w:highlight w:val="none"/>
                <w:lang w:bidi="ar"/>
              </w:rPr>
              <w:t>月</w:t>
            </w:r>
            <w:r>
              <w:rPr>
                <w:rFonts w:hint="eastAsia"/>
                <w:color w:val="auto"/>
                <w:kern w:val="0"/>
                <w:sz w:val="24"/>
                <w:highlight w:val="none"/>
                <w:lang w:val="en-US" w:eastAsia="zh-CN" w:bidi="ar"/>
              </w:rPr>
              <w:t>26</w:t>
            </w:r>
            <w:r>
              <w:rPr>
                <w:rFonts w:hint="default"/>
                <w:color w:val="auto"/>
                <w:kern w:val="0"/>
                <w:sz w:val="24"/>
                <w:highlight w:val="none"/>
                <w:lang w:bidi="ar"/>
              </w:rPr>
              <w:t>日</w:t>
            </w:r>
            <w:r>
              <w:rPr>
                <w:rFonts w:hint="eastAsia"/>
                <w:color w:val="auto"/>
                <w:kern w:val="0"/>
                <w:sz w:val="24"/>
                <w:highlight w:val="none"/>
                <w:lang w:eastAsia="zh-CN" w:bidi="ar"/>
              </w:rPr>
              <w:t>—</w:t>
            </w:r>
            <w:r>
              <w:rPr>
                <w:rFonts w:hint="eastAsia"/>
                <w:color w:val="auto"/>
                <w:kern w:val="0"/>
                <w:sz w:val="24"/>
                <w:highlight w:val="none"/>
                <w:lang w:val="en-US" w:eastAsia="zh-CN" w:bidi="ar"/>
              </w:rPr>
              <w:t>27日</w:t>
            </w:r>
            <w:r>
              <w:rPr>
                <w:rFonts w:hint="default"/>
                <w:color w:val="auto"/>
                <w:kern w:val="0"/>
                <w:sz w:val="24"/>
                <w:highlight w:val="none"/>
                <w:lang w:bidi="ar"/>
              </w:rPr>
              <w:t>对项目区地下水环境质量进行了现状监测</w:t>
            </w:r>
            <w:r>
              <w:rPr>
                <w:rFonts w:hint="eastAsia"/>
                <w:color w:val="auto"/>
                <w:kern w:val="0"/>
                <w:sz w:val="24"/>
                <w:highlight w:val="none"/>
                <w:lang w:bidi="ar"/>
              </w:rPr>
              <w:t>以留作背景值。</w:t>
            </w:r>
          </w:p>
          <w:p w14:paraId="5BC4055B">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lang w:val="en-US" w:eastAsia="zh-CN"/>
              </w:rPr>
              <w:t>①</w:t>
            </w:r>
            <w:r>
              <w:rPr>
                <w:rFonts w:hint="default"/>
                <w:b/>
                <w:bCs/>
                <w:color w:val="auto"/>
                <w:sz w:val="24"/>
                <w:highlight w:val="none"/>
              </w:rPr>
              <w:t>监测点设置</w:t>
            </w:r>
          </w:p>
          <w:p w14:paraId="54F14996">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在项目区共设置</w:t>
            </w:r>
            <w:r>
              <w:rPr>
                <w:rFonts w:hint="eastAsia"/>
                <w:color w:val="auto"/>
                <w:sz w:val="24"/>
                <w:highlight w:val="none"/>
              </w:rPr>
              <w:t>1</w:t>
            </w:r>
            <w:r>
              <w:rPr>
                <w:rFonts w:hint="default"/>
                <w:color w:val="auto"/>
                <w:sz w:val="24"/>
                <w:highlight w:val="none"/>
              </w:rPr>
              <w:t>个地下水监测点位，具体监测点位如下表3-</w:t>
            </w:r>
            <w:r>
              <w:rPr>
                <w:rFonts w:hint="eastAsia"/>
                <w:color w:val="auto"/>
                <w:sz w:val="24"/>
                <w:highlight w:val="none"/>
                <w:lang w:val="en-US" w:eastAsia="zh-CN"/>
              </w:rPr>
              <w:t>6</w:t>
            </w:r>
            <w:r>
              <w:rPr>
                <w:rFonts w:hint="default"/>
                <w:color w:val="auto"/>
                <w:sz w:val="24"/>
                <w:highlight w:val="none"/>
              </w:rPr>
              <w:t>所示：</w:t>
            </w:r>
          </w:p>
          <w:p w14:paraId="7140813C">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rPr>
            </w:pPr>
            <w:r>
              <w:rPr>
                <w:rFonts w:hint="default" w:ascii="Times New Roman" w:hAnsi="Times New Roman" w:eastAsia="黑体" w:cs="Times New Roman"/>
                <w:b/>
                <w:bCs/>
                <w:color w:val="auto"/>
                <w:kern w:val="0"/>
                <w:sz w:val="20"/>
                <w:szCs w:val="20"/>
                <w:highlight w:val="none"/>
                <w:lang w:val="en-US" w:eastAsia="zh-CN"/>
              </w:rPr>
              <w:t>表3-</w:t>
            </w:r>
            <w:r>
              <w:rPr>
                <w:rFonts w:hint="eastAsia" w:eastAsia="黑体" w:cs="Times New Roman"/>
                <w:b/>
                <w:bCs/>
                <w:color w:val="auto"/>
                <w:kern w:val="0"/>
                <w:sz w:val="20"/>
                <w:szCs w:val="20"/>
                <w:highlight w:val="none"/>
                <w:lang w:val="en-US" w:eastAsia="zh-CN"/>
              </w:rPr>
              <w:t>6</w:t>
            </w:r>
            <w:r>
              <w:rPr>
                <w:rFonts w:hint="default" w:ascii="Times New Roman" w:hAnsi="Times New Roman" w:eastAsia="黑体" w:cs="Times New Roman"/>
                <w:b/>
                <w:bCs/>
                <w:color w:val="auto"/>
                <w:kern w:val="0"/>
                <w:sz w:val="20"/>
                <w:szCs w:val="20"/>
                <w:highlight w:val="none"/>
                <w:lang w:val="en-US" w:eastAsia="zh-CN"/>
              </w:rPr>
              <w:t>地下水监测点位</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1535"/>
              <w:gridCol w:w="3532"/>
              <w:gridCol w:w="3532"/>
            </w:tblGrid>
            <w:tr w14:paraId="7C2E4114">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426" w:hRule="atLeast"/>
                <w:jc w:val="center"/>
              </w:trPr>
              <w:tc>
                <w:tcPr>
                  <w:tcW w:w="893" w:type="pct"/>
                  <w:tcBorders>
                    <w:tl2br w:val="nil"/>
                    <w:tr2bl w:val="nil"/>
                  </w:tcBorders>
                  <w:noWrap w:val="0"/>
                  <w:vAlign w:val="center"/>
                </w:tcPr>
                <w:p w14:paraId="6A80268F">
                  <w:pPr>
                    <w:keepNext w:val="0"/>
                    <w:keepLines w:val="0"/>
                    <w:suppressLineNumbers w:val="0"/>
                    <w:adjustRightInd w:val="0"/>
                    <w:snapToGrid w:val="0"/>
                    <w:spacing w:before="0" w:beforeAutospacing="0" w:after="0" w:afterAutospacing="0" w:line="276" w:lineRule="auto"/>
                    <w:ind w:left="0" w:right="0"/>
                    <w:jc w:val="center"/>
                    <w:rPr>
                      <w:rFonts w:hint="default"/>
                      <w:b/>
                      <w:color w:val="auto"/>
                      <w:sz w:val="21"/>
                      <w:szCs w:val="21"/>
                      <w:highlight w:val="none"/>
                    </w:rPr>
                  </w:pPr>
                  <w:r>
                    <w:rPr>
                      <w:rFonts w:hint="default"/>
                      <w:b/>
                      <w:color w:val="auto"/>
                      <w:sz w:val="21"/>
                      <w:szCs w:val="21"/>
                      <w:highlight w:val="none"/>
                    </w:rPr>
                    <w:t>监测点位编号</w:t>
                  </w:r>
                </w:p>
              </w:tc>
              <w:tc>
                <w:tcPr>
                  <w:tcW w:w="2053" w:type="pct"/>
                  <w:tcBorders>
                    <w:tl2br w:val="nil"/>
                    <w:tr2bl w:val="nil"/>
                  </w:tcBorders>
                  <w:noWrap w:val="0"/>
                  <w:vAlign w:val="center"/>
                </w:tcPr>
                <w:p w14:paraId="434AEB85">
                  <w:pPr>
                    <w:keepNext w:val="0"/>
                    <w:keepLines w:val="0"/>
                    <w:suppressLineNumbers w:val="0"/>
                    <w:adjustRightInd w:val="0"/>
                    <w:snapToGrid w:val="0"/>
                    <w:spacing w:before="0" w:beforeAutospacing="0" w:after="0" w:afterAutospacing="0" w:line="276" w:lineRule="auto"/>
                    <w:ind w:left="0" w:right="0"/>
                    <w:jc w:val="center"/>
                    <w:rPr>
                      <w:rFonts w:hint="default"/>
                      <w:b/>
                      <w:color w:val="auto"/>
                      <w:sz w:val="21"/>
                      <w:szCs w:val="21"/>
                      <w:highlight w:val="none"/>
                    </w:rPr>
                  </w:pPr>
                  <w:r>
                    <w:rPr>
                      <w:rFonts w:hint="default"/>
                      <w:b/>
                      <w:color w:val="auto"/>
                      <w:sz w:val="21"/>
                      <w:szCs w:val="21"/>
                      <w:highlight w:val="none"/>
                    </w:rPr>
                    <w:t>监测点位置</w:t>
                  </w:r>
                </w:p>
              </w:tc>
              <w:tc>
                <w:tcPr>
                  <w:tcW w:w="2053" w:type="pct"/>
                  <w:tcBorders>
                    <w:tl2br w:val="nil"/>
                    <w:tr2bl w:val="nil"/>
                  </w:tcBorders>
                  <w:noWrap w:val="0"/>
                  <w:vAlign w:val="center"/>
                </w:tcPr>
                <w:p w14:paraId="23F6A16B">
                  <w:pPr>
                    <w:keepNext w:val="0"/>
                    <w:keepLines w:val="0"/>
                    <w:suppressLineNumbers w:val="0"/>
                    <w:adjustRightInd w:val="0"/>
                    <w:snapToGrid w:val="0"/>
                    <w:spacing w:before="0" w:beforeAutospacing="0" w:after="0" w:afterAutospacing="0" w:line="276" w:lineRule="auto"/>
                    <w:ind w:left="0" w:right="0"/>
                    <w:jc w:val="center"/>
                    <w:rPr>
                      <w:rFonts w:hint="default"/>
                      <w:b/>
                      <w:color w:val="auto"/>
                      <w:sz w:val="21"/>
                      <w:szCs w:val="21"/>
                      <w:highlight w:val="none"/>
                    </w:rPr>
                  </w:pPr>
                  <w:r>
                    <w:rPr>
                      <w:rFonts w:hint="eastAsia"/>
                      <w:b/>
                      <w:color w:val="auto"/>
                      <w:sz w:val="21"/>
                      <w:szCs w:val="21"/>
                      <w:highlight w:val="none"/>
                    </w:rPr>
                    <w:t>备注</w:t>
                  </w:r>
                </w:p>
              </w:tc>
            </w:tr>
            <w:tr w14:paraId="7954BFA7">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426" w:hRule="atLeast"/>
                <w:jc w:val="center"/>
              </w:trPr>
              <w:tc>
                <w:tcPr>
                  <w:tcW w:w="893" w:type="pct"/>
                  <w:tcBorders>
                    <w:tl2br w:val="nil"/>
                    <w:tr2bl w:val="nil"/>
                  </w:tcBorders>
                  <w:noWrap w:val="0"/>
                  <w:vAlign w:val="center"/>
                </w:tcPr>
                <w:p w14:paraId="2491CF75">
                  <w:pPr>
                    <w:keepNext w:val="0"/>
                    <w:keepLines w:val="0"/>
                    <w:widowControl/>
                    <w:suppressLineNumbers w:val="0"/>
                    <w:spacing w:before="0" w:beforeAutospacing="0" w:after="0" w:afterAutospacing="0" w:line="276" w:lineRule="auto"/>
                    <w:ind w:left="0" w:right="0"/>
                    <w:jc w:val="center"/>
                    <w:rPr>
                      <w:rFonts w:hint="default"/>
                      <w:bCs/>
                      <w:color w:val="auto"/>
                      <w:kern w:val="0"/>
                      <w:sz w:val="21"/>
                      <w:szCs w:val="21"/>
                      <w:highlight w:val="none"/>
                      <w:lang w:val="en-US" w:eastAsia="zh-CN"/>
                    </w:rPr>
                  </w:pPr>
                  <w:r>
                    <w:rPr>
                      <w:rFonts w:hint="eastAsia"/>
                      <w:bCs/>
                      <w:color w:val="auto"/>
                      <w:kern w:val="0"/>
                      <w:sz w:val="21"/>
                      <w:szCs w:val="21"/>
                      <w:highlight w:val="none"/>
                      <w:lang w:val="en-US" w:eastAsia="zh-CN"/>
                    </w:rPr>
                    <w:t>W1</w:t>
                  </w:r>
                </w:p>
              </w:tc>
              <w:tc>
                <w:tcPr>
                  <w:tcW w:w="2053" w:type="pct"/>
                  <w:tcBorders>
                    <w:tl2br w:val="nil"/>
                    <w:tr2bl w:val="nil"/>
                  </w:tcBorders>
                  <w:noWrap w:val="0"/>
                  <w:vAlign w:val="center"/>
                </w:tcPr>
                <w:p w14:paraId="0481823C">
                  <w:pPr>
                    <w:keepNext w:val="0"/>
                    <w:keepLines w:val="0"/>
                    <w:suppressLineNumbers w:val="0"/>
                    <w:spacing w:before="0" w:beforeAutospacing="0" w:after="0" w:afterAutospacing="0"/>
                    <w:ind w:left="0" w:right="0"/>
                    <w:jc w:val="center"/>
                    <w:rPr>
                      <w:rFonts w:hint="default"/>
                      <w:bCs/>
                      <w:color w:val="auto"/>
                      <w:sz w:val="21"/>
                      <w:szCs w:val="21"/>
                      <w:highlight w:val="none"/>
                    </w:rPr>
                  </w:pPr>
                  <w:r>
                    <w:rPr>
                      <w:rFonts w:hint="default"/>
                      <w:bCs/>
                      <w:color w:val="auto"/>
                      <w:sz w:val="21"/>
                      <w:szCs w:val="21"/>
                      <w:highlight w:val="none"/>
                    </w:rPr>
                    <w:t>项目周围居民现有水井</w:t>
                  </w:r>
                </w:p>
              </w:tc>
              <w:tc>
                <w:tcPr>
                  <w:tcW w:w="2053" w:type="pct"/>
                  <w:tcBorders>
                    <w:tl2br w:val="nil"/>
                    <w:tr2bl w:val="nil"/>
                  </w:tcBorders>
                  <w:noWrap w:val="0"/>
                  <w:vAlign w:val="center"/>
                </w:tcPr>
                <w:p w14:paraId="4062D943">
                  <w:pPr>
                    <w:keepNext w:val="0"/>
                    <w:keepLines w:val="0"/>
                    <w:suppressLineNumbers w:val="0"/>
                    <w:spacing w:before="0" w:beforeAutospacing="0" w:after="0" w:afterAutospacing="0"/>
                    <w:ind w:left="0" w:right="0"/>
                    <w:jc w:val="center"/>
                    <w:rPr>
                      <w:rFonts w:hint="default"/>
                      <w:bCs/>
                      <w:color w:val="auto"/>
                      <w:sz w:val="21"/>
                      <w:szCs w:val="21"/>
                      <w:highlight w:val="none"/>
                    </w:rPr>
                  </w:pPr>
                  <w:r>
                    <w:rPr>
                      <w:rFonts w:hint="eastAsia"/>
                      <w:bCs/>
                      <w:color w:val="auto"/>
                      <w:sz w:val="21"/>
                      <w:szCs w:val="21"/>
                      <w:highlight w:val="none"/>
                    </w:rPr>
                    <w:t>实地监测</w:t>
                  </w:r>
                </w:p>
              </w:tc>
            </w:tr>
          </w:tbl>
          <w:p w14:paraId="59B44109">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lang w:val="en-US" w:eastAsia="zh-CN"/>
              </w:rPr>
              <w:t>②</w:t>
            </w:r>
            <w:r>
              <w:rPr>
                <w:rFonts w:hint="default"/>
                <w:b/>
                <w:bCs/>
                <w:color w:val="auto"/>
                <w:sz w:val="24"/>
                <w:highlight w:val="none"/>
              </w:rPr>
              <w:t>、监测项目</w:t>
            </w:r>
          </w:p>
          <w:p w14:paraId="36C4210F">
            <w:pPr>
              <w:keepNext w:val="0"/>
              <w:keepLines w:val="0"/>
              <w:suppressLineNumbers w:val="0"/>
              <w:spacing w:before="0" w:beforeAutospacing="0" w:after="0" w:afterAutospacing="0" w:line="360" w:lineRule="auto"/>
              <w:ind w:left="0" w:right="0" w:firstLine="456" w:firstLineChars="200"/>
              <w:rPr>
                <w:rFonts w:hint="default"/>
                <w:color w:val="auto"/>
                <w:spacing w:val="-6"/>
                <w:sz w:val="24"/>
                <w:highlight w:val="none"/>
              </w:rPr>
            </w:pPr>
            <w:r>
              <w:rPr>
                <w:rFonts w:hint="eastAsia"/>
                <w:color w:val="auto"/>
                <w:spacing w:val="-6"/>
                <w:sz w:val="24"/>
                <w:highlight w:val="none"/>
              </w:rPr>
              <w:t>本次环评按照《</w:t>
            </w:r>
            <w:r>
              <w:rPr>
                <w:rFonts w:hint="default"/>
                <w:color w:val="auto"/>
                <w:spacing w:val="-6"/>
                <w:sz w:val="24"/>
                <w:highlight w:val="none"/>
              </w:rPr>
              <w:fldChar w:fldCharType="begin"/>
            </w:r>
            <w:r>
              <w:rPr>
                <w:rFonts w:hint="default"/>
                <w:color w:val="auto"/>
                <w:spacing w:val="-6"/>
                <w:sz w:val="24"/>
                <w:highlight w:val="none"/>
              </w:rPr>
              <w:instrText xml:space="preserve">HYPERLINK "https://www.mee.gov.cn/ywgz/fgbz/bz/bzwb/jcffbz/202012/W020201203608473632069.pdf"</w:instrText>
            </w:r>
            <w:r>
              <w:rPr>
                <w:rFonts w:hint="default"/>
                <w:color w:val="auto"/>
                <w:spacing w:val="-6"/>
                <w:sz w:val="24"/>
                <w:highlight w:val="none"/>
              </w:rPr>
              <w:fldChar w:fldCharType="separate"/>
            </w:r>
            <w:r>
              <w:rPr>
                <w:rFonts w:hint="eastAsia"/>
                <w:color w:val="auto"/>
                <w:spacing w:val="-6"/>
                <w:sz w:val="24"/>
                <w:highlight w:val="none"/>
              </w:rPr>
              <w:t>地下水环境监测技术规范</w:t>
            </w:r>
            <w:r>
              <w:rPr>
                <w:rFonts w:hint="default"/>
                <w:color w:val="auto"/>
                <w:spacing w:val="-6"/>
                <w:sz w:val="24"/>
                <w:highlight w:val="none"/>
              </w:rPr>
              <w:fldChar w:fldCharType="end"/>
            </w:r>
            <w:r>
              <w:rPr>
                <w:rFonts w:hint="eastAsia"/>
                <w:color w:val="auto"/>
                <w:spacing w:val="-6"/>
                <w:sz w:val="24"/>
                <w:highlight w:val="none"/>
              </w:rPr>
              <w:t>》（HJ 164-2020）表F</w:t>
            </w:r>
            <w:r>
              <w:rPr>
                <w:rFonts w:hint="default"/>
                <w:color w:val="auto"/>
                <w:spacing w:val="-6"/>
                <w:sz w:val="24"/>
                <w:highlight w:val="none"/>
              </w:rPr>
              <w:t>.1</w:t>
            </w:r>
            <w:r>
              <w:rPr>
                <w:rFonts w:hint="eastAsia"/>
                <w:color w:val="auto"/>
                <w:spacing w:val="-6"/>
                <w:sz w:val="24"/>
                <w:highlight w:val="none"/>
              </w:rPr>
              <w:t>中石油生产销售区的特征污染物监测以下因子：</w:t>
            </w:r>
          </w:p>
          <w:p w14:paraId="4F318B58">
            <w:pPr>
              <w:keepNext w:val="0"/>
              <w:keepLines w:val="0"/>
              <w:suppressLineNumbers w:val="0"/>
              <w:spacing w:before="0" w:beforeAutospacing="0" w:after="0" w:afterAutospacing="0" w:line="360" w:lineRule="auto"/>
              <w:ind w:left="0" w:right="0" w:firstLine="456" w:firstLineChars="200"/>
              <w:rPr>
                <w:rFonts w:hint="eastAsia"/>
                <w:color w:val="auto"/>
                <w:spacing w:val="-6"/>
                <w:sz w:val="24"/>
                <w:highlight w:val="none"/>
              </w:rPr>
            </w:pPr>
            <w:r>
              <w:rPr>
                <w:rFonts w:hint="default"/>
                <w:color w:val="auto"/>
                <w:spacing w:val="-6"/>
                <w:sz w:val="24"/>
                <w:highlight w:val="none"/>
              </w:rPr>
              <w:t>pH、硫酸盐、挥发性酚类、</w:t>
            </w:r>
            <w:r>
              <w:rPr>
                <w:rFonts w:hint="eastAsia"/>
                <w:color w:val="auto"/>
                <w:spacing w:val="-6"/>
                <w:sz w:val="24"/>
                <w:highlight w:val="none"/>
              </w:rPr>
              <w:t>耗氧量</w:t>
            </w:r>
            <w:r>
              <w:rPr>
                <w:rFonts w:hint="default"/>
                <w:color w:val="auto"/>
                <w:spacing w:val="-6"/>
                <w:sz w:val="24"/>
                <w:highlight w:val="none"/>
              </w:rPr>
              <w:t>、氨氮、硫化物、亚硝酸盐、硝酸盐、</w:t>
            </w:r>
            <w:r>
              <w:rPr>
                <w:rFonts w:hint="eastAsia"/>
                <w:color w:val="auto"/>
                <w:spacing w:val="-6"/>
                <w:sz w:val="24"/>
                <w:highlight w:val="none"/>
              </w:rPr>
              <w:t>总</w:t>
            </w:r>
            <w:r>
              <w:rPr>
                <w:rFonts w:hint="default"/>
                <w:color w:val="auto"/>
                <w:spacing w:val="-6"/>
                <w:sz w:val="24"/>
                <w:highlight w:val="none"/>
              </w:rPr>
              <w:t>氰化物、汞、砷、</w:t>
            </w:r>
            <w:r>
              <w:rPr>
                <w:rFonts w:hint="eastAsia"/>
                <w:color w:val="auto"/>
                <w:spacing w:val="-6"/>
                <w:sz w:val="24"/>
                <w:highlight w:val="none"/>
              </w:rPr>
              <w:t>镍</w:t>
            </w:r>
            <w:r>
              <w:rPr>
                <w:rFonts w:hint="default"/>
                <w:color w:val="auto"/>
                <w:spacing w:val="-6"/>
                <w:sz w:val="24"/>
                <w:highlight w:val="none"/>
              </w:rPr>
              <w:t>、铅、石油类、</w:t>
            </w:r>
            <w:r>
              <w:rPr>
                <w:rFonts w:hint="eastAsia"/>
                <w:color w:val="auto"/>
                <w:spacing w:val="-6"/>
                <w:sz w:val="24"/>
                <w:highlight w:val="none"/>
              </w:rPr>
              <w:t>苯、甲苯、乙苯、</w:t>
            </w:r>
            <w:r>
              <w:rPr>
                <w:rFonts w:hint="default"/>
                <w:color w:val="auto"/>
                <w:spacing w:val="-6"/>
                <w:sz w:val="24"/>
                <w:highlight w:val="none"/>
              </w:rPr>
              <w:t>间,对二甲苯、邻二甲苯</w:t>
            </w:r>
            <w:r>
              <w:rPr>
                <w:rFonts w:hint="eastAsia"/>
                <w:color w:val="auto"/>
                <w:spacing w:val="-6"/>
                <w:sz w:val="24"/>
                <w:highlight w:val="none"/>
              </w:rPr>
              <w:t>、苯并[</w:t>
            </w:r>
            <w:r>
              <w:rPr>
                <w:rFonts w:hint="default"/>
                <w:color w:val="auto"/>
                <w:spacing w:val="-6"/>
                <w:sz w:val="24"/>
                <w:highlight w:val="none"/>
              </w:rPr>
              <w:t>a]</w:t>
            </w:r>
            <w:r>
              <w:rPr>
                <w:rFonts w:hint="eastAsia"/>
                <w:color w:val="auto"/>
                <w:spacing w:val="-6"/>
                <w:sz w:val="24"/>
                <w:highlight w:val="none"/>
              </w:rPr>
              <w:t>芘、石油烃（C</w:t>
            </w:r>
            <w:r>
              <w:rPr>
                <w:rFonts w:hint="default"/>
                <w:color w:val="auto"/>
                <w:spacing w:val="-6"/>
                <w:sz w:val="24"/>
                <w:highlight w:val="none"/>
              </w:rPr>
              <w:t>6</w:t>
            </w:r>
            <w:r>
              <w:rPr>
                <w:rFonts w:hint="eastAsia"/>
                <w:color w:val="auto"/>
                <w:spacing w:val="-6"/>
                <w:sz w:val="24"/>
                <w:highlight w:val="none"/>
              </w:rPr>
              <w:t>-</w:t>
            </w:r>
            <w:r>
              <w:rPr>
                <w:rFonts w:hint="default"/>
                <w:color w:val="auto"/>
                <w:spacing w:val="-6"/>
                <w:sz w:val="24"/>
                <w:highlight w:val="none"/>
              </w:rPr>
              <w:t>C9</w:t>
            </w:r>
            <w:r>
              <w:rPr>
                <w:rFonts w:hint="eastAsia"/>
                <w:color w:val="auto"/>
                <w:spacing w:val="-6"/>
                <w:sz w:val="24"/>
                <w:highlight w:val="none"/>
              </w:rPr>
              <w:t>）*、</w:t>
            </w:r>
            <w:r>
              <w:rPr>
                <w:rFonts w:hint="default"/>
                <w:color w:val="auto"/>
                <w:spacing w:val="-6"/>
                <w:sz w:val="24"/>
                <w:highlight w:val="none"/>
              </w:rPr>
              <w:t>石油烃（C10-C40）</w:t>
            </w:r>
            <w:r>
              <w:rPr>
                <w:rFonts w:hint="eastAsia"/>
                <w:color w:val="auto"/>
                <w:spacing w:val="-6"/>
                <w:sz w:val="24"/>
                <w:highlight w:val="none"/>
              </w:rPr>
              <w:t>*、甲基叔丁基醚*，共23项。</w:t>
            </w:r>
          </w:p>
          <w:p w14:paraId="701379D6">
            <w:pPr>
              <w:pStyle w:val="57"/>
              <w:keepNext w:val="0"/>
              <w:keepLines w:val="0"/>
              <w:suppressLineNumbers w:val="0"/>
              <w:spacing w:before="0" w:beforeAutospacing="0" w:after="0" w:afterAutospacing="0"/>
              <w:ind w:left="0" w:right="0" w:firstLine="482"/>
              <w:rPr>
                <w:rFonts w:hint="default"/>
                <w:b/>
                <w:bCs/>
                <w:color w:val="auto"/>
                <w:szCs w:val="24"/>
                <w:highlight w:val="none"/>
              </w:rPr>
            </w:pPr>
            <w:r>
              <w:rPr>
                <w:rFonts w:hint="eastAsia"/>
                <w:b/>
                <w:bCs/>
                <w:color w:val="auto"/>
                <w:szCs w:val="24"/>
                <w:highlight w:val="none"/>
                <w:lang w:val="en-US" w:eastAsia="zh-CN"/>
              </w:rPr>
              <w:t>③</w:t>
            </w:r>
            <w:r>
              <w:rPr>
                <w:rFonts w:hint="default"/>
                <w:b/>
                <w:bCs/>
                <w:color w:val="auto"/>
                <w:szCs w:val="24"/>
                <w:highlight w:val="none"/>
              </w:rPr>
              <w:t>、监测时间、频率</w:t>
            </w:r>
            <w:r>
              <w:rPr>
                <w:rFonts w:hint="eastAsia"/>
                <w:b/>
                <w:bCs/>
                <w:color w:val="auto"/>
                <w:szCs w:val="24"/>
                <w:highlight w:val="none"/>
              </w:rPr>
              <w:t>及方法</w:t>
            </w:r>
          </w:p>
          <w:p w14:paraId="64FC9872">
            <w:pPr>
              <w:pStyle w:val="57"/>
              <w:keepNext w:val="0"/>
              <w:keepLines w:val="0"/>
              <w:suppressLineNumbers w:val="0"/>
              <w:spacing w:before="0" w:beforeAutospacing="0" w:after="0" w:afterAutospacing="0"/>
              <w:ind w:left="0" w:right="0" w:firstLine="480"/>
              <w:rPr>
                <w:rFonts w:hint="default"/>
                <w:color w:val="auto"/>
                <w:szCs w:val="24"/>
                <w:highlight w:val="none"/>
              </w:rPr>
            </w:pPr>
            <w:r>
              <w:rPr>
                <w:rFonts w:hint="default"/>
                <w:color w:val="auto"/>
                <w:szCs w:val="24"/>
                <w:highlight w:val="none"/>
              </w:rPr>
              <w:t>达州恒福环境监测服务有限公司于202</w:t>
            </w:r>
            <w:r>
              <w:rPr>
                <w:rFonts w:hint="eastAsia"/>
                <w:color w:val="auto"/>
                <w:szCs w:val="24"/>
                <w:highlight w:val="none"/>
                <w:lang w:val="en-US" w:eastAsia="zh-CN"/>
              </w:rPr>
              <w:t>5</w:t>
            </w:r>
            <w:r>
              <w:rPr>
                <w:rFonts w:hint="default"/>
                <w:color w:val="auto"/>
                <w:szCs w:val="24"/>
                <w:highlight w:val="none"/>
              </w:rPr>
              <w:t>年</w:t>
            </w:r>
            <w:r>
              <w:rPr>
                <w:rFonts w:hint="eastAsia"/>
                <w:color w:val="auto"/>
                <w:szCs w:val="24"/>
                <w:highlight w:val="none"/>
                <w:lang w:val="en-US" w:eastAsia="zh-CN"/>
              </w:rPr>
              <w:t>5</w:t>
            </w:r>
            <w:r>
              <w:rPr>
                <w:rFonts w:hint="default"/>
                <w:color w:val="auto"/>
                <w:szCs w:val="24"/>
                <w:highlight w:val="none"/>
              </w:rPr>
              <w:t>月</w:t>
            </w:r>
            <w:r>
              <w:rPr>
                <w:rFonts w:hint="eastAsia"/>
                <w:color w:val="auto"/>
                <w:szCs w:val="24"/>
                <w:highlight w:val="none"/>
                <w:lang w:val="en-US" w:eastAsia="zh-CN"/>
              </w:rPr>
              <w:t>26</w:t>
            </w:r>
            <w:r>
              <w:rPr>
                <w:rFonts w:hint="default"/>
                <w:color w:val="auto"/>
                <w:szCs w:val="24"/>
                <w:highlight w:val="none"/>
              </w:rPr>
              <w:t>日</w:t>
            </w:r>
            <w:r>
              <w:rPr>
                <w:rFonts w:hint="eastAsia"/>
                <w:color w:val="auto"/>
                <w:szCs w:val="24"/>
                <w:highlight w:val="none"/>
                <w:lang w:eastAsia="zh-CN"/>
              </w:rPr>
              <w:t>—</w:t>
            </w:r>
            <w:r>
              <w:rPr>
                <w:rFonts w:hint="eastAsia"/>
                <w:color w:val="auto"/>
                <w:szCs w:val="24"/>
                <w:highlight w:val="none"/>
                <w:lang w:val="en-US" w:eastAsia="zh-CN"/>
              </w:rPr>
              <w:t>27日</w:t>
            </w:r>
            <w:r>
              <w:rPr>
                <w:rFonts w:hint="eastAsia"/>
                <w:color w:val="auto"/>
                <w:szCs w:val="24"/>
                <w:highlight w:val="none"/>
              </w:rPr>
              <w:t>在</w:t>
            </w:r>
            <w:r>
              <w:rPr>
                <w:rFonts w:hint="default"/>
                <w:color w:val="auto"/>
                <w:szCs w:val="24"/>
                <w:highlight w:val="none"/>
              </w:rPr>
              <w:t>项目</w:t>
            </w:r>
            <w:r>
              <w:rPr>
                <w:rFonts w:hint="eastAsia"/>
                <w:color w:val="auto"/>
                <w:szCs w:val="24"/>
                <w:highlight w:val="none"/>
              </w:rPr>
              <w:t>厂区内</w:t>
            </w:r>
            <w:r>
              <w:rPr>
                <w:rFonts w:hint="default"/>
                <w:color w:val="auto"/>
                <w:szCs w:val="24"/>
                <w:highlight w:val="none"/>
              </w:rPr>
              <w:t>进行了监测，监测</w:t>
            </w:r>
            <w:r>
              <w:rPr>
                <w:rFonts w:hint="eastAsia"/>
                <w:color w:val="auto"/>
                <w:szCs w:val="24"/>
                <w:highlight w:val="none"/>
                <w:lang w:val="en-US" w:eastAsia="zh-CN"/>
              </w:rPr>
              <w:t>2</w:t>
            </w:r>
            <w:r>
              <w:rPr>
                <w:rFonts w:hint="default"/>
                <w:color w:val="auto"/>
                <w:szCs w:val="24"/>
                <w:highlight w:val="none"/>
              </w:rPr>
              <w:t>天，每天监测一次。监测分析方法见表3-</w:t>
            </w:r>
            <w:r>
              <w:rPr>
                <w:rFonts w:hint="eastAsia"/>
                <w:color w:val="auto"/>
                <w:szCs w:val="24"/>
                <w:highlight w:val="none"/>
                <w:lang w:val="en-US" w:eastAsia="zh-CN"/>
              </w:rPr>
              <w:t>7</w:t>
            </w:r>
            <w:r>
              <w:rPr>
                <w:rFonts w:hint="default"/>
                <w:color w:val="auto"/>
                <w:szCs w:val="24"/>
                <w:highlight w:val="none"/>
              </w:rPr>
              <w:t>。</w:t>
            </w:r>
          </w:p>
          <w:p w14:paraId="00C67439">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rPr>
            </w:pPr>
            <w:r>
              <w:rPr>
                <w:rFonts w:hint="default" w:ascii="Times New Roman" w:hAnsi="Times New Roman" w:eastAsia="黑体" w:cs="Times New Roman"/>
                <w:b/>
                <w:bCs/>
                <w:color w:val="auto"/>
                <w:kern w:val="0"/>
                <w:sz w:val="20"/>
                <w:szCs w:val="20"/>
                <w:highlight w:val="none"/>
                <w:lang w:val="en-US" w:eastAsia="zh-CN"/>
              </w:rPr>
              <w:t>表3-</w:t>
            </w:r>
            <w:r>
              <w:rPr>
                <w:rFonts w:hint="eastAsia" w:eastAsia="黑体" w:cs="Times New Roman"/>
                <w:b/>
                <w:bCs/>
                <w:color w:val="auto"/>
                <w:kern w:val="0"/>
                <w:sz w:val="20"/>
                <w:szCs w:val="20"/>
                <w:highlight w:val="none"/>
                <w:lang w:val="en-US" w:eastAsia="zh-CN"/>
              </w:rPr>
              <w:t>7</w:t>
            </w:r>
            <w:r>
              <w:rPr>
                <w:rFonts w:hint="eastAsia" w:ascii="Times New Roman" w:hAnsi="Times New Roman" w:eastAsia="黑体" w:cs="Times New Roman"/>
                <w:b/>
                <w:bCs/>
                <w:color w:val="auto"/>
                <w:kern w:val="0"/>
                <w:sz w:val="20"/>
                <w:szCs w:val="20"/>
                <w:highlight w:val="none"/>
                <w:lang w:val="en-US" w:eastAsia="zh-CN"/>
              </w:rPr>
              <w:t xml:space="preserve"> 地下水</w:t>
            </w:r>
            <w:r>
              <w:rPr>
                <w:rFonts w:hint="default" w:ascii="Times New Roman" w:hAnsi="Times New Roman" w:eastAsia="黑体" w:cs="Times New Roman"/>
                <w:b/>
                <w:bCs/>
                <w:color w:val="auto"/>
                <w:kern w:val="0"/>
                <w:sz w:val="20"/>
                <w:szCs w:val="20"/>
                <w:highlight w:val="none"/>
                <w:lang w:val="en-US" w:eastAsia="zh-CN"/>
              </w:rPr>
              <w:t>质量监测分析方法一览表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479"/>
              <w:gridCol w:w="2136"/>
              <w:gridCol w:w="1615"/>
              <w:gridCol w:w="2106"/>
              <w:gridCol w:w="1263"/>
            </w:tblGrid>
            <w:tr w14:paraId="43BC4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tcBorders>
                    <w:tl2br w:val="nil"/>
                    <w:tr2bl w:val="nil"/>
                  </w:tcBorders>
                  <w:noWrap w:val="0"/>
                  <w:vAlign w:val="center"/>
                </w:tcPr>
                <w:p w14:paraId="24BC62FC">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b/>
                      <w:color w:val="auto"/>
                      <w:sz w:val="21"/>
                      <w:szCs w:val="21"/>
                      <w:highlight w:val="none"/>
                    </w:rPr>
                    <w:t>检测因子</w:t>
                  </w:r>
                </w:p>
              </w:tc>
              <w:tc>
                <w:tcPr>
                  <w:tcW w:w="1242" w:type="pct"/>
                  <w:tcBorders>
                    <w:tl2br w:val="nil"/>
                    <w:tr2bl w:val="nil"/>
                  </w:tcBorders>
                  <w:noWrap w:val="0"/>
                  <w:vAlign w:val="center"/>
                </w:tcPr>
                <w:p w14:paraId="2533BF9A">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b/>
                      <w:color w:val="auto"/>
                      <w:sz w:val="21"/>
                      <w:szCs w:val="21"/>
                      <w:highlight w:val="none"/>
                    </w:rPr>
                    <w:t>检测方法</w:t>
                  </w:r>
                </w:p>
              </w:tc>
              <w:tc>
                <w:tcPr>
                  <w:tcW w:w="939" w:type="pct"/>
                  <w:tcBorders>
                    <w:tl2br w:val="nil"/>
                    <w:tr2bl w:val="nil"/>
                  </w:tcBorders>
                  <w:noWrap w:val="0"/>
                  <w:vAlign w:val="center"/>
                </w:tcPr>
                <w:p w14:paraId="6E192107">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b/>
                      <w:color w:val="auto"/>
                      <w:sz w:val="21"/>
                      <w:szCs w:val="21"/>
                      <w:highlight w:val="none"/>
                    </w:rPr>
                    <w:t>方法来源</w:t>
                  </w:r>
                </w:p>
              </w:tc>
              <w:tc>
                <w:tcPr>
                  <w:tcW w:w="1224" w:type="pct"/>
                  <w:tcBorders>
                    <w:tl2br w:val="nil"/>
                    <w:tr2bl w:val="nil"/>
                  </w:tcBorders>
                  <w:noWrap w:val="0"/>
                  <w:vAlign w:val="center"/>
                </w:tcPr>
                <w:p w14:paraId="1DA2FE35">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b/>
                      <w:color w:val="auto"/>
                      <w:sz w:val="21"/>
                      <w:szCs w:val="21"/>
                      <w:highlight w:val="none"/>
                    </w:rPr>
                    <w:t>使用仪器及编号</w:t>
                  </w:r>
                </w:p>
              </w:tc>
              <w:tc>
                <w:tcPr>
                  <w:tcW w:w="734" w:type="pct"/>
                  <w:tcBorders>
                    <w:tl2br w:val="nil"/>
                    <w:tr2bl w:val="nil"/>
                  </w:tcBorders>
                  <w:noWrap w:val="0"/>
                  <w:vAlign w:val="center"/>
                </w:tcPr>
                <w:p w14:paraId="650E1461">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b/>
                      <w:color w:val="auto"/>
                      <w:sz w:val="21"/>
                      <w:szCs w:val="21"/>
                      <w:highlight w:val="none"/>
                    </w:rPr>
                    <w:t>检出限</w:t>
                  </w:r>
                </w:p>
              </w:tc>
            </w:tr>
            <w:tr w14:paraId="0B047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tcBorders>
                    <w:tl2br w:val="nil"/>
                    <w:tr2bl w:val="nil"/>
                  </w:tcBorders>
                  <w:noWrap w:val="0"/>
                  <w:vAlign w:val="center"/>
                </w:tcPr>
                <w:p w14:paraId="1F0CDCE9">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pH（无量纲）</w:t>
                  </w:r>
                </w:p>
              </w:tc>
              <w:tc>
                <w:tcPr>
                  <w:tcW w:w="1242" w:type="pct"/>
                  <w:tcBorders>
                    <w:tl2br w:val="nil"/>
                    <w:tr2bl w:val="nil"/>
                  </w:tcBorders>
                  <w:noWrap w:val="0"/>
                  <w:vAlign w:val="center"/>
                </w:tcPr>
                <w:p w14:paraId="1F3F3B95">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kern w:val="0"/>
                      <w:sz w:val="21"/>
                      <w:szCs w:val="21"/>
                      <w:highlight w:val="none"/>
                    </w:rPr>
                    <w:t>水质 pH值的测定 电极法</w:t>
                  </w:r>
                </w:p>
              </w:tc>
              <w:tc>
                <w:tcPr>
                  <w:tcW w:w="939" w:type="pct"/>
                  <w:tcBorders>
                    <w:tl2br w:val="nil"/>
                    <w:tr2bl w:val="nil"/>
                  </w:tcBorders>
                  <w:noWrap w:val="0"/>
                  <w:vAlign w:val="center"/>
                </w:tcPr>
                <w:p w14:paraId="6F9A3974">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kern w:val="0"/>
                      <w:sz w:val="21"/>
                      <w:szCs w:val="21"/>
                      <w:highlight w:val="none"/>
                    </w:rPr>
                    <w:t>HJ 1147-2020</w:t>
                  </w:r>
                </w:p>
              </w:tc>
              <w:tc>
                <w:tcPr>
                  <w:tcW w:w="1224" w:type="pct"/>
                  <w:tcBorders>
                    <w:tl2br w:val="nil"/>
                    <w:tr2bl w:val="nil"/>
                  </w:tcBorders>
                  <w:noWrap w:val="0"/>
                  <w:vAlign w:val="center"/>
                </w:tcPr>
                <w:p w14:paraId="46B02FEA">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PHB-4型便携式</w:t>
                  </w:r>
                </w:p>
                <w:p w14:paraId="1F2D8F01">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酸度计</w:t>
                  </w:r>
                </w:p>
                <w:p w14:paraId="3D49A568">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kern w:val="0"/>
                      <w:sz w:val="21"/>
                      <w:szCs w:val="21"/>
                      <w:highlight w:val="none"/>
                    </w:rPr>
                    <w:t>（HFX-131）</w:t>
                  </w:r>
                </w:p>
              </w:tc>
              <w:tc>
                <w:tcPr>
                  <w:tcW w:w="734" w:type="pct"/>
                  <w:tcBorders>
                    <w:tl2br w:val="nil"/>
                    <w:tr2bl w:val="nil"/>
                  </w:tcBorders>
                  <w:noWrap w:val="0"/>
                  <w:vAlign w:val="center"/>
                </w:tcPr>
                <w:p w14:paraId="523D2F8F">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w:t>
                  </w:r>
                </w:p>
              </w:tc>
            </w:tr>
            <w:tr w14:paraId="21578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tcBorders>
                    <w:tl2br w:val="nil"/>
                    <w:tr2bl w:val="nil"/>
                  </w:tcBorders>
                  <w:noWrap w:val="0"/>
                  <w:vAlign w:val="center"/>
                </w:tcPr>
                <w:p w14:paraId="0F1A035E">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铅</w:t>
                  </w:r>
                </w:p>
              </w:tc>
              <w:tc>
                <w:tcPr>
                  <w:tcW w:w="1242" w:type="pct"/>
                  <w:tcBorders>
                    <w:tl2br w:val="nil"/>
                    <w:tr2bl w:val="nil"/>
                  </w:tcBorders>
                  <w:noWrap w:val="0"/>
                  <w:vAlign w:val="center"/>
                </w:tcPr>
                <w:p w14:paraId="12307DE1">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kern w:val="0"/>
                      <w:sz w:val="21"/>
                      <w:szCs w:val="21"/>
                      <w:highlight w:val="none"/>
                    </w:rPr>
                    <w:t>综合指标和无机污染物 石墨炉原子吸收法测定镉、铜和铅（B）</w:t>
                  </w:r>
                </w:p>
              </w:tc>
              <w:tc>
                <w:tcPr>
                  <w:tcW w:w="939" w:type="pct"/>
                  <w:tcBorders>
                    <w:tl2br w:val="nil"/>
                    <w:tr2bl w:val="nil"/>
                  </w:tcBorders>
                  <w:noWrap w:val="0"/>
                  <w:vAlign w:val="center"/>
                </w:tcPr>
                <w:p w14:paraId="36D5493D">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kern w:val="0"/>
                      <w:sz w:val="21"/>
                      <w:szCs w:val="21"/>
                      <w:highlight w:val="none"/>
                    </w:rPr>
                    <w:t>《水和废水监测分析方法》（第四版 增补版）国家环境保护总局（2002年）</w:t>
                  </w:r>
                </w:p>
              </w:tc>
              <w:tc>
                <w:tcPr>
                  <w:tcW w:w="1224" w:type="pct"/>
                  <w:tcBorders>
                    <w:tl2br w:val="nil"/>
                    <w:tr2bl w:val="nil"/>
                  </w:tcBorders>
                  <w:noWrap w:val="0"/>
                  <w:vAlign w:val="center"/>
                </w:tcPr>
                <w:p w14:paraId="1A63CE34">
                  <w:pPr>
                    <w:keepNext w:val="0"/>
                    <w:keepLines w:val="0"/>
                    <w:suppressLineNumbers w:val="0"/>
                    <w:tabs>
                      <w:tab w:val="left" w:pos="0"/>
                    </w:tabs>
                    <w:autoSpaceDN w:val="0"/>
                    <w:spacing w:before="0" w:beforeAutospacing="0" w:after="0" w:afterAutospacing="0"/>
                    <w:ind w:left="0" w:right="0"/>
                    <w:jc w:val="center"/>
                    <w:textAlignment w:val="center"/>
                    <w:rPr>
                      <w:rFonts w:hint="default"/>
                      <w:color w:val="auto"/>
                      <w:sz w:val="21"/>
                      <w:szCs w:val="21"/>
                      <w:highlight w:val="none"/>
                    </w:rPr>
                  </w:pPr>
                  <w:r>
                    <w:rPr>
                      <w:rFonts w:hint="default"/>
                      <w:color w:val="auto"/>
                      <w:sz w:val="21"/>
                      <w:szCs w:val="21"/>
                      <w:highlight w:val="none"/>
                    </w:rPr>
                    <w:t>PE600G型石墨炉原子吸收分光光度计</w:t>
                  </w:r>
                </w:p>
                <w:p w14:paraId="0F784E18">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kern w:val="0"/>
                      <w:sz w:val="21"/>
                      <w:szCs w:val="21"/>
                      <w:highlight w:val="none"/>
                    </w:rPr>
                    <w:t>（HFJ-047）</w:t>
                  </w:r>
                </w:p>
              </w:tc>
              <w:tc>
                <w:tcPr>
                  <w:tcW w:w="734" w:type="pct"/>
                  <w:tcBorders>
                    <w:tl2br w:val="nil"/>
                    <w:tr2bl w:val="nil"/>
                  </w:tcBorders>
                  <w:noWrap w:val="0"/>
                  <w:vAlign w:val="center"/>
                </w:tcPr>
                <w:p w14:paraId="0F0A6C92">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iCs/>
                      <w:color w:val="auto"/>
                      <w:sz w:val="21"/>
                      <w:szCs w:val="21"/>
                      <w:highlight w:val="none"/>
                    </w:rPr>
                    <w:t>0.001</w:t>
                  </w:r>
                  <w:r>
                    <w:rPr>
                      <w:rFonts w:hint="default" w:cs="Times New Roman"/>
                      <w:bCs/>
                      <w:color w:val="auto"/>
                      <w:sz w:val="21"/>
                      <w:szCs w:val="21"/>
                      <w:highlight w:val="none"/>
                    </w:rPr>
                    <w:t>mg/L</w:t>
                  </w:r>
                </w:p>
              </w:tc>
            </w:tr>
            <w:tr w14:paraId="79AF1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tcBorders>
                    <w:tl2br w:val="nil"/>
                    <w:tr2bl w:val="nil"/>
                  </w:tcBorders>
                  <w:noWrap w:val="0"/>
                  <w:vAlign w:val="center"/>
                </w:tcPr>
                <w:p w14:paraId="48E6D9A7">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耗氧量</w:t>
                  </w:r>
                </w:p>
              </w:tc>
              <w:tc>
                <w:tcPr>
                  <w:tcW w:w="1242" w:type="pct"/>
                  <w:tcBorders>
                    <w:tl2br w:val="nil"/>
                    <w:tr2bl w:val="nil"/>
                  </w:tcBorders>
                  <w:noWrap w:val="0"/>
                  <w:vAlign w:val="center"/>
                </w:tcPr>
                <w:p w14:paraId="28B841E4">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生活饮用水标准检验方法 有机物综合指标 酸性高锰酸钾滴定法</w:t>
                  </w:r>
                </w:p>
              </w:tc>
              <w:tc>
                <w:tcPr>
                  <w:tcW w:w="939" w:type="pct"/>
                  <w:tcBorders>
                    <w:tl2br w:val="nil"/>
                    <w:tr2bl w:val="nil"/>
                  </w:tcBorders>
                  <w:noWrap w:val="0"/>
                  <w:vAlign w:val="center"/>
                </w:tcPr>
                <w:p w14:paraId="68D3462D">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GB/T 5750.7-2006</w:t>
                  </w:r>
                </w:p>
              </w:tc>
              <w:tc>
                <w:tcPr>
                  <w:tcW w:w="1224" w:type="pct"/>
                  <w:tcBorders>
                    <w:tl2br w:val="nil"/>
                    <w:tr2bl w:val="nil"/>
                  </w:tcBorders>
                  <w:noWrap w:val="0"/>
                  <w:vAlign w:val="center"/>
                </w:tcPr>
                <w:p w14:paraId="777BDB00">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50mL酸式滴定管</w:t>
                  </w:r>
                </w:p>
              </w:tc>
              <w:tc>
                <w:tcPr>
                  <w:tcW w:w="734" w:type="pct"/>
                  <w:tcBorders>
                    <w:tl2br w:val="nil"/>
                    <w:tr2bl w:val="nil"/>
                  </w:tcBorders>
                  <w:noWrap w:val="0"/>
                  <w:vAlign w:val="center"/>
                </w:tcPr>
                <w:p w14:paraId="6A211BBC">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kern w:val="0"/>
                      <w:sz w:val="21"/>
                      <w:szCs w:val="21"/>
                      <w:highlight w:val="none"/>
                    </w:rPr>
                    <w:t>0.05</w:t>
                  </w:r>
                  <w:r>
                    <w:rPr>
                      <w:rFonts w:hint="default" w:cs="Times New Roman"/>
                      <w:bCs/>
                      <w:color w:val="auto"/>
                      <w:sz w:val="21"/>
                      <w:szCs w:val="21"/>
                      <w:highlight w:val="none"/>
                    </w:rPr>
                    <w:t>mg/L</w:t>
                  </w:r>
                </w:p>
              </w:tc>
            </w:tr>
            <w:tr w14:paraId="46F33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tcBorders>
                    <w:tl2br w:val="nil"/>
                    <w:tr2bl w:val="nil"/>
                  </w:tcBorders>
                  <w:noWrap w:val="0"/>
                  <w:vAlign w:val="center"/>
                </w:tcPr>
                <w:p w14:paraId="72D03746">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镍</w:t>
                  </w:r>
                </w:p>
              </w:tc>
              <w:tc>
                <w:tcPr>
                  <w:tcW w:w="1242" w:type="pct"/>
                  <w:tcBorders>
                    <w:tl2br w:val="nil"/>
                    <w:tr2bl w:val="nil"/>
                  </w:tcBorders>
                  <w:noWrap w:val="0"/>
                  <w:vAlign w:val="center"/>
                </w:tcPr>
                <w:p w14:paraId="6FCA923D">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水质32种元素的测定 电感耦合等离子体发射光谱法</w:t>
                  </w:r>
                </w:p>
              </w:tc>
              <w:tc>
                <w:tcPr>
                  <w:tcW w:w="939" w:type="pct"/>
                  <w:tcBorders>
                    <w:tl2br w:val="nil"/>
                    <w:tr2bl w:val="nil"/>
                  </w:tcBorders>
                  <w:noWrap w:val="0"/>
                  <w:vAlign w:val="center"/>
                </w:tcPr>
                <w:p w14:paraId="09324950">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snapToGrid w:val="0"/>
                      <w:color w:val="auto"/>
                      <w:sz w:val="21"/>
                      <w:szCs w:val="21"/>
                      <w:highlight w:val="none"/>
                    </w:rPr>
                    <w:t>HJ 776-2015</w:t>
                  </w:r>
                </w:p>
              </w:tc>
              <w:tc>
                <w:tcPr>
                  <w:tcW w:w="1224" w:type="pct"/>
                  <w:tcBorders>
                    <w:tl2br w:val="nil"/>
                    <w:tr2bl w:val="nil"/>
                  </w:tcBorders>
                  <w:noWrap w:val="0"/>
                  <w:vAlign w:val="center"/>
                </w:tcPr>
                <w:p w14:paraId="38F337C8">
                  <w:pPr>
                    <w:keepNext w:val="0"/>
                    <w:keepLines w:val="0"/>
                    <w:widowControl/>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ICP-900型电感耦合等离子体发射光谱仪</w:t>
                  </w:r>
                </w:p>
                <w:p w14:paraId="30816868">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snapToGrid w:val="0"/>
                      <w:color w:val="auto"/>
                      <w:kern w:val="0"/>
                      <w:sz w:val="21"/>
                      <w:szCs w:val="21"/>
                      <w:highlight w:val="none"/>
                    </w:rPr>
                    <w:t>（</w:t>
                  </w:r>
                  <w:r>
                    <w:rPr>
                      <w:rFonts w:hint="default" w:cs="Times New Roman"/>
                      <w:color w:val="auto"/>
                      <w:kern w:val="0"/>
                      <w:sz w:val="21"/>
                      <w:szCs w:val="21"/>
                      <w:highlight w:val="none"/>
                    </w:rPr>
                    <w:t>HFJ-026</w:t>
                  </w:r>
                  <w:r>
                    <w:rPr>
                      <w:rFonts w:hint="default" w:cs="Times New Roman"/>
                      <w:snapToGrid w:val="0"/>
                      <w:color w:val="auto"/>
                      <w:kern w:val="0"/>
                      <w:sz w:val="21"/>
                      <w:szCs w:val="21"/>
                      <w:highlight w:val="none"/>
                    </w:rPr>
                    <w:t>）</w:t>
                  </w:r>
                </w:p>
              </w:tc>
              <w:tc>
                <w:tcPr>
                  <w:tcW w:w="734" w:type="pct"/>
                  <w:tcBorders>
                    <w:tl2br w:val="nil"/>
                    <w:tr2bl w:val="nil"/>
                  </w:tcBorders>
                  <w:noWrap w:val="0"/>
                  <w:vAlign w:val="center"/>
                </w:tcPr>
                <w:p w14:paraId="52F38A18">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kern w:val="0"/>
                      <w:sz w:val="21"/>
                      <w:szCs w:val="21"/>
                      <w:highlight w:val="none"/>
                    </w:rPr>
                    <w:t>0.02</w:t>
                  </w:r>
                  <w:r>
                    <w:rPr>
                      <w:rFonts w:hint="default" w:cs="Times New Roman"/>
                      <w:bCs/>
                      <w:color w:val="auto"/>
                      <w:sz w:val="21"/>
                      <w:szCs w:val="21"/>
                      <w:highlight w:val="none"/>
                    </w:rPr>
                    <w:t>mg/L</w:t>
                  </w:r>
                </w:p>
              </w:tc>
            </w:tr>
            <w:tr w14:paraId="6809E0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tcBorders>
                    <w:tl2br w:val="nil"/>
                    <w:tr2bl w:val="nil"/>
                  </w:tcBorders>
                  <w:noWrap w:val="0"/>
                  <w:vAlign w:val="center"/>
                </w:tcPr>
                <w:p w14:paraId="3E4EF888">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硫酸盐</w:t>
                  </w:r>
                </w:p>
              </w:tc>
              <w:tc>
                <w:tcPr>
                  <w:tcW w:w="1242" w:type="pct"/>
                  <w:vMerge w:val="restart"/>
                  <w:tcBorders>
                    <w:tl2br w:val="nil"/>
                    <w:tr2bl w:val="nil"/>
                  </w:tcBorders>
                  <w:noWrap w:val="0"/>
                  <w:vAlign w:val="center"/>
                </w:tcPr>
                <w:p w14:paraId="6F6C7DE1">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水质 无机阴离子（F</w:t>
                  </w:r>
                  <w:r>
                    <w:rPr>
                      <w:rFonts w:hint="default" w:cs="Times New Roman"/>
                      <w:color w:val="auto"/>
                      <w:sz w:val="21"/>
                      <w:szCs w:val="21"/>
                      <w:highlight w:val="none"/>
                      <w:vertAlign w:val="superscript"/>
                    </w:rPr>
                    <w:t>-</w:t>
                  </w:r>
                  <w:r>
                    <w:rPr>
                      <w:rFonts w:hint="default" w:cs="Times New Roman"/>
                      <w:color w:val="auto"/>
                      <w:sz w:val="21"/>
                      <w:szCs w:val="21"/>
                      <w:highlight w:val="none"/>
                    </w:rPr>
                    <w:t>、Cl</w:t>
                  </w:r>
                  <w:r>
                    <w:rPr>
                      <w:rFonts w:hint="default" w:cs="Times New Roman"/>
                      <w:color w:val="auto"/>
                      <w:sz w:val="21"/>
                      <w:szCs w:val="21"/>
                      <w:highlight w:val="none"/>
                      <w:vertAlign w:val="superscript"/>
                    </w:rPr>
                    <w:t>-</w:t>
                  </w:r>
                  <w:r>
                    <w:rPr>
                      <w:rFonts w:hint="default" w:cs="Times New Roman"/>
                      <w:color w:val="auto"/>
                      <w:sz w:val="21"/>
                      <w:szCs w:val="21"/>
                      <w:highlight w:val="none"/>
                    </w:rPr>
                    <w:t>、NO</w:t>
                  </w:r>
                  <w:r>
                    <w:rPr>
                      <w:rFonts w:hint="default" w:cs="Times New Roman"/>
                      <w:color w:val="auto"/>
                      <w:sz w:val="21"/>
                      <w:szCs w:val="21"/>
                      <w:highlight w:val="none"/>
                      <w:vertAlign w:val="subscript"/>
                    </w:rPr>
                    <w:t>2</w:t>
                  </w:r>
                  <w:r>
                    <w:rPr>
                      <w:rFonts w:hint="default" w:cs="Times New Roman"/>
                      <w:color w:val="auto"/>
                      <w:sz w:val="21"/>
                      <w:szCs w:val="21"/>
                      <w:highlight w:val="none"/>
                      <w:vertAlign w:val="superscript"/>
                    </w:rPr>
                    <w:t>-</w:t>
                  </w:r>
                  <w:r>
                    <w:rPr>
                      <w:rFonts w:hint="default" w:cs="Times New Roman"/>
                      <w:color w:val="auto"/>
                      <w:sz w:val="21"/>
                      <w:szCs w:val="21"/>
                      <w:highlight w:val="none"/>
                    </w:rPr>
                    <w:t>、Br</w:t>
                  </w:r>
                  <w:r>
                    <w:rPr>
                      <w:rFonts w:hint="default" w:cs="Times New Roman"/>
                      <w:color w:val="auto"/>
                      <w:sz w:val="21"/>
                      <w:szCs w:val="21"/>
                      <w:highlight w:val="none"/>
                      <w:vertAlign w:val="superscript"/>
                    </w:rPr>
                    <w:t>-</w:t>
                  </w:r>
                  <w:r>
                    <w:rPr>
                      <w:rFonts w:hint="default" w:cs="Times New Roman"/>
                      <w:color w:val="auto"/>
                      <w:sz w:val="21"/>
                      <w:szCs w:val="21"/>
                      <w:highlight w:val="none"/>
                    </w:rPr>
                    <w:t>、NO</w:t>
                  </w:r>
                  <w:r>
                    <w:rPr>
                      <w:rFonts w:hint="default" w:cs="Times New Roman"/>
                      <w:color w:val="auto"/>
                      <w:sz w:val="21"/>
                      <w:szCs w:val="21"/>
                      <w:highlight w:val="none"/>
                      <w:vertAlign w:val="subscript"/>
                    </w:rPr>
                    <w:t>3</w:t>
                  </w:r>
                  <w:r>
                    <w:rPr>
                      <w:rFonts w:hint="default" w:cs="Times New Roman"/>
                      <w:color w:val="auto"/>
                      <w:sz w:val="21"/>
                      <w:szCs w:val="21"/>
                      <w:highlight w:val="none"/>
                      <w:vertAlign w:val="superscript"/>
                    </w:rPr>
                    <w:t>-</w:t>
                  </w:r>
                  <w:r>
                    <w:rPr>
                      <w:rFonts w:hint="default" w:cs="Times New Roman"/>
                      <w:color w:val="auto"/>
                      <w:sz w:val="21"/>
                      <w:szCs w:val="21"/>
                      <w:highlight w:val="none"/>
                    </w:rPr>
                    <w:t>、PO</w:t>
                  </w:r>
                  <w:r>
                    <w:rPr>
                      <w:rFonts w:hint="default" w:cs="Times New Roman"/>
                      <w:color w:val="auto"/>
                      <w:sz w:val="21"/>
                      <w:szCs w:val="21"/>
                      <w:highlight w:val="none"/>
                      <w:vertAlign w:val="subscript"/>
                    </w:rPr>
                    <w:t>4</w:t>
                  </w:r>
                  <w:r>
                    <w:rPr>
                      <w:rFonts w:hint="default" w:cs="Times New Roman"/>
                      <w:color w:val="auto"/>
                      <w:sz w:val="21"/>
                      <w:szCs w:val="21"/>
                      <w:highlight w:val="none"/>
                      <w:vertAlign w:val="superscript"/>
                    </w:rPr>
                    <w:t>3-</w:t>
                  </w:r>
                  <w:r>
                    <w:rPr>
                      <w:rFonts w:hint="default" w:cs="Times New Roman"/>
                      <w:color w:val="auto"/>
                      <w:sz w:val="21"/>
                      <w:szCs w:val="21"/>
                      <w:highlight w:val="none"/>
                    </w:rPr>
                    <w:t>、SO</w:t>
                  </w:r>
                  <w:r>
                    <w:rPr>
                      <w:rFonts w:hint="default" w:cs="Times New Roman"/>
                      <w:color w:val="auto"/>
                      <w:sz w:val="21"/>
                      <w:szCs w:val="21"/>
                      <w:highlight w:val="none"/>
                      <w:vertAlign w:val="subscript"/>
                    </w:rPr>
                    <w:t>3</w:t>
                  </w:r>
                  <w:r>
                    <w:rPr>
                      <w:rFonts w:hint="default" w:cs="Times New Roman"/>
                      <w:color w:val="auto"/>
                      <w:sz w:val="21"/>
                      <w:szCs w:val="21"/>
                      <w:highlight w:val="none"/>
                      <w:vertAlign w:val="superscript"/>
                    </w:rPr>
                    <w:t>2-</w:t>
                  </w:r>
                  <w:r>
                    <w:rPr>
                      <w:rFonts w:hint="default" w:cs="Times New Roman"/>
                      <w:color w:val="auto"/>
                      <w:sz w:val="21"/>
                      <w:szCs w:val="21"/>
                      <w:highlight w:val="none"/>
                    </w:rPr>
                    <w:t>、SO</w:t>
                  </w:r>
                  <w:r>
                    <w:rPr>
                      <w:rFonts w:hint="default" w:cs="Times New Roman"/>
                      <w:color w:val="auto"/>
                      <w:sz w:val="21"/>
                      <w:szCs w:val="21"/>
                      <w:highlight w:val="none"/>
                      <w:vertAlign w:val="subscript"/>
                    </w:rPr>
                    <w:t>4</w:t>
                  </w:r>
                  <w:r>
                    <w:rPr>
                      <w:rFonts w:hint="default" w:cs="Times New Roman"/>
                      <w:color w:val="auto"/>
                      <w:sz w:val="21"/>
                      <w:szCs w:val="21"/>
                      <w:highlight w:val="none"/>
                      <w:vertAlign w:val="superscript"/>
                    </w:rPr>
                    <w:t>2-</w:t>
                  </w:r>
                  <w:r>
                    <w:rPr>
                      <w:rFonts w:hint="default" w:cs="Times New Roman"/>
                      <w:color w:val="auto"/>
                      <w:sz w:val="21"/>
                      <w:szCs w:val="21"/>
                      <w:highlight w:val="none"/>
                    </w:rPr>
                    <w:t>）的测定 离子色谱法</w:t>
                  </w:r>
                </w:p>
              </w:tc>
              <w:tc>
                <w:tcPr>
                  <w:tcW w:w="939" w:type="pct"/>
                  <w:vMerge w:val="restart"/>
                  <w:tcBorders>
                    <w:tl2br w:val="nil"/>
                    <w:tr2bl w:val="nil"/>
                  </w:tcBorders>
                  <w:noWrap w:val="0"/>
                  <w:vAlign w:val="center"/>
                </w:tcPr>
                <w:p w14:paraId="6215EFCD">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iCs/>
                      <w:color w:val="auto"/>
                      <w:sz w:val="21"/>
                      <w:szCs w:val="21"/>
                      <w:highlight w:val="none"/>
                    </w:rPr>
                    <w:t>HJ 84-2016</w:t>
                  </w:r>
                </w:p>
              </w:tc>
              <w:tc>
                <w:tcPr>
                  <w:tcW w:w="1224" w:type="pct"/>
                  <w:vMerge w:val="restart"/>
                  <w:tcBorders>
                    <w:tl2br w:val="nil"/>
                    <w:tr2bl w:val="nil"/>
                  </w:tcBorders>
                  <w:noWrap w:val="0"/>
                  <w:vAlign w:val="center"/>
                </w:tcPr>
                <w:p w14:paraId="0F0C9CE6">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ICS-1000型离子</w:t>
                  </w:r>
                </w:p>
                <w:p w14:paraId="27A7A692">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色谱仪</w:t>
                  </w:r>
                </w:p>
                <w:p w14:paraId="4106E8AC">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kern w:val="0"/>
                      <w:sz w:val="21"/>
                      <w:szCs w:val="21"/>
                      <w:highlight w:val="none"/>
                    </w:rPr>
                    <w:t>（HFJ-068）</w:t>
                  </w:r>
                </w:p>
              </w:tc>
              <w:tc>
                <w:tcPr>
                  <w:tcW w:w="734" w:type="pct"/>
                  <w:tcBorders>
                    <w:tl2br w:val="nil"/>
                    <w:tr2bl w:val="nil"/>
                  </w:tcBorders>
                  <w:noWrap w:val="0"/>
                  <w:vAlign w:val="center"/>
                </w:tcPr>
                <w:p w14:paraId="16EC39D5">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kern w:val="0"/>
                      <w:sz w:val="21"/>
                      <w:szCs w:val="21"/>
                      <w:highlight w:val="none"/>
                    </w:rPr>
                    <w:t>0.018</w:t>
                  </w:r>
                  <w:r>
                    <w:rPr>
                      <w:rFonts w:hint="default" w:cs="Times New Roman"/>
                      <w:bCs/>
                      <w:color w:val="auto"/>
                      <w:sz w:val="21"/>
                      <w:szCs w:val="21"/>
                      <w:highlight w:val="none"/>
                    </w:rPr>
                    <w:t>mg/L</w:t>
                  </w:r>
                </w:p>
              </w:tc>
            </w:tr>
            <w:tr w14:paraId="39030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tcBorders>
                    <w:tl2br w:val="nil"/>
                    <w:tr2bl w:val="nil"/>
                  </w:tcBorders>
                  <w:noWrap w:val="0"/>
                  <w:vAlign w:val="center"/>
                </w:tcPr>
                <w:p w14:paraId="79600851">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kern w:val="0"/>
                      <w:sz w:val="21"/>
                      <w:szCs w:val="21"/>
                      <w:highlight w:val="none"/>
                      <w:lang w:bidi="ar"/>
                    </w:rPr>
                    <w:t>硝酸盐</w:t>
                  </w:r>
                </w:p>
              </w:tc>
              <w:tc>
                <w:tcPr>
                  <w:tcW w:w="1242" w:type="pct"/>
                  <w:vMerge w:val="continue"/>
                  <w:tcBorders>
                    <w:tl2br w:val="nil"/>
                    <w:tr2bl w:val="nil"/>
                  </w:tcBorders>
                  <w:noWrap w:val="0"/>
                  <w:vAlign w:val="center"/>
                </w:tcPr>
                <w:p w14:paraId="5E74A9A4">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p>
              </w:tc>
              <w:tc>
                <w:tcPr>
                  <w:tcW w:w="939" w:type="pct"/>
                  <w:vMerge w:val="continue"/>
                  <w:tcBorders>
                    <w:tl2br w:val="nil"/>
                    <w:tr2bl w:val="nil"/>
                  </w:tcBorders>
                  <w:noWrap w:val="0"/>
                  <w:vAlign w:val="center"/>
                </w:tcPr>
                <w:p w14:paraId="604B50B9">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p>
              </w:tc>
              <w:tc>
                <w:tcPr>
                  <w:tcW w:w="1224" w:type="pct"/>
                  <w:vMerge w:val="continue"/>
                  <w:tcBorders>
                    <w:tl2br w:val="nil"/>
                    <w:tr2bl w:val="nil"/>
                  </w:tcBorders>
                  <w:noWrap w:val="0"/>
                  <w:vAlign w:val="center"/>
                </w:tcPr>
                <w:p w14:paraId="18F3A257">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p>
              </w:tc>
              <w:tc>
                <w:tcPr>
                  <w:tcW w:w="734" w:type="pct"/>
                  <w:tcBorders>
                    <w:tl2br w:val="nil"/>
                    <w:tr2bl w:val="nil"/>
                  </w:tcBorders>
                  <w:noWrap w:val="0"/>
                  <w:vAlign w:val="center"/>
                </w:tcPr>
                <w:p w14:paraId="6E7E535D">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kern w:val="0"/>
                      <w:sz w:val="21"/>
                      <w:szCs w:val="21"/>
                      <w:highlight w:val="none"/>
                    </w:rPr>
                    <w:t>0.016</w:t>
                  </w:r>
                  <w:r>
                    <w:rPr>
                      <w:rFonts w:hint="default" w:cs="Times New Roman"/>
                      <w:bCs/>
                      <w:color w:val="auto"/>
                      <w:sz w:val="21"/>
                      <w:szCs w:val="21"/>
                      <w:highlight w:val="none"/>
                    </w:rPr>
                    <w:t>mg/L</w:t>
                  </w:r>
                </w:p>
              </w:tc>
            </w:tr>
            <w:tr w14:paraId="41004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0" w:type="pct"/>
                  <w:tcBorders>
                    <w:tl2br w:val="nil"/>
                    <w:tr2bl w:val="nil"/>
                  </w:tcBorders>
                  <w:noWrap w:val="0"/>
                  <w:vAlign w:val="center"/>
                </w:tcPr>
                <w:p w14:paraId="6634F9A1">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汞</w:t>
                  </w:r>
                </w:p>
              </w:tc>
              <w:tc>
                <w:tcPr>
                  <w:tcW w:w="1242" w:type="pct"/>
                  <w:tcBorders>
                    <w:tl2br w:val="nil"/>
                    <w:tr2bl w:val="nil"/>
                  </w:tcBorders>
                  <w:noWrap w:val="0"/>
                  <w:vAlign w:val="center"/>
                </w:tcPr>
                <w:p w14:paraId="0456DBDB">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水质 汞的测定 冷原子荧光法（试行）</w:t>
                  </w:r>
                </w:p>
              </w:tc>
              <w:tc>
                <w:tcPr>
                  <w:tcW w:w="939" w:type="pct"/>
                  <w:tcBorders>
                    <w:tl2br w:val="nil"/>
                    <w:tr2bl w:val="nil"/>
                  </w:tcBorders>
                  <w:noWrap w:val="0"/>
                  <w:vAlign w:val="center"/>
                </w:tcPr>
                <w:p w14:paraId="2FE71446">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iCs/>
                      <w:color w:val="auto"/>
                      <w:sz w:val="21"/>
                      <w:szCs w:val="21"/>
                      <w:highlight w:val="none"/>
                    </w:rPr>
                    <w:t>HJ/T 341-2007</w:t>
                  </w:r>
                </w:p>
              </w:tc>
              <w:tc>
                <w:tcPr>
                  <w:tcW w:w="1224" w:type="pct"/>
                  <w:tcBorders>
                    <w:tl2br w:val="nil"/>
                    <w:tr2bl w:val="nil"/>
                  </w:tcBorders>
                  <w:noWrap w:val="0"/>
                  <w:vAlign w:val="center"/>
                </w:tcPr>
                <w:p w14:paraId="01F4856E">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ZYG-Ⅱ型智能冷原子荧光测汞仪</w:t>
                  </w:r>
                </w:p>
                <w:p w14:paraId="555077E0">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（HFJ-069）</w:t>
                  </w:r>
                </w:p>
              </w:tc>
              <w:tc>
                <w:tcPr>
                  <w:tcW w:w="734" w:type="pct"/>
                  <w:tcBorders>
                    <w:tl2br w:val="nil"/>
                    <w:tr2bl w:val="nil"/>
                  </w:tcBorders>
                  <w:noWrap w:val="0"/>
                  <w:vAlign w:val="center"/>
                </w:tcPr>
                <w:p w14:paraId="6821F0E2">
                  <w:pPr>
                    <w:pStyle w:val="40"/>
                    <w:keepNext w:val="0"/>
                    <w:keepLines w:val="0"/>
                    <w:suppressLineNumbers w:val="0"/>
                    <w:spacing w:before="0" w:beforeAutospacing="0" w:after="0" w:afterAutospacing="0"/>
                    <w:ind w:left="0" w:right="0"/>
                    <w:rPr>
                      <w:rFonts w:hint="default" w:cs="Times New Roman"/>
                      <w:b/>
                      <w:color w:val="auto"/>
                      <w:sz w:val="21"/>
                      <w:szCs w:val="21"/>
                      <w:highlight w:val="none"/>
                    </w:rPr>
                  </w:pPr>
                  <w:r>
                    <w:rPr>
                      <w:rFonts w:hint="default" w:cs="Times New Roman"/>
                      <w:color w:val="auto"/>
                      <w:sz w:val="21"/>
                      <w:szCs w:val="21"/>
                      <w:highlight w:val="none"/>
                    </w:rPr>
                    <w:t>0.0015</w:t>
                  </w:r>
                  <w:r>
                    <w:rPr>
                      <w:rFonts w:hint="default" w:cs="Times New Roman"/>
                      <w:color w:val="auto"/>
                      <w:kern w:val="0"/>
                      <w:sz w:val="21"/>
                      <w:szCs w:val="21"/>
                      <w:highlight w:val="none"/>
                    </w:rPr>
                    <w:t>μg/L</w:t>
                  </w:r>
                </w:p>
              </w:tc>
            </w:tr>
            <w:tr w14:paraId="3A874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51C7869D">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砷</w:t>
                  </w:r>
                </w:p>
              </w:tc>
              <w:tc>
                <w:tcPr>
                  <w:tcW w:w="1242" w:type="pct"/>
                  <w:tcBorders>
                    <w:tl2br w:val="nil"/>
                    <w:tr2bl w:val="nil"/>
                  </w:tcBorders>
                  <w:noWrap w:val="0"/>
                  <w:vAlign w:val="center"/>
                </w:tcPr>
                <w:p w14:paraId="67718839">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水质 汞、砷、硒、铋和锑的测定 原子荧光法</w:t>
                  </w:r>
                </w:p>
              </w:tc>
              <w:tc>
                <w:tcPr>
                  <w:tcW w:w="939" w:type="pct"/>
                  <w:tcBorders>
                    <w:tl2br w:val="nil"/>
                    <w:tr2bl w:val="nil"/>
                  </w:tcBorders>
                  <w:noWrap w:val="0"/>
                  <w:vAlign w:val="center"/>
                </w:tcPr>
                <w:p w14:paraId="459C36BE">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snapToGrid w:val="0"/>
                      <w:color w:val="auto"/>
                      <w:sz w:val="21"/>
                      <w:szCs w:val="21"/>
                      <w:highlight w:val="none"/>
                    </w:rPr>
                    <w:t>HJ 694-2014</w:t>
                  </w:r>
                </w:p>
              </w:tc>
              <w:tc>
                <w:tcPr>
                  <w:tcW w:w="1224" w:type="pct"/>
                  <w:tcBorders>
                    <w:tl2br w:val="nil"/>
                    <w:tr2bl w:val="nil"/>
                  </w:tcBorders>
                  <w:noWrap w:val="0"/>
                  <w:vAlign w:val="center"/>
                </w:tcPr>
                <w:p w14:paraId="5B70F0EF">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AFS-8500型原子荧光光度计</w:t>
                  </w:r>
                </w:p>
                <w:p w14:paraId="6592AEE7">
                  <w:pPr>
                    <w:pStyle w:val="40"/>
                    <w:keepNext w:val="0"/>
                    <w:keepLines w:val="0"/>
                    <w:suppressLineNumbers w:val="0"/>
                    <w:spacing w:before="0" w:beforeAutospacing="0" w:after="0" w:afterAutospacing="0"/>
                    <w:ind w:left="0" w:right="0"/>
                    <w:rPr>
                      <w:rFonts w:hint="default" w:cs="Times New Roman"/>
                      <w:iCs/>
                      <w:color w:val="auto"/>
                      <w:sz w:val="21"/>
                      <w:szCs w:val="21"/>
                      <w:highlight w:val="none"/>
                    </w:rPr>
                  </w:pPr>
                  <w:r>
                    <w:rPr>
                      <w:rFonts w:hint="default" w:cs="Times New Roman"/>
                      <w:snapToGrid w:val="0"/>
                      <w:color w:val="auto"/>
                      <w:kern w:val="0"/>
                      <w:sz w:val="21"/>
                      <w:szCs w:val="21"/>
                      <w:highlight w:val="none"/>
                    </w:rPr>
                    <w:t>（</w:t>
                  </w:r>
                  <w:r>
                    <w:rPr>
                      <w:rFonts w:hint="default" w:cs="Times New Roman"/>
                      <w:color w:val="auto"/>
                      <w:sz w:val="21"/>
                      <w:szCs w:val="21"/>
                      <w:highlight w:val="none"/>
                    </w:rPr>
                    <w:t>HFJ-095）</w:t>
                  </w:r>
                </w:p>
              </w:tc>
              <w:tc>
                <w:tcPr>
                  <w:tcW w:w="734" w:type="pct"/>
                  <w:tcBorders>
                    <w:tl2br w:val="nil"/>
                    <w:tr2bl w:val="nil"/>
                  </w:tcBorders>
                  <w:noWrap w:val="0"/>
                  <w:vAlign w:val="center"/>
                </w:tcPr>
                <w:p w14:paraId="0FFC90C1">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iCs/>
                      <w:color w:val="auto"/>
                      <w:sz w:val="21"/>
                      <w:szCs w:val="21"/>
                      <w:highlight w:val="none"/>
                    </w:rPr>
                    <w:t>0.3</w:t>
                  </w:r>
                  <w:r>
                    <w:rPr>
                      <w:rFonts w:hint="default" w:cs="Times New Roman"/>
                      <w:color w:val="auto"/>
                      <w:kern w:val="0"/>
                      <w:sz w:val="21"/>
                      <w:szCs w:val="21"/>
                      <w:highlight w:val="none"/>
                    </w:rPr>
                    <w:t>μg/L</w:t>
                  </w:r>
                </w:p>
              </w:tc>
            </w:tr>
            <w:tr w14:paraId="04BE3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6C0722A6">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氨氮</w:t>
                  </w:r>
                </w:p>
              </w:tc>
              <w:tc>
                <w:tcPr>
                  <w:tcW w:w="1242" w:type="pct"/>
                  <w:tcBorders>
                    <w:tl2br w:val="nil"/>
                    <w:tr2bl w:val="nil"/>
                  </w:tcBorders>
                  <w:noWrap w:val="0"/>
                  <w:vAlign w:val="center"/>
                </w:tcPr>
                <w:p w14:paraId="7D64ABA5">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kern w:val="0"/>
                      <w:sz w:val="21"/>
                      <w:szCs w:val="21"/>
                      <w:highlight w:val="none"/>
                    </w:rPr>
                    <w:t>水质 氨氮的测定 纳氏试剂分光光度法</w:t>
                  </w:r>
                </w:p>
              </w:tc>
              <w:tc>
                <w:tcPr>
                  <w:tcW w:w="939" w:type="pct"/>
                  <w:tcBorders>
                    <w:tl2br w:val="nil"/>
                    <w:tr2bl w:val="nil"/>
                  </w:tcBorders>
                  <w:noWrap w:val="0"/>
                  <w:vAlign w:val="center"/>
                </w:tcPr>
                <w:p w14:paraId="615E4923">
                  <w:pPr>
                    <w:pStyle w:val="40"/>
                    <w:keepNext w:val="0"/>
                    <w:keepLines w:val="0"/>
                    <w:suppressLineNumbers w:val="0"/>
                    <w:spacing w:before="0" w:beforeAutospacing="0" w:after="0" w:afterAutospacing="0"/>
                    <w:ind w:left="0" w:right="0"/>
                    <w:rPr>
                      <w:rFonts w:hint="default" w:cs="Times New Roman"/>
                      <w:snapToGrid w:val="0"/>
                      <w:color w:val="auto"/>
                      <w:sz w:val="21"/>
                      <w:szCs w:val="21"/>
                      <w:highlight w:val="none"/>
                    </w:rPr>
                  </w:pPr>
                  <w:r>
                    <w:rPr>
                      <w:rFonts w:hint="default" w:cs="Times New Roman"/>
                      <w:color w:val="auto"/>
                      <w:kern w:val="0"/>
                      <w:sz w:val="21"/>
                      <w:szCs w:val="21"/>
                      <w:highlight w:val="none"/>
                    </w:rPr>
                    <w:t>HJ 535-2009</w:t>
                  </w:r>
                </w:p>
              </w:tc>
              <w:tc>
                <w:tcPr>
                  <w:tcW w:w="1224" w:type="pct"/>
                  <w:vMerge w:val="restart"/>
                  <w:tcBorders>
                    <w:tl2br w:val="nil"/>
                    <w:tr2bl w:val="nil"/>
                  </w:tcBorders>
                  <w:noWrap w:val="0"/>
                  <w:vAlign w:val="center"/>
                </w:tcPr>
                <w:p w14:paraId="5C3AE9D5">
                  <w:pPr>
                    <w:keepNext w:val="0"/>
                    <w:keepLines w:val="0"/>
                    <w:suppressLineNumbers w:val="0"/>
                    <w:tabs>
                      <w:tab w:val="left" w:pos="0"/>
                    </w:tabs>
                    <w:autoSpaceDN w:val="0"/>
                    <w:spacing w:before="0" w:beforeAutospacing="0" w:after="0" w:afterAutospacing="0"/>
                    <w:ind w:left="0" w:right="0"/>
                    <w:jc w:val="center"/>
                    <w:textAlignment w:val="center"/>
                    <w:rPr>
                      <w:rFonts w:hint="default"/>
                      <w:iCs/>
                      <w:color w:val="auto"/>
                      <w:sz w:val="21"/>
                      <w:szCs w:val="21"/>
                      <w:highlight w:val="none"/>
                    </w:rPr>
                  </w:pPr>
                  <w:r>
                    <w:rPr>
                      <w:rFonts w:hint="default"/>
                      <w:iCs/>
                      <w:color w:val="auto"/>
                      <w:sz w:val="21"/>
                      <w:szCs w:val="21"/>
                      <w:highlight w:val="none"/>
                    </w:rPr>
                    <w:t>752型紫外可见分光光度计</w:t>
                  </w:r>
                </w:p>
                <w:p w14:paraId="1A8C2AF6">
                  <w:pPr>
                    <w:pStyle w:val="40"/>
                    <w:keepNext w:val="0"/>
                    <w:keepLines w:val="0"/>
                    <w:suppressLineNumbers w:val="0"/>
                    <w:spacing w:before="0" w:beforeAutospacing="0" w:after="0" w:afterAutospacing="0"/>
                    <w:ind w:left="0" w:right="0"/>
                    <w:rPr>
                      <w:rFonts w:hint="default" w:cs="Times New Roman"/>
                      <w:snapToGrid w:val="0"/>
                      <w:color w:val="auto"/>
                      <w:kern w:val="0"/>
                      <w:sz w:val="21"/>
                      <w:szCs w:val="21"/>
                      <w:highlight w:val="none"/>
                    </w:rPr>
                  </w:pPr>
                  <w:r>
                    <w:rPr>
                      <w:rFonts w:hint="default" w:cs="Times New Roman"/>
                      <w:iCs/>
                      <w:color w:val="auto"/>
                      <w:sz w:val="21"/>
                      <w:szCs w:val="21"/>
                      <w:highlight w:val="none"/>
                    </w:rPr>
                    <w:t>（HFJ-090）</w:t>
                  </w:r>
                </w:p>
              </w:tc>
              <w:tc>
                <w:tcPr>
                  <w:tcW w:w="734" w:type="pct"/>
                  <w:tcBorders>
                    <w:tl2br w:val="nil"/>
                    <w:tr2bl w:val="nil"/>
                  </w:tcBorders>
                  <w:noWrap w:val="0"/>
                  <w:vAlign w:val="center"/>
                </w:tcPr>
                <w:p w14:paraId="0618308A">
                  <w:pPr>
                    <w:keepNext w:val="0"/>
                    <w:keepLines w:val="0"/>
                    <w:widowControl/>
                    <w:suppressLineNumbers w:val="0"/>
                    <w:spacing w:before="0" w:beforeAutospacing="0" w:after="0" w:afterAutospacing="0"/>
                    <w:ind w:left="0" w:right="0"/>
                    <w:jc w:val="center"/>
                    <w:rPr>
                      <w:rFonts w:hint="default"/>
                      <w:iCs/>
                      <w:color w:val="auto"/>
                      <w:sz w:val="21"/>
                      <w:szCs w:val="21"/>
                      <w:highlight w:val="none"/>
                    </w:rPr>
                  </w:pPr>
                  <w:r>
                    <w:rPr>
                      <w:rFonts w:hint="default"/>
                      <w:color w:val="auto"/>
                      <w:kern w:val="0"/>
                      <w:sz w:val="21"/>
                      <w:szCs w:val="21"/>
                      <w:highlight w:val="none"/>
                    </w:rPr>
                    <w:t>0.025</w:t>
                  </w:r>
                  <w:r>
                    <w:rPr>
                      <w:rFonts w:hint="default"/>
                      <w:bCs/>
                      <w:color w:val="auto"/>
                      <w:sz w:val="21"/>
                      <w:szCs w:val="21"/>
                      <w:highlight w:val="none"/>
                    </w:rPr>
                    <w:t>mg/L</w:t>
                  </w:r>
                </w:p>
              </w:tc>
            </w:tr>
            <w:tr w14:paraId="57E68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5CFD6401">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石油类</w:t>
                  </w:r>
                </w:p>
              </w:tc>
              <w:tc>
                <w:tcPr>
                  <w:tcW w:w="1242" w:type="pct"/>
                  <w:tcBorders>
                    <w:tl2br w:val="nil"/>
                    <w:tr2bl w:val="nil"/>
                  </w:tcBorders>
                  <w:noWrap w:val="0"/>
                  <w:vAlign w:val="center"/>
                </w:tcPr>
                <w:p w14:paraId="4EA93B60">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水质 石油类的测定 紫外分光光度法（试行）</w:t>
                  </w:r>
                </w:p>
              </w:tc>
              <w:tc>
                <w:tcPr>
                  <w:tcW w:w="939" w:type="pct"/>
                  <w:tcBorders>
                    <w:tl2br w:val="nil"/>
                    <w:tr2bl w:val="nil"/>
                  </w:tcBorders>
                  <w:noWrap w:val="0"/>
                  <w:vAlign w:val="center"/>
                </w:tcPr>
                <w:p w14:paraId="7294B9AE">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sz w:val="21"/>
                      <w:szCs w:val="21"/>
                      <w:highlight w:val="none"/>
                    </w:rPr>
                    <w:t>HJ 970-2018</w:t>
                  </w:r>
                </w:p>
              </w:tc>
              <w:tc>
                <w:tcPr>
                  <w:tcW w:w="1224" w:type="pct"/>
                  <w:vMerge w:val="continue"/>
                  <w:tcBorders>
                    <w:tl2br w:val="nil"/>
                    <w:tr2bl w:val="nil"/>
                  </w:tcBorders>
                  <w:noWrap w:val="0"/>
                  <w:vAlign w:val="center"/>
                </w:tcPr>
                <w:p w14:paraId="50088382">
                  <w:pPr>
                    <w:pStyle w:val="40"/>
                    <w:keepNext w:val="0"/>
                    <w:keepLines w:val="0"/>
                    <w:suppressLineNumbers w:val="0"/>
                    <w:spacing w:before="0" w:beforeAutospacing="0" w:after="0" w:afterAutospacing="0"/>
                    <w:ind w:left="0" w:right="0"/>
                    <w:rPr>
                      <w:rFonts w:hint="default" w:cs="Times New Roman"/>
                      <w:iCs/>
                      <w:color w:val="auto"/>
                      <w:sz w:val="21"/>
                      <w:szCs w:val="21"/>
                      <w:highlight w:val="none"/>
                    </w:rPr>
                  </w:pPr>
                </w:p>
              </w:tc>
              <w:tc>
                <w:tcPr>
                  <w:tcW w:w="734" w:type="pct"/>
                  <w:tcBorders>
                    <w:tl2br w:val="nil"/>
                    <w:tr2bl w:val="nil"/>
                  </w:tcBorders>
                  <w:noWrap w:val="0"/>
                  <w:vAlign w:val="center"/>
                </w:tcPr>
                <w:p w14:paraId="0452C139">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iCs/>
                      <w:color w:val="auto"/>
                      <w:sz w:val="21"/>
                      <w:szCs w:val="21"/>
                      <w:highlight w:val="none"/>
                    </w:rPr>
                    <w:t>0.01</w:t>
                  </w:r>
                  <w:r>
                    <w:rPr>
                      <w:rFonts w:hint="default" w:cs="Times New Roman"/>
                      <w:color w:val="auto"/>
                      <w:kern w:val="0"/>
                      <w:sz w:val="21"/>
                      <w:szCs w:val="21"/>
                      <w:highlight w:val="none"/>
                    </w:rPr>
                    <w:t>mg/L</w:t>
                  </w:r>
                </w:p>
              </w:tc>
            </w:tr>
            <w:tr w14:paraId="01D1D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6C3F2C3F">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lang w:bidi="ar"/>
                    </w:rPr>
                  </w:pPr>
                  <w:r>
                    <w:rPr>
                      <w:rFonts w:hint="default" w:cs="Times New Roman"/>
                      <w:color w:val="auto"/>
                      <w:sz w:val="21"/>
                      <w:szCs w:val="21"/>
                      <w:highlight w:val="none"/>
                    </w:rPr>
                    <w:t>总氰化物</w:t>
                  </w:r>
                </w:p>
              </w:tc>
              <w:tc>
                <w:tcPr>
                  <w:tcW w:w="1242" w:type="pct"/>
                  <w:tcBorders>
                    <w:tl2br w:val="nil"/>
                    <w:tr2bl w:val="nil"/>
                  </w:tcBorders>
                  <w:noWrap w:val="0"/>
                  <w:vAlign w:val="center"/>
                </w:tcPr>
                <w:p w14:paraId="225CC137">
                  <w:pPr>
                    <w:keepNext w:val="0"/>
                    <w:keepLines w:val="0"/>
                    <w:suppressLineNumbers w:val="0"/>
                    <w:autoSpaceDN w:val="0"/>
                    <w:spacing w:before="0" w:beforeAutospacing="0" w:after="0" w:afterAutospacing="0"/>
                    <w:ind w:left="0" w:right="0"/>
                    <w:jc w:val="center"/>
                    <w:textAlignment w:val="center"/>
                    <w:rPr>
                      <w:rFonts w:hint="default"/>
                      <w:color w:val="auto"/>
                      <w:sz w:val="21"/>
                      <w:szCs w:val="21"/>
                      <w:highlight w:val="none"/>
                    </w:rPr>
                  </w:pPr>
                  <w:r>
                    <w:rPr>
                      <w:rFonts w:hint="default"/>
                      <w:color w:val="auto"/>
                      <w:kern w:val="0"/>
                      <w:sz w:val="21"/>
                      <w:szCs w:val="21"/>
                      <w:highlight w:val="none"/>
                    </w:rPr>
                    <w:t xml:space="preserve">水质 氰化物的测定 </w:t>
                  </w:r>
                  <w:r>
                    <w:rPr>
                      <w:rFonts w:hint="eastAsia"/>
                      <w:color w:val="auto"/>
                      <w:kern w:val="0"/>
                      <w:sz w:val="21"/>
                      <w:szCs w:val="21"/>
                      <w:highlight w:val="none"/>
                      <w:lang w:eastAsia="zh-CN"/>
                    </w:rPr>
                    <w:t>滴定法</w:t>
                  </w:r>
                  <w:r>
                    <w:rPr>
                      <w:rFonts w:hint="default"/>
                      <w:color w:val="auto"/>
                      <w:kern w:val="0"/>
                      <w:sz w:val="21"/>
                      <w:szCs w:val="21"/>
                      <w:highlight w:val="none"/>
                    </w:rPr>
                    <w:t>和分光光度法 异烟酸-巴比妥酸分光光度法</w:t>
                  </w:r>
                </w:p>
              </w:tc>
              <w:tc>
                <w:tcPr>
                  <w:tcW w:w="939" w:type="pct"/>
                  <w:tcBorders>
                    <w:tl2br w:val="nil"/>
                    <w:tr2bl w:val="nil"/>
                  </w:tcBorders>
                  <w:noWrap w:val="0"/>
                  <w:vAlign w:val="center"/>
                </w:tcPr>
                <w:p w14:paraId="66C87BC9">
                  <w:pPr>
                    <w:keepNext w:val="0"/>
                    <w:keepLines w:val="0"/>
                    <w:suppressLineNumbers w:val="0"/>
                    <w:autoSpaceDN w:val="0"/>
                    <w:spacing w:before="0" w:beforeAutospacing="0" w:after="0" w:afterAutospacing="0"/>
                    <w:ind w:left="0" w:right="0"/>
                    <w:jc w:val="center"/>
                    <w:textAlignment w:val="center"/>
                    <w:rPr>
                      <w:rFonts w:hint="default"/>
                      <w:color w:val="auto"/>
                      <w:sz w:val="21"/>
                      <w:szCs w:val="21"/>
                      <w:highlight w:val="none"/>
                    </w:rPr>
                  </w:pPr>
                  <w:r>
                    <w:rPr>
                      <w:rFonts w:hint="default"/>
                      <w:color w:val="auto"/>
                      <w:sz w:val="21"/>
                      <w:szCs w:val="21"/>
                      <w:highlight w:val="none"/>
                    </w:rPr>
                    <w:t>HJ 484-2009</w:t>
                  </w:r>
                </w:p>
              </w:tc>
              <w:tc>
                <w:tcPr>
                  <w:tcW w:w="1224" w:type="pct"/>
                  <w:tcBorders>
                    <w:tl2br w:val="nil"/>
                    <w:tr2bl w:val="nil"/>
                  </w:tcBorders>
                  <w:noWrap w:val="0"/>
                  <w:vAlign w:val="center"/>
                </w:tcPr>
                <w:p w14:paraId="26D5CA6B">
                  <w:pPr>
                    <w:keepNext w:val="0"/>
                    <w:keepLines w:val="0"/>
                    <w:suppressLineNumbers w:val="0"/>
                    <w:snapToGrid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752型紫外可见分光光度计</w:t>
                  </w:r>
                </w:p>
                <w:p w14:paraId="2199D7B1">
                  <w:pPr>
                    <w:pStyle w:val="40"/>
                    <w:keepNext w:val="0"/>
                    <w:keepLines w:val="0"/>
                    <w:suppressLineNumbers w:val="0"/>
                    <w:spacing w:before="0" w:beforeAutospacing="0" w:after="0" w:afterAutospacing="0"/>
                    <w:ind w:left="0" w:right="0"/>
                    <w:rPr>
                      <w:rFonts w:hint="default" w:cs="Times New Roman"/>
                      <w:snapToGrid w:val="0"/>
                      <w:color w:val="auto"/>
                      <w:kern w:val="0"/>
                      <w:sz w:val="21"/>
                      <w:szCs w:val="21"/>
                      <w:highlight w:val="none"/>
                    </w:rPr>
                  </w:pPr>
                  <w:r>
                    <w:rPr>
                      <w:rFonts w:hint="default" w:cs="Times New Roman"/>
                      <w:color w:val="auto"/>
                      <w:kern w:val="0"/>
                      <w:sz w:val="21"/>
                      <w:szCs w:val="21"/>
                      <w:highlight w:val="none"/>
                    </w:rPr>
                    <w:t>（HFJ-094）</w:t>
                  </w:r>
                </w:p>
              </w:tc>
              <w:tc>
                <w:tcPr>
                  <w:tcW w:w="734" w:type="pct"/>
                  <w:tcBorders>
                    <w:tl2br w:val="nil"/>
                    <w:tr2bl w:val="nil"/>
                  </w:tcBorders>
                  <w:noWrap w:val="0"/>
                  <w:vAlign w:val="center"/>
                </w:tcPr>
                <w:p w14:paraId="127B96B0">
                  <w:pPr>
                    <w:keepNext w:val="0"/>
                    <w:keepLines w:val="0"/>
                    <w:suppressLineNumbers w:val="0"/>
                    <w:autoSpaceDN w:val="0"/>
                    <w:spacing w:before="0" w:beforeAutospacing="0" w:after="0" w:afterAutospacing="0"/>
                    <w:ind w:left="0" w:right="0"/>
                    <w:jc w:val="center"/>
                    <w:textAlignment w:val="center"/>
                    <w:rPr>
                      <w:rFonts w:hint="default"/>
                      <w:color w:val="auto"/>
                      <w:kern w:val="0"/>
                      <w:sz w:val="21"/>
                      <w:szCs w:val="21"/>
                      <w:highlight w:val="none"/>
                    </w:rPr>
                  </w:pPr>
                  <w:r>
                    <w:rPr>
                      <w:rFonts w:hint="default"/>
                      <w:color w:val="auto"/>
                      <w:kern w:val="0"/>
                      <w:sz w:val="21"/>
                      <w:szCs w:val="21"/>
                      <w:highlight w:val="none"/>
                    </w:rPr>
                    <w:t>0.001</w:t>
                  </w:r>
                  <w:r>
                    <w:rPr>
                      <w:rFonts w:hint="default"/>
                      <w:bCs/>
                      <w:color w:val="auto"/>
                      <w:sz w:val="21"/>
                      <w:szCs w:val="21"/>
                      <w:highlight w:val="none"/>
                    </w:rPr>
                    <w:t>mg/L</w:t>
                  </w:r>
                </w:p>
              </w:tc>
            </w:tr>
            <w:tr w14:paraId="058F1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7A003E16">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lang w:bidi="ar"/>
                    </w:rPr>
                  </w:pPr>
                  <w:r>
                    <w:rPr>
                      <w:rFonts w:hint="default" w:cs="Times New Roman"/>
                      <w:color w:val="auto"/>
                      <w:sz w:val="21"/>
                      <w:szCs w:val="21"/>
                      <w:highlight w:val="none"/>
                    </w:rPr>
                    <w:t>硫化物</w:t>
                  </w:r>
                </w:p>
              </w:tc>
              <w:tc>
                <w:tcPr>
                  <w:tcW w:w="1242" w:type="pct"/>
                  <w:tcBorders>
                    <w:tl2br w:val="nil"/>
                    <w:tr2bl w:val="nil"/>
                  </w:tcBorders>
                  <w:noWrap w:val="0"/>
                  <w:vAlign w:val="center"/>
                </w:tcPr>
                <w:p w14:paraId="6E4C3AAB">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水质 硫化物的测定 亚甲基蓝分光光度法</w:t>
                  </w:r>
                </w:p>
              </w:tc>
              <w:tc>
                <w:tcPr>
                  <w:tcW w:w="939" w:type="pct"/>
                  <w:tcBorders>
                    <w:tl2br w:val="nil"/>
                    <w:tr2bl w:val="nil"/>
                  </w:tcBorders>
                  <w:noWrap w:val="0"/>
                  <w:vAlign w:val="center"/>
                </w:tcPr>
                <w:p w14:paraId="4FF70E7A">
                  <w:pPr>
                    <w:pStyle w:val="40"/>
                    <w:keepNext w:val="0"/>
                    <w:keepLines w:val="0"/>
                    <w:suppressLineNumbers w:val="0"/>
                    <w:spacing w:before="0" w:beforeAutospacing="0" w:after="0" w:afterAutospacing="0"/>
                    <w:ind w:left="0" w:right="0"/>
                    <w:rPr>
                      <w:rFonts w:hint="default" w:cs="Times New Roman"/>
                      <w:snapToGrid w:val="0"/>
                      <w:color w:val="auto"/>
                      <w:sz w:val="21"/>
                      <w:szCs w:val="21"/>
                      <w:highlight w:val="none"/>
                    </w:rPr>
                  </w:pPr>
                  <w:r>
                    <w:rPr>
                      <w:rFonts w:hint="default" w:cs="Times New Roman"/>
                      <w:color w:val="auto"/>
                      <w:sz w:val="21"/>
                      <w:szCs w:val="21"/>
                      <w:highlight w:val="none"/>
                    </w:rPr>
                    <w:t>HJ 1226-2021</w:t>
                  </w:r>
                </w:p>
              </w:tc>
              <w:tc>
                <w:tcPr>
                  <w:tcW w:w="1224" w:type="pct"/>
                  <w:tcBorders>
                    <w:tl2br w:val="nil"/>
                    <w:tr2bl w:val="nil"/>
                  </w:tcBorders>
                  <w:noWrap w:val="0"/>
                  <w:vAlign w:val="center"/>
                </w:tcPr>
                <w:p w14:paraId="65AB1736">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UV-1100型紫外可见分光光度计</w:t>
                  </w:r>
                </w:p>
                <w:p w14:paraId="51BB5357">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kern w:val="0"/>
                      <w:sz w:val="21"/>
                      <w:szCs w:val="21"/>
                      <w:highlight w:val="none"/>
                    </w:rPr>
                    <w:t>（HFJ-025）</w:t>
                  </w:r>
                </w:p>
              </w:tc>
              <w:tc>
                <w:tcPr>
                  <w:tcW w:w="734" w:type="pct"/>
                  <w:tcBorders>
                    <w:tl2br w:val="nil"/>
                    <w:tr2bl w:val="nil"/>
                  </w:tcBorders>
                  <w:noWrap w:val="0"/>
                  <w:vAlign w:val="center"/>
                </w:tcPr>
                <w:p w14:paraId="4F454972">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sz w:val="21"/>
                      <w:szCs w:val="21"/>
                      <w:highlight w:val="none"/>
                    </w:rPr>
                    <w:t>0.003</w:t>
                  </w:r>
                  <w:r>
                    <w:rPr>
                      <w:rFonts w:hint="default" w:cs="Times New Roman"/>
                      <w:bCs/>
                      <w:color w:val="auto"/>
                      <w:sz w:val="21"/>
                      <w:szCs w:val="21"/>
                      <w:highlight w:val="none"/>
                    </w:rPr>
                    <w:t>mg/L</w:t>
                  </w:r>
                </w:p>
              </w:tc>
            </w:tr>
            <w:tr w14:paraId="27795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46875091">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lang w:bidi="ar"/>
                    </w:rPr>
                  </w:pPr>
                  <w:r>
                    <w:rPr>
                      <w:rFonts w:hint="default" w:cs="Times New Roman"/>
                      <w:color w:val="auto"/>
                      <w:kern w:val="0"/>
                      <w:sz w:val="21"/>
                      <w:szCs w:val="21"/>
                      <w:highlight w:val="none"/>
                      <w:lang w:bidi="ar"/>
                    </w:rPr>
                    <w:t>挥发性酚类</w:t>
                  </w:r>
                </w:p>
              </w:tc>
              <w:tc>
                <w:tcPr>
                  <w:tcW w:w="1242" w:type="pct"/>
                  <w:tcBorders>
                    <w:tl2br w:val="nil"/>
                    <w:tr2bl w:val="nil"/>
                  </w:tcBorders>
                  <w:noWrap w:val="0"/>
                  <w:vAlign w:val="center"/>
                </w:tcPr>
                <w:p w14:paraId="1855CD5A">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水质 挥发酚的测定 4-氨基安替比林分光光度法</w:t>
                  </w:r>
                </w:p>
              </w:tc>
              <w:tc>
                <w:tcPr>
                  <w:tcW w:w="939" w:type="pct"/>
                  <w:tcBorders>
                    <w:tl2br w:val="nil"/>
                    <w:tr2bl w:val="nil"/>
                  </w:tcBorders>
                  <w:noWrap w:val="0"/>
                  <w:vAlign w:val="center"/>
                </w:tcPr>
                <w:p w14:paraId="70A2A8A1">
                  <w:pPr>
                    <w:pStyle w:val="40"/>
                    <w:keepNext w:val="0"/>
                    <w:keepLines w:val="0"/>
                    <w:suppressLineNumbers w:val="0"/>
                    <w:spacing w:before="0" w:beforeAutospacing="0" w:after="0" w:afterAutospacing="0"/>
                    <w:ind w:left="0" w:right="0"/>
                    <w:rPr>
                      <w:rFonts w:hint="default" w:cs="Times New Roman"/>
                      <w:snapToGrid w:val="0"/>
                      <w:color w:val="auto"/>
                      <w:sz w:val="21"/>
                      <w:szCs w:val="21"/>
                      <w:highlight w:val="none"/>
                    </w:rPr>
                  </w:pPr>
                  <w:r>
                    <w:rPr>
                      <w:rFonts w:hint="default" w:cs="Times New Roman"/>
                      <w:color w:val="auto"/>
                      <w:sz w:val="21"/>
                      <w:szCs w:val="21"/>
                      <w:highlight w:val="none"/>
                    </w:rPr>
                    <w:t>HJ 503-2009</w:t>
                  </w:r>
                </w:p>
              </w:tc>
              <w:tc>
                <w:tcPr>
                  <w:tcW w:w="1224" w:type="pct"/>
                  <w:tcBorders>
                    <w:tl2br w:val="nil"/>
                    <w:tr2bl w:val="nil"/>
                  </w:tcBorders>
                  <w:noWrap w:val="0"/>
                  <w:vAlign w:val="center"/>
                </w:tcPr>
                <w:p w14:paraId="6D3F323E">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721型可见分光</w:t>
                  </w:r>
                </w:p>
                <w:p w14:paraId="70B88A23">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光度计</w:t>
                  </w:r>
                </w:p>
                <w:p w14:paraId="791DD7A8">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kern w:val="0"/>
                      <w:sz w:val="21"/>
                      <w:szCs w:val="21"/>
                      <w:highlight w:val="none"/>
                    </w:rPr>
                    <w:t>（HFJ-096）</w:t>
                  </w:r>
                </w:p>
              </w:tc>
              <w:tc>
                <w:tcPr>
                  <w:tcW w:w="734" w:type="pct"/>
                  <w:tcBorders>
                    <w:tl2br w:val="nil"/>
                    <w:tr2bl w:val="nil"/>
                  </w:tcBorders>
                  <w:noWrap w:val="0"/>
                  <w:vAlign w:val="center"/>
                </w:tcPr>
                <w:p w14:paraId="4D9DA774">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0.0003</w:t>
                  </w:r>
                  <w:r>
                    <w:rPr>
                      <w:rFonts w:hint="default" w:cs="Times New Roman"/>
                      <w:bCs/>
                      <w:color w:val="auto"/>
                      <w:sz w:val="21"/>
                      <w:szCs w:val="21"/>
                      <w:highlight w:val="none"/>
                    </w:rPr>
                    <w:t>mg/L</w:t>
                  </w:r>
                </w:p>
              </w:tc>
            </w:tr>
            <w:tr w14:paraId="407E2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314273E9">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亚硝酸盐</w:t>
                  </w:r>
                </w:p>
              </w:tc>
              <w:tc>
                <w:tcPr>
                  <w:tcW w:w="1242" w:type="pct"/>
                  <w:tcBorders>
                    <w:tl2br w:val="nil"/>
                    <w:tr2bl w:val="nil"/>
                  </w:tcBorders>
                  <w:noWrap w:val="0"/>
                  <w:vAlign w:val="center"/>
                </w:tcPr>
                <w:p w14:paraId="53960AC6">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生活饮用水标准检验方法 无机非金属指标 重氮偶合分光光度法</w:t>
                  </w:r>
                </w:p>
              </w:tc>
              <w:tc>
                <w:tcPr>
                  <w:tcW w:w="939" w:type="pct"/>
                  <w:tcBorders>
                    <w:tl2br w:val="nil"/>
                    <w:tr2bl w:val="nil"/>
                  </w:tcBorders>
                  <w:noWrap w:val="0"/>
                  <w:vAlign w:val="center"/>
                </w:tcPr>
                <w:p w14:paraId="26DD5A5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GB/T 5750.5-2006</w:t>
                  </w:r>
                </w:p>
              </w:tc>
              <w:tc>
                <w:tcPr>
                  <w:tcW w:w="1224" w:type="pct"/>
                  <w:tcBorders>
                    <w:tl2br w:val="nil"/>
                    <w:tr2bl w:val="nil"/>
                  </w:tcBorders>
                  <w:noWrap w:val="0"/>
                  <w:vAlign w:val="center"/>
                </w:tcPr>
                <w:p w14:paraId="3B210495">
                  <w:pPr>
                    <w:keepNext w:val="0"/>
                    <w:keepLines w:val="0"/>
                    <w:suppressLineNumbers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UV-1100型</w:t>
                  </w:r>
                </w:p>
                <w:p w14:paraId="6A3A8AA1">
                  <w:pPr>
                    <w:keepNext w:val="0"/>
                    <w:keepLines w:val="0"/>
                    <w:suppressLineNumbers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紫外可见分光光度计</w:t>
                  </w:r>
                </w:p>
                <w:p w14:paraId="2B3B2335">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kern w:val="0"/>
                      <w:sz w:val="21"/>
                      <w:szCs w:val="21"/>
                      <w:highlight w:val="none"/>
                    </w:rPr>
                    <w:t>（HFJ-060）</w:t>
                  </w:r>
                </w:p>
              </w:tc>
              <w:tc>
                <w:tcPr>
                  <w:tcW w:w="734" w:type="pct"/>
                  <w:tcBorders>
                    <w:tl2br w:val="nil"/>
                    <w:tr2bl w:val="nil"/>
                  </w:tcBorders>
                  <w:noWrap w:val="0"/>
                  <w:vAlign w:val="center"/>
                </w:tcPr>
                <w:p w14:paraId="2A3F56BE">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0.001</w:t>
                  </w:r>
                  <w:r>
                    <w:rPr>
                      <w:rFonts w:hint="default" w:cs="Times New Roman"/>
                      <w:bCs/>
                      <w:color w:val="auto"/>
                      <w:sz w:val="21"/>
                      <w:szCs w:val="21"/>
                      <w:highlight w:val="none"/>
                    </w:rPr>
                    <w:t>mg/L</w:t>
                  </w:r>
                </w:p>
              </w:tc>
            </w:tr>
            <w:tr w14:paraId="6317F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10EF5F48">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苯</w:t>
                  </w:r>
                </w:p>
              </w:tc>
              <w:tc>
                <w:tcPr>
                  <w:tcW w:w="1242" w:type="pct"/>
                  <w:vMerge w:val="restart"/>
                  <w:tcBorders>
                    <w:tl2br w:val="nil"/>
                    <w:tr2bl w:val="nil"/>
                  </w:tcBorders>
                  <w:noWrap w:val="0"/>
                  <w:vAlign w:val="center"/>
                </w:tcPr>
                <w:p w14:paraId="7D8CEC95">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olor w:val="auto"/>
                      <w:sz w:val="21"/>
                      <w:szCs w:val="21"/>
                      <w:highlight w:val="none"/>
                    </w:rPr>
                  </w:pPr>
                  <w:r>
                    <w:rPr>
                      <w:rFonts w:hint="default"/>
                      <w:color w:val="auto"/>
                      <w:sz w:val="21"/>
                      <w:szCs w:val="21"/>
                      <w:highlight w:val="none"/>
                    </w:rPr>
                    <w:t>水质 挥发性有机物的测定 顶空/气相色谱-质谱法</w:t>
                  </w:r>
                </w:p>
              </w:tc>
              <w:tc>
                <w:tcPr>
                  <w:tcW w:w="939" w:type="pct"/>
                  <w:vMerge w:val="restart"/>
                  <w:tcBorders>
                    <w:tl2br w:val="nil"/>
                    <w:tr2bl w:val="nil"/>
                  </w:tcBorders>
                  <w:noWrap w:val="0"/>
                  <w:vAlign w:val="center"/>
                </w:tcPr>
                <w:p w14:paraId="5F40ADB4">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olor w:val="auto"/>
                      <w:sz w:val="21"/>
                      <w:szCs w:val="21"/>
                      <w:highlight w:val="none"/>
                    </w:rPr>
                  </w:pPr>
                  <w:r>
                    <w:rPr>
                      <w:rFonts w:hint="default"/>
                      <w:color w:val="auto"/>
                      <w:sz w:val="21"/>
                      <w:szCs w:val="21"/>
                      <w:highlight w:val="none"/>
                    </w:rPr>
                    <w:t>HJ 810-2016</w:t>
                  </w:r>
                </w:p>
              </w:tc>
              <w:tc>
                <w:tcPr>
                  <w:tcW w:w="1224" w:type="pct"/>
                  <w:vMerge w:val="restart"/>
                  <w:tcBorders>
                    <w:tl2br w:val="nil"/>
                    <w:tr2bl w:val="nil"/>
                  </w:tcBorders>
                  <w:noWrap w:val="0"/>
                  <w:vAlign w:val="center"/>
                </w:tcPr>
                <w:p w14:paraId="7B3979E4">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GC-MS 6890N+5973型气质联用仪</w:t>
                  </w:r>
                </w:p>
                <w:p w14:paraId="67388846">
                  <w:pPr>
                    <w:keepNext w:val="0"/>
                    <w:keepLines w:val="0"/>
                    <w:suppressLineNumbers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(HFJ-048</w:t>
                  </w:r>
                  <w:r>
                    <w:rPr>
                      <w:rFonts w:hint="default"/>
                      <w:color w:val="auto"/>
                      <w:sz w:val="21"/>
                      <w:szCs w:val="21"/>
                      <w:highlight w:val="none"/>
                    </w:rPr>
                    <w:t>)</w:t>
                  </w:r>
                </w:p>
              </w:tc>
              <w:tc>
                <w:tcPr>
                  <w:tcW w:w="734" w:type="pct"/>
                  <w:tcBorders>
                    <w:tl2br w:val="nil"/>
                    <w:tr2bl w:val="nil"/>
                  </w:tcBorders>
                  <w:noWrap w:val="0"/>
                  <w:vAlign w:val="center"/>
                </w:tcPr>
                <w:p w14:paraId="1932B9E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0.8μg/L</w:t>
                  </w:r>
                </w:p>
              </w:tc>
            </w:tr>
            <w:tr w14:paraId="42982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6BCB91E2">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甲苯</w:t>
                  </w:r>
                </w:p>
              </w:tc>
              <w:tc>
                <w:tcPr>
                  <w:tcW w:w="1242" w:type="pct"/>
                  <w:vMerge w:val="continue"/>
                  <w:tcBorders>
                    <w:tl2br w:val="nil"/>
                    <w:tr2bl w:val="nil"/>
                  </w:tcBorders>
                  <w:noWrap w:val="0"/>
                  <w:vAlign w:val="center"/>
                </w:tcPr>
                <w:p w14:paraId="2457975C">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olor w:val="auto"/>
                      <w:sz w:val="21"/>
                      <w:szCs w:val="21"/>
                      <w:highlight w:val="none"/>
                    </w:rPr>
                  </w:pPr>
                </w:p>
              </w:tc>
              <w:tc>
                <w:tcPr>
                  <w:tcW w:w="939" w:type="pct"/>
                  <w:vMerge w:val="continue"/>
                  <w:tcBorders>
                    <w:tl2br w:val="nil"/>
                    <w:tr2bl w:val="nil"/>
                  </w:tcBorders>
                  <w:noWrap w:val="0"/>
                  <w:vAlign w:val="center"/>
                </w:tcPr>
                <w:p w14:paraId="0A37183E">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olor w:val="auto"/>
                      <w:sz w:val="21"/>
                      <w:szCs w:val="21"/>
                      <w:highlight w:val="none"/>
                    </w:rPr>
                  </w:pPr>
                </w:p>
              </w:tc>
              <w:tc>
                <w:tcPr>
                  <w:tcW w:w="1224" w:type="pct"/>
                  <w:vMerge w:val="continue"/>
                  <w:tcBorders>
                    <w:tl2br w:val="nil"/>
                    <w:tr2bl w:val="nil"/>
                  </w:tcBorders>
                  <w:noWrap w:val="0"/>
                  <w:vAlign w:val="center"/>
                </w:tcPr>
                <w:p w14:paraId="40B32E1A">
                  <w:pPr>
                    <w:keepNext w:val="0"/>
                    <w:keepLines w:val="0"/>
                    <w:suppressLineNumbers w:val="0"/>
                    <w:spacing w:before="0" w:beforeAutospacing="0" w:after="0" w:afterAutospacing="0"/>
                    <w:ind w:left="0" w:right="0"/>
                    <w:jc w:val="center"/>
                    <w:rPr>
                      <w:rFonts w:hint="default"/>
                      <w:color w:val="auto"/>
                      <w:kern w:val="0"/>
                      <w:sz w:val="21"/>
                      <w:szCs w:val="21"/>
                      <w:highlight w:val="none"/>
                    </w:rPr>
                  </w:pPr>
                </w:p>
              </w:tc>
              <w:tc>
                <w:tcPr>
                  <w:tcW w:w="734" w:type="pct"/>
                  <w:tcBorders>
                    <w:tl2br w:val="nil"/>
                    <w:tr2bl w:val="nil"/>
                  </w:tcBorders>
                  <w:noWrap w:val="0"/>
                  <w:vAlign w:val="center"/>
                </w:tcPr>
                <w:p w14:paraId="47A7E09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1.0μg/L</w:t>
                  </w:r>
                </w:p>
              </w:tc>
            </w:tr>
            <w:tr w14:paraId="7C014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5CD39B77">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乙苯</w:t>
                  </w:r>
                </w:p>
              </w:tc>
              <w:tc>
                <w:tcPr>
                  <w:tcW w:w="1242" w:type="pct"/>
                  <w:vMerge w:val="continue"/>
                  <w:tcBorders>
                    <w:tl2br w:val="nil"/>
                    <w:tr2bl w:val="nil"/>
                  </w:tcBorders>
                  <w:noWrap w:val="0"/>
                  <w:vAlign w:val="center"/>
                </w:tcPr>
                <w:p w14:paraId="7E86F867">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olor w:val="auto"/>
                      <w:sz w:val="21"/>
                      <w:szCs w:val="21"/>
                      <w:highlight w:val="none"/>
                    </w:rPr>
                  </w:pPr>
                </w:p>
              </w:tc>
              <w:tc>
                <w:tcPr>
                  <w:tcW w:w="939" w:type="pct"/>
                  <w:vMerge w:val="continue"/>
                  <w:tcBorders>
                    <w:tl2br w:val="nil"/>
                    <w:tr2bl w:val="nil"/>
                  </w:tcBorders>
                  <w:noWrap w:val="0"/>
                  <w:vAlign w:val="center"/>
                </w:tcPr>
                <w:p w14:paraId="089A42D3">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olor w:val="auto"/>
                      <w:sz w:val="21"/>
                      <w:szCs w:val="21"/>
                      <w:highlight w:val="none"/>
                    </w:rPr>
                  </w:pPr>
                </w:p>
              </w:tc>
              <w:tc>
                <w:tcPr>
                  <w:tcW w:w="1224" w:type="pct"/>
                  <w:vMerge w:val="continue"/>
                  <w:tcBorders>
                    <w:tl2br w:val="nil"/>
                    <w:tr2bl w:val="nil"/>
                  </w:tcBorders>
                  <w:noWrap w:val="0"/>
                  <w:vAlign w:val="center"/>
                </w:tcPr>
                <w:p w14:paraId="7E56900F">
                  <w:pPr>
                    <w:keepNext w:val="0"/>
                    <w:keepLines w:val="0"/>
                    <w:suppressLineNumbers w:val="0"/>
                    <w:spacing w:before="0" w:beforeAutospacing="0" w:after="0" w:afterAutospacing="0"/>
                    <w:ind w:left="0" w:right="0"/>
                    <w:jc w:val="center"/>
                    <w:rPr>
                      <w:rFonts w:hint="default"/>
                      <w:color w:val="auto"/>
                      <w:kern w:val="0"/>
                      <w:sz w:val="21"/>
                      <w:szCs w:val="21"/>
                      <w:highlight w:val="none"/>
                    </w:rPr>
                  </w:pPr>
                </w:p>
              </w:tc>
              <w:tc>
                <w:tcPr>
                  <w:tcW w:w="734" w:type="pct"/>
                  <w:tcBorders>
                    <w:tl2br w:val="nil"/>
                    <w:tr2bl w:val="nil"/>
                  </w:tcBorders>
                  <w:noWrap w:val="0"/>
                  <w:vAlign w:val="center"/>
                </w:tcPr>
                <w:p w14:paraId="5532F5AA">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1.0μg/L</w:t>
                  </w:r>
                </w:p>
              </w:tc>
            </w:tr>
            <w:tr w14:paraId="67FA6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20AC5492">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pacing w:val="-6"/>
                      <w:kern w:val="0"/>
                      <w:sz w:val="21"/>
                      <w:szCs w:val="21"/>
                      <w:highlight w:val="none"/>
                    </w:rPr>
                    <w:t>间,对二甲苯</w:t>
                  </w:r>
                </w:p>
              </w:tc>
              <w:tc>
                <w:tcPr>
                  <w:tcW w:w="1242" w:type="pct"/>
                  <w:vMerge w:val="continue"/>
                  <w:tcBorders>
                    <w:tl2br w:val="nil"/>
                    <w:tr2bl w:val="nil"/>
                  </w:tcBorders>
                  <w:noWrap w:val="0"/>
                  <w:vAlign w:val="center"/>
                </w:tcPr>
                <w:p w14:paraId="647D61A0">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olor w:val="auto"/>
                      <w:sz w:val="21"/>
                      <w:szCs w:val="21"/>
                      <w:highlight w:val="none"/>
                    </w:rPr>
                  </w:pPr>
                </w:p>
              </w:tc>
              <w:tc>
                <w:tcPr>
                  <w:tcW w:w="939" w:type="pct"/>
                  <w:vMerge w:val="continue"/>
                  <w:tcBorders>
                    <w:tl2br w:val="nil"/>
                    <w:tr2bl w:val="nil"/>
                  </w:tcBorders>
                  <w:noWrap w:val="0"/>
                  <w:vAlign w:val="center"/>
                </w:tcPr>
                <w:p w14:paraId="45C22EA6">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olor w:val="auto"/>
                      <w:sz w:val="21"/>
                      <w:szCs w:val="21"/>
                      <w:highlight w:val="none"/>
                    </w:rPr>
                  </w:pPr>
                </w:p>
              </w:tc>
              <w:tc>
                <w:tcPr>
                  <w:tcW w:w="1224" w:type="pct"/>
                  <w:vMerge w:val="continue"/>
                  <w:tcBorders>
                    <w:tl2br w:val="nil"/>
                    <w:tr2bl w:val="nil"/>
                  </w:tcBorders>
                  <w:noWrap w:val="0"/>
                  <w:vAlign w:val="center"/>
                </w:tcPr>
                <w:p w14:paraId="6FD929D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34" w:type="pct"/>
                  <w:tcBorders>
                    <w:tl2br w:val="nil"/>
                    <w:tr2bl w:val="nil"/>
                  </w:tcBorders>
                  <w:noWrap w:val="0"/>
                  <w:vAlign w:val="center"/>
                </w:tcPr>
                <w:p w14:paraId="0EF059E6">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0.7μg/L</w:t>
                  </w:r>
                </w:p>
              </w:tc>
            </w:tr>
            <w:tr w14:paraId="24B0F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1DCAA19D">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pacing w:val="-6"/>
                      <w:kern w:val="0"/>
                      <w:sz w:val="21"/>
                      <w:szCs w:val="21"/>
                      <w:highlight w:val="none"/>
                    </w:rPr>
                    <w:t>邻二甲苯</w:t>
                  </w:r>
                </w:p>
              </w:tc>
              <w:tc>
                <w:tcPr>
                  <w:tcW w:w="1242" w:type="pct"/>
                  <w:vMerge w:val="continue"/>
                  <w:tcBorders>
                    <w:tl2br w:val="nil"/>
                    <w:tr2bl w:val="nil"/>
                  </w:tcBorders>
                  <w:noWrap w:val="0"/>
                  <w:vAlign w:val="center"/>
                </w:tcPr>
                <w:p w14:paraId="5693D0A5">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p>
              </w:tc>
              <w:tc>
                <w:tcPr>
                  <w:tcW w:w="939" w:type="pct"/>
                  <w:vMerge w:val="continue"/>
                  <w:tcBorders>
                    <w:tl2br w:val="nil"/>
                    <w:tr2bl w:val="nil"/>
                  </w:tcBorders>
                  <w:noWrap w:val="0"/>
                  <w:vAlign w:val="center"/>
                </w:tcPr>
                <w:p w14:paraId="1B4FA392">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1224" w:type="pct"/>
                  <w:vMerge w:val="continue"/>
                  <w:tcBorders>
                    <w:tl2br w:val="nil"/>
                    <w:tr2bl w:val="nil"/>
                  </w:tcBorders>
                  <w:noWrap w:val="0"/>
                  <w:vAlign w:val="center"/>
                </w:tcPr>
                <w:p w14:paraId="40678888">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p>
              </w:tc>
              <w:tc>
                <w:tcPr>
                  <w:tcW w:w="734" w:type="pct"/>
                  <w:tcBorders>
                    <w:tl2br w:val="nil"/>
                    <w:tr2bl w:val="nil"/>
                  </w:tcBorders>
                  <w:noWrap w:val="0"/>
                  <w:vAlign w:val="center"/>
                </w:tcPr>
                <w:p w14:paraId="2E7A543A">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0.8μg/L</w:t>
                  </w:r>
                </w:p>
              </w:tc>
            </w:tr>
            <w:tr w14:paraId="2BE0C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3C82A195">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苯并[a]芘</w:t>
                  </w:r>
                </w:p>
              </w:tc>
              <w:tc>
                <w:tcPr>
                  <w:tcW w:w="1242" w:type="pct"/>
                  <w:tcBorders>
                    <w:tl2br w:val="nil"/>
                    <w:tr2bl w:val="nil"/>
                  </w:tcBorders>
                  <w:noWrap w:val="0"/>
                  <w:vAlign w:val="center"/>
                </w:tcPr>
                <w:p w14:paraId="7516AF16">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rPr>
                  </w:pPr>
                  <w:r>
                    <w:rPr>
                      <w:rFonts w:hint="default"/>
                      <w:color w:val="auto"/>
                      <w:kern w:val="0"/>
                      <w:sz w:val="21"/>
                      <w:szCs w:val="21"/>
                      <w:highlight w:val="none"/>
                    </w:rPr>
                    <w:t xml:space="preserve">水质 多环芳烃的测定 </w:t>
                  </w:r>
                  <w:r>
                    <w:rPr>
                      <w:rFonts w:hint="eastAsia"/>
                      <w:color w:val="auto"/>
                      <w:kern w:val="0"/>
                      <w:sz w:val="21"/>
                      <w:szCs w:val="21"/>
                      <w:highlight w:val="none"/>
                      <w:lang w:eastAsia="zh-CN"/>
                    </w:rPr>
                    <w:t>液</w:t>
                  </w:r>
                  <w:r>
                    <w:rPr>
                      <w:rFonts w:hint="default"/>
                      <w:color w:val="auto"/>
                      <w:kern w:val="0"/>
                      <w:sz w:val="21"/>
                      <w:szCs w:val="21"/>
                      <w:highlight w:val="none"/>
                    </w:rPr>
                    <w:t>萃取和固相萃取高效液</w:t>
                  </w:r>
                </w:p>
                <w:p w14:paraId="42D6419E">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r>
                    <w:rPr>
                      <w:rFonts w:hint="default"/>
                      <w:color w:val="auto"/>
                      <w:kern w:val="0"/>
                      <w:sz w:val="21"/>
                      <w:szCs w:val="21"/>
                      <w:highlight w:val="none"/>
                    </w:rPr>
                    <w:t>相色谱法</w:t>
                  </w:r>
                </w:p>
              </w:tc>
              <w:tc>
                <w:tcPr>
                  <w:tcW w:w="939" w:type="pct"/>
                  <w:tcBorders>
                    <w:tl2br w:val="nil"/>
                    <w:tr2bl w:val="nil"/>
                  </w:tcBorders>
                  <w:noWrap w:val="0"/>
                  <w:vAlign w:val="center"/>
                </w:tcPr>
                <w:p w14:paraId="456B9A1C">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r>
                    <w:rPr>
                      <w:rFonts w:hint="default"/>
                      <w:color w:val="auto"/>
                      <w:kern w:val="0"/>
                      <w:sz w:val="21"/>
                      <w:szCs w:val="21"/>
                      <w:highlight w:val="none"/>
                    </w:rPr>
                    <w:t>HJ 478-2009</w:t>
                  </w:r>
                </w:p>
              </w:tc>
              <w:tc>
                <w:tcPr>
                  <w:tcW w:w="1224" w:type="pct"/>
                  <w:tcBorders>
                    <w:tl2br w:val="nil"/>
                    <w:tr2bl w:val="nil"/>
                  </w:tcBorders>
                  <w:noWrap w:val="0"/>
                  <w:vAlign w:val="center"/>
                </w:tcPr>
                <w:p w14:paraId="3BB06497">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rPr>
                  </w:pPr>
                  <w:r>
                    <w:rPr>
                      <w:rFonts w:hint="default"/>
                      <w:color w:val="auto"/>
                      <w:kern w:val="0"/>
                      <w:sz w:val="21"/>
                      <w:szCs w:val="21"/>
                      <w:highlight w:val="none"/>
                    </w:rPr>
                    <w:t>Waters2695型液相</w:t>
                  </w:r>
                </w:p>
                <w:p w14:paraId="71BDD7E4">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rPr>
                  </w:pPr>
                  <w:r>
                    <w:rPr>
                      <w:rFonts w:hint="default"/>
                      <w:color w:val="auto"/>
                      <w:kern w:val="0"/>
                      <w:sz w:val="21"/>
                      <w:szCs w:val="21"/>
                      <w:highlight w:val="none"/>
                    </w:rPr>
                    <w:t>色谱仪</w:t>
                  </w:r>
                </w:p>
                <w:p w14:paraId="3662E303">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r>
                    <w:rPr>
                      <w:rFonts w:hint="default"/>
                      <w:color w:val="auto"/>
                      <w:kern w:val="0"/>
                      <w:sz w:val="21"/>
                      <w:szCs w:val="21"/>
                      <w:highlight w:val="none"/>
                    </w:rPr>
                    <w:t>（HFJ-048）</w:t>
                  </w:r>
                </w:p>
              </w:tc>
              <w:tc>
                <w:tcPr>
                  <w:tcW w:w="734" w:type="pct"/>
                  <w:tcBorders>
                    <w:tl2br w:val="nil"/>
                    <w:tr2bl w:val="nil"/>
                  </w:tcBorders>
                  <w:noWrap w:val="0"/>
                  <w:vAlign w:val="center"/>
                </w:tcPr>
                <w:p w14:paraId="6C0F3ADB">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0.0004μg/L</w:t>
                  </w:r>
                </w:p>
              </w:tc>
            </w:tr>
            <w:tr w14:paraId="0B7BD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860" w:type="pct"/>
                  <w:tcBorders>
                    <w:tl2br w:val="nil"/>
                    <w:tr2bl w:val="nil"/>
                  </w:tcBorders>
                  <w:noWrap w:val="0"/>
                  <w:vAlign w:val="center"/>
                </w:tcPr>
                <w:p w14:paraId="7193F425">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pacing w:val="-6"/>
                      <w:sz w:val="21"/>
                      <w:szCs w:val="21"/>
                      <w:highlight w:val="none"/>
                    </w:rPr>
                    <w:t>石油烃（C</w:t>
                  </w:r>
                  <w:r>
                    <w:rPr>
                      <w:rFonts w:hint="default" w:cs="Times New Roman"/>
                      <w:color w:val="auto"/>
                      <w:spacing w:val="-6"/>
                      <w:sz w:val="21"/>
                      <w:szCs w:val="21"/>
                      <w:highlight w:val="none"/>
                      <w:vertAlign w:val="subscript"/>
                    </w:rPr>
                    <w:t>6</w:t>
                  </w:r>
                  <w:r>
                    <w:rPr>
                      <w:rFonts w:hint="default" w:cs="Times New Roman"/>
                      <w:color w:val="auto"/>
                      <w:spacing w:val="-6"/>
                      <w:sz w:val="21"/>
                      <w:szCs w:val="21"/>
                      <w:highlight w:val="none"/>
                    </w:rPr>
                    <w:t>-C</w:t>
                  </w:r>
                  <w:r>
                    <w:rPr>
                      <w:rFonts w:hint="default" w:cs="Times New Roman"/>
                      <w:color w:val="auto"/>
                      <w:spacing w:val="-6"/>
                      <w:sz w:val="21"/>
                      <w:szCs w:val="21"/>
                      <w:highlight w:val="none"/>
                      <w:vertAlign w:val="subscript"/>
                    </w:rPr>
                    <w:t>9</w:t>
                  </w:r>
                  <w:r>
                    <w:rPr>
                      <w:rFonts w:hint="default" w:cs="Times New Roman"/>
                      <w:color w:val="auto"/>
                      <w:spacing w:val="-6"/>
                      <w:sz w:val="21"/>
                      <w:szCs w:val="21"/>
                      <w:highlight w:val="none"/>
                    </w:rPr>
                    <w:t>）*</w:t>
                  </w:r>
                </w:p>
              </w:tc>
              <w:tc>
                <w:tcPr>
                  <w:tcW w:w="1242" w:type="pct"/>
                  <w:tcBorders>
                    <w:tl2br w:val="nil"/>
                    <w:tr2bl w:val="nil"/>
                  </w:tcBorders>
                  <w:noWrap w:val="0"/>
                  <w:vAlign w:val="center"/>
                </w:tcPr>
                <w:p w14:paraId="09F4CEB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水质 挥发性石油(C</w:t>
                  </w:r>
                  <w:r>
                    <w:rPr>
                      <w:rFonts w:hint="default"/>
                      <w:color w:val="auto"/>
                      <w:sz w:val="21"/>
                      <w:szCs w:val="21"/>
                      <w:highlight w:val="none"/>
                      <w:vertAlign w:val="subscript"/>
                    </w:rPr>
                    <w:t>6</w:t>
                  </w:r>
                  <w:r>
                    <w:rPr>
                      <w:rFonts w:hint="default"/>
                      <w:color w:val="auto"/>
                      <w:sz w:val="21"/>
                      <w:szCs w:val="21"/>
                      <w:highlight w:val="none"/>
                    </w:rPr>
                    <w:t>-C</w:t>
                  </w:r>
                  <w:r>
                    <w:rPr>
                      <w:rFonts w:hint="default"/>
                      <w:color w:val="auto"/>
                      <w:sz w:val="21"/>
                      <w:szCs w:val="21"/>
                      <w:highlight w:val="none"/>
                      <w:vertAlign w:val="subscript"/>
                    </w:rPr>
                    <w:t>9</w:t>
                  </w:r>
                  <w:r>
                    <w:rPr>
                      <w:rFonts w:hint="default"/>
                      <w:color w:val="auto"/>
                      <w:sz w:val="21"/>
                      <w:szCs w:val="21"/>
                      <w:highlight w:val="none"/>
                    </w:rPr>
                    <w:t>)的测定 吹扫捕集/气相色谱法</w:t>
                  </w:r>
                </w:p>
              </w:tc>
              <w:tc>
                <w:tcPr>
                  <w:tcW w:w="939" w:type="pct"/>
                  <w:tcBorders>
                    <w:tl2br w:val="nil"/>
                    <w:tr2bl w:val="nil"/>
                  </w:tcBorders>
                  <w:noWrap w:val="0"/>
                  <w:vAlign w:val="center"/>
                </w:tcPr>
                <w:p w14:paraId="6132EFA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HJ 893-2017</w:t>
                  </w:r>
                </w:p>
              </w:tc>
              <w:tc>
                <w:tcPr>
                  <w:tcW w:w="1224" w:type="pct"/>
                  <w:tcBorders>
                    <w:tl2br w:val="nil"/>
                    <w:tr2bl w:val="nil"/>
                  </w:tcBorders>
                  <w:noWrap w:val="0"/>
                  <w:vAlign w:val="center"/>
                </w:tcPr>
                <w:p w14:paraId="63D9EBF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ntuvo9000气相</w:t>
                  </w:r>
                </w:p>
                <w:p w14:paraId="51E8821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色谱仪</w:t>
                  </w:r>
                </w:p>
                <w:p w14:paraId="52596DA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（CHYC/01-3024）</w:t>
                  </w:r>
                </w:p>
              </w:tc>
              <w:tc>
                <w:tcPr>
                  <w:tcW w:w="734" w:type="pct"/>
                  <w:tcBorders>
                    <w:tl2br w:val="nil"/>
                    <w:tr2bl w:val="nil"/>
                  </w:tcBorders>
                  <w:noWrap w:val="0"/>
                  <w:vAlign w:val="center"/>
                </w:tcPr>
                <w:p w14:paraId="16C87A8B">
                  <w:pPr>
                    <w:keepNext w:val="0"/>
                    <w:keepLines w:val="0"/>
                    <w:widowControl/>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0.02mg/L</w:t>
                  </w:r>
                </w:p>
              </w:tc>
            </w:tr>
            <w:tr w14:paraId="60745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279DC116">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pacing w:val="-11"/>
                      <w:kern w:val="0"/>
                      <w:sz w:val="21"/>
                      <w:szCs w:val="21"/>
                      <w:highlight w:val="none"/>
                    </w:rPr>
                    <w:t>石油烃（C</w:t>
                  </w:r>
                  <w:r>
                    <w:rPr>
                      <w:rFonts w:hint="default" w:cs="Times New Roman"/>
                      <w:color w:val="auto"/>
                      <w:spacing w:val="-11"/>
                      <w:kern w:val="0"/>
                      <w:sz w:val="21"/>
                      <w:szCs w:val="21"/>
                      <w:highlight w:val="none"/>
                      <w:vertAlign w:val="subscript"/>
                    </w:rPr>
                    <w:t>10</w:t>
                  </w:r>
                  <w:r>
                    <w:rPr>
                      <w:rFonts w:hint="default" w:cs="Times New Roman"/>
                      <w:color w:val="auto"/>
                      <w:spacing w:val="-11"/>
                      <w:kern w:val="0"/>
                      <w:sz w:val="21"/>
                      <w:szCs w:val="21"/>
                      <w:highlight w:val="none"/>
                    </w:rPr>
                    <w:t>-C</w:t>
                  </w:r>
                  <w:r>
                    <w:rPr>
                      <w:rFonts w:hint="default" w:cs="Times New Roman"/>
                      <w:color w:val="auto"/>
                      <w:spacing w:val="-11"/>
                      <w:kern w:val="0"/>
                      <w:sz w:val="21"/>
                      <w:szCs w:val="21"/>
                      <w:highlight w:val="none"/>
                      <w:vertAlign w:val="subscript"/>
                    </w:rPr>
                    <w:t>40</w:t>
                  </w:r>
                  <w:r>
                    <w:rPr>
                      <w:rFonts w:hint="default" w:cs="Times New Roman"/>
                      <w:color w:val="auto"/>
                      <w:spacing w:val="-11"/>
                      <w:kern w:val="0"/>
                      <w:sz w:val="21"/>
                      <w:szCs w:val="21"/>
                      <w:highlight w:val="none"/>
                    </w:rPr>
                    <w:t>）*</w:t>
                  </w:r>
                </w:p>
              </w:tc>
              <w:tc>
                <w:tcPr>
                  <w:tcW w:w="1242" w:type="pct"/>
                  <w:tcBorders>
                    <w:tl2br w:val="nil"/>
                    <w:tr2bl w:val="nil"/>
                  </w:tcBorders>
                  <w:noWrap w:val="0"/>
                  <w:vAlign w:val="center"/>
                </w:tcPr>
                <w:p w14:paraId="1965512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水质 可萃取性石油烃（C</w:t>
                  </w:r>
                  <w:r>
                    <w:rPr>
                      <w:rFonts w:hint="default"/>
                      <w:color w:val="auto"/>
                      <w:sz w:val="21"/>
                      <w:szCs w:val="21"/>
                      <w:highlight w:val="none"/>
                      <w:vertAlign w:val="subscript"/>
                    </w:rPr>
                    <w:t>10</w:t>
                  </w:r>
                  <w:r>
                    <w:rPr>
                      <w:rFonts w:hint="default"/>
                      <w:color w:val="auto"/>
                      <w:sz w:val="21"/>
                      <w:szCs w:val="21"/>
                      <w:highlight w:val="none"/>
                    </w:rPr>
                    <w:t>-C</w:t>
                  </w:r>
                  <w:r>
                    <w:rPr>
                      <w:rFonts w:hint="default"/>
                      <w:color w:val="auto"/>
                      <w:sz w:val="21"/>
                      <w:szCs w:val="21"/>
                      <w:highlight w:val="none"/>
                      <w:vertAlign w:val="subscript"/>
                    </w:rPr>
                    <w:t>40</w:t>
                  </w:r>
                  <w:r>
                    <w:rPr>
                      <w:rFonts w:hint="default"/>
                      <w:color w:val="auto"/>
                      <w:sz w:val="21"/>
                      <w:szCs w:val="21"/>
                      <w:highlight w:val="none"/>
                    </w:rPr>
                    <w:t>）的测定 气相色谱法</w:t>
                  </w:r>
                </w:p>
              </w:tc>
              <w:tc>
                <w:tcPr>
                  <w:tcW w:w="939" w:type="pct"/>
                  <w:tcBorders>
                    <w:tl2br w:val="nil"/>
                    <w:tr2bl w:val="nil"/>
                  </w:tcBorders>
                  <w:noWrap w:val="0"/>
                  <w:vAlign w:val="center"/>
                </w:tcPr>
                <w:p w14:paraId="2E6CD96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HJ 894-2017</w:t>
                  </w:r>
                </w:p>
              </w:tc>
              <w:tc>
                <w:tcPr>
                  <w:tcW w:w="1224" w:type="pct"/>
                  <w:tcBorders>
                    <w:tl2br w:val="nil"/>
                    <w:tr2bl w:val="nil"/>
                  </w:tcBorders>
                  <w:noWrap w:val="0"/>
                  <w:vAlign w:val="center"/>
                </w:tcPr>
                <w:p w14:paraId="07D6F4B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ntuvo9000气相</w:t>
                  </w:r>
                </w:p>
                <w:p w14:paraId="1CDFDC8F">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色谱仪</w:t>
                  </w:r>
                </w:p>
                <w:p w14:paraId="04B6C39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（CHYC/01-3024）</w:t>
                  </w:r>
                </w:p>
              </w:tc>
              <w:tc>
                <w:tcPr>
                  <w:tcW w:w="734" w:type="pct"/>
                  <w:tcBorders>
                    <w:tl2br w:val="nil"/>
                    <w:tr2bl w:val="nil"/>
                  </w:tcBorders>
                  <w:noWrap w:val="0"/>
                  <w:vAlign w:val="center"/>
                </w:tcPr>
                <w:p w14:paraId="0D603A65">
                  <w:pPr>
                    <w:keepNext w:val="0"/>
                    <w:keepLines w:val="0"/>
                    <w:widowControl/>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0.01mg/L</w:t>
                  </w:r>
                </w:p>
              </w:tc>
            </w:tr>
            <w:tr w14:paraId="07A46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0" w:type="pct"/>
                  <w:tcBorders>
                    <w:tl2br w:val="nil"/>
                    <w:tr2bl w:val="nil"/>
                  </w:tcBorders>
                  <w:noWrap w:val="0"/>
                  <w:vAlign w:val="center"/>
                </w:tcPr>
                <w:p w14:paraId="4878FE9A">
                  <w:pPr>
                    <w:pStyle w:val="40"/>
                    <w:keepNext w:val="0"/>
                    <w:keepLines w:val="0"/>
                    <w:suppressLineNumbers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甲基叔丁基醚*</w:t>
                  </w:r>
                </w:p>
              </w:tc>
              <w:tc>
                <w:tcPr>
                  <w:tcW w:w="1242" w:type="pct"/>
                  <w:tcBorders>
                    <w:tl2br w:val="nil"/>
                    <w:tr2bl w:val="nil"/>
                  </w:tcBorders>
                  <w:noWrap w:val="0"/>
                  <w:vAlign w:val="center"/>
                </w:tcPr>
                <w:p w14:paraId="1D2CC2E8">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水质 挥发性有机物的测定 吹扫捕集/气相色谱-质谱法</w:t>
                  </w:r>
                </w:p>
              </w:tc>
              <w:tc>
                <w:tcPr>
                  <w:tcW w:w="939" w:type="pct"/>
                  <w:tcBorders>
                    <w:tl2br w:val="nil"/>
                    <w:tr2bl w:val="nil"/>
                  </w:tcBorders>
                  <w:noWrap w:val="0"/>
                  <w:vAlign w:val="center"/>
                </w:tcPr>
                <w:p w14:paraId="4FF04D1D">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HJ 639-2012</w:t>
                  </w:r>
                </w:p>
              </w:tc>
              <w:tc>
                <w:tcPr>
                  <w:tcW w:w="1224" w:type="pct"/>
                  <w:tcBorders>
                    <w:tl2br w:val="nil"/>
                    <w:tr2bl w:val="nil"/>
                  </w:tcBorders>
                  <w:noWrap w:val="0"/>
                  <w:vAlign w:val="center"/>
                </w:tcPr>
                <w:p w14:paraId="2BEBC199">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Intuvo9000+5977B气相色谱质谱联用仪</w:t>
                  </w:r>
                </w:p>
                <w:p w14:paraId="5BF7F55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（CHYC/01-3023）</w:t>
                  </w:r>
                </w:p>
              </w:tc>
              <w:tc>
                <w:tcPr>
                  <w:tcW w:w="734" w:type="pct"/>
                  <w:tcBorders>
                    <w:tl2br w:val="nil"/>
                    <w:tr2bl w:val="nil"/>
                  </w:tcBorders>
                  <w:noWrap w:val="0"/>
                  <w:vAlign w:val="center"/>
                </w:tcPr>
                <w:p w14:paraId="1668C36A">
                  <w:pPr>
                    <w:keepNext w:val="0"/>
                    <w:keepLines w:val="0"/>
                    <w:widowControl/>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0.7μg/L</w:t>
                  </w:r>
                </w:p>
              </w:tc>
            </w:tr>
          </w:tbl>
          <w:p w14:paraId="009D5A69">
            <w:pPr>
              <w:pStyle w:val="57"/>
              <w:keepNext w:val="0"/>
              <w:keepLines w:val="0"/>
              <w:suppressLineNumbers w:val="0"/>
              <w:spacing w:before="0" w:beforeAutospacing="0" w:after="0" w:afterAutospacing="0"/>
              <w:ind w:left="0" w:right="0" w:firstLine="482"/>
              <w:rPr>
                <w:rFonts w:hint="default"/>
                <w:b/>
                <w:bCs/>
                <w:color w:val="auto"/>
                <w:szCs w:val="24"/>
                <w:highlight w:val="none"/>
              </w:rPr>
            </w:pPr>
            <w:r>
              <w:rPr>
                <w:rFonts w:hint="eastAsia"/>
                <w:b/>
                <w:bCs/>
                <w:color w:val="auto"/>
                <w:szCs w:val="24"/>
                <w:highlight w:val="none"/>
                <w:lang w:val="en-US" w:eastAsia="zh-CN"/>
              </w:rPr>
              <w:t>④</w:t>
            </w:r>
            <w:r>
              <w:rPr>
                <w:rFonts w:hint="default"/>
                <w:b/>
                <w:bCs/>
                <w:color w:val="auto"/>
                <w:szCs w:val="24"/>
                <w:highlight w:val="none"/>
              </w:rPr>
              <w:t>、监测分析结果</w:t>
            </w:r>
          </w:p>
          <w:p w14:paraId="10DA335F">
            <w:pPr>
              <w:pStyle w:val="57"/>
              <w:keepNext w:val="0"/>
              <w:keepLines w:val="0"/>
              <w:suppressLineNumbers w:val="0"/>
              <w:spacing w:before="0" w:beforeAutospacing="0" w:after="0" w:afterAutospacing="0"/>
              <w:ind w:left="0" w:right="0" w:firstLine="480"/>
              <w:rPr>
                <w:rFonts w:hint="default"/>
                <w:color w:val="auto"/>
                <w:szCs w:val="24"/>
                <w:highlight w:val="none"/>
              </w:rPr>
            </w:pPr>
            <w:r>
              <w:rPr>
                <w:rFonts w:hint="default"/>
                <w:color w:val="auto"/>
                <w:szCs w:val="24"/>
                <w:highlight w:val="none"/>
              </w:rPr>
              <w:t>1）评价方法</w:t>
            </w:r>
          </w:p>
          <w:p w14:paraId="4DB2BB6C">
            <w:pPr>
              <w:pStyle w:val="57"/>
              <w:keepNext w:val="0"/>
              <w:keepLines w:val="0"/>
              <w:suppressLineNumbers w:val="0"/>
              <w:spacing w:before="0" w:beforeAutospacing="0" w:after="0" w:afterAutospacing="0" w:line="360" w:lineRule="auto"/>
              <w:ind w:left="0" w:right="0" w:firstLine="480"/>
              <w:rPr>
                <w:rFonts w:hint="default"/>
                <w:color w:val="auto"/>
                <w:szCs w:val="24"/>
                <w:highlight w:val="none"/>
              </w:rPr>
            </w:pPr>
            <w:r>
              <w:rPr>
                <w:rFonts w:hint="default"/>
                <w:color w:val="auto"/>
                <w:szCs w:val="24"/>
                <w:highlight w:val="none"/>
              </w:rPr>
              <w:t>采用单项标准指数法评价，其数学模式如下：</w:t>
            </w:r>
          </w:p>
          <w:p w14:paraId="6E062DA6">
            <w:pPr>
              <w:pStyle w:val="57"/>
              <w:keepNext w:val="0"/>
              <w:keepLines w:val="0"/>
              <w:suppressLineNumbers w:val="0"/>
              <w:spacing w:before="0" w:beforeAutospacing="0" w:after="0" w:afterAutospacing="0" w:line="360" w:lineRule="auto"/>
              <w:ind w:left="0" w:right="0" w:firstLine="482"/>
              <w:rPr>
                <w:rFonts w:hint="default"/>
                <w:color w:val="auto"/>
                <w:szCs w:val="24"/>
                <w:highlight w:val="none"/>
              </w:rPr>
            </w:pPr>
            <w:r>
              <w:rPr>
                <w:rFonts w:hint="default"/>
                <w:b/>
                <w:bCs/>
                <w:color w:val="auto"/>
                <w:szCs w:val="24"/>
                <w:highlight w:val="none"/>
              </w:rPr>
              <w:drawing>
                <wp:anchor distT="0" distB="0" distL="114300" distR="114300" simplePos="0" relativeHeight="251661312" behindDoc="0" locked="0" layoutInCell="1" allowOverlap="1">
                  <wp:simplePos x="0" y="0"/>
                  <wp:positionH relativeFrom="column">
                    <wp:posOffset>1677670</wp:posOffset>
                  </wp:positionH>
                  <wp:positionV relativeFrom="paragraph">
                    <wp:posOffset>265430</wp:posOffset>
                  </wp:positionV>
                  <wp:extent cx="597535" cy="469265"/>
                  <wp:effectExtent l="0" t="0" r="12065" b="6350"/>
                  <wp:wrapNone/>
                  <wp:docPr id="9" name="对象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对象 7"/>
                          <pic:cNvPicPr>
                            <a:picLocks noChangeAspect="1"/>
                          </pic:cNvPicPr>
                        </pic:nvPicPr>
                        <pic:blipFill>
                          <a:blip r:embed="rId25"/>
                          <a:stretch>
                            <a:fillRect/>
                          </a:stretch>
                        </pic:blipFill>
                        <pic:spPr>
                          <a:xfrm>
                            <a:off x="0" y="0"/>
                            <a:ext cx="597535" cy="469265"/>
                          </a:xfrm>
                          <a:prstGeom prst="rect">
                            <a:avLst/>
                          </a:prstGeom>
                          <a:noFill/>
                          <a:ln>
                            <a:noFill/>
                          </a:ln>
                        </pic:spPr>
                      </pic:pic>
                    </a:graphicData>
                  </a:graphic>
                </wp:anchor>
              </w:drawing>
            </w:r>
            <w:r>
              <w:rPr>
                <w:rFonts w:hint="default"/>
                <w:b/>
                <w:bCs/>
                <w:color w:val="auto"/>
                <w:szCs w:val="24"/>
                <w:highlight w:val="none"/>
              </w:rPr>
              <w:t>一般污染物：</w:t>
            </w:r>
          </w:p>
          <w:p w14:paraId="773EEF8E">
            <w:pPr>
              <w:pStyle w:val="57"/>
              <w:keepNext w:val="0"/>
              <w:keepLines w:val="0"/>
              <w:suppressLineNumbers w:val="0"/>
              <w:spacing w:before="0" w:beforeAutospacing="0" w:after="0" w:afterAutospacing="0" w:line="360" w:lineRule="auto"/>
              <w:ind w:left="0" w:right="0" w:firstLine="480"/>
              <w:rPr>
                <w:rFonts w:hint="default"/>
                <w:color w:val="auto"/>
                <w:szCs w:val="24"/>
                <w:highlight w:val="none"/>
              </w:rPr>
            </w:pPr>
          </w:p>
          <w:p w14:paraId="73D0D0EB">
            <w:pPr>
              <w:pStyle w:val="57"/>
              <w:keepNext w:val="0"/>
              <w:keepLines w:val="0"/>
              <w:suppressLineNumbers w:val="0"/>
              <w:spacing w:before="0" w:beforeAutospacing="0" w:after="0" w:afterAutospacing="0" w:line="360" w:lineRule="auto"/>
              <w:ind w:left="0" w:right="0" w:firstLine="480"/>
              <w:rPr>
                <w:rFonts w:hint="default"/>
                <w:color w:val="auto"/>
                <w:szCs w:val="24"/>
                <w:highlight w:val="none"/>
              </w:rPr>
            </w:pPr>
          </w:p>
          <w:p w14:paraId="466581E7">
            <w:pPr>
              <w:keepNext w:val="0"/>
              <w:keepLines w:val="0"/>
              <w:suppressLineNumbers w:val="0"/>
              <w:spacing w:before="0" w:beforeAutospacing="0" w:after="0" w:afterAutospacing="0" w:line="360" w:lineRule="auto"/>
              <w:ind w:left="0" w:right="0" w:firstLine="480"/>
              <w:rPr>
                <w:rFonts w:hint="default"/>
                <w:color w:val="auto"/>
                <w:kern w:val="0"/>
                <w:sz w:val="24"/>
                <w:highlight w:val="none"/>
              </w:rPr>
            </w:pPr>
            <w:r>
              <w:rPr>
                <w:rFonts w:hint="default"/>
                <w:color w:val="auto"/>
                <w:kern w:val="0"/>
                <w:sz w:val="24"/>
                <w:highlight w:val="none"/>
              </w:rPr>
              <w:t>式中：S</w:t>
            </w:r>
            <w:r>
              <w:rPr>
                <w:rFonts w:hint="default"/>
                <w:color w:val="auto"/>
                <w:kern w:val="0"/>
                <w:sz w:val="24"/>
                <w:highlight w:val="none"/>
                <w:vertAlign w:val="subscript"/>
              </w:rPr>
              <w:t>ij</w:t>
            </w:r>
            <w:r>
              <w:rPr>
                <w:rFonts w:hint="default"/>
                <w:color w:val="auto"/>
                <w:kern w:val="0"/>
                <w:sz w:val="24"/>
                <w:highlight w:val="none"/>
              </w:rPr>
              <w:t>——I污染物在监测点j的标准指数；</w:t>
            </w:r>
          </w:p>
          <w:p w14:paraId="5B2386D6">
            <w:pPr>
              <w:keepNext w:val="0"/>
              <w:keepLines w:val="0"/>
              <w:suppressLineNumbers w:val="0"/>
              <w:spacing w:before="0" w:beforeAutospacing="0" w:after="0" w:afterAutospacing="0" w:line="360" w:lineRule="auto"/>
              <w:ind w:left="0" w:right="0" w:firstLine="1200" w:firstLineChars="500"/>
              <w:rPr>
                <w:rFonts w:hint="default"/>
                <w:color w:val="auto"/>
                <w:kern w:val="0"/>
                <w:sz w:val="24"/>
                <w:highlight w:val="none"/>
              </w:rPr>
            </w:pPr>
            <w:r>
              <w:rPr>
                <w:rFonts w:hint="default"/>
                <w:color w:val="auto"/>
                <w:kern w:val="0"/>
                <w:sz w:val="24"/>
                <w:highlight w:val="none"/>
              </w:rPr>
              <w:t>C</w:t>
            </w:r>
            <w:r>
              <w:rPr>
                <w:rFonts w:hint="default"/>
                <w:color w:val="auto"/>
                <w:kern w:val="0"/>
                <w:sz w:val="24"/>
                <w:highlight w:val="none"/>
                <w:vertAlign w:val="subscript"/>
              </w:rPr>
              <w:t>ij</w:t>
            </w:r>
            <w:r>
              <w:rPr>
                <w:rFonts w:hint="default"/>
                <w:color w:val="auto"/>
                <w:kern w:val="0"/>
                <w:sz w:val="24"/>
                <w:highlight w:val="none"/>
              </w:rPr>
              <w:t>——I污染物在监测点j的浓度值（mg/L）；</w:t>
            </w:r>
          </w:p>
          <w:p w14:paraId="3505A2D0">
            <w:pPr>
              <w:keepNext w:val="0"/>
              <w:keepLines w:val="0"/>
              <w:suppressLineNumbers w:val="0"/>
              <w:spacing w:before="0" w:beforeAutospacing="0" w:after="0" w:afterAutospacing="0" w:line="360" w:lineRule="auto"/>
              <w:ind w:left="0" w:right="0" w:firstLine="1200" w:firstLineChars="500"/>
              <w:rPr>
                <w:rFonts w:hint="default"/>
                <w:color w:val="auto"/>
                <w:kern w:val="0"/>
                <w:sz w:val="24"/>
                <w:highlight w:val="none"/>
              </w:rPr>
            </w:pPr>
            <w:r>
              <w:rPr>
                <w:rFonts w:hint="default"/>
                <w:color w:val="auto"/>
                <w:kern w:val="0"/>
                <w:sz w:val="24"/>
                <w:highlight w:val="none"/>
              </w:rPr>
              <w:t>C</w:t>
            </w:r>
            <w:r>
              <w:rPr>
                <w:rFonts w:hint="default"/>
                <w:color w:val="auto"/>
                <w:kern w:val="0"/>
                <w:sz w:val="24"/>
                <w:highlight w:val="none"/>
                <w:vertAlign w:val="subscript"/>
              </w:rPr>
              <w:t>si</w:t>
            </w:r>
            <w:r>
              <w:rPr>
                <w:rFonts w:hint="default"/>
                <w:color w:val="auto"/>
                <w:kern w:val="0"/>
                <w:sz w:val="24"/>
                <w:highlight w:val="none"/>
              </w:rPr>
              <w:t>——I污染物的水环境质量标准值（mg/L）。</w:t>
            </w:r>
          </w:p>
          <w:p w14:paraId="5C81BBFA">
            <w:pPr>
              <w:keepNext w:val="0"/>
              <w:keepLines w:val="0"/>
              <w:suppressLineNumbers w:val="0"/>
              <w:spacing w:before="0" w:beforeAutospacing="0" w:after="0" w:afterAutospacing="0" w:line="360" w:lineRule="auto"/>
              <w:ind w:left="0" w:right="0" w:firstLine="482"/>
              <w:rPr>
                <w:rFonts w:hint="default"/>
                <w:b/>
                <w:bCs/>
                <w:color w:val="auto"/>
                <w:kern w:val="0"/>
                <w:sz w:val="24"/>
                <w:highlight w:val="none"/>
              </w:rPr>
            </w:pPr>
            <w:r>
              <w:rPr>
                <w:rFonts w:hint="default"/>
                <w:b/>
                <w:bCs/>
                <w:color w:val="auto"/>
                <w:kern w:val="0"/>
                <w:sz w:val="24"/>
                <w:highlight w:val="none"/>
              </w:rPr>
              <w:drawing>
                <wp:anchor distT="0" distB="0" distL="114300" distR="114300" simplePos="0" relativeHeight="251662336" behindDoc="0" locked="0" layoutInCell="1" allowOverlap="1">
                  <wp:simplePos x="0" y="0"/>
                  <wp:positionH relativeFrom="column">
                    <wp:posOffset>1755140</wp:posOffset>
                  </wp:positionH>
                  <wp:positionV relativeFrom="paragraph">
                    <wp:posOffset>260350</wp:posOffset>
                  </wp:positionV>
                  <wp:extent cx="1245870" cy="889000"/>
                  <wp:effectExtent l="0" t="0" r="11430" b="6350"/>
                  <wp:wrapNone/>
                  <wp:docPr id="8" name="对象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对象 8"/>
                          <pic:cNvPicPr>
                            <a:picLocks noChangeAspect="1"/>
                          </pic:cNvPicPr>
                        </pic:nvPicPr>
                        <pic:blipFill>
                          <a:blip r:embed="rId26"/>
                          <a:stretch>
                            <a:fillRect/>
                          </a:stretch>
                        </pic:blipFill>
                        <pic:spPr>
                          <a:xfrm>
                            <a:off x="0" y="0"/>
                            <a:ext cx="1245870" cy="889000"/>
                          </a:xfrm>
                          <a:prstGeom prst="rect">
                            <a:avLst/>
                          </a:prstGeom>
                          <a:noFill/>
                          <a:ln>
                            <a:noFill/>
                          </a:ln>
                        </pic:spPr>
                      </pic:pic>
                    </a:graphicData>
                  </a:graphic>
                </wp:anchor>
              </w:drawing>
            </w:r>
            <w:r>
              <w:rPr>
                <w:rFonts w:hint="default"/>
                <w:b/>
                <w:bCs/>
                <w:color w:val="auto"/>
                <w:kern w:val="0"/>
                <w:sz w:val="24"/>
                <w:highlight w:val="none"/>
              </w:rPr>
              <w:t xml:space="preserve">pH：                              </w:t>
            </w:r>
          </w:p>
          <w:p w14:paraId="09F2179F">
            <w:pPr>
              <w:keepNext w:val="0"/>
              <w:keepLines w:val="0"/>
              <w:suppressLineNumbers w:val="0"/>
              <w:spacing w:before="0" w:beforeAutospacing="0" w:after="0" w:afterAutospacing="0" w:line="360" w:lineRule="auto"/>
              <w:ind w:left="0" w:right="0" w:firstLine="5874" w:firstLineChars="2438"/>
              <w:rPr>
                <w:rFonts w:hint="default"/>
                <w:b/>
                <w:bCs/>
                <w:color w:val="auto"/>
                <w:kern w:val="0"/>
                <w:sz w:val="24"/>
                <w:highlight w:val="none"/>
                <w:vertAlign w:val="subscript"/>
              </w:rPr>
            </w:pPr>
            <w:r>
              <w:rPr>
                <w:rFonts w:hint="default"/>
                <w:b/>
                <w:bCs/>
                <w:color w:val="auto"/>
                <w:kern w:val="0"/>
                <w:sz w:val="24"/>
                <w:highlight w:val="none"/>
              </w:rPr>
              <w:t xml:space="preserve"> </w:t>
            </w:r>
            <w:r>
              <w:rPr>
                <w:rFonts w:hint="default"/>
                <w:color w:val="auto"/>
                <w:kern w:val="0"/>
                <w:sz w:val="24"/>
                <w:highlight w:val="none"/>
              </w:rPr>
              <w:t>pH</w:t>
            </w:r>
            <w:r>
              <w:rPr>
                <w:rFonts w:hint="default"/>
                <w:color w:val="auto"/>
                <w:kern w:val="0"/>
                <w:sz w:val="24"/>
                <w:highlight w:val="none"/>
                <w:vertAlign w:val="subscript"/>
              </w:rPr>
              <w:t>j</w:t>
            </w:r>
            <w:r>
              <w:rPr>
                <w:rFonts w:hint="default"/>
                <w:color w:val="auto"/>
                <w:kern w:val="0"/>
                <w:sz w:val="24"/>
                <w:highlight w:val="none"/>
              </w:rPr>
              <w:t>≤7.0</w:t>
            </w:r>
          </w:p>
          <w:p w14:paraId="06382C5C">
            <w:pPr>
              <w:keepNext w:val="0"/>
              <w:keepLines w:val="0"/>
              <w:suppressLineNumbers w:val="0"/>
              <w:spacing w:before="0" w:beforeAutospacing="0" w:after="0" w:afterAutospacing="0" w:line="360" w:lineRule="auto"/>
              <w:ind w:left="0" w:right="0" w:firstLine="5851" w:firstLineChars="2438"/>
              <w:rPr>
                <w:rFonts w:hint="default"/>
                <w:color w:val="auto"/>
                <w:kern w:val="0"/>
                <w:sz w:val="24"/>
                <w:highlight w:val="none"/>
              </w:rPr>
            </w:pPr>
            <w:r>
              <w:rPr>
                <w:rFonts w:hint="default"/>
                <w:color w:val="auto"/>
                <w:kern w:val="0"/>
                <w:sz w:val="24"/>
                <w:highlight w:val="none"/>
              </w:rPr>
              <w:t xml:space="preserve"> pH</w:t>
            </w:r>
            <w:r>
              <w:rPr>
                <w:rFonts w:hint="default"/>
                <w:color w:val="auto"/>
                <w:kern w:val="0"/>
                <w:sz w:val="24"/>
                <w:highlight w:val="none"/>
                <w:vertAlign w:val="subscript"/>
              </w:rPr>
              <w:t>j</w:t>
            </w:r>
            <w:r>
              <w:rPr>
                <w:rFonts w:hint="default"/>
                <w:color w:val="auto"/>
                <w:kern w:val="0"/>
                <w:sz w:val="24"/>
                <w:highlight w:val="none"/>
              </w:rPr>
              <w:t>＞7.0</w:t>
            </w:r>
          </w:p>
          <w:p w14:paraId="4989B04D">
            <w:pPr>
              <w:keepNext w:val="0"/>
              <w:keepLines w:val="0"/>
              <w:suppressLineNumbers w:val="0"/>
              <w:spacing w:before="0" w:beforeAutospacing="0" w:after="0" w:afterAutospacing="0" w:line="360" w:lineRule="auto"/>
              <w:ind w:left="0" w:right="0" w:firstLine="480"/>
              <w:rPr>
                <w:rFonts w:hint="default"/>
                <w:color w:val="auto"/>
                <w:kern w:val="0"/>
                <w:sz w:val="24"/>
                <w:highlight w:val="none"/>
              </w:rPr>
            </w:pPr>
          </w:p>
          <w:p w14:paraId="3AE75159">
            <w:pPr>
              <w:keepNext w:val="0"/>
              <w:keepLines w:val="0"/>
              <w:suppressLineNumbers w:val="0"/>
              <w:spacing w:before="0" w:beforeAutospacing="0" w:after="0" w:afterAutospacing="0" w:line="360" w:lineRule="auto"/>
              <w:ind w:left="0" w:right="0" w:firstLine="480"/>
              <w:rPr>
                <w:rFonts w:hint="default"/>
                <w:color w:val="auto"/>
                <w:kern w:val="0"/>
                <w:sz w:val="24"/>
                <w:highlight w:val="none"/>
              </w:rPr>
            </w:pPr>
            <w:r>
              <w:rPr>
                <w:rFonts w:hint="default"/>
                <w:color w:val="auto"/>
                <w:kern w:val="0"/>
                <w:sz w:val="24"/>
                <w:highlight w:val="none"/>
              </w:rPr>
              <w:t>式中：pH</w:t>
            </w:r>
            <w:r>
              <w:rPr>
                <w:rFonts w:hint="default"/>
                <w:color w:val="auto"/>
                <w:kern w:val="0"/>
                <w:sz w:val="24"/>
                <w:highlight w:val="none"/>
                <w:vertAlign w:val="subscript"/>
              </w:rPr>
              <w:t>j</w:t>
            </w:r>
            <w:r>
              <w:rPr>
                <w:rFonts w:hint="default"/>
                <w:color w:val="auto"/>
                <w:kern w:val="0"/>
                <w:sz w:val="24"/>
                <w:highlight w:val="none"/>
              </w:rPr>
              <w:t>——监测点j的pH值；</w:t>
            </w:r>
          </w:p>
          <w:p w14:paraId="1BF60BCC">
            <w:pPr>
              <w:keepNext w:val="0"/>
              <w:keepLines w:val="0"/>
              <w:suppressLineNumbers w:val="0"/>
              <w:spacing w:before="0" w:beforeAutospacing="0" w:after="0" w:afterAutospacing="0" w:line="360" w:lineRule="auto"/>
              <w:ind w:left="0" w:right="0" w:firstLine="1200" w:firstLineChars="500"/>
              <w:rPr>
                <w:rFonts w:hint="default"/>
                <w:color w:val="auto"/>
                <w:kern w:val="0"/>
                <w:sz w:val="24"/>
                <w:highlight w:val="none"/>
              </w:rPr>
            </w:pPr>
            <w:r>
              <w:rPr>
                <w:rFonts w:hint="default"/>
                <w:color w:val="auto"/>
                <w:kern w:val="0"/>
                <w:sz w:val="24"/>
                <w:highlight w:val="none"/>
              </w:rPr>
              <w:t>pH</w:t>
            </w:r>
            <w:r>
              <w:rPr>
                <w:rFonts w:hint="default"/>
                <w:color w:val="auto"/>
                <w:kern w:val="0"/>
                <w:sz w:val="24"/>
                <w:highlight w:val="none"/>
                <w:vertAlign w:val="subscript"/>
              </w:rPr>
              <w:t>sd</w:t>
            </w:r>
            <w:r>
              <w:rPr>
                <w:rFonts w:hint="default"/>
                <w:color w:val="auto"/>
                <w:kern w:val="0"/>
                <w:sz w:val="24"/>
                <w:highlight w:val="none"/>
              </w:rPr>
              <w:t>——水质标准pH下限值；</w:t>
            </w:r>
          </w:p>
          <w:p w14:paraId="6ED45FF1">
            <w:pPr>
              <w:keepNext w:val="0"/>
              <w:keepLines w:val="0"/>
              <w:suppressLineNumbers w:val="0"/>
              <w:spacing w:before="0" w:beforeAutospacing="0" w:after="0" w:afterAutospacing="0" w:line="360" w:lineRule="auto"/>
              <w:ind w:left="0" w:right="0" w:firstLine="1200" w:firstLineChars="500"/>
              <w:jc w:val="left"/>
              <w:rPr>
                <w:rFonts w:hint="default"/>
                <w:bCs/>
                <w:snapToGrid w:val="0"/>
                <w:color w:val="auto"/>
                <w:sz w:val="24"/>
                <w:highlight w:val="none"/>
              </w:rPr>
            </w:pPr>
            <w:r>
              <w:rPr>
                <w:rFonts w:hint="default"/>
                <w:color w:val="auto"/>
                <w:kern w:val="0"/>
                <w:sz w:val="24"/>
                <w:highlight w:val="none"/>
              </w:rPr>
              <w:t>pH</w:t>
            </w:r>
            <w:r>
              <w:rPr>
                <w:rFonts w:hint="default"/>
                <w:color w:val="auto"/>
                <w:kern w:val="0"/>
                <w:sz w:val="24"/>
                <w:highlight w:val="none"/>
                <w:vertAlign w:val="subscript"/>
              </w:rPr>
              <w:t>su</w:t>
            </w:r>
            <w:r>
              <w:rPr>
                <w:rFonts w:hint="default"/>
                <w:color w:val="auto"/>
                <w:kern w:val="0"/>
                <w:sz w:val="24"/>
                <w:highlight w:val="none"/>
              </w:rPr>
              <w:t>——水质标准pH的上限值。</w:t>
            </w:r>
          </w:p>
          <w:p w14:paraId="5DC9011B">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default"/>
                <w:color w:val="auto"/>
                <w:sz w:val="24"/>
                <w:highlight w:val="none"/>
              </w:rPr>
              <w:t>水质参数的标准指数&gt;1，表明该项水质参数超过了规定的指数水质指标，已不能满足使用要求；水质参数的标准指数≤1，表明该项水质参数到达或优于规定的水质，完全符合国家标准，可以满足使用要求。</w:t>
            </w:r>
          </w:p>
          <w:p w14:paraId="4EC43D5F">
            <w:pPr>
              <w:keepNext w:val="0"/>
              <w:keepLines w:val="0"/>
              <w:suppressLineNumbers w:val="0"/>
              <w:spacing w:before="0" w:beforeAutospacing="0" w:after="0" w:afterAutospacing="0" w:line="360" w:lineRule="auto"/>
              <w:ind w:left="0" w:right="0" w:firstLine="556" w:firstLineChars="232"/>
              <w:rPr>
                <w:rFonts w:hint="default"/>
                <w:color w:val="auto"/>
                <w:sz w:val="24"/>
                <w:highlight w:val="none"/>
              </w:rPr>
            </w:pPr>
            <w:r>
              <w:rPr>
                <w:rFonts w:hint="default"/>
                <w:color w:val="auto"/>
                <w:sz w:val="24"/>
                <w:highlight w:val="none"/>
              </w:rPr>
              <w:t>2）地下水水质监测及评价结果</w:t>
            </w:r>
          </w:p>
          <w:p w14:paraId="401F2C78">
            <w:pPr>
              <w:keepNext w:val="0"/>
              <w:keepLines w:val="0"/>
              <w:suppressLineNumbers w:val="0"/>
              <w:spacing w:before="0" w:beforeAutospacing="0" w:after="0" w:afterAutospacing="0" w:line="360" w:lineRule="auto"/>
              <w:ind w:left="0" w:right="0" w:firstLine="556" w:firstLineChars="232"/>
              <w:rPr>
                <w:rFonts w:hint="eastAsia"/>
                <w:color w:val="auto"/>
                <w:sz w:val="24"/>
                <w:highlight w:val="none"/>
              </w:rPr>
            </w:pPr>
            <w:r>
              <w:rPr>
                <w:rFonts w:hint="default"/>
                <w:color w:val="auto"/>
                <w:sz w:val="24"/>
                <w:highlight w:val="none"/>
              </w:rPr>
              <w:t>项目区域地下水环境质量现状监测及评价结果见下表。</w:t>
            </w:r>
          </w:p>
          <w:p w14:paraId="1A177638">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rPr>
            </w:pPr>
            <w:r>
              <w:rPr>
                <w:rFonts w:hint="default" w:ascii="Times New Roman" w:hAnsi="Times New Roman" w:eastAsia="黑体" w:cs="Times New Roman"/>
                <w:b/>
                <w:bCs/>
                <w:color w:val="auto"/>
                <w:kern w:val="0"/>
                <w:sz w:val="20"/>
                <w:szCs w:val="20"/>
                <w:highlight w:val="none"/>
                <w:lang w:val="en-US" w:eastAsia="zh-CN"/>
              </w:rPr>
              <w:t>表3-</w:t>
            </w:r>
            <w:r>
              <w:rPr>
                <w:rFonts w:hint="eastAsia" w:eastAsia="黑体" w:cs="Times New Roman"/>
                <w:b/>
                <w:bCs/>
                <w:color w:val="auto"/>
                <w:kern w:val="0"/>
                <w:sz w:val="20"/>
                <w:szCs w:val="20"/>
                <w:highlight w:val="none"/>
                <w:lang w:val="en-US" w:eastAsia="zh-CN"/>
              </w:rPr>
              <w:t>8</w:t>
            </w:r>
            <w:r>
              <w:rPr>
                <w:rFonts w:hint="default" w:ascii="Times New Roman" w:hAnsi="Times New Roman" w:eastAsia="黑体" w:cs="Times New Roman"/>
                <w:b/>
                <w:bCs/>
                <w:color w:val="auto"/>
                <w:kern w:val="0"/>
                <w:sz w:val="20"/>
                <w:szCs w:val="20"/>
                <w:highlight w:val="none"/>
                <w:lang w:val="en-US" w:eastAsia="zh-CN"/>
              </w:rPr>
              <w:t xml:space="preserve"> </w:t>
            </w:r>
            <w:r>
              <w:rPr>
                <w:rFonts w:hint="eastAsia" w:ascii="Times New Roman" w:hAnsi="Times New Roman" w:eastAsia="黑体" w:cs="Times New Roman"/>
                <w:b/>
                <w:bCs/>
                <w:color w:val="auto"/>
                <w:kern w:val="0"/>
                <w:sz w:val="20"/>
                <w:szCs w:val="20"/>
                <w:highlight w:val="none"/>
                <w:lang w:val="en-US" w:eastAsia="zh-CN"/>
              </w:rPr>
              <w:t>本项目</w:t>
            </w:r>
            <w:r>
              <w:rPr>
                <w:rFonts w:hint="default" w:ascii="Times New Roman" w:hAnsi="Times New Roman" w:eastAsia="黑体" w:cs="Times New Roman"/>
                <w:b/>
                <w:bCs/>
                <w:color w:val="auto"/>
                <w:kern w:val="0"/>
                <w:sz w:val="20"/>
                <w:szCs w:val="20"/>
                <w:highlight w:val="none"/>
                <w:lang w:val="en-US" w:eastAsia="zh-CN"/>
              </w:rPr>
              <w:t>地下水监测及评价结果</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308"/>
              <w:gridCol w:w="2263"/>
              <w:gridCol w:w="1331"/>
              <w:gridCol w:w="1229"/>
              <w:gridCol w:w="1307"/>
            </w:tblGrid>
            <w:tr w14:paraId="4AA09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61" w:type="dxa"/>
                  <w:tcBorders>
                    <w:tl2br w:val="nil"/>
                    <w:tr2bl w:val="nil"/>
                  </w:tcBorders>
                  <w:noWrap w:val="0"/>
                  <w:vAlign w:val="center"/>
                </w:tcPr>
                <w:p w14:paraId="61F0DA9F">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采样日期</w:t>
                  </w:r>
                </w:p>
              </w:tc>
              <w:tc>
                <w:tcPr>
                  <w:tcW w:w="1339" w:type="dxa"/>
                  <w:tcBorders>
                    <w:tl2br w:val="nil"/>
                    <w:tr2bl w:val="nil"/>
                  </w:tcBorders>
                  <w:noWrap w:val="0"/>
                  <w:vAlign w:val="center"/>
                </w:tcPr>
                <w:p w14:paraId="04E24DE5">
                  <w:pPr>
                    <w:keepNext w:val="0"/>
                    <w:keepLines w:val="0"/>
                    <w:suppressLineNumbers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检测点编号及位置</w:t>
                  </w:r>
                </w:p>
              </w:tc>
              <w:tc>
                <w:tcPr>
                  <w:tcW w:w="2293" w:type="dxa"/>
                  <w:tcBorders>
                    <w:tl2br w:val="nil"/>
                    <w:tr2bl w:val="nil"/>
                  </w:tcBorders>
                  <w:noWrap w:val="0"/>
                  <w:vAlign w:val="center"/>
                </w:tcPr>
                <w:p w14:paraId="794875F4">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检测因子</w:t>
                  </w:r>
                </w:p>
              </w:tc>
              <w:tc>
                <w:tcPr>
                  <w:tcW w:w="1336" w:type="dxa"/>
                  <w:tcBorders>
                    <w:tl2br w:val="nil"/>
                    <w:tr2bl w:val="nil"/>
                  </w:tcBorders>
                  <w:noWrap w:val="0"/>
                  <w:vAlign w:val="center"/>
                </w:tcPr>
                <w:p w14:paraId="6AB770A5">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检测结果</w:t>
                  </w:r>
                </w:p>
              </w:tc>
              <w:tc>
                <w:tcPr>
                  <w:tcW w:w="1229" w:type="dxa"/>
                  <w:tcBorders>
                    <w:tl2br w:val="nil"/>
                    <w:tr2bl w:val="nil"/>
                  </w:tcBorders>
                  <w:noWrap w:val="0"/>
                  <w:vAlign w:val="center"/>
                </w:tcPr>
                <w:p w14:paraId="5FC2E8D7">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eastAsia"/>
                      <w:b/>
                      <w:color w:val="auto"/>
                      <w:sz w:val="21"/>
                      <w:szCs w:val="21"/>
                      <w:highlight w:val="none"/>
                    </w:rPr>
                    <w:t>标准值（mg/L）</w:t>
                  </w:r>
                </w:p>
              </w:tc>
              <w:tc>
                <w:tcPr>
                  <w:tcW w:w="1020" w:type="dxa"/>
                  <w:tcBorders>
                    <w:tl2br w:val="nil"/>
                    <w:tr2bl w:val="nil"/>
                  </w:tcBorders>
                  <w:noWrap w:val="0"/>
                  <w:vAlign w:val="center"/>
                </w:tcPr>
                <w:p w14:paraId="0AD74617">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eastAsia"/>
                      <w:b/>
                      <w:color w:val="auto"/>
                      <w:sz w:val="21"/>
                      <w:szCs w:val="21"/>
                      <w:highlight w:val="none"/>
                    </w:rPr>
                    <w:t>单项指数</w:t>
                  </w:r>
                </w:p>
              </w:tc>
            </w:tr>
            <w:tr w14:paraId="37FBF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restart"/>
                  <w:tcBorders>
                    <w:tl2br w:val="nil"/>
                    <w:tr2bl w:val="nil"/>
                  </w:tcBorders>
                  <w:noWrap w:val="0"/>
                  <w:vAlign w:val="center"/>
                </w:tcPr>
                <w:p w14:paraId="3D312A25">
                  <w:pPr>
                    <w:keepNext w:val="0"/>
                    <w:keepLines w:val="0"/>
                    <w:widowControl/>
                    <w:suppressLineNumbers w:val="0"/>
                    <w:spacing w:before="0" w:beforeAutospacing="0" w:after="0" w:afterAutospacing="0"/>
                    <w:ind w:left="0" w:right="0"/>
                    <w:jc w:val="center"/>
                    <w:textAlignment w:val="center"/>
                    <w:rPr>
                      <w:rFonts w:hint="default" w:eastAsia="宋体"/>
                      <w:color w:val="auto"/>
                      <w:sz w:val="21"/>
                      <w:szCs w:val="21"/>
                      <w:highlight w:val="none"/>
                      <w:lang w:val="en-US" w:eastAsia="zh-CN"/>
                    </w:rPr>
                  </w:pPr>
                  <w:r>
                    <w:rPr>
                      <w:rFonts w:hint="default"/>
                      <w:color w:val="auto"/>
                      <w:sz w:val="21"/>
                      <w:szCs w:val="21"/>
                      <w:highlight w:val="none"/>
                    </w:rPr>
                    <w:t>202</w:t>
                  </w:r>
                  <w:r>
                    <w:rPr>
                      <w:rFonts w:hint="eastAsia"/>
                      <w:color w:val="auto"/>
                      <w:sz w:val="21"/>
                      <w:szCs w:val="21"/>
                      <w:highlight w:val="none"/>
                      <w:lang w:val="en-US" w:eastAsia="zh-CN"/>
                    </w:rPr>
                    <w:t>5</w:t>
                  </w:r>
                  <w:r>
                    <w:rPr>
                      <w:rFonts w:hint="default"/>
                      <w:color w:val="auto"/>
                      <w:sz w:val="21"/>
                      <w:szCs w:val="21"/>
                      <w:highlight w:val="none"/>
                    </w:rPr>
                    <w:t>.0</w:t>
                  </w:r>
                  <w:r>
                    <w:rPr>
                      <w:rFonts w:hint="eastAsia"/>
                      <w:color w:val="auto"/>
                      <w:sz w:val="21"/>
                      <w:szCs w:val="21"/>
                      <w:highlight w:val="none"/>
                      <w:lang w:val="en-US" w:eastAsia="zh-CN"/>
                    </w:rPr>
                    <w:t>5</w:t>
                  </w:r>
                  <w:r>
                    <w:rPr>
                      <w:rFonts w:hint="default"/>
                      <w:color w:val="auto"/>
                      <w:sz w:val="21"/>
                      <w:szCs w:val="21"/>
                      <w:highlight w:val="none"/>
                    </w:rPr>
                    <w:t>.</w:t>
                  </w:r>
                  <w:r>
                    <w:rPr>
                      <w:rFonts w:hint="eastAsia"/>
                      <w:color w:val="auto"/>
                      <w:sz w:val="21"/>
                      <w:szCs w:val="21"/>
                      <w:highlight w:val="none"/>
                      <w:lang w:val="en-US" w:eastAsia="zh-CN"/>
                    </w:rPr>
                    <w:t>26</w:t>
                  </w:r>
                </w:p>
              </w:tc>
              <w:tc>
                <w:tcPr>
                  <w:tcW w:w="1339" w:type="dxa"/>
                  <w:vMerge w:val="restart"/>
                  <w:tcBorders>
                    <w:tl2br w:val="nil"/>
                    <w:tr2bl w:val="nil"/>
                  </w:tcBorders>
                  <w:noWrap w:val="0"/>
                  <w:vAlign w:val="center"/>
                </w:tcPr>
                <w:p w14:paraId="70EEABE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bCs/>
                      <w:color w:val="auto"/>
                      <w:sz w:val="21"/>
                      <w:szCs w:val="21"/>
                      <w:highlight w:val="none"/>
                    </w:rPr>
                    <w:t>项目周围居民现有水井</w:t>
                  </w:r>
                </w:p>
              </w:tc>
              <w:tc>
                <w:tcPr>
                  <w:tcW w:w="2293" w:type="dxa"/>
                  <w:tcBorders>
                    <w:tl2br w:val="nil"/>
                    <w:tr2bl w:val="nil"/>
                  </w:tcBorders>
                  <w:noWrap w:val="0"/>
                  <w:vAlign w:val="center"/>
                </w:tcPr>
                <w:p w14:paraId="318ED2C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pH</w:t>
                  </w:r>
                </w:p>
                <w:p w14:paraId="02CB72E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ascii="Times New Roman" w:hAnsi="Times New Roman" w:eastAsia="宋体" w:cs="Times New Roman"/>
                      <w:color w:val="auto"/>
                      <w:sz w:val="21"/>
                      <w:szCs w:val="21"/>
                      <w:highlight w:val="none"/>
                    </w:rPr>
                    <w:t>（无量纲）</w:t>
                  </w:r>
                </w:p>
              </w:tc>
              <w:tc>
                <w:tcPr>
                  <w:tcW w:w="1336" w:type="dxa"/>
                  <w:tcBorders>
                    <w:tl2br w:val="nil"/>
                    <w:tr2bl w:val="nil"/>
                  </w:tcBorders>
                  <w:noWrap w:val="0"/>
                  <w:vAlign w:val="center"/>
                </w:tcPr>
                <w:p w14:paraId="2F5B1F1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7.4</w:t>
                  </w:r>
                </w:p>
              </w:tc>
              <w:tc>
                <w:tcPr>
                  <w:tcW w:w="1229" w:type="dxa"/>
                  <w:tcBorders>
                    <w:tl2br w:val="nil"/>
                    <w:tr2bl w:val="nil"/>
                  </w:tcBorders>
                  <w:noWrap w:val="0"/>
                  <w:vAlign w:val="center"/>
                </w:tcPr>
                <w:p w14:paraId="3A99C7E1">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6.5</w:t>
                  </w:r>
                  <w:r>
                    <w:rPr>
                      <w:rFonts w:hint="default"/>
                      <w:color w:val="auto"/>
                      <w:sz w:val="21"/>
                      <w:szCs w:val="21"/>
                      <w:highlight w:val="none"/>
                    </w:rPr>
                    <w:t>≤</w:t>
                  </w:r>
                  <w:r>
                    <w:rPr>
                      <w:rFonts w:hint="eastAsia"/>
                      <w:color w:val="auto"/>
                      <w:sz w:val="21"/>
                      <w:szCs w:val="21"/>
                      <w:highlight w:val="none"/>
                    </w:rPr>
                    <w:t>pH</w:t>
                  </w:r>
                  <w:r>
                    <w:rPr>
                      <w:rFonts w:hint="default"/>
                      <w:color w:val="auto"/>
                      <w:sz w:val="21"/>
                      <w:szCs w:val="21"/>
                      <w:highlight w:val="none"/>
                    </w:rPr>
                    <w:t>≤</w:t>
                  </w:r>
                  <w:r>
                    <w:rPr>
                      <w:rFonts w:hint="eastAsia"/>
                      <w:color w:val="auto"/>
                      <w:sz w:val="21"/>
                      <w:szCs w:val="21"/>
                      <w:highlight w:val="none"/>
                    </w:rPr>
                    <w:t>8.5</w:t>
                  </w:r>
                </w:p>
              </w:tc>
              <w:tc>
                <w:tcPr>
                  <w:tcW w:w="1020" w:type="dxa"/>
                  <w:tcBorders>
                    <w:tl2br w:val="nil"/>
                    <w:tr2bl w:val="nil"/>
                  </w:tcBorders>
                  <w:noWrap w:val="0"/>
                  <w:vAlign w:val="center"/>
                </w:tcPr>
                <w:p w14:paraId="78B9461F">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0.267</w:t>
                  </w:r>
                </w:p>
              </w:tc>
            </w:tr>
            <w:tr w14:paraId="3909A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tcBorders>
                    <w:tl2br w:val="nil"/>
                    <w:tr2bl w:val="nil"/>
                  </w:tcBorders>
                  <w:noWrap w:val="0"/>
                  <w:vAlign w:val="center"/>
                </w:tcPr>
                <w:p w14:paraId="67CA423F">
                  <w:pPr>
                    <w:keepNext w:val="0"/>
                    <w:keepLines w:val="0"/>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2C346940">
                  <w:pPr>
                    <w:keepNext w:val="0"/>
                    <w:keepLines w:val="0"/>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082E29BE">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color w:val="auto"/>
                      <w:sz w:val="21"/>
                      <w:szCs w:val="21"/>
                      <w:highlight w:val="none"/>
                    </w:rPr>
                    <w:t>石油类</w:t>
                  </w:r>
                </w:p>
              </w:tc>
              <w:tc>
                <w:tcPr>
                  <w:tcW w:w="1336" w:type="dxa"/>
                  <w:tcBorders>
                    <w:tl2br w:val="nil"/>
                    <w:tr2bl w:val="nil"/>
                  </w:tcBorders>
                  <w:noWrap w:val="0"/>
                  <w:vAlign w:val="center"/>
                </w:tcPr>
                <w:p w14:paraId="0A4E21A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vertAlign w:val="superscript"/>
                    </w:rPr>
                    <w:t>L</w:t>
                  </w:r>
                </w:p>
              </w:tc>
              <w:tc>
                <w:tcPr>
                  <w:tcW w:w="1229" w:type="dxa"/>
                  <w:tcBorders>
                    <w:tl2br w:val="nil"/>
                    <w:tr2bl w:val="nil"/>
                  </w:tcBorders>
                  <w:noWrap w:val="0"/>
                  <w:vAlign w:val="center"/>
                </w:tcPr>
                <w:p w14:paraId="6E75A57E">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w:t>
                  </w:r>
                </w:p>
              </w:tc>
              <w:tc>
                <w:tcPr>
                  <w:tcW w:w="1020" w:type="dxa"/>
                  <w:tcBorders>
                    <w:tl2br w:val="nil"/>
                    <w:tr2bl w:val="nil"/>
                  </w:tcBorders>
                  <w:noWrap w:val="0"/>
                  <w:vAlign w:val="bottom"/>
                </w:tcPr>
                <w:p w14:paraId="546CEE04">
                  <w:pPr>
                    <w:keepNext w:val="0"/>
                    <w:keepLines w:val="0"/>
                    <w:suppressLineNumbers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6B82E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78FA80BF">
                  <w:pPr>
                    <w:keepNext w:val="0"/>
                    <w:keepLines w:val="0"/>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51D07A62">
                  <w:pPr>
                    <w:keepNext w:val="0"/>
                    <w:keepLines w:val="0"/>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42F102F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硫化物</w:t>
                  </w:r>
                </w:p>
              </w:tc>
              <w:tc>
                <w:tcPr>
                  <w:tcW w:w="1336" w:type="dxa"/>
                  <w:tcBorders>
                    <w:tl2br w:val="nil"/>
                    <w:tr2bl w:val="nil"/>
                  </w:tcBorders>
                  <w:noWrap w:val="0"/>
                  <w:vAlign w:val="center"/>
                </w:tcPr>
                <w:p w14:paraId="168EF44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03</w:t>
                  </w:r>
                  <w:r>
                    <w:rPr>
                      <w:rFonts w:hint="default" w:ascii="Times New Roman" w:hAnsi="Times New Roman" w:cs="Times New Roman"/>
                      <w:color w:val="auto"/>
                      <w:sz w:val="21"/>
                      <w:szCs w:val="21"/>
                      <w:highlight w:val="none"/>
                      <w:vertAlign w:val="superscript"/>
                    </w:rPr>
                    <w:t>L</w:t>
                  </w:r>
                </w:p>
              </w:tc>
              <w:tc>
                <w:tcPr>
                  <w:tcW w:w="1229" w:type="dxa"/>
                  <w:tcBorders>
                    <w:tl2br w:val="nil"/>
                    <w:tr2bl w:val="nil"/>
                  </w:tcBorders>
                  <w:noWrap w:val="0"/>
                  <w:vAlign w:val="center"/>
                </w:tcPr>
                <w:p w14:paraId="32EEBFD0">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0.02</w:t>
                  </w:r>
                </w:p>
              </w:tc>
              <w:tc>
                <w:tcPr>
                  <w:tcW w:w="1020" w:type="dxa"/>
                  <w:tcBorders>
                    <w:tl2br w:val="nil"/>
                    <w:tr2bl w:val="nil"/>
                  </w:tcBorders>
                  <w:noWrap w:val="0"/>
                  <w:vAlign w:val="bottom"/>
                </w:tcPr>
                <w:p w14:paraId="2DABC122">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0.075</w:t>
                  </w:r>
                </w:p>
              </w:tc>
            </w:tr>
            <w:tr w14:paraId="1A843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5E27CA6A">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5FE132E2">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39A872F4">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color w:val="auto"/>
                      <w:sz w:val="21"/>
                      <w:szCs w:val="21"/>
                      <w:highlight w:val="none"/>
                    </w:rPr>
                    <w:t>挥发酚</w:t>
                  </w:r>
                </w:p>
              </w:tc>
              <w:tc>
                <w:tcPr>
                  <w:tcW w:w="1336" w:type="dxa"/>
                  <w:tcBorders>
                    <w:tl2br w:val="nil"/>
                    <w:tr2bl w:val="nil"/>
                  </w:tcBorders>
                  <w:noWrap w:val="0"/>
                  <w:vAlign w:val="center"/>
                </w:tcPr>
                <w:p w14:paraId="1505D23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003</w:t>
                  </w:r>
                  <w:r>
                    <w:rPr>
                      <w:rFonts w:hint="default" w:ascii="Times New Roman" w:hAnsi="Times New Roman" w:cs="Times New Roman"/>
                      <w:color w:val="auto"/>
                      <w:sz w:val="21"/>
                      <w:szCs w:val="21"/>
                      <w:highlight w:val="none"/>
                      <w:vertAlign w:val="superscript"/>
                    </w:rPr>
                    <w:t>L</w:t>
                  </w:r>
                </w:p>
              </w:tc>
              <w:tc>
                <w:tcPr>
                  <w:tcW w:w="1229" w:type="dxa"/>
                  <w:tcBorders>
                    <w:tl2br w:val="nil"/>
                    <w:tr2bl w:val="nil"/>
                  </w:tcBorders>
                  <w:noWrap w:val="0"/>
                  <w:vAlign w:val="center"/>
                </w:tcPr>
                <w:p w14:paraId="243D53BF">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0.002</w:t>
                  </w:r>
                </w:p>
              </w:tc>
              <w:tc>
                <w:tcPr>
                  <w:tcW w:w="1020" w:type="dxa"/>
                  <w:tcBorders>
                    <w:tl2br w:val="nil"/>
                    <w:tr2bl w:val="nil"/>
                  </w:tcBorders>
                  <w:noWrap w:val="0"/>
                  <w:vAlign w:val="center"/>
                </w:tcPr>
                <w:p w14:paraId="647FDED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0.075</w:t>
                  </w:r>
                </w:p>
              </w:tc>
            </w:tr>
            <w:tr w14:paraId="63666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18D34346">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2A7DF3AA">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77D928C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砷</w:t>
                  </w:r>
                </w:p>
              </w:tc>
              <w:tc>
                <w:tcPr>
                  <w:tcW w:w="1336" w:type="dxa"/>
                  <w:tcBorders>
                    <w:tl2br w:val="nil"/>
                    <w:tr2bl w:val="nil"/>
                  </w:tcBorders>
                  <w:noWrap w:val="0"/>
                  <w:vAlign w:val="center"/>
                </w:tcPr>
                <w:p w14:paraId="3D39E96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0003</w:t>
                  </w:r>
                  <w:r>
                    <w:rPr>
                      <w:rFonts w:hint="default" w:ascii="Times New Roman" w:hAnsi="Times New Roman" w:cs="Times New Roman"/>
                      <w:color w:val="auto"/>
                      <w:sz w:val="21"/>
                      <w:szCs w:val="21"/>
                      <w:highlight w:val="none"/>
                      <w:vertAlign w:val="superscript"/>
                    </w:rPr>
                    <w:t>L</w:t>
                  </w:r>
                </w:p>
              </w:tc>
              <w:tc>
                <w:tcPr>
                  <w:tcW w:w="1229" w:type="dxa"/>
                  <w:tcBorders>
                    <w:tl2br w:val="nil"/>
                    <w:tr2bl w:val="nil"/>
                  </w:tcBorders>
                  <w:noWrap w:val="0"/>
                  <w:vAlign w:val="center"/>
                </w:tcPr>
                <w:p w14:paraId="3739FE55">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0.01</w:t>
                  </w:r>
                </w:p>
              </w:tc>
              <w:tc>
                <w:tcPr>
                  <w:tcW w:w="1020" w:type="dxa"/>
                  <w:tcBorders>
                    <w:tl2br w:val="nil"/>
                    <w:tr2bl w:val="nil"/>
                  </w:tcBorders>
                  <w:noWrap w:val="0"/>
                  <w:vAlign w:val="center"/>
                </w:tcPr>
                <w:p w14:paraId="4E4CB9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0.015</w:t>
                  </w:r>
                </w:p>
              </w:tc>
            </w:tr>
            <w:tr w14:paraId="7CC30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3A79B460">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p>
              </w:tc>
              <w:tc>
                <w:tcPr>
                  <w:tcW w:w="1339" w:type="dxa"/>
                  <w:vMerge w:val="continue"/>
                  <w:tcBorders>
                    <w:tl2br w:val="nil"/>
                    <w:tr2bl w:val="nil"/>
                  </w:tcBorders>
                  <w:noWrap w:val="0"/>
                  <w:vAlign w:val="center"/>
                </w:tcPr>
                <w:p w14:paraId="29E3D83A">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p>
              </w:tc>
              <w:tc>
                <w:tcPr>
                  <w:tcW w:w="2293" w:type="dxa"/>
                  <w:tcBorders>
                    <w:tl2br w:val="nil"/>
                    <w:tr2bl w:val="nil"/>
                  </w:tcBorders>
                  <w:noWrap w:val="0"/>
                  <w:vAlign w:val="center"/>
                </w:tcPr>
                <w:p w14:paraId="1F7EFA89">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color w:val="auto"/>
                      <w:sz w:val="21"/>
                      <w:szCs w:val="21"/>
                      <w:highlight w:val="none"/>
                    </w:rPr>
                    <w:t>苯</w:t>
                  </w:r>
                </w:p>
              </w:tc>
              <w:tc>
                <w:tcPr>
                  <w:tcW w:w="1336" w:type="dxa"/>
                  <w:tcBorders>
                    <w:tl2br w:val="nil"/>
                    <w:tr2bl w:val="nil"/>
                  </w:tcBorders>
                  <w:noWrap w:val="0"/>
                  <w:vAlign w:val="center"/>
                </w:tcPr>
                <w:p w14:paraId="76E2CCE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0008</w:t>
                  </w:r>
                  <w:r>
                    <w:rPr>
                      <w:rFonts w:hint="default" w:ascii="Times New Roman" w:hAnsi="Times New Roman" w:cs="Times New Roman"/>
                      <w:color w:val="auto"/>
                      <w:sz w:val="21"/>
                      <w:szCs w:val="21"/>
                      <w:highlight w:val="none"/>
                      <w:vertAlign w:val="superscript"/>
                    </w:rPr>
                    <w:t>L</w:t>
                  </w:r>
                </w:p>
              </w:tc>
              <w:tc>
                <w:tcPr>
                  <w:tcW w:w="1229" w:type="dxa"/>
                  <w:tcBorders>
                    <w:tl2br w:val="nil"/>
                    <w:tr2bl w:val="nil"/>
                  </w:tcBorders>
                  <w:noWrap w:val="0"/>
                  <w:vAlign w:val="center"/>
                </w:tcPr>
                <w:p w14:paraId="461B1C14">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10.0</w:t>
                  </w:r>
                </w:p>
              </w:tc>
              <w:tc>
                <w:tcPr>
                  <w:tcW w:w="1020" w:type="dxa"/>
                  <w:tcBorders>
                    <w:tl2br w:val="nil"/>
                    <w:tr2bl w:val="nil"/>
                  </w:tcBorders>
                  <w:noWrap w:val="0"/>
                  <w:vAlign w:val="center"/>
                </w:tcPr>
                <w:p w14:paraId="300FB41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0.00004</w:t>
                  </w:r>
                </w:p>
              </w:tc>
            </w:tr>
            <w:tr w14:paraId="7F087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563301DE">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7F00BF46">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7D9B8F69">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甲苯</w:t>
                  </w:r>
                </w:p>
              </w:tc>
              <w:tc>
                <w:tcPr>
                  <w:tcW w:w="1336" w:type="dxa"/>
                  <w:tcBorders>
                    <w:tl2br w:val="nil"/>
                    <w:tr2bl w:val="nil"/>
                  </w:tcBorders>
                  <w:noWrap w:val="0"/>
                  <w:vAlign w:val="center"/>
                </w:tcPr>
                <w:p w14:paraId="74FEF90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0.0010</w:t>
                  </w:r>
                  <w:r>
                    <w:rPr>
                      <w:rFonts w:hint="default" w:ascii="Times New Roman" w:hAnsi="Times New Roman" w:cs="Times New Roman"/>
                      <w:color w:val="auto"/>
                      <w:sz w:val="21"/>
                      <w:szCs w:val="21"/>
                      <w:highlight w:val="none"/>
                      <w:vertAlign w:val="superscript"/>
                    </w:rPr>
                    <w:t>L</w:t>
                  </w:r>
                </w:p>
              </w:tc>
              <w:tc>
                <w:tcPr>
                  <w:tcW w:w="1229" w:type="dxa"/>
                  <w:tcBorders>
                    <w:tl2br w:val="nil"/>
                    <w:tr2bl w:val="nil"/>
                  </w:tcBorders>
                  <w:noWrap w:val="0"/>
                  <w:vAlign w:val="center"/>
                </w:tcPr>
                <w:p w14:paraId="4FF77437">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700</w:t>
                  </w:r>
                </w:p>
              </w:tc>
              <w:tc>
                <w:tcPr>
                  <w:tcW w:w="1020" w:type="dxa"/>
                  <w:tcBorders>
                    <w:tl2br w:val="nil"/>
                    <w:tr2bl w:val="nil"/>
                  </w:tcBorders>
                  <w:noWrap w:val="0"/>
                  <w:vAlign w:val="center"/>
                </w:tcPr>
                <w:p w14:paraId="0B72F28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7.14286E-07</w:t>
                  </w:r>
                </w:p>
              </w:tc>
            </w:tr>
            <w:tr w14:paraId="3BCBD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605BF075">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p>
              </w:tc>
              <w:tc>
                <w:tcPr>
                  <w:tcW w:w="1339" w:type="dxa"/>
                  <w:vMerge w:val="continue"/>
                  <w:tcBorders>
                    <w:tl2br w:val="nil"/>
                    <w:tr2bl w:val="nil"/>
                  </w:tcBorders>
                  <w:noWrap w:val="0"/>
                  <w:vAlign w:val="center"/>
                </w:tcPr>
                <w:p w14:paraId="29737BDF">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p>
              </w:tc>
              <w:tc>
                <w:tcPr>
                  <w:tcW w:w="2293" w:type="dxa"/>
                  <w:tcBorders>
                    <w:tl2br w:val="nil"/>
                    <w:tr2bl w:val="nil"/>
                  </w:tcBorders>
                  <w:noWrap w:val="0"/>
                  <w:vAlign w:val="center"/>
                </w:tcPr>
                <w:p w14:paraId="05E2F251">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color w:val="auto"/>
                      <w:sz w:val="21"/>
                      <w:szCs w:val="21"/>
                      <w:highlight w:val="none"/>
                    </w:rPr>
                    <w:t>乙苯</w:t>
                  </w:r>
                </w:p>
              </w:tc>
              <w:tc>
                <w:tcPr>
                  <w:tcW w:w="1336" w:type="dxa"/>
                  <w:tcBorders>
                    <w:tl2br w:val="nil"/>
                    <w:tr2bl w:val="nil"/>
                  </w:tcBorders>
                  <w:noWrap w:val="0"/>
                  <w:vAlign w:val="center"/>
                </w:tcPr>
                <w:p w14:paraId="7A8A2B3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0.0010</w:t>
                  </w:r>
                  <w:r>
                    <w:rPr>
                      <w:rFonts w:hint="default" w:ascii="Times New Roman" w:hAnsi="Times New Roman" w:cs="Times New Roman"/>
                      <w:color w:val="auto"/>
                      <w:sz w:val="21"/>
                      <w:szCs w:val="21"/>
                      <w:highlight w:val="none"/>
                      <w:vertAlign w:val="superscript"/>
                    </w:rPr>
                    <w:t>L</w:t>
                  </w:r>
                </w:p>
              </w:tc>
              <w:tc>
                <w:tcPr>
                  <w:tcW w:w="1229" w:type="dxa"/>
                  <w:tcBorders>
                    <w:tl2br w:val="nil"/>
                    <w:tr2bl w:val="nil"/>
                  </w:tcBorders>
                  <w:noWrap w:val="0"/>
                  <w:vAlign w:val="center"/>
                </w:tcPr>
                <w:p w14:paraId="2B93BFB3">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300</w:t>
                  </w:r>
                </w:p>
              </w:tc>
              <w:tc>
                <w:tcPr>
                  <w:tcW w:w="1020" w:type="dxa"/>
                  <w:tcBorders>
                    <w:tl2br w:val="nil"/>
                    <w:tr2bl w:val="nil"/>
                  </w:tcBorders>
                  <w:noWrap w:val="0"/>
                  <w:vAlign w:val="center"/>
                </w:tcPr>
                <w:p w14:paraId="2CF83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1.66667E-06</w:t>
                  </w:r>
                </w:p>
              </w:tc>
            </w:tr>
            <w:tr w14:paraId="32F89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51E3F3E2">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2FC485A0">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6DB3A430">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对，间二甲苯</w:t>
                  </w:r>
                </w:p>
              </w:tc>
              <w:tc>
                <w:tcPr>
                  <w:tcW w:w="1336" w:type="dxa"/>
                  <w:tcBorders>
                    <w:tl2br w:val="nil"/>
                    <w:tr2bl w:val="nil"/>
                  </w:tcBorders>
                  <w:noWrap w:val="0"/>
                  <w:vAlign w:val="center"/>
                </w:tcPr>
                <w:p w14:paraId="680B2ED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0.0007</w:t>
                  </w:r>
                  <w:r>
                    <w:rPr>
                      <w:rFonts w:hint="default" w:ascii="Times New Roman" w:hAnsi="Times New Roman" w:cs="Times New Roman"/>
                      <w:color w:val="auto"/>
                      <w:sz w:val="21"/>
                      <w:szCs w:val="21"/>
                      <w:highlight w:val="none"/>
                      <w:vertAlign w:val="superscript"/>
                      <w:lang w:val="en-US" w:eastAsia="zh-CN"/>
                    </w:rPr>
                    <w:t>L</w:t>
                  </w:r>
                </w:p>
              </w:tc>
              <w:tc>
                <w:tcPr>
                  <w:tcW w:w="1229" w:type="dxa"/>
                  <w:tcBorders>
                    <w:tl2br w:val="nil"/>
                    <w:tr2bl w:val="nil"/>
                  </w:tcBorders>
                  <w:noWrap w:val="0"/>
                  <w:vAlign w:val="center"/>
                </w:tcPr>
                <w:p w14:paraId="34F9BD8B">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w:t>
                  </w:r>
                </w:p>
              </w:tc>
              <w:tc>
                <w:tcPr>
                  <w:tcW w:w="1020" w:type="dxa"/>
                  <w:tcBorders>
                    <w:tl2br w:val="nil"/>
                    <w:tr2bl w:val="nil"/>
                  </w:tcBorders>
                  <w:noWrap w:val="0"/>
                  <w:vAlign w:val="center"/>
                </w:tcPr>
                <w:p w14:paraId="0F10CFF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w:t>
                  </w:r>
                </w:p>
              </w:tc>
            </w:tr>
            <w:tr w14:paraId="2D3C2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74EEED96">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5FC8A146">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6F7E23C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邻二甲苯</w:t>
                  </w:r>
                </w:p>
              </w:tc>
              <w:tc>
                <w:tcPr>
                  <w:tcW w:w="1336" w:type="dxa"/>
                  <w:tcBorders>
                    <w:tl2br w:val="nil"/>
                    <w:tr2bl w:val="nil"/>
                  </w:tcBorders>
                  <w:noWrap w:val="0"/>
                  <w:vAlign w:val="center"/>
                </w:tcPr>
                <w:p w14:paraId="57DB497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0.0008</w:t>
                  </w:r>
                  <w:r>
                    <w:rPr>
                      <w:rFonts w:hint="default" w:ascii="Times New Roman" w:hAnsi="Times New Roman" w:cs="Times New Roman"/>
                      <w:color w:val="auto"/>
                      <w:sz w:val="21"/>
                      <w:szCs w:val="21"/>
                      <w:highlight w:val="none"/>
                      <w:vertAlign w:val="superscript"/>
                      <w:lang w:val="en-US" w:eastAsia="zh-CN"/>
                    </w:rPr>
                    <w:t>L</w:t>
                  </w:r>
                </w:p>
              </w:tc>
              <w:tc>
                <w:tcPr>
                  <w:tcW w:w="1229" w:type="dxa"/>
                  <w:tcBorders>
                    <w:tl2br w:val="nil"/>
                    <w:tr2bl w:val="nil"/>
                  </w:tcBorders>
                  <w:noWrap w:val="0"/>
                  <w:vAlign w:val="center"/>
                </w:tcPr>
                <w:p w14:paraId="210F9F81">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w:t>
                  </w:r>
                </w:p>
              </w:tc>
              <w:tc>
                <w:tcPr>
                  <w:tcW w:w="1020" w:type="dxa"/>
                  <w:tcBorders>
                    <w:tl2br w:val="nil"/>
                    <w:tr2bl w:val="nil"/>
                  </w:tcBorders>
                  <w:noWrap w:val="0"/>
                  <w:vAlign w:val="center"/>
                </w:tcPr>
                <w:p w14:paraId="0F27C4F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w:t>
                  </w:r>
                </w:p>
              </w:tc>
            </w:tr>
            <w:tr w14:paraId="7E64E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60273BD9">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12CE3D39">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69D5131A">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硝酸盐</w:t>
                  </w:r>
                </w:p>
              </w:tc>
              <w:tc>
                <w:tcPr>
                  <w:tcW w:w="1336" w:type="dxa"/>
                  <w:tcBorders>
                    <w:tl2br w:val="nil"/>
                    <w:tr2bl w:val="nil"/>
                  </w:tcBorders>
                  <w:noWrap w:val="0"/>
                  <w:vAlign w:val="center"/>
                </w:tcPr>
                <w:p w14:paraId="1FAD9D7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366</w:t>
                  </w:r>
                </w:p>
              </w:tc>
              <w:tc>
                <w:tcPr>
                  <w:tcW w:w="1229" w:type="dxa"/>
                  <w:tcBorders>
                    <w:tl2br w:val="nil"/>
                    <w:tr2bl w:val="nil"/>
                  </w:tcBorders>
                  <w:noWrap w:val="0"/>
                  <w:vAlign w:val="center"/>
                </w:tcPr>
                <w:p w14:paraId="190FC835">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20.0</w:t>
                  </w:r>
                </w:p>
              </w:tc>
              <w:tc>
                <w:tcPr>
                  <w:tcW w:w="1020" w:type="dxa"/>
                  <w:tcBorders>
                    <w:tl2br w:val="nil"/>
                    <w:tr2bl w:val="nil"/>
                  </w:tcBorders>
                  <w:noWrap w:val="0"/>
                  <w:vAlign w:val="center"/>
                </w:tcPr>
                <w:p w14:paraId="3E0CD51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0.0183</w:t>
                  </w:r>
                </w:p>
              </w:tc>
            </w:tr>
            <w:tr w14:paraId="6DBD6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50DBF761">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2B367225">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1CF4EEDD">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硫酸盐</w:t>
                  </w:r>
                </w:p>
              </w:tc>
              <w:tc>
                <w:tcPr>
                  <w:tcW w:w="1336" w:type="dxa"/>
                  <w:tcBorders>
                    <w:tl2br w:val="nil"/>
                    <w:tr2bl w:val="nil"/>
                  </w:tcBorders>
                  <w:noWrap w:val="0"/>
                  <w:vAlign w:val="center"/>
                </w:tcPr>
                <w:p w14:paraId="00B35A1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10.7</w:t>
                  </w:r>
                </w:p>
              </w:tc>
              <w:tc>
                <w:tcPr>
                  <w:tcW w:w="1229" w:type="dxa"/>
                  <w:tcBorders>
                    <w:tl2br w:val="nil"/>
                    <w:tr2bl w:val="nil"/>
                  </w:tcBorders>
                  <w:noWrap w:val="0"/>
                  <w:vAlign w:val="center"/>
                </w:tcPr>
                <w:p w14:paraId="3CCAF0FE">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250</w:t>
                  </w:r>
                </w:p>
              </w:tc>
              <w:tc>
                <w:tcPr>
                  <w:tcW w:w="1020" w:type="dxa"/>
                  <w:tcBorders>
                    <w:tl2br w:val="nil"/>
                    <w:tr2bl w:val="nil"/>
                  </w:tcBorders>
                  <w:noWrap w:val="0"/>
                  <w:vAlign w:val="center"/>
                </w:tcPr>
                <w:p w14:paraId="421617E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0.0428</w:t>
                  </w:r>
                </w:p>
              </w:tc>
            </w:tr>
            <w:tr w14:paraId="27785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631D2A68">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7B2E9A32">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560A9525">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亚硝酸盐</w:t>
                  </w:r>
                </w:p>
              </w:tc>
              <w:tc>
                <w:tcPr>
                  <w:tcW w:w="1336" w:type="dxa"/>
                  <w:tcBorders>
                    <w:tl2br w:val="nil"/>
                    <w:tr2bl w:val="nil"/>
                  </w:tcBorders>
                  <w:noWrap w:val="0"/>
                  <w:vAlign w:val="center"/>
                </w:tcPr>
                <w:p w14:paraId="0A55CCE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0.004</w:t>
                  </w:r>
                </w:p>
              </w:tc>
              <w:tc>
                <w:tcPr>
                  <w:tcW w:w="1229" w:type="dxa"/>
                  <w:tcBorders>
                    <w:tl2br w:val="nil"/>
                    <w:tr2bl w:val="nil"/>
                  </w:tcBorders>
                  <w:noWrap w:val="0"/>
                  <w:vAlign w:val="center"/>
                </w:tcPr>
                <w:p w14:paraId="2856AA59">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1.00</w:t>
                  </w:r>
                </w:p>
              </w:tc>
              <w:tc>
                <w:tcPr>
                  <w:tcW w:w="1020" w:type="dxa"/>
                  <w:tcBorders>
                    <w:tl2br w:val="nil"/>
                    <w:tr2bl w:val="nil"/>
                  </w:tcBorders>
                  <w:noWrap w:val="0"/>
                  <w:vAlign w:val="center"/>
                </w:tcPr>
                <w:p w14:paraId="3A4556F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0.004</w:t>
                  </w:r>
                </w:p>
              </w:tc>
            </w:tr>
            <w:tr w14:paraId="6B984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788E33D4">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3B0A47EB">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28C7FCAA">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ascii="Times New Roman" w:hAnsi="Times New Roman" w:cs="Times New Roman"/>
                      <w:color w:val="auto"/>
                      <w:sz w:val="21"/>
                      <w:szCs w:val="21"/>
                      <w:highlight w:val="none"/>
                    </w:rPr>
                    <w:t>苯并[a]芘</w:t>
                  </w:r>
                </w:p>
              </w:tc>
              <w:tc>
                <w:tcPr>
                  <w:tcW w:w="1336" w:type="dxa"/>
                  <w:tcBorders>
                    <w:tl2br w:val="nil"/>
                    <w:tr2bl w:val="nil"/>
                  </w:tcBorders>
                  <w:noWrap w:val="0"/>
                  <w:vAlign w:val="center"/>
                </w:tcPr>
                <w:p w14:paraId="255412B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w:t>
                  </w:r>
                  <w:r>
                    <w:rPr>
                      <w:rFonts w:hint="default" w:ascii="Times New Roman" w:hAnsi="Times New Roman" w:cs="Times New Roman"/>
                      <w:color w:val="auto"/>
                      <w:sz w:val="21"/>
                      <w:szCs w:val="21"/>
                      <w:highlight w:val="none"/>
                      <w:lang w:val="en-US" w:eastAsia="zh-CN"/>
                    </w:rPr>
                    <w:t>000</w:t>
                  </w:r>
                  <w:r>
                    <w:rPr>
                      <w:rFonts w:hint="default" w:ascii="Times New Roman" w:hAnsi="Times New Roman" w:cs="Times New Roman"/>
                      <w:color w:val="auto"/>
                      <w:sz w:val="21"/>
                      <w:szCs w:val="21"/>
                      <w:highlight w:val="none"/>
                    </w:rPr>
                    <w:t>4</w:t>
                  </w:r>
                  <w:r>
                    <w:rPr>
                      <w:rFonts w:hint="default" w:ascii="Times New Roman" w:hAnsi="Times New Roman" w:cs="Times New Roman"/>
                      <w:color w:val="auto"/>
                      <w:sz w:val="21"/>
                      <w:szCs w:val="21"/>
                      <w:highlight w:val="none"/>
                      <w:vertAlign w:val="superscript"/>
                    </w:rPr>
                    <w:t>L</w:t>
                  </w:r>
                </w:p>
              </w:tc>
              <w:tc>
                <w:tcPr>
                  <w:tcW w:w="1229" w:type="dxa"/>
                  <w:tcBorders>
                    <w:tl2br w:val="nil"/>
                    <w:tr2bl w:val="nil"/>
                  </w:tcBorders>
                  <w:noWrap w:val="0"/>
                  <w:vAlign w:val="center"/>
                </w:tcPr>
                <w:p w14:paraId="38F79CF8">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eastAsia"/>
                      <w:color w:val="auto"/>
                      <w:kern w:val="0"/>
                      <w:sz w:val="21"/>
                      <w:szCs w:val="21"/>
                      <w:highlight w:val="none"/>
                      <w:lang w:bidi="ar"/>
                    </w:rPr>
                    <w:t>/</w:t>
                  </w:r>
                </w:p>
              </w:tc>
              <w:tc>
                <w:tcPr>
                  <w:tcW w:w="1020" w:type="dxa"/>
                  <w:tcBorders>
                    <w:tl2br w:val="nil"/>
                    <w:tr2bl w:val="nil"/>
                  </w:tcBorders>
                  <w:noWrap w:val="0"/>
                  <w:vAlign w:val="center"/>
                </w:tcPr>
                <w:p w14:paraId="5AA7701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w:t>
                  </w:r>
                </w:p>
              </w:tc>
            </w:tr>
            <w:tr w14:paraId="3AF07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0AE12C45">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0D1299AC">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4E92482D">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eastAsia"/>
                      <w:color w:val="auto"/>
                      <w:sz w:val="21"/>
                      <w:szCs w:val="21"/>
                      <w:highlight w:val="none"/>
                    </w:rPr>
                    <w:t>氨氮</w:t>
                  </w:r>
                </w:p>
              </w:tc>
              <w:tc>
                <w:tcPr>
                  <w:tcW w:w="1336" w:type="dxa"/>
                  <w:tcBorders>
                    <w:tl2br w:val="nil"/>
                    <w:tr2bl w:val="nil"/>
                  </w:tcBorders>
                  <w:noWrap w:val="0"/>
                  <w:vAlign w:val="center"/>
                </w:tcPr>
                <w:p w14:paraId="6F1750D3">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vertAlign w:val="superscript"/>
                    </w:rPr>
                    <w:t>L</w:t>
                  </w:r>
                </w:p>
              </w:tc>
              <w:tc>
                <w:tcPr>
                  <w:tcW w:w="1229" w:type="dxa"/>
                  <w:tcBorders>
                    <w:tl2br w:val="nil"/>
                    <w:tr2bl w:val="nil"/>
                  </w:tcBorders>
                  <w:noWrap w:val="0"/>
                  <w:vAlign w:val="center"/>
                </w:tcPr>
                <w:p w14:paraId="614D58A8">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0.50</w:t>
                  </w:r>
                </w:p>
              </w:tc>
              <w:tc>
                <w:tcPr>
                  <w:tcW w:w="1020" w:type="dxa"/>
                  <w:tcBorders>
                    <w:tl2br w:val="nil"/>
                    <w:tr2bl w:val="nil"/>
                  </w:tcBorders>
                  <w:noWrap w:val="0"/>
                  <w:vAlign w:val="center"/>
                </w:tcPr>
                <w:p w14:paraId="3A52F2B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0.025</w:t>
                  </w:r>
                </w:p>
              </w:tc>
            </w:tr>
            <w:tr w14:paraId="3B3C8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229A4621">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7F2F67C2">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2BD7B10A">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eastAsia"/>
                      <w:color w:val="auto"/>
                      <w:sz w:val="21"/>
                      <w:szCs w:val="21"/>
                      <w:highlight w:val="none"/>
                      <w:lang w:eastAsia="zh-CN"/>
                    </w:rPr>
                    <w:t>高锰酸盐指数（</w:t>
                  </w:r>
                  <w:r>
                    <w:rPr>
                      <w:rFonts w:hint="eastAsia"/>
                      <w:color w:val="auto"/>
                      <w:sz w:val="21"/>
                      <w:szCs w:val="21"/>
                      <w:highlight w:val="none"/>
                    </w:rPr>
                    <w:t>耗氧量</w:t>
                  </w:r>
                  <w:r>
                    <w:rPr>
                      <w:rFonts w:hint="eastAsia"/>
                      <w:color w:val="auto"/>
                      <w:sz w:val="21"/>
                      <w:szCs w:val="21"/>
                      <w:highlight w:val="none"/>
                      <w:lang w:eastAsia="zh-CN"/>
                    </w:rPr>
                    <w:t>）</w:t>
                  </w:r>
                </w:p>
              </w:tc>
              <w:tc>
                <w:tcPr>
                  <w:tcW w:w="1336" w:type="dxa"/>
                  <w:tcBorders>
                    <w:tl2br w:val="nil"/>
                    <w:tr2bl w:val="nil"/>
                  </w:tcBorders>
                  <w:noWrap w:val="0"/>
                  <w:vAlign w:val="center"/>
                </w:tcPr>
                <w:p w14:paraId="14C5023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bCs/>
                      <w:color w:val="auto"/>
                      <w:sz w:val="21"/>
                      <w:szCs w:val="21"/>
                      <w:highlight w:val="none"/>
                      <w:lang w:val="en-US" w:eastAsia="zh-CN"/>
                    </w:rPr>
                    <w:t>1.51</w:t>
                  </w:r>
                </w:p>
              </w:tc>
              <w:tc>
                <w:tcPr>
                  <w:tcW w:w="1229" w:type="dxa"/>
                  <w:tcBorders>
                    <w:tl2br w:val="nil"/>
                    <w:tr2bl w:val="nil"/>
                  </w:tcBorders>
                  <w:noWrap w:val="0"/>
                  <w:vAlign w:val="center"/>
                </w:tcPr>
                <w:p w14:paraId="484645FC">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3.0</w:t>
                  </w:r>
                </w:p>
              </w:tc>
              <w:tc>
                <w:tcPr>
                  <w:tcW w:w="1020" w:type="dxa"/>
                  <w:tcBorders>
                    <w:tl2br w:val="nil"/>
                    <w:tr2bl w:val="nil"/>
                  </w:tcBorders>
                  <w:noWrap w:val="0"/>
                  <w:vAlign w:val="center"/>
                </w:tcPr>
                <w:p w14:paraId="2C9FBB7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0.50333</w:t>
                  </w:r>
                </w:p>
              </w:tc>
            </w:tr>
            <w:tr w14:paraId="5D8A4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722EE176">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6BBE3311">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513C3A45">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eastAsia"/>
                      <w:color w:val="auto"/>
                      <w:sz w:val="21"/>
                      <w:szCs w:val="21"/>
                      <w:highlight w:val="none"/>
                    </w:rPr>
                    <w:t>铅</w:t>
                  </w:r>
                </w:p>
              </w:tc>
              <w:tc>
                <w:tcPr>
                  <w:tcW w:w="1336" w:type="dxa"/>
                  <w:tcBorders>
                    <w:tl2br w:val="nil"/>
                    <w:tr2bl w:val="nil"/>
                  </w:tcBorders>
                  <w:noWrap w:val="0"/>
                  <w:vAlign w:val="center"/>
                </w:tcPr>
                <w:p w14:paraId="3A0600D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0.00</w:t>
                  </w:r>
                  <w:r>
                    <w:rPr>
                      <w:rFonts w:hint="default" w:ascii="Times New Roman" w:hAnsi="Times New Roman" w:cs="Times New Roman"/>
                      <w:color w:val="auto"/>
                      <w:sz w:val="21"/>
                      <w:szCs w:val="21"/>
                      <w:highlight w:val="none"/>
                      <w:lang w:val="en-US" w:eastAsia="zh-CN"/>
                    </w:rPr>
                    <w:t>3</w:t>
                  </w:r>
                </w:p>
              </w:tc>
              <w:tc>
                <w:tcPr>
                  <w:tcW w:w="1229" w:type="dxa"/>
                  <w:tcBorders>
                    <w:tl2br w:val="nil"/>
                    <w:tr2bl w:val="nil"/>
                  </w:tcBorders>
                  <w:noWrap w:val="0"/>
                  <w:vAlign w:val="center"/>
                </w:tcPr>
                <w:p w14:paraId="10FC71C6">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0.01</w:t>
                  </w:r>
                </w:p>
              </w:tc>
              <w:tc>
                <w:tcPr>
                  <w:tcW w:w="1020" w:type="dxa"/>
                  <w:tcBorders>
                    <w:tl2br w:val="nil"/>
                    <w:tr2bl w:val="nil"/>
                  </w:tcBorders>
                  <w:noWrap w:val="0"/>
                  <w:vAlign w:val="center"/>
                </w:tcPr>
                <w:p w14:paraId="184533A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0.3</w:t>
                  </w:r>
                </w:p>
              </w:tc>
            </w:tr>
            <w:tr w14:paraId="6FEF5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76BD8290">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1EB0F251">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733F821A">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eastAsia"/>
                      <w:color w:val="auto"/>
                      <w:sz w:val="21"/>
                      <w:szCs w:val="21"/>
                      <w:highlight w:val="none"/>
                    </w:rPr>
                    <w:t>镍</w:t>
                  </w:r>
                </w:p>
              </w:tc>
              <w:tc>
                <w:tcPr>
                  <w:tcW w:w="1336" w:type="dxa"/>
                  <w:tcBorders>
                    <w:tl2br w:val="nil"/>
                    <w:tr2bl w:val="nil"/>
                  </w:tcBorders>
                  <w:noWrap w:val="0"/>
                  <w:vAlign w:val="center"/>
                </w:tcPr>
                <w:p w14:paraId="126D993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w:t>
                  </w: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vertAlign w:val="superscript"/>
                    </w:rPr>
                    <w:t>L</w:t>
                  </w:r>
                </w:p>
              </w:tc>
              <w:tc>
                <w:tcPr>
                  <w:tcW w:w="1229" w:type="dxa"/>
                  <w:tcBorders>
                    <w:tl2br w:val="nil"/>
                    <w:tr2bl w:val="nil"/>
                  </w:tcBorders>
                  <w:noWrap w:val="0"/>
                  <w:vAlign w:val="center"/>
                </w:tcPr>
                <w:p w14:paraId="305D4F65">
                  <w:pPr>
                    <w:keepNext w:val="0"/>
                    <w:keepLines w:val="0"/>
                    <w:widowControl/>
                    <w:suppressLineNumbers w:val="0"/>
                    <w:spacing w:before="0" w:beforeAutospacing="0" w:after="0" w:afterAutospacing="0"/>
                    <w:ind w:left="0" w:right="0"/>
                    <w:jc w:val="center"/>
                    <w:textAlignment w:val="top"/>
                    <w:rPr>
                      <w:rFonts w:hint="default"/>
                      <w:color w:val="auto"/>
                      <w:kern w:val="0"/>
                      <w:sz w:val="21"/>
                      <w:szCs w:val="21"/>
                      <w:highlight w:val="none"/>
                      <w:lang w:bidi="ar"/>
                    </w:rPr>
                  </w:pPr>
                  <w:r>
                    <w:rPr>
                      <w:rFonts w:hint="eastAsia"/>
                      <w:color w:val="auto"/>
                      <w:kern w:val="0"/>
                      <w:sz w:val="21"/>
                      <w:szCs w:val="21"/>
                      <w:highlight w:val="none"/>
                      <w:lang w:bidi="ar"/>
                    </w:rPr>
                    <w:t>/</w:t>
                  </w:r>
                </w:p>
              </w:tc>
              <w:tc>
                <w:tcPr>
                  <w:tcW w:w="1020" w:type="dxa"/>
                  <w:tcBorders>
                    <w:tl2br w:val="nil"/>
                    <w:tr2bl w:val="nil"/>
                  </w:tcBorders>
                  <w:noWrap w:val="0"/>
                  <w:vAlign w:val="center"/>
                </w:tcPr>
                <w:p w14:paraId="5616DD9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w:t>
                  </w:r>
                </w:p>
              </w:tc>
            </w:tr>
            <w:tr w14:paraId="354BD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06AD2F89">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1339" w:type="dxa"/>
                  <w:vMerge w:val="continue"/>
                  <w:tcBorders>
                    <w:tl2br w:val="nil"/>
                    <w:tr2bl w:val="nil"/>
                  </w:tcBorders>
                  <w:noWrap w:val="0"/>
                  <w:vAlign w:val="center"/>
                </w:tcPr>
                <w:p w14:paraId="75CA8B34">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2293" w:type="dxa"/>
                  <w:tcBorders>
                    <w:tl2br w:val="nil"/>
                    <w:tr2bl w:val="nil"/>
                  </w:tcBorders>
                  <w:noWrap w:val="0"/>
                  <w:vAlign w:val="center"/>
                </w:tcPr>
                <w:p w14:paraId="13435DBA">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eastAsia"/>
                      <w:color w:val="auto"/>
                      <w:sz w:val="21"/>
                      <w:szCs w:val="21"/>
                      <w:highlight w:val="none"/>
                    </w:rPr>
                    <w:t>汞</w:t>
                  </w:r>
                </w:p>
              </w:tc>
              <w:tc>
                <w:tcPr>
                  <w:tcW w:w="1336" w:type="dxa"/>
                  <w:tcBorders>
                    <w:tl2br w:val="nil"/>
                    <w:tr2bl w:val="nil"/>
                  </w:tcBorders>
                  <w:noWrap w:val="0"/>
                  <w:vAlign w:val="center"/>
                </w:tcPr>
                <w:p w14:paraId="386E9A5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00001</w:t>
                  </w:r>
                  <w:r>
                    <w:rPr>
                      <w:rFonts w:hint="default" w:ascii="Times New Roman" w:hAnsi="Times New Roman" w:cs="Times New Roman"/>
                      <w:color w:val="auto"/>
                      <w:sz w:val="21"/>
                      <w:szCs w:val="21"/>
                      <w:highlight w:val="none"/>
                    </w:rPr>
                    <w:t>5</w:t>
                  </w:r>
                  <w:r>
                    <w:rPr>
                      <w:rFonts w:hint="default" w:ascii="Times New Roman" w:hAnsi="Times New Roman" w:cs="Times New Roman"/>
                      <w:color w:val="auto"/>
                      <w:sz w:val="21"/>
                      <w:szCs w:val="21"/>
                      <w:highlight w:val="none"/>
                      <w:vertAlign w:val="superscript"/>
                    </w:rPr>
                    <w:t>L</w:t>
                  </w:r>
                </w:p>
              </w:tc>
              <w:tc>
                <w:tcPr>
                  <w:tcW w:w="1229" w:type="dxa"/>
                  <w:tcBorders>
                    <w:tl2br w:val="nil"/>
                    <w:tr2bl w:val="nil"/>
                  </w:tcBorders>
                  <w:noWrap w:val="0"/>
                  <w:vAlign w:val="center"/>
                </w:tcPr>
                <w:p w14:paraId="35220EA6">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0.001</w:t>
                  </w:r>
                </w:p>
              </w:tc>
              <w:tc>
                <w:tcPr>
                  <w:tcW w:w="1020" w:type="dxa"/>
                  <w:tcBorders>
                    <w:tl2br w:val="nil"/>
                    <w:tr2bl w:val="nil"/>
                  </w:tcBorders>
                  <w:noWrap w:val="0"/>
                  <w:vAlign w:val="center"/>
                </w:tcPr>
                <w:p w14:paraId="5AD1528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0.00075</w:t>
                  </w:r>
                </w:p>
              </w:tc>
            </w:tr>
            <w:tr w14:paraId="4AA34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7CA39EAF">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1339" w:type="dxa"/>
                  <w:vMerge w:val="continue"/>
                  <w:tcBorders>
                    <w:tl2br w:val="nil"/>
                    <w:tr2bl w:val="nil"/>
                  </w:tcBorders>
                  <w:noWrap w:val="0"/>
                  <w:vAlign w:val="center"/>
                </w:tcPr>
                <w:p w14:paraId="02C28BCD">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2293" w:type="dxa"/>
                  <w:tcBorders>
                    <w:tl2br w:val="nil"/>
                    <w:tr2bl w:val="nil"/>
                  </w:tcBorders>
                  <w:noWrap w:val="0"/>
                  <w:vAlign w:val="center"/>
                </w:tcPr>
                <w:p w14:paraId="58ECBDEB">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eastAsia"/>
                      <w:color w:val="auto"/>
                      <w:sz w:val="21"/>
                      <w:szCs w:val="21"/>
                      <w:highlight w:val="none"/>
                    </w:rPr>
                    <w:t>氰化物</w:t>
                  </w:r>
                </w:p>
              </w:tc>
              <w:tc>
                <w:tcPr>
                  <w:tcW w:w="1336" w:type="dxa"/>
                  <w:tcBorders>
                    <w:tl2br w:val="nil"/>
                    <w:tr2bl w:val="nil"/>
                  </w:tcBorders>
                  <w:noWrap w:val="0"/>
                  <w:vAlign w:val="center"/>
                </w:tcPr>
                <w:p w14:paraId="442BBD8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vertAlign w:val="superscript"/>
                    </w:rPr>
                    <w:t>L</w:t>
                  </w:r>
                </w:p>
              </w:tc>
              <w:tc>
                <w:tcPr>
                  <w:tcW w:w="1229" w:type="dxa"/>
                  <w:tcBorders>
                    <w:tl2br w:val="nil"/>
                    <w:tr2bl w:val="nil"/>
                  </w:tcBorders>
                  <w:noWrap w:val="0"/>
                  <w:vAlign w:val="center"/>
                </w:tcPr>
                <w:p w14:paraId="6016E9FF">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0.05</w:t>
                  </w:r>
                </w:p>
              </w:tc>
              <w:tc>
                <w:tcPr>
                  <w:tcW w:w="1020" w:type="dxa"/>
                  <w:tcBorders>
                    <w:tl2br w:val="nil"/>
                    <w:tr2bl w:val="nil"/>
                  </w:tcBorders>
                  <w:noWrap w:val="0"/>
                  <w:vAlign w:val="center"/>
                </w:tcPr>
                <w:p w14:paraId="5439141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0.01</w:t>
                  </w:r>
                </w:p>
              </w:tc>
            </w:tr>
            <w:tr w14:paraId="683B3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3CE5FF78">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1339" w:type="dxa"/>
                  <w:vMerge w:val="continue"/>
                  <w:tcBorders>
                    <w:tl2br w:val="nil"/>
                    <w:tr2bl w:val="nil"/>
                  </w:tcBorders>
                  <w:noWrap w:val="0"/>
                  <w:vAlign w:val="center"/>
                </w:tcPr>
                <w:p w14:paraId="02890D4A">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2293" w:type="dxa"/>
                  <w:tcBorders>
                    <w:tl2br w:val="nil"/>
                    <w:tr2bl w:val="nil"/>
                  </w:tcBorders>
                  <w:noWrap w:val="0"/>
                  <w:vAlign w:val="center"/>
                </w:tcPr>
                <w:p w14:paraId="5B8B7390">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石油烃（C6-C9）*</w:t>
                  </w:r>
                </w:p>
              </w:tc>
              <w:tc>
                <w:tcPr>
                  <w:tcW w:w="1336" w:type="dxa"/>
                  <w:tcBorders>
                    <w:tl2br w:val="nil"/>
                    <w:tr2bl w:val="nil"/>
                  </w:tcBorders>
                  <w:noWrap w:val="0"/>
                  <w:vAlign w:val="center"/>
                </w:tcPr>
                <w:p w14:paraId="213440A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i w:val="0"/>
                      <w:color w:val="auto"/>
                      <w:kern w:val="0"/>
                      <w:sz w:val="21"/>
                      <w:szCs w:val="21"/>
                      <w:highlight w:val="none"/>
                      <w:u w:val="none"/>
                      <w:lang w:val="en-US" w:eastAsia="zh-CN" w:bidi="ar"/>
                    </w:rPr>
                    <w:t>未检出</w:t>
                  </w:r>
                </w:p>
              </w:tc>
              <w:tc>
                <w:tcPr>
                  <w:tcW w:w="1229" w:type="dxa"/>
                  <w:tcBorders>
                    <w:tl2br w:val="nil"/>
                    <w:tr2bl w:val="nil"/>
                  </w:tcBorders>
                  <w:noWrap w:val="0"/>
                  <w:vAlign w:val="center"/>
                </w:tcPr>
                <w:p w14:paraId="63C19FA0">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eastAsia"/>
                      <w:color w:val="auto"/>
                      <w:kern w:val="0"/>
                      <w:sz w:val="21"/>
                      <w:szCs w:val="21"/>
                      <w:highlight w:val="none"/>
                      <w:lang w:bidi="ar"/>
                    </w:rPr>
                    <w:t>/</w:t>
                  </w:r>
                </w:p>
              </w:tc>
              <w:tc>
                <w:tcPr>
                  <w:tcW w:w="1020" w:type="dxa"/>
                  <w:tcBorders>
                    <w:tl2br w:val="nil"/>
                    <w:tr2bl w:val="nil"/>
                  </w:tcBorders>
                  <w:noWrap w:val="0"/>
                  <w:vAlign w:val="center"/>
                </w:tcPr>
                <w:p w14:paraId="4CC09A0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w:t>
                  </w:r>
                </w:p>
              </w:tc>
            </w:tr>
            <w:tr w14:paraId="308D4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4BE0AEEB">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1339" w:type="dxa"/>
                  <w:vMerge w:val="continue"/>
                  <w:tcBorders>
                    <w:tl2br w:val="nil"/>
                    <w:tr2bl w:val="nil"/>
                  </w:tcBorders>
                  <w:noWrap w:val="0"/>
                  <w:vAlign w:val="center"/>
                </w:tcPr>
                <w:p w14:paraId="4C31DDC5">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2293" w:type="dxa"/>
                  <w:tcBorders>
                    <w:tl2br w:val="nil"/>
                    <w:tr2bl w:val="nil"/>
                  </w:tcBorders>
                  <w:noWrap w:val="0"/>
                  <w:vAlign w:val="center"/>
                </w:tcPr>
                <w:p w14:paraId="0F9C608F">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石油烃（C10-C40）*</w:t>
                  </w:r>
                </w:p>
              </w:tc>
              <w:tc>
                <w:tcPr>
                  <w:tcW w:w="1336" w:type="dxa"/>
                  <w:tcBorders>
                    <w:tl2br w:val="nil"/>
                    <w:tr2bl w:val="nil"/>
                  </w:tcBorders>
                  <w:noWrap w:val="0"/>
                  <w:vAlign w:val="center"/>
                </w:tcPr>
                <w:p w14:paraId="6FC748D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i w:val="0"/>
                      <w:color w:val="auto"/>
                      <w:kern w:val="0"/>
                      <w:sz w:val="21"/>
                      <w:szCs w:val="21"/>
                      <w:highlight w:val="none"/>
                      <w:u w:val="none"/>
                      <w:lang w:val="en-US" w:eastAsia="zh-CN" w:bidi="ar"/>
                    </w:rPr>
                    <w:t>未检出</w:t>
                  </w:r>
                </w:p>
              </w:tc>
              <w:tc>
                <w:tcPr>
                  <w:tcW w:w="1229" w:type="dxa"/>
                  <w:tcBorders>
                    <w:tl2br w:val="nil"/>
                    <w:tr2bl w:val="nil"/>
                  </w:tcBorders>
                  <w:noWrap w:val="0"/>
                  <w:vAlign w:val="center"/>
                </w:tcPr>
                <w:p w14:paraId="6570299B">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r>
                    <w:rPr>
                      <w:rFonts w:hint="eastAsia"/>
                      <w:color w:val="auto"/>
                      <w:kern w:val="0"/>
                      <w:sz w:val="21"/>
                      <w:szCs w:val="21"/>
                      <w:highlight w:val="none"/>
                      <w:lang w:bidi="ar"/>
                    </w:rPr>
                    <w:t>/</w:t>
                  </w:r>
                </w:p>
              </w:tc>
              <w:tc>
                <w:tcPr>
                  <w:tcW w:w="1020" w:type="dxa"/>
                  <w:tcBorders>
                    <w:tl2br w:val="nil"/>
                    <w:tr2bl w:val="nil"/>
                  </w:tcBorders>
                  <w:noWrap w:val="0"/>
                  <w:vAlign w:val="center"/>
                </w:tcPr>
                <w:p w14:paraId="697DE55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w:t>
                  </w:r>
                </w:p>
              </w:tc>
            </w:tr>
            <w:tr w14:paraId="287D2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restart"/>
                  <w:tcBorders>
                    <w:tl2br w:val="nil"/>
                    <w:tr2bl w:val="nil"/>
                  </w:tcBorders>
                  <w:noWrap w:val="0"/>
                  <w:vAlign w:val="center"/>
                </w:tcPr>
                <w:p w14:paraId="0059B08E">
                  <w:pPr>
                    <w:keepNext w:val="0"/>
                    <w:keepLines w:val="0"/>
                    <w:widowControl/>
                    <w:suppressLineNumbers w:val="0"/>
                    <w:spacing w:before="0" w:beforeAutospacing="0" w:after="0" w:afterAutospacing="0"/>
                    <w:ind w:left="0" w:right="0"/>
                    <w:jc w:val="center"/>
                    <w:textAlignment w:val="center"/>
                    <w:rPr>
                      <w:rFonts w:hint="default" w:eastAsia="宋体"/>
                      <w:color w:val="auto"/>
                      <w:sz w:val="21"/>
                      <w:szCs w:val="21"/>
                      <w:highlight w:val="none"/>
                      <w:lang w:val="en-US" w:eastAsia="zh-CN"/>
                    </w:rPr>
                  </w:pPr>
                  <w:r>
                    <w:rPr>
                      <w:rFonts w:hint="default"/>
                      <w:color w:val="auto"/>
                      <w:sz w:val="21"/>
                      <w:szCs w:val="21"/>
                      <w:highlight w:val="none"/>
                    </w:rPr>
                    <w:t>202</w:t>
                  </w:r>
                  <w:r>
                    <w:rPr>
                      <w:rFonts w:hint="eastAsia"/>
                      <w:color w:val="auto"/>
                      <w:sz w:val="21"/>
                      <w:szCs w:val="21"/>
                      <w:highlight w:val="none"/>
                      <w:lang w:val="en-US" w:eastAsia="zh-CN"/>
                    </w:rPr>
                    <w:t>5</w:t>
                  </w:r>
                  <w:r>
                    <w:rPr>
                      <w:rFonts w:hint="default"/>
                      <w:color w:val="auto"/>
                      <w:sz w:val="21"/>
                      <w:szCs w:val="21"/>
                      <w:highlight w:val="none"/>
                    </w:rPr>
                    <w:t>.0</w:t>
                  </w:r>
                  <w:r>
                    <w:rPr>
                      <w:rFonts w:hint="eastAsia"/>
                      <w:color w:val="auto"/>
                      <w:sz w:val="21"/>
                      <w:szCs w:val="21"/>
                      <w:highlight w:val="none"/>
                      <w:lang w:val="en-US" w:eastAsia="zh-CN"/>
                    </w:rPr>
                    <w:t>5</w:t>
                  </w:r>
                  <w:r>
                    <w:rPr>
                      <w:rFonts w:hint="default"/>
                      <w:color w:val="auto"/>
                      <w:sz w:val="21"/>
                      <w:szCs w:val="21"/>
                      <w:highlight w:val="none"/>
                    </w:rPr>
                    <w:t>.</w:t>
                  </w:r>
                  <w:r>
                    <w:rPr>
                      <w:rFonts w:hint="eastAsia"/>
                      <w:color w:val="auto"/>
                      <w:sz w:val="21"/>
                      <w:szCs w:val="21"/>
                      <w:highlight w:val="none"/>
                      <w:lang w:val="en-US" w:eastAsia="zh-CN"/>
                    </w:rPr>
                    <w:t>27</w:t>
                  </w:r>
                </w:p>
              </w:tc>
              <w:tc>
                <w:tcPr>
                  <w:tcW w:w="1339" w:type="dxa"/>
                  <w:vMerge w:val="restart"/>
                  <w:tcBorders>
                    <w:tl2br w:val="nil"/>
                    <w:tr2bl w:val="nil"/>
                  </w:tcBorders>
                  <w:noWrap w:val="0"/>
                  <w:vAlign w:val="center"/>
                </w:tcPr>
                <w:p w14:paraId="7391BFC0">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bCs/>
                      <w:color w:val="auto"/>
                      <w:sz w:val="21"/>
                      <w:szCs w:val="21"/>
                      <w:highlight w:val="none"/>
                    </w:rPr>
                    <w:t>项目周围居民现有水井</w:t>
                  </w:r>
                </w:p>
              </w:tc>
              <w:tc>
                <w:tcPr>
                  <w:tcW w:w="2293" w:type="dxa"/>
                  <w:tcBorders>
                    <w:tl2br w:val="nil"/>
                    <w:tr2bl w:val="nil"/>
                  </w:tcBorders>
                  <w:noWrap w:val="0"/>
                  <w:vAlign w:val="center"/>
                </w:tcPr>
                <w:p w14:paraId="268533D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pH</w:t>
                  </w:r>
                </w:p>
                <w:p w14:paraId="01D9E17C">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ascii="Times New Roman" w:hAnsi="Times New Roman" w:eastAsia="宋体" w:cs="Times New Roman"/>
                      <w:color w:val="auto"/>
                      <w:sz w:val="21"/>
                      <w:szCs w:val="21"/>
                      <w:highlight w:val="none"/>
                    </w:rPr>
                    <w:t>（无量纲）</w:t>
                  </w:r>
                </w:p>
              </w:tc>
              <w:tc>
                <w:tcPr>
                  <w:tcW w:w="1336" w:type="dxa"/>
                  <w:tcBorders>
                    <w:tl2br w:val="nil"/>
                    <w:tr2bl w:val="nil"/>
                  </w:tcBorders>
                  <w:noWrap w:val="0"/>
                  <w:vAlign w:val="center"/>
                </w:tcPr>
                <w:p w14:paraId="0AB8272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eastAsia="宋体"/>
                      <w:color w:val="auto"/>
                      <w:sz w:val="21"/>
                      <w:szCs w:val="21"/>
                      <w:highlight w:val="none"/>
                      <w:lang w:val="en-US" w:eastAsia="zh-CN"/>
                    </w:rPr>
                    <w:t>7.4</w:t>
                  </w:r>
                </w:p>
              </w:tc>
              <w:tc>
                <w:tcPr>
                  <w:tcW w:w="1229" w:type="dxa"/>
                  <w:tcBorders>
                    <w:tl2br w:val="nil"/>
                    <w:tr2bl w:val="nil"/>
                  </w:tcBorders>
                  <w:noWrap w:val="0"/>
                  <w:vAlign w:val="center"/>
                </w:tcPr>
                <w:p w14:paraId="1E5E1EDF">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rPr>
                    <w:t>6.5</w:t>
                  </w:r>
                  <w:r>
                    <w:rPr>
                      <w:rFonts w:hint="default"/>
                      <w:color w:val="auto"/>
                      <w:sz w:val="21"/>
                      <w:szCs w:val="21"/>
                      <w:highlight w:val="none"/>
                    </w:rPr>
                    <w:t>≤</w:t>
                  </w:r>
                  <w:r>
                    <w:rPr>
                      <w:rFonts w:hint="eastAsia"/>
                      <w:color w:val="auto"/>
                      <w:sz w:val="21"/>
                      <w:szCs w:val="21"/>
                      <w:highlight w:val="none"/>
                    </w:rPr>
                    <w:t>pH</w:t>
                  </w:r>
                  <w:r>
                    <w:rPr>
                      <w:rFonts w:hint="default"/>
                      <w:color w:val="auto"/>
                      <w:sz w:val="21"/>
                      <w:szCs w:val="21"/>
                      <w:highlight w:val="none"/>
                    </w:rPr>
                    <w:t>≤</w:t>
                  </w:r>
                  <w:r>
                    <w:rPr>
                      <w:rFonts w:hint="eastAsia"/>
                      <w:color w:val="auto"/>
                      <w:sz w:val="21"/>
                      <w:szCs w:val="21"/>
                      <w:highlight w:val="none"/>
                    </w:rPr>
                    <w:t>8.5</w:t>
                  </w:r>
                </w:p>
              </w:tc>
              <w:tc>
                <w:tcPr>
                  <w:tcW w:w="1020" w:type="dxa"/>
                  <w:tcBorders>
                    <w:tl2br w:val="nil"/>
                    <w:tr2bl w:val="nil"/>
                  </w:tcBorders>
                  <w:noWrap w:val="0"/>
                  <w:vAlign w:val="center"/>
                </w:tcPr>
                <w:p w14:paraId="7A25BF6D">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rPr>
                    <w:t>0.267</w:t>
                  </w:r>
                </w:p>
              </w:tc>
            </w:tr>
            <w:tr w14:paraId="58389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22C48C30">
                  <w:pPr>
                    <w:keepNext w:val="0"/>
                    <w:keepLines w:val="0"/>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715763EE">
                  <w:pPr>
                    <w:keepNext w:val="0"/>
                    <w:keepLines w:val="0"/>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7F87D635">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color w:val="auto"/>
                      <w:sz w:val="21"/>
                      <w:szCs w:val="21"/>
                      <w:highlight w:val="none"/>
                    </w:rPr>
                    <w:t>石油类</w:t>
                  </w:r>
                </w:p>
              </w:tc>
              <w:tc>
                <w:tcPr>
                  <w:tcW w:w="1336" w:type="dxa"/>
                  <w:tcBorders>
                    <w:tl2br w:val="nil"/>
                    <w:tr2bl w:val="nil"/>
                  </w:tcBorders>
                  <w:noWrap w:val="0"/>
                  <w:vAlign w:val="center"/>
                </w:tcPr>
                <w:p w14:paraId="0DD64A7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olor w:val="auto"/>
                      <w:sz w:val="21"/>
                      <w:szCs w:val="21"/>
                      <w:highlight w:val="none"/>
                    </w:rPr>
                    <w:t>0.0</w:t>
                  </w:r>
                  <w:r>
                    <w:rPr>
                      <w:rFonts w:hint="eastAsia"/>
                      <w:color w:val="auto"/>
                      <w:sz w:val="21"/>
                      <w:szCs w:val="21"/>
                      <w:highlight w:val="none"/>
                      <w:lang w:val="en-US" w:eastAsia="zh-CN"/>
                    </w:rPr>
                    <w:t>1</w:t>
                  </w:r>
                  <w:r>
                    <w:rPr>
                      <w:rFonts w:hint="eastAsia"/>
                      <w:color w:val="auto"/>
                      <w:sz w:val="21"/>
                      <w:szCs w:val="21"/>
                      <w:highlight w:val="none"/>
                      <w:vertAlign w:val="superscript"/>
                    </w:rPr>
                    <w:t>L</w:t>
                  </w:r>
                </w:p>
              </w:tc>
              <w:tc>
                <w:tcPr>
                  <w:tcW w:w="1229" w:type="dxa"/>
                  <w:tcBorders>
                    <w:tl2br w:val="nil"/>
                    <w:tr2bl w:val="nil"/>
                  </w:tcBorders>
                  <w:noWrap w:val="0"/>
                  <w:vAlign w:val="center"/>
                </w:tcPr>
                <w:p w14:paraId="784BAC51">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w:t>
                  </w:r>
                </w:p>
              </w:tc>
              <w:tc>
                <w:tcPr>
                  <w:tcW w:w="1020" w:type="dxa"/>
                  <w:tcBorders>
                    <w:tl2br w:val="nil"/>
                    <w:tr2bl w:val="nil"/>
                  </w:tcBorders>
                  <w:noWrap w:val="0"/>
                  <w:vAlign w:val="bottom"/>
                </w:tcPr>
                <w:p w14:paraId="6DC6C459">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lang w:val="en-US" w:eastAsia="zh-CN"/>
                    </w:rPr>
                    <w:t>/</w:t>
                  </w:r>
                </w:p>
              </w:tc>
            </w:tr>
            <w:tr w14:paraId="6CE47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79414F19">
                  <w:pPr>
                    <w:keepNext w:val="0"/>
                    <w:keepLines w:val="0"/>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0E2EDDD7">
                  <w:pPr>
                    <w:keepNext w:val="0"/>
                    <w:keepLines w:val="0"/>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112EAB10">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硫化物</w:t>
                  </w:r>
                </w:p>
              </w:tc>
              <w:tc>
                <w:tcPr>
                  <w:tcW w:w="1336" w:type="dxa"/>
                  <w:tcBorders>
                    <w:tl2br w:val="nil"/>
                    <w:tr2bl w:val="nil"/>
                  </w:tcBorders>
                  <w:noWrap w:val="0"/>
                  <w:vAlign w:val="center"/>
                </w:tcPr>
                <w:p w14:paraId="065EDCE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olor w:val="auto"/>
                      <w:sz w:val="21"/>
                      <w:szCs w:val="21"/>
                      <w:highlight w:val="none"/>
                    </w:rPr>
                    <w:t>0.0</w:t>
                  </w:r>
                  <w:r>
                    <w:rPr>
                      <w:rFonts w:hint="eastAsia"/>
                      <w:color w:val="auto"/>
                      <w:sz w:val="21"/>
                      <w:szCs w:val="21"/>
                      <w:highlight w:val="none"/>
                      <w:lang w:val="en-US" w:eastAsia="zh-CN"/>
                    </w:rPr>
                    <w:t>03</w:t>
                  </w:r>
                  <w:r>
                    <w:rPr>
                      <w:rFonts w:hint="eastAsia"/>
                      <w:color w:val="auto"/>
                      <w:sz w:val="21"/>
                      <w:szCs w:val="21"/>
                      <w:highlight w:val="none"/>
                      <w:vertAlign w:val="superscript"/>
                    </w:rPr>
                    <w:t>L</w:t>
                  </w:r>
                </w:p>
              </w:tc>
              <w:tc>
                <w:tcPr>
                  <w:tcW w:w="1229" w:type="dxa"/>
                  <w:tcBorders>
                    <w:tl2br w:val="nil"/>
                    <w:tr2bl w:val="nil"/>
                  </w:tcBorders>
                  <w:noWrap w:val="0"/>
                  <w:vAlign w:val="center"/>
                </w:tcPr>
                <w:p w14:paraId="2898415A">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0.02</w:t>
                  </w:r>
                </w:p>
              </w:tc>
              <w:tc>
                <w:tcPr>
                  <w:tcW w:w="1020" w:type="dxa"/>
                  <w:tcBorders>
                    <w:tl2br w:val="nil"/>
                    <w:tr2bl w:val="nil"/>
                  </w:tcBorders>
                  <w:noWrap w:val="0"/>
                  <w:vAlign w:val="bottom"/>
                </w:tcPr>
                <w:p w14:paraId="22D3D419">
                  <w:pPr>
                    <w:keepNext w:val="0"/>
                    <w:keepLines w:val="0"/>
                    <w:suppressLineNumbers w:val="0"/>
                    <w:spacing w:before="0" w:beforeAutospacing="0" w:after="0" w:afterAutospacing="0"/>
                    <w:ind w:left="0" w:leftChars="0" w:right="0" w:rightChars="0"/>
                    <w:jc w:val="center"/>
                    <w:rPr>
                      <w:rFonts w:hint="default"/>
                      <w:color w:val="auto"/>
                      <w:sz w:val="21"/>
                      <w:szCs w:val="21"/>
                      <w:highlight w:val="none"/>
                    </w:rPr>
                  </w:pPr>
                  <w:r>
                    <w:rPr>
                      <w:rFonts w:hint="eastAsia"/>
                      <w:color w:val="auto"/>
                      <w:sz w:val="21"/>
                      <w:szCs w:val="21"/>
                      <w:highlight w:val="none"/>
                      <w:lang w:val="en-US" w:eastAsia="zh-CN"/>
                    </w:rPr>
                    <w:t>0.075</w:t>
                  </w:r>
                </w:p>
              </w:tc>
            </w:tr>
            <w:tr w14:paraId="43E79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1AEFCF6C">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5ED52F75">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7661BB6A">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color w:val="auto"/>
                      <w:sz w:val="21"/>
                      <w:szCs w:val="21"/>
                      <w:highlight w:val="none"/>
                    </w:rPr>
                    <w:t>挥发酚</w:t>
                  </w:r>
                </w:p>
              </w:tc>
              <w:tc>
                <w:tcPr>
                  <w:tcW w:w="1336" w:type="dxa"/>
                  <w:tcBorders>
                    <w:tl2br w:val="nil"/>
                    <w:tr2bl w:val="nil"/>
                  </w:tcBorders>
                  <w:noWrap w:val="0"/>
                  <w:vAlign w:val="center"/>
                </w:tcPr>
                <w:p w14:paraId="5738F3A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olor w:val="auto"/>
                      <w:sz w:val="21"/>
                      <w:szCs w:val="21"/>
                      <w:highlight w:val="none"/>
                    </w:rPr>
                    <w:t>0.0</w:t>
                  </w:r>
                  <w:r>
                    <w:rPr>
                      <w:rFonts w:hint="eastAsia"/>
                      <w:color w:val="auto"/>
                      <w:sz w:val="21"/>
                      <w:szCs w:val="21"/>
                      <w:highlight w:val="none"/>
                      <w:lang w:val="en-US" w:eastAsia="zh-CN"/>
                    </w:rPr>
                    <w:t>003</w:t>
                  </w:r>
                  <w:r>
                    <w:rPr>
                      <w:rFonts w:hint="eastAsia"/>
                      <w:color w:val="auto"/>
                      <w:sz w:val="21"/>
                      <w:szCs w:val="21"/>
                      <w:highlight w:val="none"/>
                      <w:vertAlign w:val="superscript"/>
                    </w:rPr>
                    <w:t>L</w:t>
                  </w:r>
                </w:p>
              </w:tc>
              <w:tc>
                <w:tcPr>
                  <w:tcW w:w="1229" w:type="dxa"/>
                  <w:tcBorders>
                    <w:tl2br w:val="nil"/>
                    <w:tr2bl w:val="nil"/>
                  </w:tcBorders>
                  <w:noWrap w:val="0"/>
                  <w:vAlign w:val="center"/>
                </w:tcPr>
                <w:p w14:paraId="125E58E7">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0.002</w:t>
                  </w:r>
                </w:p>
              </w:tc>
              <w:tc>
                <w:tcPr>
                  <w:tcW w:w="1020" w:type="dxa"/>
                  <w:tcBorders>
                    <w:tl2br w:val="nil"/>
                    <w:tr2bl w:val="nil"/>
                  </w:tcBorders>
                  <w:noWrap w:val="0"/>
                  <w:vAlign w:val="center"/>
                </w:tcPr>
                <w:p w14:paraId="3D51EDB2">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0.075</w:t>
                  </w:r>
                </w:p>
              </w:tc>
            </w:tr>
            <w:tr w14:paraId="2814EE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408E3A44">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7E0E74D1">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56E6DA9F">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砷</w:t>
                  </w:r>
                </w:p>
              </w:tc>
              <w:tc>
                <w:tcPr>
                  <w:tcW w:w="1336" w:type="dxa"/>
                  <w:tcBorders>
                    <w:tl2br w:val="nil"/>
                    <w:tr2bl w:val="nil"/>
                  </w:tcBorders>
                  <w:noWrap w:val="0"/>
                  <w:vAlign w:val="center"/>
                </w:tcPr>
                <w:p w14:paraId="171197F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olor w:val="auto"/>
                      <w:sz w:val="21"/>
                      <w:szCs w:val="21"/>
                      <w:highlight w:val="none"/>
                    </w:rPr>
                    <w:t>0.</w:t>
                  </w:r>
                  <w:r>
                    <w:rPr>
                      <w:rFonts w:hint="eastAsia"/>
                      <w:color w:val="auto"/>
                      <w:sz w:val="21"/>
                      <w:szCs w:val="21"/>
                      <w:highlight w:val="none"/>
                      <w:lang w:val="en-US" w:eastAsia="zh-CN"/>
                    </w:rPr>
                    <w:t>0003</w:t>
                  </w:r>
                  <w:r>
                    <w:rPr>
                      <w:rFonts w:hint="eastAsia"/>
                      <w:color w:val="auto"/>
                      <w:sz w:val="21"/>
                      <w:szCs w:val="21"/>
                      <w:highlight w:val="none"/>
                      <w:vertAlign w:val="superscript"/>
                    </w:rPr>
                    <w:t>L</w:t>
                  </w:r>
                </w:p>
              </w:tc>
              <w:tc>
                <w:tcPr>
                  <w:tcW w:w="1229" w:type="dxa"/>
                  <w:tcBorders>
                    <w:tl2br w:val="nil"/>
                    <w:tr2bl w:val="nil"/>
                  </w:tcBorders>
                  <w:noWrap w:val="0"/>
                  <w:vAlign w:val="center"/>
                </w:tcPr>
                <w:p w14:paraId="60BF707E">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0.01</w:t>
                  </w:r>
                </w:p>
              </w:tc>
              <w:tc>
                <w:tcPr>
                  <w:tcW w:w="1020" w:type="dxa"/>
                  <w:tcBorders>
                    <w:tl2br w:val="nil"/>
                    <w:tr2bl w:val="nil"/>
                  </w:tcBorders>
                  <w:noWrap w:val="0"/>
                  <w:vAlign w:val="center"/>
                </w:tcPr>
                <w:p w14:paraId="49376BA9">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0.015</w:t>
                  </w:r>
                </w:p>
              </w:tc>
            </w:tr>
            <w:tr w14:paraId="13E2E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3D5A97E5">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p>
              </w:tc>
              <w:tc>
                <w:tcPr>
                  <w:tcW w:w="1339" w:type="dxa"/>
                  <w:vMerge w:val="continue"/>
                  <w:tcBorders>
                    <w:tl2br w:val="nil"/>
                    <w:tr2bl w:val="nil"/>
                  </w:tcBorders>
                  <w:noWrap w:val="0"/>
                  <w:vAlign w:val="center"/>
                </w:tcPr>
                <w:p w14:paraId="7BC5097B">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p>
              </w:tc>
              <w:tc>
                <w:tcPr>
                  <w:tcW w:w="2293" w:type="dxa"/>
                  <w:tcBorders>
                    <w:tl2br w:val="nil"/>
                    <w:tr2bl w:val="nil"/>
                  </w:tcBorders>
                  <w:noWrap w:val="0"/>
                  <w:vAlign w:val="center"/>
                </w:tcPr>
                <w:p w14:paraId="7FBFCE52">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color w:val="auto"/>
                      <w:sz w:val="21"/>
                      <w:szCs w:val="21"/>
                      <w:highlight w:val="none"/>
                    </w:rPr>
                    <w:t>苯</w:t>
                  </w:r>
                </w:p>
              </w:tc>
              <w:tc>
                <w:tcPr>
                  <w:tcW w:w="1336" w:type="dxa"/>
                  <w:tcBorders>
                    <w:tl2br w:val="nil"/>
                    <w:tr2bl w:val="nil"/>
                  </w:tcBorders>
                  <w:noWrap w:val="0"/>
                  <w:vAlign w:val="center"/>
                </w:tcPr>
                <w:p w14:paraId="51602A2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olor w:val="auto"/>
                      <w:sz w:val="21"/>
                      <w:szCs w:val="21"/>
                      <w:highlight w:val="none"/>
                    </w:rPr>
                    <w:t>0.</w:t>
                  </w:r>
                  <w:r>
                    <w:rPr>
                      <w:rFonts w:hint="eastAsia"/>
                      <w:color w:val="auto"/>
                      <w:sz w:val="21"/>
                      <w:szCs w:val="21"/>
                      <w:highlight w:val="none"/>
                      <w:lang w:val="en-US" w:eastAsia="zh-CN"/>
                    </w:rPr>
                    <w:t>0008</w:t>
                  </w:r>
                  <w:r>
                    <w:rPr>
                      <w:rFonts w:hint="eastAsia"/>
                      <w:color w:val="auto"/>
                      <w:sz w:val="21"/>
                      <w:szCs w:val="21"/>
                      <w:highlight w:val="none"/>
                      <w:vertAlign w:val="superscript"/>
                    </w:rPr>
                    <w:t>L</w:t>
                  </w:r>
                </w:p>
              </w:tc>
              <w:tc>
                <w:tcPr>
                  <w:tcW w:w="1229" w:type="dxa"/>
                  <w:tcBorders>
                    <w:tl2br w:val="nil"/>
                    <w:tr2bl w:val="nil"/>
                  </w:tcBorders>
                  <w:noWrap w:val="0"/>
                  <w:vAlign w:val="center"/>
                </w:tcPr>
                <w:p w14:paraId="42F81001">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10.0</w:t>
                  </w:r>
                </w:p>
              </w:tc>
              <w:tc>
                <w:tcPr>
                  <w:tcW w:w="1020" w:type="dxa"/>
                  <w:tcBorders>
                    <w:tl2br w:val="nil"/>
                    <w:tr2bl w:val="nil"/>
                  </w:tcBorders>
                  <w:noWrap w:val="0"/>
                  <w:vAlign w:val="center"/>
                </w:tcPr>
                <w:p w14:paraId="78869010">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0.00004</w:t>
                  </w:r>
                </w:p>
              </w:tc>
            </w:tr>
            <w:tr w14:paraId="60456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532873DB">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2BDD8B2F">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3D1AB8A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甲苯</w:t>
                  </w:r>
                </w:p>
              </w:tc>
              <w:tc>
                <w:tcPr>
                  <w:tcW w:w="1336" w:type="dxa"/>
                  <w:tcBorders>
                    <w:tl2br w:val="nil"/>
                    <w:tr2bl w:val="nil"/>
                  </w:tcBorders>
                  <w:noWrap w:val="0"/>
                  <w:vAlign w:val="center"/>
                </w:tcPr>
                <w:p w14:paraId="0F93979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0.0010</w:t>
                  </w:r>
                  <w:r>
                    <w:rPr>
                      <w:rFonts w:hint="eastAsia"/>
                      <w:color w:val="auto"/>
                      <w:sz w:val="21"/>
                      <w:szCs w:val="21"/>
                      <w:highlight w:val="none"/>
                      <w:vertAlign w:val="superscript"/>
                    </w:rPr>
                    <w:t>L</w:t>
                  </w:r>
                </w:p>
              </w:tc>
              <w:tc>
                <w:tcPr>
                  <w:tcW w:w="1229" w:type="dxa"/>
                  <w:tcBorders>
                    <w:tl2br w:val="nil"/>
                    <w:tr2bl w:val="nil"/>
                  </w:tcBorders>
                  <w:noWrap w:val="0"/>
                  <w:vAlign w:val="center"/>
                </w:tcPr>
                <w:p w14:paraId="3935E733">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700</w:t>
                  </w:r>
                </w:p>
              </w:tc>
              <w:tc>
                <w:tcPr>
                  <w:tcW w:w="1020" w:type="dxa"/>
                  <w:tcBorders>
                    <w:tl2br w:val="nil"/>
                    <w:tr2bl w:val="nil"/>
                  </w:tcBorders>
                  <w:noWrap w:val="0"/>
                  <w:vAlign w:val="center"/>
                </w:tcPr>
                <w:p w14:paraId="5CB7A4E3">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7.14286E-07</w:t>
                  </w:r>
                </w:p>
              </w:tc>
            </w:tr>
            <w:tr w14:paraId="65BE8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6B454AC3">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p>
              </w:tc>
              <w:tc>
                <w:tcPr>
                  <w:tcW w:w="1339" w:type="dxa"/>
                  <w:vMerge w:val="continue"/>
                  <w:tcBorders>
                    <w:tl2br w:val="nil"/>
                    <w:tr2bl w:val="nil"/>
                  </w:tcBorders>
                  <w:noWrap w:val="0"/>
                  <w:vAlign w:val="center"/>
                </w:tcPr>
                <w:p w14:paraId="17F99D8B">
                  <w:pPr>
                    <w:keepNext w:val="0"/>
                    <w:keepLines w:val="0"/>
                    <w:widowControl/>
                    <w:suppressLineNumbers w:val="0"/>
                    <w:spacing w:before="0" w:beforeAutospacing="0" w:after="0" w:afterAutospacing="0"/>
                    <w:ind w:left="0" w:right="0"/>
                    <w:jc w:val="center"/>
                    <w:textAlignment w:val="center"/>
                    <w:rPr>
                      <w:rFonts w:hint="default"/>
                      <w:color w:val="auto"/>
                      <w:kern w:val="0"/>
                      <w:sz w:val="21"/>
                      <w:szCs w:val="21"/>
                      <w:highlight w:val="none"/>
                      <w:lang w:bidi="ar"/>
                    </w:rPr>
                  </w:pPr>
                </w:p>
              </w:tc>
              <w:tc>
                <w:tcPr>
                  <w:tcW w:w="2293" w:type="dxa"/>
                  <w:tcBorders>
                    <w:tl2br w:val="nil"/>
                    <w:tr2bl w:val="nil"/>
                  </w:tcBorders>
                  <w:noWrap w:val="0"/>
                  <w:vAlign w:val="center"/>
                </w:tcPr>
                <w:p w14:paraId="09F9A8B7">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color w:val="auto"/>
                      <w:sz w:val="21"/>
                      <w:szCs w:val="21"/>
                      <w:highlight w:val="none"/>
                    </w:rPr>
                    <w:t>乙苯</w:t>
                  </w:r>
                </w:p>
              </w:tc>
              <w:tc>
                <w:tcPr>
                  <w:tcW w:w="1336" w:type="dxa"/>
                  <w:tcBorders>
                    <w:tl2br w:val="nil"/>
                    <w:tr2bl w:val="nil"/>
                  </w:tcBorders>
                  <w:noWrap w:val="0"/>
                  <w:vAlign w:val="center"/>
                </w:tcPr>
                <w:p w14:paraId="1CB7D20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0.0010</w:t>
                  </w:r>
                  <w:r>
                    <w:rPr>
                      <w:rFonts w:hint="eastAsia"/>
                      <w:color w:val="auto"/>
                      <w:sz w:val="21"/>
                      <w:szCs w:val="21"/>
                      <w:highlight w:val="none"/>
                      <w:vertAlign w:val="superscript"/>
                    </w:rPr>
                    <w:t>L</w:t>
                  </w:r>
                </w:p>
              </w:tc>
              <w:tc>
                <w:tcPr>
                  <w:tcW w:w="1229" w:type="dxa"/>
                  <w:tcBorders>
                    <w:tl2br w:val="nil"/>
                    <w:tr2bl w:val="nil"/>
                  </w:tcBorders>
                  <w:noWrap w:val="0"/>
                  <w:vAlign w:val="center"/>
                </w:tcPr>
                <w:p w14:paraId="65EDF784">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300</w:t>
                  </w:r>
                </w:p>
              </w:tc>
              <w:tc>
                <w:tcPr>
                  <w:tcW w:w="1020" w:type="dxa"/>
                  <w:tcBorders>
                    <w:tl2br w:val="nil"/>
                    <w:tr2bl w:val="nil"/>
                  </w:tcBorders>
                  <w:noWrap w:val="0"/>
                  <w:vAlign w:val="center"/>
                </w:tcPr>
                <w:p w14:paraId="3AB2BBAD">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1.66667E-06</w:t>
                  </w:r>
                </w:p>
              </w:tc>
            </w:tr>
            <w:tr w14:paraId="08415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25E8E280">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09E85807">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320DC31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对，间二甲苯</w:t>
                  </w:r>
                </w:p>
              </w:tc>
              <w:tc>
                <w:tcPr>
                  <w:tcW w:w="1336" w:type="dxa"/>
                  <w:tcBorders>
                    <w:tl2br w:val="nil"/>
                    <w:tr2bl w:val="nil"/>
                  </w:tcBorders>
                  <w:noWrap w:val="0"/>
                  <w:vAlign w:val="center"/>
                </w:tcPr>
                <w:p w14:paraId="0202A13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0.0007</w:t>
                  </w:r>
                  <w:r>
                    <w:rPr>
                      <w:rFonts w:hint="default" w:ascii="Times New Roman" w:hAnsi="Times New Roman" w:cs="Times New Roman"/>
                      <w:color w:val="auto"/>
                      <w:sz w:val="21"/>
                      <w:szCs w:val="21"/>
                      <w:highlight w:val="none"/>
                      <w:vertAlign w:val="superscript"/>
                      <w:lang w:val="en-US" w:eastAsia="zh-CN"/>
                    </w:rPr>
                    <w:t>L</w:t>
                  </w:r>
                </w:p>
              </w:tc>
              <w:tc>
                <w:tcPr>
                  <w:tcW w:w="1229" w:type="dxa"/>
                  <w:tcBorders>
                    <w:tl2br w:val="nil"/>
                    <w:tr2bl w:val="nil"/>
                  </w:tcBorders>
                  <w:noWrap w:val="0"/>
                  <w:vAlign w:val="center"/>
                </w:tcPr>
                <w:p w14:paraId="58F36E4B">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w:t>
                  </w:r>
                </w:p>
              </w:tc>
              <w:tc>
                <w:tcPr>
                  <w:tcW w:w="1020" w:type="dxa"/>
                  <w:tcBorders>
                    <w:tl2br w:val="nil"/>
                    <w:tr2bl w:val="nil"/>
                  </w:tcBorders>
                  <w:noWrap w:val="0"/>
                  <w:vAlign w:val="center"/>
                </w:tcPr>
                <w:p w14:paraId="04D5A6E3">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w:t>
                  </w:r>
                </w:p>
              </w:tc>
            </w:tr>
            <w:tr w14:paraId="17E44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359EF7FF">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3B697D1B">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0F029F1E">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邻二甲苯</w:t>
                  </w:r>
                </w:p>
              </w:tc>
              <w:tc>
                <w:tcPr>
                  <w:tcW w:w="1336" w:type="dxa"/>
                  <w:tcBorders>
                    <w:tl2br w:val="nil"/>
                    <w:tr2bl w:val="nil"/>
                  </w:tcBorders>
                  <w:noWrap w:val="0"/>
                  <w:vAlign w:val="center"/>
                </w:tcPr>
                <w:p w14:paraId="03A1FE1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0.000</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vertAlign w:val="superscript"/>
                      <w:lang w:val="en-US" w:eastAsia="zh-CN"/>
                    </w:rPr>
                    <w:t>L</w:t>
                  </w:r>
                </w:p>
              </w:tc>
              <w:tc>
                <w:tcPr>
                  <w:tcW w:w="1229" w:type="dxa"/>
                  <w:tcBorders>
                    <w:tl2br w:val="nil"/>
                    <w:tr2bl w:val="nil"/>
                  </w:tcBorders>
                  <w:noWrap w:val="0"/>
                  <w:vAlign w:val="center"/>
                </w:tcPr>
                <w:p w14:paraId="3CF1BACF">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w:t>
                  </w:r>
                </w:p>
              </w:tc>
              <w:tc>
                <w:tcPr>
                  <w:tcW w:w="1020" w:type="dxa"/>
                  <w:tcBorders>
                    <w:tl2br w:val="nil"/>
                    <w:tr2bl w:val="nil"/>
                  </w:tcBorders>
                  <w:noWrap w:val="0"/>
                  <w:vAlign w:val="center"/>
                </w:tcPr>
                <w:p w14:paraId="0A3A1231">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w:t>
                  </w:r>
                </w:p>
              </w:tc>
            </w:tr>
            <w:tr w14:paraId="3AE79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44A599CB">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4A2E91EC">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692B0A8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硝酸盐</w:t>
                  </w:r>
                </w:p>
              </w:tc>
              <w:tc>
                <w:tcPr>
                  <w:tcW w:w="1336" w:type="dxa"/>
                  <w:tcBorders>
                    <w:tl2br w:val="nil"/>
                    <w:tr2bl w:val="nil"/>
                  </w:tcBorders>
                  <w:noWrap w:val="0"/>
                  <w:vAlign w:val="center"/>
                </w:tcPr>
                <w:p w14:paraId="6E376AD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color w:val="auto"/>
                      <w:sz w:val="21"/>
                      <w:szCs w:val="21"/>
                      <w:highlight w:val="none"/>
                    </w:rPr>
                    <w:t>0.</w:t>
                  </w:r>
                  <w:r>
                    <w:rPr>
                      <w:rFonts w:hint="eastAsia"/>
                      <w:color w:val="auto"/>
                      <w:sz w:val="21"/>
                      <w:szCs w:val="21"/>
                      <w:highlight w:val="none"/>
                      <w:lang w:val="en-US" w:eastAsia="zh-CN"/>
                    </w:rPr>
                    <w:t>310</w:t>
                  </w:r>
                </w:p>
              </w:tc>
              <w:tc>
                <w:tcPr>
                  <w:tcW w:w="1229" w:type="dxa"/>
                  <w:tcBorders>
                    <w:tl2br w:val="nil"/>
                    <w:tr2bl w:val="nil"/>
                  </w:tcBorders>
                  <w:noWrap w:val="0"/>
                  <w:vAlign w:val="center"/>
                </w:tcPr>
                <w:p w14:paraId="758717FE">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20.0</w:t>
                  </w:r>
                </w:p>
              </w:tc>
              <w:tc>
                <w:tcPr>
                  <w:tcW w:w="1020" w:type="dxa"/>
                  <w:tcBorders>
                    <w:tl2br w:val="nil"/>
                    <w:tr2bl w:val="nil"/>
                  </w:tcBorders>
                  <w:noWrap w:val="0"/>
                  <w:vAlign w:val="center"/>
                </w:tcPr>
                <w:p w14:paraId="3E515D80">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lang w:val="en-US"/>
                    </w:rPr>
                  </w:pPr>
                  <w:r>
                    <w:rPr>
                      <w:rFonts w:hint="eastAsia" w:ascii="Times New Roman" w:hAnsi="Times New Roman" w:cs="Times New Roman"/>
                      <w:color w:val="auto"/>
                      <w:kern w:val="0"/>
                      <w:sz w:val="21"/>
                      <w:szCs w:val="21"/>
                      <w:highlight w:val="none"/>
                      <w:lang w:val="en-US" w:eastAsia="zh-CN" w:bidi="ar"/>
                    </w:rPr>
                    <w:t>0.0155</w:t>
                  </w:r>
                </w:p>
              </w:tc>
            </w:tr>
            <w:tr w14:paraId="52889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503F143C">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3230256E">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7BDED23A">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硫酸盐</w:t>
                  </w:r>
                </w:p>
              </w:tc>
              <w:tc>
                <w:tcPr>
                  <w:tcW w:w="1336" w:type="dxa"/>
                  <w:tcBorders>
                    <w:tl2br w:val="nil"/>
                    <w:tr2bl w:val="nil"/>
                  </w:tcBorders>
                  <w:noWrap w:val="0"/>
                  <w:vAlign w:val="center"/>
                </w:tcPr>
                <w:p w14:paraId="1AD23FE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8.08</w:t>
                  </w:r>
                </w:p>
              </w:tc>
              <w:tc>
                <w:tcPr>
                  <w:tcW w:w="1229" w:type="dxa"/>
                  <w:tcBorders>
                    <w:tl2br w:val="nil"/>
                    <w:tr2bl w:val="nil"/>
                  </w:tcBorders>
                  <w:noWrap w:val="0"/>
                  <w:vAlign w:val="center"/>
                </w:tcPr>
                <w:p w14:paraId="59AC92F9">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250</w:t>
                  </w:r>
                </w:p>
              </w:tc>
              <w:tc>
                <w:tcPr>
                  <w:tcW w:w="1020" w:type="dxa"/>
                  <w:tcBorders>
                    <w:tl2br w:val="nil"/>
                    <w:tr2bl w:val="nil"/>
                  </w:tcBorders>
                  <w:noWrap w:val="0"/>
                  <w:vAlign w:val="center"/>
                </w:tcPr>
                <w:p w14:paraId="4DA4A70F">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lang w:val="en-US"/>
                    </w:rPr>
                  </w:pPr>
                  <w:r>
                    <w:rPr>
                      <w:rFonts w:hint="eastAsia" w:ascii="Times New Roman" w:hAnsi="Times New Roman" w:cs="Times New Roman"/>
                      <w:color w:val="auto"/>
                      <w:kern w:val="0"/>
                      <w:sz w:val="21"/>
                      <w:szCs w:val="21"/>
                      <w:highlight w:val="none"/>
                      <w:lang w:val="en-US" w:eastAsia="zh-CN" w:bidi="ar"/>
                    </w:rPr>
                    <w:t>0.03232</w:t>
                  </w:r>
                </w:p>
              </w:tc>
            </w:tr>
            <w:tr w14:paraId="117FD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0C7788C3">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5C84EB18">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27B6F77D">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亚硝酸盐</w:t>
                  </w:r>
                </w:p>
              </w:tc>
              <w:tc>
                <w:tcPr>
                  <w:tcW w:w="1336" w:type="dxa"/>
                  <w:tcBorders>
                    <w:tl2br w:val="nil"/>
                    <w:tr2bl w:val="nil"/>
                  </w:tcBorders>
                  <w:noWrap w:val="0"/>
                  <w:vAlign w:val="center"/>
                </w:tcPr>
                <w:p w14:paraId="147A251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eastAsia="宋体"/>
                      <w:bCs/>
                      <w:color w:val="auto"/>
                      <w:sz w:val="21"/>
                      <w:szCs w:val="21"/>
                      <w:highlight w:val="none"/>
                      <w:lang w:val="en-US" w:eastAsia="zh-CN"/>
                    </w:rPr>
                    <w:t>0.001</w:t>
                  </w:r>
                </w:p>
              </w:tc>
              <w:tc>
                <w:tcPr>
                  <w:tcW w:w="1229" w:type="dxa"/>
                  <w:tcBorders>
                    <w:tl2br w:val="nil"/>
                    <w:tr2bl w:val="nil"/>
                  </w:tcBorders>
                  <w:noWrap w:val="0"/>
                  <w:vAlign w:val="center"/>
                </w:tcPr>
                <w:p w14:paraId="138E0EFE">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1.00</w:t>
                  </w:r>
                </w:p>
              </w:tc>
              <w:tc>
                <w:tcPr>
                  <w:tcW w:w="1020" w:type="dxa"/>
                  <w:tcBorders>
                    <w:tl2br w:val="nil"/>
                    <w:tr2bl w:val="nil"/>
                  </w:tcBorders>
                  <w:noWrap w:val="0"/>
                  <w:vAlign w:val="center"/>
                </w:tcPr>
                <w:p w14:paraId="2984E3C5">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0.001</w:t>
                  </w:r>
                </w:p>
              </w:tc>
            </w:tr>
            <w:tr w14:paraId="5E957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4865DA01">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1B3246F8">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252072B1">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ascii="Times New Roman" w:hAnsi="Times New Roman" w:cs="Times New Roman"/>
                      <w:color w:val="auto"/>
                      <w:sz w:val="21"/>
                      <w:szCs w:val="21"/>
                      <w:highlight w:val="none"/>
                    </w:rPr>
                    <w:t>苯并[a]芘</w:t>
                  </w:r>
                </w:p>
              </w:tc>
              <w:tc>
                <w:tcPr>
                  <w:tcW w:w="1336" w:type="dxa"/>
                  <w:tcBorders>
                    <w:tl2br w:val="nil"/>
                    <w:tr2bl w:val="nil"/>
                  </w:tcBorders>
                  <w:noWrap w:val="0"/>
                  <w:vAlign w:val="center"/>
                </w:tcPr>
                <w:p w14:paraId="6E5C475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color w:val="auto"/>
                      <w:sz w:val="21"/>
                      <w:szCs w:val="21"/>
                      <w:highlight w:val="none"/>
                    </w:rPr>
                    <w:t>0.00</w:t>
                  </w:r>
                  <w:r>
                    <w:rPr>
                      <w:rFonts w:hint="eastAsia"/>
                      <w:color w:val="auto"/>
                      <w:sz w:val="21"/>
                      <w:szCs w:val="21"/>
                      <w:highlight w:val="none"/>
                      <w:lang w:val="en-US" w:eastAsia="zh-CN"/>
                    </w:rPr>
                    <w:t>000</w:t>
                  </w:r>
                  <w:r>
                    <w:rPr>
                      <w:rFonts w:hint="default"/>
                      <w:color w:val="auto"/>
                      <w:sz w:val="21"/>
                      <w:szCs w:val="21"/>
                      <w:highlight w:val="none"/>
                    </w:rPr>
                    <w:t>4</w:t>
                  </w:r>
                  <w:r>
                    <w:rPr>
                      <w:rFonts w:hint="default"/>
                      <w:color w:val="auto"/>
                      <w:sz w:val="21"/>
                      <w:szCs w:val="21"/>
                      <w:highlight w:val="none"/>
                      <w:vertAlign w:val="superscript"/>
                    </w:rPr>
                    <w:t>L</w:t>
                  </w:r>
                </w:p>
              </w:tc>
              <w:tc>
                <w:tcPr>
                  <w:tcW w:w="1229" w:type="dxa"/>
                  <w:tcBorders>
                    <w:tl2br w:val="nil"/>
                    <w:tr2bl w:val="nil"/>
                  </w:tcBorders>
                  <w:noWrap w:val="0"/>
                  <w:vAlign w:val="center"/>
                </w:tcPr>
                <w:p w14:paraId="2C81739B">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eastAsia"/>
                      <w:color w:val="auto"/>
                      <w:kern w:val="0"/>
                      <w:sz w:val="21"/>
                      <w:szCs w:val="21"/>
                      <w:highlight w:val="none"/>
                      <w:lang w:bidi="ar"/>
                    </w:rPr>
                    <w:t>/</w:t>
                  </w:r>
                </w:p>
              </w:tc>
              <w:tc>
                <w:tcPr>
                  <w:tcW w:w="1020" w:type="dxa"/>
                  <w:tcBorders>
                    <w:tl2br w:val="nil"/>
                    <w:tr2bl w:val="nil"/>
                  </w:tcBorders>
                  <w:noWrap w:val="0"/>
                  <w:vAlign w:val="center"/>
                </w:tcPr>
                <w:p w14:paraId="3494EFAF">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w:t>
                  </w:r>
                </w:p>
              </w:tc>
            </w:tr>
            <w:tr w14:paraId="2B8D3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1B9EBD7D">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013C0166">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3E776458">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eastAsia"/>
                      <w:color w:val="auto"/>
                      <w:sz w:val="21"/>
                      <w:szCs w:val="21"/>
                      <w:highlight w:val="none"/>
                    </w:rPr>
                    <w:t>氨氮</w:t>
                  </w:r>
                </w:p>
              </w:tc>
              <w:tc>
                <w:tcPr>
                  <w:tcW w:w="1336" w:type="dxa"/>
                  <w:tcBorders>
                    <w:tl2br w:val="nil"/>
                    <w:tr2bl w:val="nil"/>
                  </w:tcBorders>
                  <w:noWrap w:val="0"/>
                  <w:vAlign w:val="center"/>
                </w:tcPr>
                <w:p w14:paraId="39BDF1F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default"/>
                      <w:color w:val="auto"/>
                      <w:sz w:val="21"/>
                      <w:szCs w:val="21"/>
                      <w:highlight w:val="none"/>
                    </w:rPr>
                    <w:t>0.0</w:t>
                  </w:r>
                  <w:r>
                    <w:rPr>
                      <w:rFonts w:hint="eastAsia"/>
                      <w:color w:val="auto"/>
                      <w:sz w:val="21"/>
                      <w:szCs w:val="21"/>
                      <w:highlight w:val="none"/>
                      <w:lang w:val="en-US" w:eastAsia="zh-CN"/>
                    </w:rPr>
                    <w:t>25</w:t>
                  </w:r>
                  <w:r>
                    <w:rPr>
                      <w:rFonts w:hint="default"/>
                      <w:color w:val="auto"/>
                      <w:sz w:val="21"/>
                      <w:szCs w:val="21"/>
                      <w:highlight w:val="none"/>
                      <w:vertAlign w:val="superscript"/>
                    </w:rPr>
                    <w:t>L</w:t>
                  </w:r>
                </w:p>
              </w:tc>
              <w:tc>
                <w:tcPr>
                  <w:tcW w:w="1229" w:type="dxa"/>
                  <w:tcBorders>
                    <w:tl2br w:val="nil"/>
                    <w:tr2bl w:val="nil"/>
                  </w:tcBorders>
                  <w:noWrap w:val="0"/>
                  <w:vAlign w:val="center"/>
                </w:tcPr>
                <w:p w14:paraId="2D3A7754">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0.50</w:t>
                  </w:r>
                </w:p>
              </w:tc>
              <w:tc>
                <w:tcPr>
                  <w:tcW w:w="1020" w:type="dxa"/>
                  <w:tcBorders>
                    <w:tl2br w:val="nil"/>
                    <w:tr2bl w:val="nil"/>
                  </w:tcBorders>
                  <w:noWrap w:val="0"/>
                  <w:vAlign w:val="center"/>
                </w:tcPr>
                <w:p w14:paraId="1E010436">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0.025</w:t>
                  </w:r>
                </w:p>
              </w:tc>
            </w:tr>
            <w:tr w14:paraId="293F3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26549F7A">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5EFB4C02">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6DFBA2C4">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eastAsia"/>
                      <w:color w:val="auto"/>
                      <w:sz w:val="21"/>
                      <w:szCs w:val="21"/>
                      <w:highlight w:val="none"/>
                      <w:lang w:eastAsia="zh-CN"/>
                    </w:rPr>
                    <w:t>高锰酸盐指数（</w:t>
                  </w:r>
                  <w:r>
                    <w:rPr>
                      <w:rFonts w:hint="eastAsia"/>
                      <w:color w:val="auto"/>
                      <w:sz w:val="21"/>
                      <w:szCs w:val="21"/>
                      <w:highlight w:val="none"/>
                    </w:rPr>
                    <w:t>耗氧量</w:t>
                  </w:r>
                  <w:r>
                    <w:rPr>
                      <w:rFonts w:hint="eastAsia"/>
                      <w:color w:val="auto"/>
                      <w:sz w:val="21"/>
                      <w:szCs w:val="21"/>
                      <w:highlight w:val="none"/>
                      <w:lang w:eastAsia="zh-CN"/>
                    </w:rPr>
                    <w:t>）</w:t>
                  </w:r>
                </w:p>
              </w:tc>
              <w:tc>
                <w:tcPr>
                  <w:tcW w:w="1336" w:type="dxa"/>
                  <w:tcBorders>
                    <w:tl2br w:val="nil"/>
                    <w:tr2bl w:val="nil"/>
                  </w:tcBorders>
                  <w:noWrap w:val="0"/>
                  <w:vAlign w:val="center"/>
                </w:tcPr>
                <w:p w14:paraId="64CB185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eastAsia"/>
                      <w:bCs/>
                      <w:color w:val="auto"/>
                      <w:sz w:val="21"/>
                      <w:szCs w:val="21"/>
                      <w:highlight w:val="none"/>
                      <w:lang w:val="en-US" w:eastAsia="zh-CN"/>
                    </w:rPr>
                    <w:t>1.43</w:t>
                  </w:r>
                </w:p>
              </w:tc>
              <w:tc>
                <w:tcPr>
                  <w:tcW w:w="1229" w:type="dxa"/>
                  <w:tcBorders>
                    <w:tl2br w:val="nil"/>
                    <w:tr2bl w:val="nil"/>
                  </w:tcBorders>
                  <w:noWrap w:val="0"/>
                  <w:vAlign w:val="center"/>
                </w:tcPr>
                <w:p w14:paraId="30144424">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3.0</w:t>
                  </w:r>
                </w:p>
              </w:tc>
              <w:tc>
                <w:tcPr>
                  <w:tcW w:w="1020" w:type="dxa"/>
                  <w:tcBorders>
                    <w:tl2br w:val="nil"/>
                    <w:tr2bl w:val="nil"/>
                  </w:tcBorders>
                  <w:noWrap w:val="0"/>
                  <w:vAlign w:val="center"/>
                </w:tcPr>
                <w:p w14:paraId="2DB8997A">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lang w:val="en-US"/>
                    </w:rPr>
                  </w:pPr>
                  <w:r>
                    <w:rPr>
                      <w:rFonts w:hint="eastAsia" w:ascii="Times New Roman" w:hAnsi="Times New Roman" w:cs="Times New Roman"/>
                      <w:color w:val="auto"/>
                      <w:kern w:val="0"/>
                      <w:sz w:val="21"/>
                      <w:szCs w:val="21"/>
                      <w:highlight w:val="none"/>
                      <w:lang w:val="en-US" w:eastAsia="zh-CN" w:bidi="ar"/>
                    </w:rPr>
                    <w:t>0.47667</w:t>
                  </w:r>
                </w:p>
              </w:tc>
            </w:tr>
            <w:tr w14:paraId="26F1B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642A526F">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659429AD">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736D7474">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eastAsia"/>
                      <w:color w:val="auto"/>
                      <w:sz w:val="21"/>
                      <w:szCs w:val="21"/>
                      <w:highlight w:val="none"/>
                    </w:rPr>
                    <w:t>铅</w:t>
                  </w:r>
                </w:p>
              </w:tc>
              <w:tc>
                <w:tcPr>
                  <w:tcW w:w="1336" w:type="dxa"/>
                  <w:tcBorders>
                    <w:tl2br w:val="nil"/>
                    <w:tr2bl w:val="nil"/>
                  </w:tcBorders>
                  <w:noWrap w:val="0"/>
                  <w:vAlign w:val="center"/>
                </w:tcPr>
                <w:p w14:paraId="64C8F85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default"/>
                      <w:color w:val="auto"/>
                      <w:sz w:val="21"/>
                      <w:szCs w:val="21"/>
                      <w:highlight w:val="none"/>
                    </w:rPr>
                    <w:t>0.00</w:t>
                  </w:r>
                  <w:r>
                    <w:rPr>
                      <w:rFonts w:hint="eastAsia"/>
                      <w:color w:val="auto"/>
                      <w:sz w:val="21"/>
                      <w:szCs w:val="21"/>
                      <w:highlight w:val="none"/>
                      <w:lang w:val="en-US" w:eastAsia="zh-CN"/>
                    </w:rPr>
                    <w:t>2</w:t>
                  </w:r>
                </w:p>
              </w:tc>
              <w:tc>
                <w:tcPr>
                  <w:tcW w:w="1229" w:type="dxa"/>
                  <w:tcBorders>
                    <w:tl2br w:val="nil"/>
                    <w:tr2bl w:val="nil"/>
                  </w:tcBorders>
                  <w:noWrap w:val="0"/>
                  <w:vAlign w:val="center"/>
                </w:tcPr>
                <w:p w14:paraId="4C6694F3">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0.01</w:t>
                  </w:r>
                </w:p>
              </w:tc>
              <w:tc>
                <w:tcPr>
                  <w:tcW w:w="1020" w:type="dxa"/>
                  <w:tcBorders>
                    <w:tl2br w:val="nil"/>
                    <w:tr2bl w:val="nil"/>
                  </w:tcBorders>
                  <w:noWrap w:val="0"/>
                  <w:vAlign w:val="center"/>
                </w:tcPr>
                <w:p w14:paraId="2210BFC3">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0.2</w:t>
                  </w:r>
                </w:p>
              </w:tc>
            </w:tr>
            <w:tr w14:paraId="2367D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24F186A5">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339" w:type="dxa"/>
                  <w:vMerge w:val="continue"/>
                  <w:tcBorders>
                    <w:tl2br w:val="nil"/>
                    <w:tr2bl w:val="nil"/>
                  </w:tcBorders>
                  <w:noWrap w:val="0"/>
                  <w:vAlign w:val="center"/>
                </w:tcPr>
                <w:p w14:paraId="5513FBA9">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2293" w:type="dxa"/>
                  <w:tcBorders>
                    <w:tl2br w:val="nil"/>
                    <w:tr2bl w:val="nil"/>
                  </w:tcBorders>
                  <w:noWrap w:val="0"/>
                  <w:vAlign w:val="center"/>
                </w:tcPr>
                <w:p w14:paraId="5D49BBBA">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eastAsia"/>
                      <w:color w:val="auto"/>
                      <w:sz w:val="21"/>
                      <w:szCs w:val="21"/>
                      <w:highlight w:val="none"/>
                    </w:rPr>
                    <w:t>镍</w:t>
                  </w:r>
                </w:p>
              </w:tc>
              <w:tc>
                <w:tcPr>
                  <w:tcW w:w="1336" w:type="dxa"/>
                  <w:tcBorders>
                    <w:tl2br w:val="nil"/>
                    <w:tr2bl w:val="nil"/>
                  </w:tcBorders>
                  <w:noWrap w:val="0"/>
                  <w:vAlign w:val="center"/>
                </w:tcPr>
                <w:p w14:paraId="06C3941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color w:val="auto"/>
                      <w:sz w:val="21"/>
                      <w:szCs w:val="21"/>
                      <w:highlight w:val="none"/>
                    </w:rPr>
                    <w:t>0.00</w:t>
                  </w:r>
                  <w:r>
                    <w:rPr>
                      <w:rFonts w:hint="eastAsia"/>
                      <w:color w:val="auto"/>
                      <w:sz w:val="21"/>
                      <w:szCs w:val="21"/>
                      <w:highlight w:val="none"/>
                      <w:lang w:val="en-US" w:eastAsia="zh-CN"/>
                    </w:rPr>
                    <w:t>6</w:t>
                  </w:r>
                  <w:r>
                    <w:rPr>
                      <w:rFonts w:hint="default"/>
                      <w:color w:val="auto"/>
                      <w:sz w:val="21"/>
                      <w:szCs w:val="21"/>
                      <w:highlight w:val="none"/>
                      <w:vertAlign w:val="superscript"/>
                    </w:rPr>
                    <w:t>L</w:t>
                  </w:r>
                </w:p>
              </w:tc>
              <w:tc>
                <w:tcPr>
                  <w:tcW w:w="1229" w:type="dxa"/>
                  <w:tcBorders>
                    <w:tl2br w:val="nil"/>
                    <w:tr2bl w:val="nil"/>
                  </w:tcBorders>
                  <w:noWrap w:val="0"/>
                  <w:vAlign w:val="center"/>
                </w:tcPr>
                <w:p w14:paraId="77D2B09C">
                  <w:pPr>
                    <w:keepNext w:val="0"/>
                    <w:keepLines w:val="0"/>
                    <w:widowControl/>
                    <w:suppressLineNumbers w:val="0"/>
                    <w:spacing w:before="0" w:beforeAutospacing="0" w:after="0" w:afterAutospacing="0"/>
                    <w:ind w:left="0" w:leftChars="0" w:right="0" w:rightChars="0"/>
                    <w:jc w:val="center"/>
                    <w:textAlignment w:val="top"/>
                    <w:rPr>
                      <w:rFonts w:hint="default"/>
                      <w:color w:val="auto"/>
                      <w:kern w:val="0"/>
                      <w:sz w:val="21"/>
                      <w:szCs w:val="21"/>
                      <w:highlight w:val="none"/>
                      <w:lang w:bidi="ar"/>
                    </w:rPr>
                  </w:pPr>
                  <w:r>
                    <w:rPr>
                      <w:rFonts w:hint="eastAsia"/>
                      <w:color w:val="auto"/>
                      <w:kern w:val="0"/>
                      <w:sz w:val="21"/>
                      <w:szCs w:val="21"/>
                      <w:highlight w:val="none"/>
                      <w:lang w:bidi="ar"/>
                    </w:rPr>
                    <w:t>/</w:t>
                  </w:r>
                </w:p>
              </w:tc>
              <w:tc>
                <w:tcPr>
                  <w:tcW w:w="1020" w:type="dxa"/>
                  <w:tcBorders>
                    <w:tl2br w:val="nil"/>
                    <w:tr2bl w:val="nil"/>
                  </w:tcBorders>
                  <w:noWrap w:val="0"/>
                  <w:vAlign w:val="center"/>
                </w:tcPr>
                <w:p w14:paraId="36E7042F">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w:t>
                  </w:r>
                </w:p>
              </w:tc>
            </w:tr>
            <w:tr w14:paraId="3B3CF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43B81A59">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1339" w:type="dxa"/>
                  <w:vMerge w:val="continue"/>
                  <w:tcBorders>
                    <w:tl2br w:val="nil"/>
                    <w:tr2bl w:val="nil"/>
                  </w:tcBorders>
                  <w:noWrap w:val="0"/>
                  <w:vAlign w:val="center"/>
                </w:tcPr>
                <w:p w14:paraId="01ABEE51">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2293" w:type="dxa"/>
                  <w:tcBorders>
                    <w:tl2br w:val="nil"/>
                    <w:tr2bl w:val="nil"/>
                  </w:tcBorders>
                  <w:noWrap w:val="0"/>
                  <w:vAlign w:val="center"/>
                </w:tcPr>
                <w:p w14:paraId="20A94F84">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eastAsia"/>
                      <w:color w:val="auto"/>
                      <w:sz w:val="21"/>
                      <w:szCs w:val="21"/>
                      <w:highlight w:val="none"/>
                    </w:rPr>
                    <w:t>汞</w:t>
                  </w:r>
                </w:p>
              </w:tc>
              <w:tc>
                <w:tcPr>
                  <w:tcW w:w="1336" w:type="dxa"/>
                  <w:tcBorders>
                    <w:tl2br w:val="nil"/>
                    <w:tr2bl w:val="nil"/>
                  </w:tcBorders>
                  <w:noWrap w:val="0"/>
                  <w:vAlign w:val="center"/>
                </w:tcPr>
                <w:p w14:paraId="3CCD0A1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default"/>
                      <w:color w:val="auto"/>
                      <w:sz w:val="21"/>
                      <w:szCs w:val="21"/>
                      <w:highlight w:val="none"/>
                    </w:rPr>
                    <w:t>0.0</w:t>
                  </w:r>
                  <w:r>
                    <w:rPr>
                      <w:rFonts w:hint="eastAsia"/>
                      <w:color w:val="auto"/>
                      <w:sz w:val="21"/>
                      <w:szCs w:val="21"/>
                      <w:highlight w:val="none"/>
                      <w:lang w:val="en-US" w:eastAsia="zh-CN"/>
                    </w:rPr>
                    <w:t>00001</w:t>
                  </w:r>
                  <w:r>
                    <w:rPr>
                      <w:rFonts w:hint="default"/>
                      <w:color w:val="auto"/>
                      <w:sz w:val="21"/>
                      <w:szCs w:val="21"/>
                      <w:highlight w:val="none"/>
                    </w:rPr>
                    <w:t>5</w:t>
                  </w:r>
                  <w:r>
                    <w:rPr>
                      <w:rFonts w:hint="default"/>
                      <w:color w:val="auto"/>
                      <w:sz w:val="21"/>
                      <w:szCs w:val="21"/>
                      <w:highlight w:val="none"/>
                      <w:vertAlign w:val="superscript"/>
                    </w:rPr>
                    <w:t>L</w:t>
                  </w:r>
                </w:p>
              </w:tc>
              <w:tc>
                <w:tcPr>
                  <w:tcW w:w="1229" w:type="dxa"/>
                  <w:tcBorders>
                    <w:tl2br w:val="nil"/>
                    <w:tr2bl w:val="nil"/>
                  </w:tcBorders>
                  <w:noWrap w:val="0"/>
                  <w:vAlign w:val="center"/>
                </w:tcPr>
                <w:p w14:paraId="4FE67127">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0.001</w:t>
                  </w:r>
                </w:p>
              </w:tc>
              <w:tc>
                <w:tcPr>
                  <w:tcW w:w="1020" w:type="dxa"/>
                  <w:tcBorders>
                    <w:tl2br w:val="nil"/>
                    <w:tr2bl w:val="nil"/>
                  </w:tcBorders>
                  <w:noWrap w:val="0"/>
                  <w:vAlign w:val="center"/>
                </w:tcPr>
                <w:p w14:paraId="3E5FD78D">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0.00075</w:t>
                  </w:r>
                </w:p>
              </w:tc>
            </w:tr>
            <w:tr w14:paraId="36F79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2E6A7B34">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1339" w:type="dxa"/>
                  <w:vMerge w:val="continue"/>
                  <w:tcBorders>
                    <w:tl2br w:val="nil"/>
                    <w:tr2bl w:val="nil"/>
                  </w:tcBorders>
                  <w:noWrap w:val="0"/>
                  <w:vAlign w:val="center"/>
                </w:tcPr>
                <w:p w14:paraId="2A8D6C93">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2293" w:type="dxa"/>
                  <w:tcBorders>
                    <w:tl2br w:val="nil"/>
                    <w:tr2bl w:val="nil"/>
                  </w:tcBorders>
                  <w:noWrap w:val="0"/>
                  <w:vAlign w:val="center"/>
                </w:tcPr>
                <w:p w14:paraId="7C241A2D">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eastAsia"/>
                      <w:color w:val="auto"/>
                      <w:sz w:val="21"/>
                      <w:szCs w:val="21"/>
                      <w:highlight w:val="none"/>
                    </w:rPr>
                    <w:t>氰化物</w:t>
                  </w:r>
                </w:p>
              </w:tc>
              <w:tc>
                <w:tcPr>
                  <w:tcW w:w="1336" w:type="dxa"/>
                  <w:tcBorders>
                    <w:tl2br w:val="nil"/>
                    <w:tr2bl w:val="nil"/>
                  </w:tcBorders>
                  <w:noWrap w:val="0"/>
                  <w:vAlign w:val="center"/>
                </w:tcPr>
                <w:p w14:paraId="74B939E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default"/>
                      <w:color w:val="auto"/>
                      <w:sz w:val="21"/>
                      <w:szCs w:val="21"/>
                      <w:highlight w:val="none"/>
                    </w:rPr>
                    <w:t>0.0</w:t>
                  </w:r>
                  <w:r>
                    <w:rPr>
                      <w:rFonts w:hint="eastAsia"/>
                      <w:color w:val="auto"/>
                      <w:sz w:val="21"/>
                      <w:szCs w:val="21"/>
                      <w:highlight w:val="none"/>
                      <w:lang w:val="en-US" w:eastAsia="zh-CN"/>
                    </w:rPr>
                    <w:t>0</w:t>
                  </w:r>
                  <w:r>
                    <w:rPr>
                      <w:rFonts w:hint="eastAsia"/>
                      <w:color w:val="auto"/>
                      <w:sz w:val="21"/>
                      <w:szCs w:val="21"/>
                      <w:highlight w:val="none"/>
                    </w:rPr>
                    <w:t>1</w:t>
                  </w:r>
                  <w:r>
                    <w:rPr>
                      <w:rFonts w:hint="default"/>
                      <w:color w:val="auto"/>
                      <w:sz w:val="21"/>
                      <w:szCs w:val="21"/>
                      <w:highlight w:val="none"/>
                      <w:vertAlign w:val="superscript"/>
                    </w:rPr>
                    <w:t>L</w:t>
                  </w:r>
                </w:p>
              </w:tc>
              <w:tc>
                <w:tcPr>
                  <w:tcW w:w="1229" w:type="dxa"/>
                  <w:tcBorders>
                    <w:tl2br w:val="nil"/>
                    <w:tr2bl w:val="nil"/>
                  </w:tcBorders>
                  <w:noWrap w:val="0"/>
                  <w:vAlign w:val="center"/>
                </w:tcPr>
                <w:p w14:paraId="7B8F8A73">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default"/>
                      <w:color w:val="auto"/>
                      <w:kern w:val="0"/>
                      <w:sz w:val="21"/>
                      <w:szCs w:val="21"/>
                      <w:highlight w:val="none"/>
                      <w:lang w:bidi="ar"/>
                    </w:rPr>
                    <w:t>0.05</w:t>
                  </w:r>
                </w:p>
              </w:tc>
              <w:tc>
                <w:tcPr>
                  <w:tcW w:w="1020" w:type="dxa"/>
                  <w:tcBorders>
                    <w:tl2br w:val="nil"/>
                    <w:tr2bl w:val="nil"/>
                  </w:tcBorders>
                  <w:noWrap w:val="0"/>
                  <w:vAlign w:val="center"/>
                </w:tcPr>
                <w:p w14:paraId="0E797FCB">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0.01</w:t>
                  </w:r>
                </w:p>
              </w:tc>
            </w:tr>
            <w:tr w14:paraId="24976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5C740C55">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1339" w:type="dxa"/>
                  <w:vMerge w:val="continue"/>
                  <w:tcBorders>
                    <w:tl2br w:val="nil"/>
                    <w:tr2bl w:val="nil"/>
                  </w:tcBorders>
                  <w:noWrap w:val="0"/>
                  <w:vAlign w:val="center"/>
                </w:tcPr>
                <w:p w14:paraId="7B36CF8D">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2293" w:type="dxa"/>
                  <w:tcBorders>
                    <w:tl2br w:val="nil"/>
                    <w:tr2bl w:val="nil"/>
                  </w:tcBorders>
                  <w:noWrap w:val="0"/>
                  <w:vAlign w:val="center"/>
                </w:tcPr>
                <w:p w14:paraId="33DF9DE2">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石油烃（C6-C9）*</w:t>
                  </w:r>
                </w:p>
              </w:tc>
              <w:tc>
                <w:tcPr>
                  <w:tcW w:w="1336" w:type="dxa"/>
                  <w:tcBorders>
                    <w:tl2br w:val="nil"/>
                    <w:tr2bl w:val="nil"/>
                  </w:tcBorders>
                  <w:noWrap w:val="0"/>
                  <w:vAlign w:val="center"/>
                </w:tcPr>
                <w:p w14:paraId="3E4E25F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eastAsia" w:cs="Times New Roman"/>
                      <w:i w:val="0"/>
                      <w:color w:val="auto"/>
                      <w:kern w:val="0"/>
                      <w:sz w:val="21"/>
                      <w:szCs w:val="21"/>
                      <w:highlight w:val="none"/>
                      <w:u w:val="none"/>
                      <w:lang w:val="en-US" w:eastAsia="zh-CN" w:bidi="ar"/>
                    </w:rPr>
                    <w:t>未检出</w:t>
                  </w:r>
                </w:p>
              </w:tc>
              <w:tc>
                <w:tcPr>
                  <w:tcW w:w="1229" w:type="dxa"/>
                  <w:tcBorders>
                    <w:tl2br w:val="nil"/>
                    <w:tr2bl w:val="nil"/>
                  </w:tcBorders>
                  <w:noWrap w:val="0"/>
                  <w:vAlign w:val="center"/>
                </w:tcPr>
                <w:p w14:paraId="18D738AD">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eastAsia"/>
                      <w:color w:val="auto"/>
                      <w:kern w:val="0"/>
                      <w:sz w:val="21"/>
                      <w:szCs w:val="21"/>
                      <w:highlight w:val="none"/>
                      <w:lang w:bidi="ar"/>
                    </w:rPr>
                    <w:t>/</w:t>
                  </w:r>
                </w:p>
              </w:tc>
              <w:tc>
                <w:tcPr>
                  <w:tcW w:w="1020" w:type="dxa"/>
                  <w:tcBorders>
                    <w:tl2br w:val="nil"/>
                    <w:tr2bl w:val="nil"/>
                  </w:tcBorders>
                  <w:noWrap w:val="0"/>
                  <w:vAlign w:val="center"/>
                </w:tcPr>
                <w:p w14:paraId="4390B302">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w:t>
                  </w:r>
                </w:p>
              </w:tc>
            </w:tr>
            <w:tr w14:paraId="32D7B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1" w:type="dxa"/>
                  <w:vMerge w:val="continue"/>
                  <w:tcBorders>
                    <w:tl2br w:val="nil"/>
                    <w:tr2bl w:val="nil"/>
                  </w:tcBorders>
                  <w:noWrap w:val="0"/>
                  <w:vAlign w:val="center"/>
                </w:tcPr>
                <w:p w14:paraId="4E07360E">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1339" w:type="dxa"/>
                  <w:vMerge w:val="continue"/>
                  <w:tcBorders>
                    <w:tl2br w:val="nil"/>
                    <w:tr2bl w:val="nil"/>
                  </w:tcBorders>
                  <w:noWrap w:val="0"/>
                  <w:vAlign w:val="center"/>
                </w:tcPr>
                <w:p w14:paraId="10678110">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2293" w:type="dxa"/>
                  <w:tcBorders>
                    <w:tl2br w:val="nil"/>
                    <w:tr2bl w:val="nil"/>
                  </w:tcBorders>
                  <w:noWrap w:val="0"/>
                  <w:vAlign w:val="center"/>
                </w:tcPr>
                <w:p w14:paraId="79C17838">
                  <w:pPr>
                    <w:keepNext w:val="0"/>
                    <w:keepLines w:val="0"/>
                    <w:suppressLineNumbers w:val="0"/>
                    <w:spacing w:before="0" w:beforeAutospacing="0" w:after="0" w:afterAutospacing="0"/>
                    <w:ind w:left="0" w:right="0"/>
                    <w:jc w:val="center"/>
                    <w:rPr>
                      <w:rFonts w:hint="default"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石油烃（C10-C40）*</w:t>
                  </w:r>
                </w:p>
              </w:tc>
              <w:tc>
                <w:tcPr>
                  <w:tcW w:w="1336" w:type="dxa"/>
                  <w:tcBorders>
                    <w:tl2br w:val="nil"/>
                    <w:tr2bl w:val="nil"/>
                  </w:tcBorders>
                  <w:noWrap w:val="0"/>
                  <w:vAlign w:val="center"/>
                </w:tcPr>
                <w:p w14:paraId="55004F8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bidi="ar"/>
                    </w:rPr>
                  </w:pPr>
                  <w:r>
                    <w:rPr>
                      <w:rFonts w:hint="eastAsia" w:cs="Times New Roman"/>
                      <w:i w:val="0"/>
                      <w:color w:val="auto"/>
                      <w:kern w:val="0"/>
                      <w:sz w:val="21"/>
                      <w:szCs w:val="21"/>
                      <w:highlight w:val="none"/>
                      <w:u w:val="none"/>
                      <w:lang w:val="en-US" w:eastAsia="zh-CN" w:bidi="ar"/>
                    </w:rPr>
                    <w:t>未检出</w:t>
                  </w:r>
                </w:p>
              </w:tc>
              <w:tc>
                <w:tcPr>
                  <w:tcW w:w="1229" w:type="dxa"/>
                  <w:tcBorders>
                    <w:tl2br w:val="nil"/>
                    <w:tr2bl w:val="nil"/>
                  </w:tcBorders>
                  <w:noWrap w:val="0"/>
                  <w:vAlign w:val="center"/>
                </w:tcPr>
                <w:p w14:paraId="68AC0925">
                  <w:pPr>
                    <w:keepNext w:val="0"/>
                    <w:keepLines w:val="0"/>
                    <w:widowControl/>
                    <w:suppressLineNumbers w:val="0"/>
                    <w:spacing w:before="0" w:beforeAutospacing="0" w:after="0" w:afterAutospacing="0"/>
                    <w:ind w:left="0" w:leftChars="0" w:right="0" w:rightChars="0"/>
                    <w:jc w:val="center"/>
                    <w:textAlignment w:val="center"/>
                    <w:rPr>
                      <w:rFonts w:hint="default"/>
                      <w:color w:val="auto"/>
                      <w:kern w:val="0"/>
                      <w:sz w:val="21"/>
                      <w:szCs w:val="21"/>
                      <w:highlight w:val="none"/>
                      <w:lang w:bidi="ar"/>
                    </w:rPr>
                  </w:pPr>
                  <w:r>
                    <w:rPr>
                      <w:rFonts w:hint="eastAsia"/>
                      <w:color w:val="auto"/>
                      <w:kern w:val="0"/>
                      <w:sz w:val="21"/>
                      <w:szCs w:val="21"/>
                      <w:highlight w:val="none"/>
                      <w:lang w:bidi="ar"/>
                    </w:rPr>
                    <w:t>/</w:t>
                  </w:r>
                </w:p>
              </w:tc>
              <w:tc>
                <w:tcPr>
                  <w:tcW w:w="1020" w:type="dxa"/>
                  <w:tcBorders>
                    <w:tl2br w:val="nil"/>
                    <w:tr2bl w:val="nil"/>
                  </w:tcBorders>
                  <w:noWrap w:val="0"/>
                  <w:vAlign w:val="center"/>
                </w:tcPr>
                <w:p w14:paraId="0DC8A91D">
                  <w:pPr>
                    <w:keepNext w:val="0"/>
                    <w:keepLines w:val="0"/>
                    <w:widowControl/>
                    <w:suppressLineNumbers w:val="0"/>
                    <w:spacing w:before="0" w:beforeAutospacing="0" w:after="0" w:afterAutospacing="0"/>
                    <w:ind w:left="0" w:leftChars="0" w:right="0" w:rightChars="0"/>
                    <w:jc w:val="center"/>
                    <w:textAlignment w:val="center"/>
                    <w:rPr>
                      <w:rFonts w:hint="default"/>
                      <w:color w:val="auto"/>
                      <w:sz w:val="21"/>
                      <w:szCs w:val="21"/>
                      <w:highlight w:val="none"/>
                    </w:rPr>
                  </w:pPr>
                  <w:r>
                    <w:rPr>
                      <w:rFonts w:hint="eastAsia" w:ascii="Times New Roman" w:hAnsi="Times New Roman" w:cs="Times New Roman"/>
                      <w:color w:val="auto"/>
                      <w:kern w:val="0"/>
                      <w:sz w:val="21"/>
                      <w:szCs w:val="21"/>
                      <w:highlight w:val="none"/>
                      <w:lang w:val="en-US" w:eastAsia="zh-CN" w:bidi="ar"/>
                    </w:rPr>
                    <w:t>/</w:t>
                  </w:r>
                </w:p>
              </w:tc>
            </w:tr>
          </w:tbl>
          <w:p w14:paraId="62955857">
            <w:pPr>
              <w:keepNext w:val="0"/>
              <w:keepLines w:val="0"/>
              <w:suppressLineNumbers w:val="0"/>
              <w:spacing w:before="0" w:beforeAutospacing="0" w:after="0" w:afterAutospacing="0" w:line="360" w:lineRule="auto"/>
              <w:ind w:left="0" w:right="0" w:firstLine="489" w:firstLineChars="232"/>
              <w:jc w:val="left"/>
              <w:rPr>
                <w:rFonts w:hint="default"/>
                <w:b/>
                <w:bCs/>
                <w:color w:val="auto"/>
                <w:sz w:val="21"/>
                <w:szCs w:val="21"/>
                <w:highlight w:val="none"/>
              </w:rPr>
            </w:pPr>
            <w:r>
              <w:rPr>
                <w:rFonts w:hint="eastAsia"/>
                <w:b/>
                <w:bCs/>
                <w:color w:val="auto"/>
                <w:sz w:val="21"/>
                <w:szCs w:val="21"/>
                <w:highlight w:val="none"/>
              </w:rPr>
              <w:t>注：1、“检出限+L”表示未检出，单项指数以检出限的一半计；</w:t>
            </w:r>
          </w:p>
          <w:p w14:paraId="00B50E7B">
            <w:pPr>
              <w:keepNext w:val="0"/>
              <w:keepLines w:val="0"/>
              <w:suppressLineNumbers w:val="0"/>
              <w:spacing w:before="0" w:beforeAutospacing="0" w:after="0" w:afterAutospacing="0" w:line="360" w:lineRule="auto"/>
              <w:ind w:left="0" w:right="0" w:firstLine="911" w:firstLineChars="432"/>
              <w:jc w:val="left"/>
              <w:rPr>
                <w:rFonts w:hint="default"/>
                <w:color w:val="auto"/>
                <w:szCs w:val="24"/>
                <w:highlight w:val="none"/>
              </w:rPr>
            </w:pPr>
            <w:r>
              <w:rPr>
                <w:rFonts w:hint="eastAsia"/>
                <w:b/>
                <w:bCs/>
                <w:color w:val="auto"/>
                <w:sz w:val="21"/>
                <w:szCs w:val="21"/>
                <w:highlight w:val="none"/>
              </w:rPr>
              <w:t>2、对于无标准的监测因子，不进行评价仅以监测值作为区域背景值。</w:t>
            </w:r>
          </w:p>
          <w:p w14:paraId="1E300B02">
            <w:pPr>
              <w:pStyle w:val="56"/>
              <w:keepNext w:val="0"/>
              <w:keepLines w:val="0"/>
              <w:suppressLineNumbers w:val="0"/>
              <w:spacing w:before="0" w:beforeAutospacing="0" w:after="0" w:afterAutospacing="0" w:line="360" w:lineRule="auto"/>
              <w:ind w:left="0" w:right="0" w:firstLine="480"/>
              <w:rPr>
                <w:rFonts w:hint="eastAsia"/>
                <w:color w:val="auto"/>
                <w:szCs w:val="24"/>
                <w:highlight w:val="none"/>
              </w:rPr>
            </w:pPr>
            <w:r>
              <w:rPr>
                <w:rFonts w:hint="default"/>
                <w:color w:val="auto"/>
                <w:szCs w:val="24"/>
                <w:highlight w:val="none"/>
              </w:rPr>
              <w:t>由表3-</w:t>
            </w:r>
            <w:r>
              <w:rPr>
                <w:rFonts w:hint="eastAsia"/>
                <w:color w:val="auto"/>
                <w:szCs w:val="24"/>
                <w:highlight w:val="none"/>
                <w:lang w:val="en-US" w:eastAsia="zh-CN"/>
              </w:rPr>
              <w:t>8</w:t>
            </w:r>
            <w:r>
              <w:rPr>
                <w:rFonts w:hint="default"/>
                <w:color w:val="auto"/>
                <w:szCs w:val="24"/>
                <w:highlight w:val="none"/>
              </w:rPr>
              <w:t>可知，</w:t>
            </w:r>
            <w:r>
              <w:rPr>
                <w:rFonts w:hint="eastAsia"/>
                <w:color w:val="auto"/>
                <w:szCs w:val="24"/>
                <w:highlight w:val="none"/>
              </w:rPr>
              <w:t>项目区地下水环境质量较好，各项监测因子均</w:t>
            </w:r>
            <w:r>
              <w:rPr>
                <w:rFonts w:hint="default"/>
                <w:color w:val="auto"/>
                <w:szCs w:val="24"/>
                <w:highlight w:val="none"/>
              </w:rPr>
              <w:t>满足《地下水质量标准》（</w:t>
            </w:r>
            <w:r>
              <w:rPr>
                <w:rFonts w:hint="default"/>
                <w:color w:val="auto"/>
                <w:szCs w:val="24"/>
                <w:highlight w:val="none"/>
              </w:rPr>
              <w:fldChar w:fldCharType="begin"/>
            </w:r>
            <w:r>
              <w:rPr>
                <w:rFonts w:hint="default"/>
                <w:color w:val="auto"/>
                <w:szCs w:val="24"/>
                <w:highlight w:val="none"/>
              </w:rPr>
              <w:instrText xml:space="preserve"> HYPERLINK "http://wenku.cyjzzd.com/a/1300001943" \t "https://www.so.com/_blank" </w:instrText>
            </w:r>
            <w:r>
              <w:rPr>
                <w:rFonts w:hint="default"/>
                <w:color w:val="auto"/>
                <w:szCs w:val="24"/>
                <w:highlight w:val="none"/>
              </w:rPr>
              <w:fldChar w:fldCharType="separate"/>
            </w:r>
            <w:r>
              <w:rPr>
                <w:rFonts w:hint="default"/>
                <w:color w:val="auto"/>
                <w:szCs w:val="24"/>
                <w:highlight w:val="none"/>
              </w:rPr>
              <w:t>GB/T 14848-2017</w:t>
            </w:r>
            <w:r>
              <w:rPr>
                <w:rFonts w:hint="default"/>
                <w:color w:val="auto"/>
                <w:szCs w:val="24"/>
                <w:highlight w:val="none"/>
              </w:rPr>
              <w:fldChar w:fldCharType="end"/>
            </w:r>
            <w:r>
              <w:rPr>
                <w:rFonts w:hint="default"/>
                <w:color w:val="auto"/>
                <w:szCs w:val="24"/>
                <w:highlight w:val="none"/>
              </w:rPr>
              <w:t>）三级标准要求</w:t>
            </w:r>
            <w:r>
              <w:rPr>
                <w:rFonts w:hint="eastAsia"/>
                <w:color w:val="auto"/>
                <w:szCs w:val="24"/>
                <w:highlight w:val="none"/>
              </w:rPr>
              <w:t>。</w:t>
            </w:r>
          </w:p>
          <w:p w14:paraId="43DE3067">
            <w:pPr>
              <w:keepNext w:val="0"/>
              <w:keepLines w:val="0"/>
              <w:suppressLineNumbers w:val="0"/>
              <w:spacing w:before="0" w:beforeAutospacing="0" w:after="0" w:afterAutospacing="0" w:line="360" w:lineRule="auto"/>
              <w:ind w:left="0" w:right="0" w:firstLine="482" w:firstLineChars="200"/>
              <w:rPr>
                <w:rFonts w:hint="default"/>
                <w:b/>
                <w:bCs/>
                <w:color w:val="auto"/>
                <w:sz w:val="24"/>
                <w:szCs w:val="24"/>
                <w:highlight w:val="none"/>
              </w:rPr>
            </w:pPr>
            <w:r>
              <w:rPr>
                <w:rFonts w:hint="eastAsia"/>
                <w:b/>
                <w:bCs/>
                <w:color w:val="auto"/>
                <w:sz w:val="24"/>
                <w:szCs w:val="24"/>
                <w:highlight w:val="none"/>
                <w:lang w:val="en-US" w:eastAsia="zh-CN"/>
              </w:rPr>
              <w:t>5</w:t>
            </w:r>
            <w:r>
              <w:rPr>
                <w:rFonts w:hint="default"/>
                <w:b/>
                <w:bCs/>
                <w:color w:val="auto"/>
                <w:sz w:val="24"/>
                <w:szCs w:val="24"/>
                <w:highlight w:val="none"/>
              </w:rPr>
              <w:t>、土壤环境质量现状</w:t>
            </w:r>
          </w:p>
          <w:p w14:paraId="46E3581B">
            <w:pPr>
              <w:keepNext w:val="0"/>
              <w:keepLines w:val="0"/>
              <w:widowControl/>
              <w:suppressLineNumbers w:val="0"/>
              <w:spacing w:before="0" w:beforeAutospacing="0" w:after="0" w:afterAutospacing="0" w:line="360" w:lineRule="auto"/>
              <w:ind w:left="0" w:right="0" w:firstLine="480" w:firstLineChars="200"/>
              <w:jc w:val="left"/>
              <w:rPr>
                <w:rFonts w:hint="eastAsia"/>
                <w:color w:val="auto"/>
                <w:kern w:val="0"/>
                <w:sz w:val="24"/>
                <w:highlight w:val="none"/>
                <w:lang w:bidi="ar"/>
              </w:rPr>
            </w:pPr>
            <w:r>
              <w:rPr>
                <w:rFonts w:hint="default"/>
                <w:color w:val="auto"/>
                <w:kern w:val="0"/>
                <w:sz w:val="24"/>
                <w:highlight w:val="none"/>
                <w:lang w:bidi="ar"/>
              </w:rPr>
              <w:t>根据《建设项目环境影响报告表编制技术指南（污染影响类）（试行）》 中有关</w:t>
            </w:r>
            <w:r>
              <w:rPr>
                <w:rFonts w:hint="eastAsia"/>
                <w:color w:val="auto"/>
                <w:kern w:val="0"/>
                <w:sz w:val="24"/>
                <w:highlight w:val="none"/>
                <w:lang w:bidi="ar"/>
              </w:rPr>
              <w:t>土壤</w:t>
            </w:r>
            <w:r>
              <w:rPr>
                <w:rFonts w:hint="default"/>
                <w:color w:val="auto"/>
                <w:kern w:val="0"/>
                <w:sz w:val="24"/>
                <w:highlight w:val="none"/>
                <w:lang w:bidi="ar"/>
              </w:rPr>
              <w:t>环境质量现状调查的规定，</w:t>
            </w:r>
            <w:r>
              <w:rPr>
                <w:rFonts w:hint="eastAsia"/>
                <w:color w:val="auto"/>
                <w:kern w:val="0"/>
                <w:sz w:val="24"/>
                <w:highlight w:val="none"/>
                <w:lang w:bidi="ar"/>
              </w:rPr>
              <w:t>原则上不开展环境质量现状调查，建设项目存在土壤污染途径的，结合污染源、保护目标分布情况开展现状调查以留作背景值。本项目属于加油加气站项目，存在一定的土壤途径，因此本次评价</w:t>
            </w:r>
            <w:r>
              <w:rPr>
                <w:rFonts w:hint="default"/>
                <w:color w:val="auto"/>
                <w:kern w:val="0"/>
                <w:sz w:val="24"/>
                <w:highlight w:val="none"/>
                <w:lang w:bidi="ar"/>
              </w:rPr>
              <w:t>委托达州恒福环境监测服务有限公司于202</w:t>
            </w:r>
            <w:r>
              <w:rPr>
                <w:rFonts w:hint="eastAsia"/>
                <w:color w:val="auto"/>
                <w:kern w:val="0"/>
                <w:sz w:val="24"/>
                <w:highlight w:val="none"/>
                <w:lang w:val="en-US" w:eastAsia="zh-CN" w:bidi="ar"/>
              </w:rPr>
              <w:t>5</w:t>
            </w:r>
            <w:r>
              <w:rPr>
                <w:rFonts w:hint="default"/>
                <w:color w:val="auto"/>
                <w:kern w:val="0"/>
                <w:sz w:val="24"/>
                <w:highlight w:val="none"/>
                <w:lang w:bidi="ar"/>
              </w:rPr>
              <w:t>年</w:t>
            </w:r>
            <w:r>
              <w:rPr>
                <w:rFonts w:hint="eastAsia"/>
                <w:color w:val="auto"/>
                <w:kern w:val="0"/>
                <w:sz w:val="24"/>
                <w:highlight w:val="none"/>
                <w:lang w:val="en-US" w:eastAsia="zh-CN" w:bidi="ar"/>
              </w:rPr>
              <w:t>5</w:t>
            </w:r>
            <w:r>
              <w:rPr>
                <w:rFonts w:hint="default"/>
                <w:color w:val="auto"/>
                <w:kern w:val="0"/>
                <w:sz w:val="24"/>
                <w:highlight w:val="none"/>
                <w:lang w:bidi="ar"/>
              </w:rPr>
              <w:t>月</w:t>
            </w:r>
            <w:r>
              <w:rPr>
                <w:rFonts w:hint="eastAsia"/>
                <w:color w:val="auto"/>
                <w:kern w:val="0"/>
                <w:sz w:val="24"/>
                <w:highlight w:val="none"/>
                <w:lang w:val="en-US" w:eastAsia="zh-CN" w:bidi="ar"/>
              </w:rPr>
              <w:t>26</w:t>
            </w:r>
            <w:r>
              <w:rPr>
                <w:rFonts w:hint="default"/>
                <w:color w:val="auto"/>
                <w:kern w:val="0"/>
                <w:sz w:val="24"/>
                <w:highlight w:val="none"/>
                <w:lang w:bidi="ar"/>
              </w:rPr>
              <w:t>日对项目区</w:t>
            </w:r>
            <w:r>
              <w:rPr>
                <w:rFonts w:hint="eastAsia"/>
                <w:color w:val="auto"/>
                <w:kern w:val="0"/>
                <w:sz w:val="24"/>
                <w:highlight w:val="none"/>
                <w:lang w:bidi="ar"/>
              </w:rPr>
              <w:t>土壤</w:t>
            </w:r>
            <w:r>
              <w:rPr>
                <w:rFonts w:hint="default"/>
                <w:color w:val="auto"/>
                <w:kern w:val="0"/>
                <w:sz w:val="24"/>
                <w:highlight w:val="none"/>
                <w:lang w:bidi="ar"/>
              </w:rPr>
              <w:t>环境质量进行了现状监测</w:t>
            </w:r>
            <w:r>
              <w:rPr>
                <w:rFonts w:hint="eastAsia"/>
                <w:color w:val="auto"/>
                <w:kern w:val="0"/>
                <w:sz w:val="24"/>
                <w:highlight w:val="none"/>
                <w:lang w:bidi="ar"/>
              </w:rPr>
              <w:t>以留作背景值。</w:t>
            </w:r>
          </w:p>
          <w:p w14:paraId="4141D89B">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lang w:val="en-US" w:eastAsia="zh-CN"/>
              </w:rPr>
              <w:t>①</w:t>
            </w:r>
            <w:r>
              <w:rPr>
                <w:rFonts w:hint="default"/>
                <w:b/>
                <w:bCs/>
                <w:color w:val="auto"/>
                <w:sz w:val="24"/>
                <w:highlight w:val="none"/>
              </w:rPr>
              <w:t>、监测点设置</w:t>
            </w:r>
          </w:p>
          <w:p w14:paraId="75B19A50">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在项目区共设置</w:t>
            </w:r>
            <w:r>
              <w:rPr>
                <w:rFonts w:hint="eastAsia"/>
                <w:color w:val="auto"/>
                <w:sz w:val="24"/>
                <w:highlight w:val="none"/>
              </w:rPr>
              <w:t>3</w:t>
            </w:r>
            <w:r>
              <w:rPr>
                <w:rFonts w:hint="default"/>
                <w:color w:val="auto"/>
                <w:sz w:val="24"/>
                <w:highlight w:val="none"/>
              </w:rPr>
              <w:t>个土壤监测点位，具体监测点位如下表3-</w:t>
            </w:r>
            <w:r>
              <w:rPr>
                <w:rFonts w:hint="eastAsia"/>
                <w:color w:val="auto"/>
                <w:sz w:val="24"/>
                <w:highlight w:val="none"/>
              </w:rPr>
              <w:t>9</w:t>
            </w:r>
            <w:r>
              <w:rPr>
                <w:rFonts w:hint="default"/>
                <w:color w:val="auto"/>
                <w:sz w:val="24"/>
                <w:highlight w:val="none"/>
              </w:rPr>
              <w:t>所示：</w:t>
            </w:r>
          </w:p>
          <w:p w14:paraId="2677EFED">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rPr>
            </w:pPr>
            <w:r>
              <w:rPr>
                <w:rFonts w:hint="default" w:ascii="Times New Roman" w:hAnsi="Times New Roman" w:eastAsia="黑体" w:cs="Times New Roman"/>
                <w:b/>
                <w:bCs/>
                <w:color w:val="auto"/>
                <w:kern w:val="0"/>
                <w:sz w:val="20"/>
                <w:szCs w:val="20"/>
                <w:highlight w:val="none"/>
                <w:lang w:val="en-US" w:eastAsia="zh-CN"/>
              </w:rPr>
              <w:t>表3</w:t>
            </w:r>
            <w:r>
              <w:rPr>
                <w:rFonts w:hint="eastAsia" w:ascii="Times New Roman" w:hAnsi="Times New Roman" w:eastAsia="黑体" w:cs="Times New Roman"/>
                <w:b/>
                <w:bCs/>
                <w:color w:val="auto"/>
                <w:kern w:val="0"/>
                <w:sz w:val="20"/>
                <w:szCs w:val="20"/>
                <w:highlight w:val="none"/>
                <w:lang w:val="en-US" w:eastAsia="zh-CN"/>
              </w:rPr>
              <w:t>-9</w:t>
            </w:r>
            <w:r>
              <w:rPr>
                <w:rFonts w:hint="default" w:ascii="Times New Roman" w:hAnsi="Times New Roman" w:eastAsia="黑体" w:cs="Times New Roman"/>
                <w:b/>
                <w:bCs/>
                <w:color w:val="auto"/>
                <w:kern w:val="0"/>
                <w:sz w:val="20"/>
                <w:szCs w:val="20"/>
                <w:highlight w:val="none"/>
                <w:lang w:val="en-US" w:eastAsia="zh-CN"/>
              </w:rPr>
              <w:t>土壤环境质量现状监测点位</w:t>
            </w:r>
          </w:p>
          <w:tbl>
            <w:tblPr>
              <w:tblStyle w:val="23"/>
              <w:tblW w:w="4999"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2605"/>
              <w:gridCol w:w="5992"/>
            </w:tblGrid>
            <w:tr w14:paraId="2E21FB94">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426" w:hRule="atLeast"/>
                <w:jc w:val="center"/>
              </w:trPr>
              <w:tc>
                <w:tcPr>
                  <w:tcW w:w="1515" w:type="pct"/>
                  <w:tcBorders>
                    <w:tl2br w:val="nil"/>
                    <w:tr2bl w:val="nil"/>
                  </w:tcBorders>
                  <w:noWrap w:val="0"/>
                  <w:vAlign w:val="center"/>
                </w:tcPr>
                <w:p w14:paraId="29959EE2">
                  <w:pPr>
                    <w:keepNext w:val="0"/>
                    <w:keepLines w:val="0"/>
                    <w:suppressLineNumbers w:val="0"/>
                    <w:adjustRightInd w:val="0"/>
                    <w:snapToGrid w:val="0"/>
                    <w:spacing w:before="0" w:beforeAutospacing="0" w:after="0" w:afterAutospacing="0" w:line="276" w:lineRule="auto"/>
                    <w:ind w:left="0" w:right="0"/>
                    <w:jc w:val="center"/>
                    <w:rPr>
                      <w:rFonts w:hint="default"/>
                      <w:b/>
                      <w:color w:val="auto"/>
                      <w:sz w:val="21"/>
                      <w:szCs w:val="21"/>
                      <w:highlight w:val="none"/>
                    </w:rPr>
                  </w:pPr>
                  <w:r>
                    <w:rPr>
                      <w:rFonts w:hint="default"/>
                      <w:b/>
                      <w:color w:val="auto"/>
                      <w:sz w:val="21"/>
                      <w:szCs w:val="21"/>
                      <w:highlight w:val="none"/>
                    </w:rPr>
                    <w:t>监测点位编号</w:t>
                  </w:r>
                </w:p>
              </w:tc>
              <w:tc>
                <w:tcPr>
                  <w:tcW w:w="3484" w:type="pct"/>
                  <w:tcBorders>
                    <w:tl2br w:val="nil"/>
                    <w:tr2bl w:val="nil"/>
                  </w:tcBorders>
                  <w:noWrap w:val="0"/>
                  <w:vAlign w:val="center"/>
                </w:tcPr>
                <w:p w14:paraId="5AADB068">
                  <w:pPr>
                    <w:keepNext w:val="0"/>
                    <w:keepLines w:val="0"/>
                    <w:suppressLineNumbers w:val="0"/>
                    <w:adjustRightInd w:val="0"/>
                    <w:snapToGrid w:val="0"/>
                    <w:spacing w:before="0" w:beforeAutospacing="0" w:after="0" w:afterAutospacing="0" w:line="276" w:lineRule="auto"/>
                    <w:ind w:left="0" w:right="0"/>
                    <w:jc w:val="center"/>
                    <w:rPr>
                      <w:rFonts w:hint="default"/>
                      <w:b/>
                      <w:color w:val="auto"/>
                      <w:sz w:val="21"/>
                      <w:szCs w:val="21"/>
                      <w:highlight w:val="none"/>
                    </w:rPr>
                  </w:pPr>
                  <w:r>
                    <w:rPr>
                      <w:rFonts w:hint="default"/>
                      <w:b/>
                      <w:color w:val="auto"/>
                      <w:sz w:val="21"/>
                      <w:szCs w:val="21"/>
                      <w:highlight w:val="none"/>
                    </w:rPr>
                    <w:t>监测点位置</w:t>
                  </w:r>
                </w:p>
              </w:tc>
            </w:tr>
            <w:tr w14:paraId="625D2669">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426" w:hRule="atLeast"/>
                <w:jc w:val="center"/>
              </w:trPr>
              <w:tc>
                <w:tcPr>
                  <w:tcW w:w="1515" w:type="pct"/>
                  <w:tcBorders>
                    <w:tl2br w:val="nil"/>
                    <w:tr2bl w:val="nil"/>
                  </w:tcBorders>
                  <w:noWrap w:val="0"/>
                  <w:vAlign w:val="center"/>
                </w:tcPr>
                <w:p w14:paraId="71DAC7A7">
                  <w:pPr>
                    <w:keepNext w:val="0"/>
                    <w:keepLines w:val="0"/>
                    <w:widowControl/>
                    <w:suppressLineNumbers w:val="0"/>
                    <w:spacing w:before="0" w:beforeAutospacing="0" w:after="0" w:afterAutospacing="0" w:line="276" w:lineRule="auto"/>
                    <w:ind w:left="0" w:right="0"/>
                    <w:jc w:val="center"/>
                    <w:rPr>
                      <w:rFonts w:hint="default" w:eastAsia="宋体"/>
                      <w:bCs/>
                      <w:color w:val="auto"/>
                      <w:kern w:val="0"/>
                      <w:sz w:val="21"/>
                      <w:szCs w:val="21"/>
                      <w:highlight w:val="none"/>
                      <w:lang w:val="en-US" w:eastAsia="zh-CN"/>
                    </w:rPr>
                  </w:pPr>
                  <w:r>
                    <w:rPr>
                      <w:rFonts w:hint="eastAsia"/>
                      <w:bCs/>
                      <w:color w:val="auto"/>
                      <w:kern w:val="0"/>
                      <w:sz w:val="21"/>
                      <w:szCs w:val="21"/>
                      <w:highlight w:val="none"/>
                      <w:lang w:val="en-US" w:eastAsia="zh-CN"/>
                    </w:rPr>
                    <w:t>T1</w:t>
                  </w:r>
                </w:p>
              </w:tc>
              <w:tc>
                <w:tcPr>
                  <w:tcW w:w="3484" w:type="pct"/>
                  <w:tcBorders>
                    <w:tl2br w:val="nil"/>
                    <w:tr2bl w:val="nil"/>
                  </w:tcBorders>
                  <w:noWrap w:val="0"/>
                  <w:vAlign w:val="center"/>
                </w:tcPr>
                <w:p w14:paraId="5052C3CC">
                  <w:pPr>
                    <w:keepNext w:val="0"/>
                    <w:keepLines w:val="0"/>
                    <w:widowControl/>
                    <w:suppressLineNumbers w:val="0"/>
                    <w:spacing w:before="0" w:beforeAutospacing="0" w:after="0" w:afterAutospacing="0" w:line="276" w:lineRule="auto"/>
                    <w:ind w:left="0" w:right="0"/>
                    <w:jc w:val="center"/>
                    <w:rPr>
                      <w:rFonts w:hint="default"/>
                      <w:bCs/>
                      <w:color w:val="auto"/>
                      <w:kern w:val="0"/>
                      <w:sz w:val="21"/>
                      <w:szCs w:val="21"/>
                      <w:highlight w:val="none"/>
                    </w:rPr>
                  </w:pPr>
                  <w:r>
                    <w:rPr>
                      <w:rFonts w:hint="eastAsia"/>
                      <w:bCs/>
                      <w:color w:val="auto"/>
                      <w:kern w:val="0"/>
                      <w:sz w:val="21"/>
                      <w:szCs w:val="21"/>
                      <w:highlight w:val="none"/>
                    </w:rPr>
                    <w:t>项目拟建油罐区</w:t>
                  </w:r>
                </w:p>
              </w:tc>
            </w:tr>
            <w:tr w14:paraId="15D2AB87">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426" w:hRule="atLeast"/>
                <w:jc w:val="center"/>
              </w:trPr>
              <w:tc>
                <w:tcPr>
                  <w:tcW w:w="1515" w:type="pct"/>
                  <w:tcBorders>
                    <w:tl2br w:val="nil"/>
                    <w:tr2bl w:val="nil"/>
                  </w:tcBorders>
                  <w:noWrap w:val="0"/>
                  <w:vAlign w:val="center"/>
                </w:tcPr>
                <w:p w14:paraId="432FD663">
                  <w:pPr>
                    <w:keepNext w:val="0"/>
                    <w:keepLines w:val="0"/>
                    <w:widowControl/>
                    <w:suppressLineNumbers w:val="0"/>
                    <w:spacing w:before="0" w:beforeAutospacing="0" w:after="0" w:afterAutospacing="0" w:line="276" w:lineRule="auto"/>
                    <w:ind w:left="0" w:right="0"/>
                    <w:jc w:val="center"/>
                    <w:rPr>
                      <w:rFonts w:hint="default"/>
                      <w:bCs/>
                      <w:color w:val="auto"/>
                      <w:kern w:val="0"/>
                      <w:sz w:val="21"/>
                      <w:szCs w:val="21"/>
                      <w:highlight w:val="none"/>
                    </w:rPr>
                  </w:pPr>
                  <w:r>
                    <w:rPr>
                      <w:rFonts w:hint="eastAsia"/>
                      <w:bCs/>
                      <w:color w:val="auto"/>
                      <w:kern w:val="0"/>
                      <w:sz w:val="21"/>
                      <w:szCs w:val="21"/>
                      <w:highlight w:val="none"/>
                      <w:lang w:val="en-US" w:eastAsia="zh-CN"/>
                    </w:rPr>
                    <w:t>T2</w:t>
                  </w:r>
                </w:p>
              </w:tc>
              <w:tc>
                <w:tcPr>
                  <w:tcW w:w="3484" w:type="pct"/>
                  <w:tcBorders>
                    <w:tl2br w:val="nil"/>
                    <w:tr2bl w:val="nil"/>
                  </w:tcBorders>
                  <w:noWrap w:val="0"/>
                  <w:vAlign w:val="center"/>
                </w:tcPr>
                <w:p w14:paraId="65F2F2F1">
                  <w:pPr>
                    <w:keepNext w:val="0"/>
                    <w:keepLines w:val="0"/>
                    <w:widowControl/>
                    <w:suppressLineNumbers w:val="0"/>
                    <w:spacing w:before="0" w:beforeAutospacing="0" w:after="0" w:afterAutospacing="0" w:line="276" w:lineRule="auto"/>
                    <w:ind w:left="0" w:right="0"/>
                    <w:jc w:val="center"/>
                    <w:rPr>
                      <w:rFonts w:hint="default"/>
                      <w:bCs/>
                      <w:color w:val="auto"/>
                      <w:kern w:val="0"/>
                      <w:sz w:val="21"/>
                      <w:szCs w:val="21"/>
                      <w:highlight w:val="none"/>
                    </w:rPr>
                  </w:pPr>
                  <w:r>
                    <w:rPr>
                      <w:rFonts w:hint="eastAsia"/>
                      <w:bCs/>
                      <w:color w:val="auto"/>
                      <w:kern w:val="0"/>
                      <w:sz w:val="21"/>
                      <w:szCs w:val="21"/>
                      <w:highlight w:val="none"/>
                    </w:rPr>
                    <w:t>项目拟建加油加气区</w:t>
                  </w:r>
                </w:p>
              </w:tc>
            </w:tr>
            <w:tr w14:paraId="68E637E0">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426" w:hRule="atLeast"/>
                <w:jc w:val="center"/>
              </w:trPr>
              <w:tc>
                <w:tcPr>
                  <w:tcW w:w="1515" w:type="pct"/>
                  <w:tcBorders>
                    <w:tl2br w:val="nil"/>
                    <w:tr2bl w:val="nil"/>
                  </w:tcBorders>
                  <w:noWrap w:val="0"/>
                  <w:vAlign w:val="center"/>
                </w:tcPr>
                <w:p w14:paraId="13EB5BB8">
                  <w:pPr>
                    <w:keepNext w:val="0"/>
                    <w:keepLines w:val="0"/>
                    <w:suppressLineNumbers w:val="0"/>
                    <w:spacing w:before="0" w:beforeAutospacing="0" w:after="0" w:afterAutospacing="0" w:line="300" w:lineRule="exact"/>
                    <w:ind w:left="0" w:right="0"/>
                    <w:jc w:val="center"/>
                    <w:rPr>
                      <w:rFonts w:hint="default"/>
                      <w:bCs/>
                      <w:color w:val="auto"/>
                      <w:kern w:val="0"/>
                      <w:sz w:val="21"/>
                      <w:szCs w:val="21"/>
                      <w:highlight w:val="none"/>
                    </w:rPr>
                  </w:pPr>
                  <w:r>
                    <w:rPr>
                      <w:rFonts w:hint="eastAsia"/>
                      <w:bCs/>
                      <w:color w:val="auto"/>
                      <w:kern w:val="0"/>
                      <w:sz w:val="21"/>
                      <w:szCs w:val="21"/>
                      <w:highlight w:val="none"/>
                      <w:lang w:val="en-US" w:eastAsia="zh-CN"/>
                    </w:rPr>
                    <w:t>T3</w:t>
                  </w:r>
                </w:p>
              </w:tc>
              <w:tc>
                <w:tcPr>
                  <w:tcW w:w="3484" w:type="pct"/>
                  <w:tcBorders>
                    <w:tl2br w:val="nil"/>
                    <w:tr2bl w:val="nil"/>
                  </w:tcBorders>
                  <w:noWrap w:val="0"/>
                  <w:vAlign w:val="center"/>
                </w:tcPr>
                <w:p w14:paraId="24A306BD">
                  <w:pPr>
                    <w:keepNext w:val="0"/>
                    <w:keepLines w:val="0"/>
                    <w:widowControl/>
                    <w:suppressLineNumbers w:val="0"/>
                    <w:spacing w:before="0" w:beforeAutospacing="0" w:after="0" w:afterAutospacing="0" w:line="276" w:lineRule="auto"/>
                    <w:ind w:left="0" w:right="0"/>
                    <w:jc w:val="center"/>
                    <w:rPr>
                      <w:rFonts w:hint="default"/>
                      <w:bCs/>
                      <w:color w:val="auto"/>
                      <w:kern w:val="0"/>
                      <w:sz w:val="21"/>
                      <w:szCs w:val="21"/>
                      <w:highlight w:val="none"/>
                    </w:rPr>
                  </w:pPr>
                  <w:r>
                    <w:rPr>
                      <w:rFonts w:hint="eastAsia"/>
                      <w:bCs/>
                      <w:color w:val="auto"/>
                      <w:kern w:val="0"/>
                      <w:sz w:val="21"/>
                      <w:szCs w:val="21"/>
                      <w:highlight w:val="none"/>
                    </w:rPr>
                    <w:t>项目拟建站房区</w:t>
                  </w:r>
                </w:p>
              </w:tc>
            </w:tr>
          </w:tbl>
          <w:p w14:paraId="3D4056A7">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lang w:val="en-US" w:eastAsia="zh-CN"/>
              </w:rPr>
              <w:t>②</w:t>
            </w:r>
            <w:r>
              <w:rPr>
                <w:rFonts w:hint="default"/>
                <w:b/>
                <w:bCs/>
                <w:color w:val="auto"/>
                <w:sz w:val="24"/>
                <w:highlight w:val="none"/>
              </w:rPr>
              <w:t>、监测项目</w:t>
            </w:r>
          </w:p>
          <w:p w14:paraId="1997054D">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1#监测点位监测</w:t>
            </w:r>
            <w:r>
              <w:rPr>
                <w:rFonts w:hint="default"/>
                <w:color w:val="auto"/>
                <w:sz w:val="24"/>
                <w:highlight w:val="none"/>
              </w:rPr>
              <w:t>《</w:t>
            </w:r>
            <w:r>
              <w:rPr>
                <w:rFonts w:hint="default"/>
                <w:color w:val="auto"/>
                <w:sz w:val="24"/>
                <w:highlight w:val="none"/>
              </w:rPr>
              <w:fldChar w:fldCharType="begin"/>
            </w:r>
            <w:r>
              <w:rPr>
                <w:rFonts w:hint="default"/>
                <w:color w:val="auto"/>
                <w:sz w:val="24"/>
                <w:highlight w:val="none"/>
              </w:rPr>
              <w:instrText xml:space="preserve"> HYPERLINK "https://www.mee.gov.cn/ywgz/fgbz/bz/bzwb/trhj/201807/W020190626596188930731.pdf" </w:instrText>
            </w:r>
            <w:r>
              <w:rPr>
                <w:rFonts w:hint="default"/>
                <w:color w:val="auto"/>
                <w:sz w:val="24"/>
                <w:highlight w:val="none"/>
              </w:rPr>
              <w:fldChar w:fldCharType="separate"/>
            </w:r>
            <w:r>
              <w:rPr>
                <w:rFonts w:hint="default"/>
                <w:color w:val="auto"/>
                <w:sz w:val="24"/>
                <w:highlight w:val="none"/>
              </w:rPr>
              <w:t>土壤环境质量 建设用地土壤污染风险管控标准（试行）》(GB36600-2018)</w:t>
            </w:r>
            <w:r>
              <w:rPr>
                <w:rFonts w:hint="default"/>
                <w:color w:val="auto"/>
                <w:sz w:val="24"/>
                <w:highlight w:val="none"/>
              </w:rPr>
              <w:fldChar w:fldCharType="end"/>
            </w:r>
            <w:r>
              <w:rPr>
                <w:rFonts w:hint="default"/>
                <w:color w:val="auto"/>
                <w:sz w:val="24"/>
                <w:highlight w:val="none"/>
              </w:rPr>
              <w:t>中的45项基本项目</w:t>
            </w:r>
            <w:r>
              <w:rPr>
                <w:rFonts w:hint="eastAsia"/>
                <w:color w:val="auto"/>
                <w:sz w:val="24"/>
                <w:highlight w:val="none"/>
              </w:rPr>
              <w:t>以及石油类、石油烃（C</w:t>
            </w:r>
            <w:r>
              <w:rPr>
                <w:rFonts w:hint="default"/>
                <w:color w:val="auto"/>
                <w:sz w:val="24"/>
                <w:highlight w:val="none"/>
              </w:rPr>
              <w:t>6~C9</w:t>
            </w:r>
            <w:r>
              <w:rPr>
                <w:rFonts w:hint="eastAsia"/>
                <w:color w:val="auto"/>
                <w:sz w:val="24"/>
                <w:highlight w:val="none"/>
              </w:rPr>
              <w:t>）、石油烃（C10</w:t>
            </w:r>
            <w:r>
              <w:rPr>
                <w:rFonts w:hint="default"/>
                <w:color w:val="auto"/>
                <w:sz w:val="24"/>
                <w:highlight w:val="none"/>
              </w:rPr>
              <w:t>~C</w:t>
            </w:r>
            <w:r>
              <w:rPr>
                <w:rFonts w:hint="eastAsia"/>
                <w:color w:val="auto"/>
                <w:sz w:val="24"/>
                <w:highlight w:val="none"/>
              </w:rPr>
              <w:t>40）；2#及3#点位监测pH、镉、汞、砷、铅、铬、六价铬、铜、镍、锌</w:t>
            </w:r>
            <w:r>
              <w:rPr>
                <w:rFonts w:hint="default"/>
                <w:color w:val="auto"/>
                <w:sz w:val="24"/>
                <w:highlight w:val="none"/>
              </w:rPr>
              <w:t>、石油烃（C10-C40）、</w:t>
            </w:r>
            <w:r>
              <w:rPr>
                <w:rFonts w:hint="eastAsia"/>
                <w:color w:val="auto"/>
                <w:sz w:val="24"/>
                <w:highlight w:val="none"/>
              </w:rPr>
              <w:t>石油烃（C</w:t>
            </w:r>
            <w:r>
              <w:rPr>
                <w:rFonts w:hint="default"/>
                <w:color w:val="auto"/>
                <w:sz w:val="24"/>
                <w:highlight w:val="none"/>
              </w:rPr>
              <w:t>6</w:t>
            </w:r>
            <w:r>
              <w:rPr>
                <w:rFonts w:hint="eastAsia"/>
                <w:color w:val="auto"/>
                <w:sz w:val="24"/>
                <w:highlight w:val="none"/>
              </w:rPr>
              <w:t>-</w:t>
            </w:r>
            <w:r>
              <w:rPr>
                <w:rFonts w:hint="default"/>
                <w:color w:val="auto"/>
                <w:sz w:val="24"/>
                <w:highlight w:val="none"/>
              </w:rPr>
              <w:t>C9</w:t>
            </w:r>
            <w:r>
              <w:rPr>
                <w:rFonts w:hint="eastAsia"/>
                <w:color w:val="auto"/>
                <w:sz w:val="24"/>
                <w:highlight w:val="none"/>
              </w:rPr>
              <w:t>）、石油类，共13项。</w:t>
            </w:r>
          </w:p>
          <w:p w14:paraId="0FDA6FE7">
            <w:pPr>
              <w:pStyle w:val="57"/>
              <w:keepNext w:val="0"/>
              <w:keepLines w:val="0"/>
              <w:suppressLineNumbers w:val="0"/>
              <w:spacing w:before="0" w:beforeAutospacing="0" w:after="0" w:afterAutospacing="0"/>
              <w:ind w:left="0" w:right="0" w:firstLine="482"/>
              <w:rPr>
                <w:rFonts w:hint="default"/>
                <w:b/>
                <w:bCs/>
                <w:color w:val="auto"/>
                <w:szCs w:val="24"/>
                <w:highlight w:val="none"/>
              </w:rPr>
            </w:pPr>
            <w:r>
              <w:rPr>
                <w:rFonts w:hint="eastAsia"/>
                <w:b/>
                <w:bCs/>
                <w:color w:val="auto"/>
                <w:szCs w:val="24"/>
                <w:highlight w:val="none"/>
                <w:lang w:val="en-US" w:eastAsia="zh-CN"/>
              </w:rPr>
              <w:t>③</w:t>
            </w:r>
            <w:r>
              <w:rPr>
                <w:rFonts w:hint="default"/>
                <w:b/>
                <w:bCs/>
                <w:color w:val="auto"/>
                <w:szCs w:val="24"/>
                <w:highlight w:val="none"/>
              </w:rPr>
              <w:t>、监测时间、频率及方法</w:t>
            </w:r>
          </w:p>
          <w:p w14:paraId="4D4D4BA7">
            <w:pPr>
              <w:pStyle w:val="57"/>
              <w:keepNext w:val="0"/>
              <w:keepLines w:val="0"/>
              <w:suppressLineNumbers w:val="0"/>
              <w:spacing w:before="0" w:beforeAutospacing="0" w:after="0" w:afterAutospacing="0" w:line="360" w:lineRule="auto"/>
              <w:ind w:left="0" w:right="0" w:firstLine="480"/>
              <w:rPr>
                <w:rFonts w:hint="default"/>
                <w:color w:val="auto"/>
                <w:szCs w:val="24"/>
                <w:highlight w:val="none"/>
              </w:rPr>
            </w:pPr>
            <w:r>
              <w:rPr>
                <w:rFonts w:hint="default"/>
                <w:color w:val="auto"/>
                <w:szCs w:val="24"/>
                <w:highlight w:val="none"/>
              </w:rPr>
              <w:t>达州恒福环境监测服务有限公司于202</w:t>
            </w:r>
            <w:r>
              <w:rPr>
                <w:rFonts w:hint="eastAsia"/>
                <w:color w:val="auto"/>
                <w:szCs w:val="24"/>
                <w:highlight w:val="none"/>
              </w:rPr>
              <w:t>3</w:t>
            </w:r>
            <w:r>
              <w:rPr>
                <w:rFonts w:hint="default"/>
                <w:color w:val="auto"/>
                <w:szCs w:val="24"/>
                <w:highlight w:val="none"/>
              </w:rPr>
              <w:t>年</w:t>
            </w:r>
            <w:r>
              <w:rPr>
                <w:rFonts w:hint="eastAsia"/>
                <w:color w:val="auto"/>
                <w:szCs w:val="24"/>
                <w:highlight w:val="none"/>
                <w:lang w:val="en-US" w:eastAsia="zh-CN"/>
              </w:rPr>
              <w:t>5</w:t>
            </w:r>
            <w:r>
              <w:rPr>
                <w:rFonts w:hint="default"/>
                <w:color w:val="auto"/>
                <w:szCs w:val="24"/>
                <w:highlight w:val="none"/>
              </w:rPr>
              <w:t>月</w:t>
            </w:r>
            <w:r>
              <w:rPr>
                <w:rFonts w:hint="eastAsia"/>
                <w:color w:val="auto"/>
                <w:szCs w:val="24"/>
                <w:highlight w:val="none"/>
                <w:lang w:val="en-US" w:eastAsia="zh-CN"/>
              </w:rPr>
              <w:t>26</w:t>
            </w:r>
            <w:r>
              <w:rPr>
                <w:rFonts w:hint="default"/>
                <w:color w:val="auto"/>
                <w:szCs w:val="24"/>
                <w:highlight w:val="none"/>
              </w:rPr>
              <w:t>日</w:t>
            </w:r>
            <w:r>
              <w:rPr>
                <w:rFonts w:hint="eastAsia"/>
                <w:color w:val="auto"/>
                <w:szCs w:val="24"/>
                <w:highlight w:val="none"/>
              </w:rPr>
              <w:t>在</w:t>
            </w:r>
            <w:r>
              <w:rPr>
                <w:rFonts w:hint="default"/>
                <w:color w:val="auto"/>
                <w:szCs w:val="24"/>
                <w:highlight w:val="none"/>
              </w:rPr>
              <w:t>对项目3个监测点分别进行了监测，监测1天，每天监测一次。监测分析方法见表3-1</w:t>
            </w:r>
            <w:r>
              <w:rPr>
                <w:rFonts w:hint="eastAsia"/>
                <w:color w:val="auto"/>
                <w:szCs w:val="24"/>
                <w:highlight w:val="none"/>
                <w:lang w:val="en-US" w:eastAsia="zh-CN"/>
              </w:rPr>
              <w:t>0</w:t>
            </w:r>
            <w:r>
              <w:rPr>
                <w:rFonts w:hint="default"/>
                <w:color w:val="auto"/>
                <w:szCs w:val="24"/>
                <w:highlight w:val="none"/>
              </w:rPr>
              <w:t>。</w:t>
            </w:r>
          </w:p>
          <w:p w14:paraId="3F5C42C6">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rPr>
            </w:pPr>
            <w:r>
              <w:rPr>
                <w:rFonts w:hint="default" w:ascii="Times New Roman" w:hAnsi="Times New Roman" w:eastAsia="黑体" w:cs="Times New Roman"/>
                <w:b/>
                <w:bCs/>
                <w:color w:val="auto"/>
                <w:kern w:val="0"/>
                <w:sz w:val="20"/>
                <w:szCs w:val="20"/>
                <w:highlight w:val="none"/>
                <w:lang w:val="en-US" w:eastAsia="zh-CN"/>
              </w:rPr>
              <w:t>表3-1</w:t>
            </w:r>
            <w:r>
              <w:rPr>
                <w:rFonts w:hint="eastAsia" w:ascii="Times New Roman" w:hAnsi="Times New Roman" w:eastAsia="黑体" w:cs="Times New Roman"/>
                <w:b/>
                <w:bCs/>
                <w:color w:val="auto"/>
                <w:kern w:val="0"/>
                <w:sz w:val="20"/>
                <w:szCs w:val="20"/>
                <w:highlight w:val="none"/>
                <w:lang w:val="en-US" w:eastAsia="zh-CN"/>
              </w:rPr>
              <w:t>0</w:t>
            </w:r>
            <w:r>
              <w:rPr>
                <w:rFonts w:hint="default" w:ascii="Times New Roman" w:hAnsi="Times New Roman" w:eastAsia="黑体" w:cs="Times New Roman"/>
                <w:b/>
                <w:bCs/>
                <w:color w:val="auto"/>
                <w:kern w:val="0"/>
                <w:sz w:val="20"/>
                <w:szCs w:val="20"/>
                <w:highlight w:val="none"/>
                <w:lang w:val="en-US" w:eastAsia="zh-CN"/>
              </w:rPr>
              <w:t>土壤环境质量监测分析方法一览表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486"/>
              <w:gridCol w:w="2278"/>
              <w:gridCol w:w="1607"/>
              <w:gridCol w:w="2011"/>
              <w:gridCol w:w="1214"/>
            </w:tblGrid>
            <w:tr w14:paraId="62C40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864" w:type="pct"/>
                  <w:tcBorders>
                    <w:tl2br w:val="nil"/>
                    <w:tr2bl w:val="nil"/>
                  </w:tcBorders>
                  <w:noWrap w:val="0"/>
                  <w:vAlign w:val="center"/>
                </w:tcPr>
                <w:p w14:paraId="612FCC25">
                  <w:pPr>
                    <w:pStyle w:val="40"/>
                    <w:keepNext w:val="0"/>
                    <w:keepLines w:val="0"/>
                    <w:suppressLineNumbers w:val="0"/>
                    <w:snapToGrid w:val="0"/>
                    <w:spacing w:before="0" w:beforeAutospacing="0" w:after="0" w:afterAutospacing="0"/>
                    <w:ind w:left="0" w:right="0"/>
                    <w:rPr>
                      <w:rFonts w:hint="default" w:cs="Times New Roman"/>
                      <w:b/>
                      <w:color w:val="auto"/>
                      <w:sz w:val="21"/>
                      <w:szCs w:val="21"/>
                      <w:highlight w:val="none"/>
                    </w:rPr>
                  </w:pPr>
                  <w:r>
                    <w:rPr>
                      <w:rFonts w:hint="default" w:cs="Times New Roman"/>
                      <w:b/>
                      <w:color w:val="auto"/>
                      <w:sz w:val="21"/>
                      <w:szCs w:val="21"/>
                      <w:highlight w:val="none"/>
                    </w:rPr>
                    <w:t>检测因子</w:t>
                  </w:r>
                </w:p>
              </w:tc>
              <w:tc>
                <w:tcPr>
                  <w:tcW w:w="1324" w:type="pct"/>
                  <w:tcBorders>
                    <w:tl2br w:val="nil"/>
                    <w:tr2bl w:val="nil"/>
                  </w:tcBorders>
                  <w:noWrap w:val="0"/>
                  <w:vAlign w:val="center"/>
                </w:tcPr>
                <w:p w14:paraId="54159C1E">
                  <w:pPr>
                    <w:pStyle w:val="40"/>
                    <w:keepNext w:val="0"/>
                    <w:keepLines w:val="0"/>
                    <w:suppressLineNumbers w:val="0"/>
                    <w:snapToGrid w:val="0"/>
                    <w:spacing w:before="0" w:beforeAutospacing="0" w:after="0" w:afterAutospacing="0"/>
                    <w:ind w:left="0" w:right="0"/>
                    <w:rPr>
                      <w:rFonts w:hint="default" w:cs="Times New Roman"/>
                      <w:b/>
                      <w:color w:val="auto"/>
                      <w:sz w:val="21"/>
                      <w:szCs w:val="21"/>
                      <w:highlight w:val="none"/>
                    </w:rPr>
                  </w:pPr>
                  <w:r>
                    <w:rPr>
                      <w:rFonts w:hint="default" w:cs="Times New Roman"/>
                      <w:b/>
                      <w:color w:val="auto"/>
                      <w:sz w:val="21"/>
                      <w:szCs w:val="21"/>
                      <w:highlight w:val="none"/>
                    </w:rPr>
                    <w:t>检测方法</w:t>
                  </w:r>
                </w:p>
              </w:tc>
              <w:tc>
                <w:tcPr>
                  <w:tcW w:w="934" w:type="pct"/>
                  <w:tcBorders>
                    <w:tl2br w:val="nil"/>
                    <w:tr2bl w:val="nil"/>
                  </w:tcBorders>
                  <w:noWrap w:val="0"/>
                  <w:vAlign w:val="center"/>
                </w:tcPr>
                <w:p w14:paraId="247AB863">
                  <w:pPr>
                    <w:pStyle w:val="40"/>
                    <w:keepNext w:val="0"/>
                    <w:keepLines w:val="0"/>
                    <w:suppressLineNumbers w:val="0"/>
                    <w:snapToGrid w:val="0"/>
                    <w:spacing w:before="0" w:beforeAutospacing="0" w:after="0" w:afterAutospacing="0"/>
                    <w:ind w:left="0" w:right="0"/>
                    <w:rPr>
                      <w:rFonts w:hint="default" w:cs="Times New Roman"/>
                      <w:b/>
                      <w:color w:val="auto"/>
                      <w:sz w:val="21"/>
                      <w:szCs w:val="21"/>
                      <w:highlight w:val="none"/>
                    </w:rPr>
                  </w:pPr>
                  <w:r>
                    <w:rPr>
                      <w:rFonts w:hint="default" w:cs="Times New Roman"/>
                      <w:b/>
                      <w:color w:val="auto"/>
                      <w:sz w:val="21"/>
                      <w:szCs w:val="21"/>
                      <w:highlight w:val="none"/>
                    </w:rPr>
                    <w:t>方法来源</w:t>
                  </w:r>
                </w:p>
              </w:tc>
              <w:tc>
                <w:tcPr>
                  <w:tcW w:w="1169" w:type="pct"/>
                  <w:tcBorders>
                    <w:tl2br w:val="nil"/>
                    <w:tr2bl w:val="nil"/>
                  </w:tcBorders>
                  <w:noWrap w:val="0"/>
                  <w:vAlign w:val="center"/>
                </w:tcPr>
                <w:p w14:paraId="79FAEB8B">
                  <w:pPr>
                    <w:pStyle w:val="40"/>
                    <w:keepNext w:val="0"/>
                    <w:keepLines w:val="0"/>
                    <w:suppressLineNumbers w:val="0"/>
                    <w:snapToGrid w:val="0"/>
                    <w:spacing w:before="0" w:beforeAutospacing="0" w:after="0" w:afterAutospacing="0"/>
                    <w:ind w:left="0" w:right="0"/>
                    <w:rPr>
                      <w:rFonts w:hint="default" w:cs="Times New Roman"/>
                      <w:b/>
                      <w:color w:val="auto"/>
                      <w:sz w:val="21"/>
                      <w:szCs w:val="21"/>
                      <w:highlight w:val="none"/>
                    </w:rPr>
                  </w:pPr>
                  <w:r>
                    <w:rPr>
                      <w:rFonts w:hint="default" w:cs="Times New Roman"/>
                      <w:b/>
                      <w:color w:val="auto"/>
                      <w:sz w:val="21"/>
                      <w:szCs w:val="21"/>
                      <w:highlight w:val="none"/>
                    </w:rPr>
                    <w:t>使用仪器及编号</w:t>
                  </w:r>
                </w:p>
              </w:tc>
              <w:tc>
                <w:tcPr>
                  <w:tcW w:w="706" w:type="pct"/>
                  <w:tcBorders>
                    <w:tl2br w:val="nil"/>
                    <w:tr2bl w:val="nil"/>
                  </w:tcBorders>
                  <w:noWrap w:val="0"/>
                  <w:vAlign w:val="center"/>
                </w:tcPr>
                <w:p w14:paraId="6450C5B0">
                  <w:pPr>
                    <w:pStyle w:val="40"/>
                    <w:keepNext w:val="0"/>
                    <w:keepLines w:val="0"/>
                    <w:suppressLineNumbers w:val="0"/>
                    <w:snapToGrid w:val="0"/>
                    <w:spacing w:before="0" w:beforeAutospacing="0" w:after="0" w:afterAutospacing="0"/>
                    <w:ind w:left="0" w:right="0"/>
                    <w:rPr>
                      <w:rFonts w:hint="default" w:cs="Times New Roman"/>
                      <w:b/>
                      <w:color w:val="auto"/>
                      <w:sz w:val="21"/>
                      <w:szCs w:val="21"/>
                      <w:highlight w:val="none"/>
                    </w:rPr>
                  </w:pPr>
                  <w:r>
                    <w:rPr>
                      <w:rFonts w:hint="default" w:cs="Times New Roman"/>
                      <w:b/>
                      <w:color w:val="auto"/>
                      <w:sz w:val="21"/>
                      <w:szCs w:val="21"/>
                      <w:highlight w:val="none"/>
                    </w:rPr>
                    <w:t>检出限</w:t>
                  </w:r>
                </w:p>
              </w:tc>
            </w:tr>
            <w:tr w14:paraId="472C1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1F5FD779">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pH（无量纲）</w:t>
                  </w:r>
                </w:p>
              </w:tc>
              <w:tc>
                <w:tcPr>
                  <w:tcW w:w="1324" w:type="pct"/>
                  <w:tcBorders>
                    <w:tl2br w:val="nil"/>
                    <w:tr2bl w:val="nil"/>
                  </w:tcBorders>
                  <w:noWrap w:val="0"/>
                  <w:vAlign w:val="center"/>
                </w:tcPr>
                <w:p w14:paraId="5AFC6811">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r>
                    <w:rPr>
                      <w:rFonts w:hint="default" w:cs="Times New Roman"/>
                      <w:color w:val="auto"/>
                      <w:kern w:val="0"/>
                      <w:sz w:val="21"/>
                      <w:szCs w:val="21"/>
                      <w:highlight w:val="none"/>
                    </w:rPr>
                    <w:t>土壤 pH值的测定 电位法</w:t>
                  </w:r>
                </w:p>
              </w:tc>
              <w:tc>
                <w:tcPr>
                  <w:tcW w:w="934" w:type="pct"/>
                  <w:tcBorders>
                    <w:tl2br w:val="nil"/>
                    <w:tr2bl w:val="nil"/>
                  </w:tcBorders>
                  <w:noWrap w:val="0"/>
                  <w:vAlign w:val="center"/>
                </w:tcPr>
                <w:p w14:paraId="2D3E4AE3">
                  <w:pPr>
                    <w:pStyle w:val="40"/>
                    <w:keepNext w:val="0"/>
                    <w:keepLines w:val="0"/>
                    <w:suppressLineNumbers w:val="0"/>
                    <w:snapToGrid w:val="0"/>
                    <w:spacing w:before="0" w:beforeAutospacing="0" w:after="0" w:afterAutospacing="0"/>
                    <w:ind w:left="0" w:right="0"/>
                    <w:rPr>
                      <w:rFonts w:hint="default" w:cs="Times New Roman"/>
                      <w:iCs/>
                      <w:color w:val="auto"/>
                      <w:sz w:val="21"/>
                      <w:szCs w:val="21"/>
                      <w:highlight w:val="none"/>
                    </w:rPr>
                  </w:pPr>
                  <w:r>
                    <w:rPr>
                      <w:rFonts w:hint="default" w:cs="Times New Roman"/>
                      <w:color w:val="auto"/>
                      <w:kern w:val="0"/>
                      <w:sz w:val="21"/>
                      <w:szCs w:val="21"/>
                      <w:highlight w:val="none"/>
                    </w:rPr>
                    <w:t>HJ 962-2018</w:t>
                  </w:r>
                </w:p>
              </w:tc>
              <w:tc>
                <w:tcPr>
                  <w:tcW w:w="1169" w:type="pct"/>
                  <w:tcBorders>
                    <w:tl2br w:val="nil"/>
                    <w:tr2bl w:val="nil"/>
                  </w:tcBorders>
                  <w:noWrap w:val="0"/>
                  <w:vAlign w:val="center"/>
                </w:tcPr>
                <w:p w14:paraId="233BA9C3">
                  <w:pPr>
                    <w:pStyle w:val="40"/>
                    <w:keepNext w:val="0"/>
                    <w:keepLines w:val="0"/>
                    <w:suppressLineNumbers w:val="0"/>
                    <w:snapToGrid w:val="0"/>
                    <w:spacing w:before="0" w:beforeAutospacing="0" w:after="0" w:afterAutospacing="0"/>
                    <w:ind w:left="0" w:right="0"/>
                    <w:rPr>
                      <w:rFonts w:hint="default" w:cs="Times New Roman"/>
                      <w:color w:val="auto"/>
                      <w:spacing w:val="-6"/>
                      <w:kern w:val="0"/>
                      <w:sz w:val="21"/>
                      <w:szCs w:val="21"/>
                      <w:highlight w:val="none"/>
                    </w:rPr>
                  </w:pPr>
                  <w:r>
                    <w:rPr>
                      <w:rFonts w:hint="default" w:cs="Times New Roman"/>
                      <w:color w:val="auto"/>
                      <w:spacing w:val="-6"/>
                      <w:kern w:val="0"/>
                      <w:sz w:val="21"/>
                      <w:szCs w:val="21"/>
                      <w:highlight w:val="none"/>
                    </w:rPr>
                    <w:t>PHS-3E型pH酸度计</w:t>
                  </w:r>
                </w:p>
                <w:p w14:paraId="475971FD">
                  <w:pPr>
                    <w:keepNext w:val="0"/>
                    <w:keepLines w:val="0"/>
                    <w:widowControl/>
                    <w:suppressLineNumbers w:val="0"/>
                    <w:snapToGrid w:val="0"/>
                    <w:spacing w:before="0" w:beforeAutospacing="0" w:after="0" w:afterAutospacing="0"/>
                    <w:ind w:left="0" w:right="0"/>
                    <w:jc w:val="center"/>
                    <w:rPr>
                      <w:rFonts w:hint="default"/>
                      <w:iCs/>
                      <w:color w:val="auto"/>
                      <w:sz w:val="21"/>
                      <w:szCs w:val="21"/>
                      <w:highlight w:val="none"/>
                    </w:rPr>
                  </w:pPr>
                  <w:r>
                    <w:rPr>
                      <w:rFonts w:hint="default"/>
                      <w:color w:val="auto"/>
                      <w:kern w:val="0"/>
                      <w:sz w:val="21"/>
                      <w:szCs w:val="21"/>
                      <w:highlight w:val="none"/>
                    </w:rPr>
                    <w:t>（HFJ-021）</w:t>
                  </w:r>
                </w:p>
              </w:tc>
              <w:tc>
                <w:tcPr>
                  <w:tcW w:w="706" w:type="pct"/>
                  <w:tcBorders>
                    <w:tl2br w:val="nil"/>
                    <w:tr2bl w:val="nil"/>
                  </w:tcBorders>
                  <w:noWrap w:val="0"/>
                  <w:vAlign w:val="center"/>
                </w:tcPr>
                <w:p w14:paraId="003F0ED6">
                  <w:pPr>
                    <w:keepNext w:val="0"/>
                    <w:keepLines w:val="0"/>
                    <w:widowControl/>
                    <w:suppressLineNumbers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w:t>
                  </w:r>
                </w:p>
              </w:tc>
            </w:tr>
            <w:tr w14:paraId="4BC82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04D63E3F">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铜</w:t>
                  </w:r>
                </w:p>
              </w:tc>
              <w:tc>
                <w:tcPr>
                  <w:tcW w:w="1324" w:type="pct"/>
                  <w:vMerge w:val="restart"/>
                  <w:tcBorders>
                    <w:tl2br w:val="nil"/>
                    <w:tr2bl w:val="nil"/>
                  </w:tcBorders>
                  <w:noWrap w:val="0"/>
                  <w:vAlign w:val="center"/>
                </w:tcPr>
                <w:p w14:paraId="162138E1">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土壤和沉积物 铜、锌、铅、镍、铬的测定 火焰原子吸收分光光度法</w:t>
                  </w:r>
                </w:p>
              </w:tc>
              <w:tc>
                <w:tcPr>
                  <w:tcW w:w="934" w:type="pct"/>
                  <w:vMerge w:val="restart"/>
                  <w:tcBorders>
                    <w:tl2br w:val="nil"/>
                    <w:tr2bl w:val="nil"/>
                  </w:tcBorders>
                  <w:noWrap w:val="0"/>
                  <w:vAlign w:val="center"/>
                </w:tcPr>
                <w:p w14:paraId="1FA8EDC2">
                  <w:pPr>
                    <w:pStyle w:val="40"/>
                    <w:keepNext w:val="0"/>
                    <w:keepLines w:val="0"/>
                    <w:suppressLineNumbers w:val="0"/>
                    <w:snapToGrid w:val="0"/>
                    <w:spacing w:before="0" w:beforeAutospacing="0" w:after="0" w:afterAutospacing="0"/>
                    <w:ind w:left="0" w:right="0"/>
                    <w:rPr>
                      <w:rFonts w:hint="default" w:cs="Times New Roman"/>
                      <w:iCs/>
                      <w:color w:val="auto"/>
                      <w:sz w:val="21"/>
                      <w:szCs w:val="21"/>
                      <w:highlight w:val="none"/>
                    </w:rPr>
                  </w:pPr>
                  <w:r>
                    <w:rPr>
                      <w:rFonts w:hint="default" w:cs="Times New Roman"/>
                      <w:iCs/>
                      <w:color w:val="auto"/>
                      <w:sz w:val="21"/>
                      <w:szCs w:val="21"/>
                      <w:highlight w:val="none"/>
                    </w:rPr>
                    <w:t>HJ 491-2019</w:t>
                  </w:r>
                </w:p>
              </w:tc>
              <w:tc>
                <w:tcPr>
                  <w:tcW w:w="1169" w:type="pct"/>
                  <w:vMerge w:val="restart"/>
                  <w:tcBorders>
                    <w:tl2br w:val="nil"/>
                    <w:tr2bl w:val="nil"/>
                  </w:tcBorders>
                  <w:noWrap w:val="0"/>
                  <w:vAlign w:val="center"/>
                </w:tcPr>
                <w:p w14:paraId="7DDF6E71">
                  <w:pPr>
                    <w:keepNext w:val="0"/>
                    <w:keepLines w:val="0"/>
                    <w:widowControl/>
                    <w:suppressLineNumbers w:val="0"/>
                    <w:snapToGrid w:val="0"/>
                    <w:spacing w:before="0" w:beforeAutospacing="0" w:after="0" w:afterAutospacing="0"/>
                    <w:ind w:left="0" w:right="0"/>
                    <w:jc w:val="center"/>
                    <w:rPr>
                      <w:rFonts w:hint="default"/>
                      <w:iCs/>
                      <w:color w:val="auto"/>
                      <w:sz w:val="21"/>
                      <w:szCs w:val="21"/>
                      <w:highlight w:val="none"/>
                    </w:rPr>
                  </w:pPr>
                  <w:r>
                    <w:rPr>
                      <w:rFonts w:hint="default"/>
                      <w:iCs/>
                      <w:color w:val="auto"/>
                      <w:sz w:val="21"/>
                      <w:szCs w:val="21"/>
                      <w:highlight w:val="none"/>
                    </w:rPr>
                    <w:t>AA6820型原子吸收分光光度计</w:t>
                  </w:r>
                </w:p>
                <w:p w14:paraId="7A2AE810">
                  <w:pPr>
                    <w:keepNext w:val="0"/>
                    <w:keepLines w:val="0"/>
                    <w:widowControl/>
                    <w:suppressLineNumbers w:val="0"/>
                    <w:snapToGrid w:val="0"/>
                    <w:spacing w:before="0" w:beforeAutospacing="0" w:after="0" w:afterAutospacing="0"/>
                    <w:ind w:left="0" w:right="0"/>
                    <w:jc w:val="center"/>
                    <w:rPr>
                      <w:rFonts w:hint="default"/>
                      <w:iCs/>
                      <w:color w:val="auto"/>
                      <w:sz w:val="21"/>
                      <w:szCs w:val="21"/>
                      <w:highlight w:val="none"/>
                    </w:rPr>
                  </w:pPr>
                  <w:r>
                    <w:rPr>
                      <w:rFonts w:hint="default"/>
                      <w:color w:val="auto"/>
                      <w:kern w:val="0"/>
                      <w:sz w:val="21"/>
                      <w:szCs w:val="21"/>
                      <w:highlight w:val="none"/>
                    </w:rPr>
                    <w:t>（HFJ-001）</w:t>
                  </w:r>
                </w:p>
              </w:tc>
              <w:tc>
                <w:tcPr>
                  <w:tcW w:w="706" w:type="pct"/>
                  <w:tcBorders>
                    <w:tl2br w:val="nil"/>
                    <w:tr2bl w:val="nil"/>
                  </w:tcBorders>
                  <w:noWrap w:val="0"/>
                  <w:vAlign w:val="center"/>
                </w:tcPr>
                <w:p w14:paraId="690144AC">
                  <w:pPr>
                    <w:keepNext w:val="0"/>
                    <w:keepLines w:val="0"/>
                    <w:widowControl/>
                    <w:suppressLineNumbers w:val="0"/>
                    <w:snapToGrid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1mg/kg</w:t>
                  </w:r>
                </w:p>
              </w:tc>
            </w:tr>
            <w:tr w14:paraId="43762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0A988473">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锌</w:t>
                  </w:r>
                </w:p>
              </w:tc>
              <w:tc>
                <w:tcPr>
                  <w:tcW w:w="1324" w:type="pct"/>
                  <w:vMerge w:val="continue"/>
                  <w:tcBorders>
                    <w:tl2br w:val="nil"/>
                    <w:tr2bl w:val="nil"/>
                  </w:tcBorders>
                  <w:noWrap w:val="0"/>
                  <w:vAlign w:val="center"/>
                </w:tcPr>
                <w:p w14:paraId="42903ECF">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934" w:type="pct"/>
                  <w:vMerge w:val="continue"/>
                  <w:tcBorders>
                    <w:tl2br w:val="nil"/>
                    <w:tr2bl w:val="nil"/>
                  </w:tcBorders>
                  <w:noWrap w:val="0"/>
                  <w:vAlign w:val="center"/>
                </w:tcPr>
                <w:p w14:paraId="56B1F799">
                  <w:pPr>
                    <w:pStyle w:val="40"/>
                    <w:keepNext w:val="0"/>
                    <w:keepLines w:val="0"/>
                    <w:suppressLineNumbers w:val="0"/>
                    <w:snapToGrid w:val="0"/>
                    <w:spacing w:before="0" w:beforeAutospacing="0" w:after="0" w:afterAutospacing="0"/>
                    <w:ind w:left="0" w:right="0"/>
                    <w:rPr>
                      <w:rFonts w:hint="default" w:cs="Times New Roman"/>
                      <w:iCs/>
                      <w:color w:val="auto"/>
                      <w:sz w:val="21"/>
                      <w:szCs w:val="21"/>
                      <w:highlight w:val="none"/>
                    </w:rPr>
                  </w:pPr>
                </w:p>
              </w:tc>
              <w:tc>
                <w:tcPr>
                  <w:tcW w:w="1169" w:type="pct"/>
                  <w:vMerge w:val="continue"/>
                  <w:tcBorders>
                    <w:tl2br w:val="nil"/>
                    <w:tr2bl w:val="nil"/>
                  </w:tcBorders>
                  <w:noWrap w:val="0"/>
                  <w:vAlign w:val="center"/>
                </w:tcPr>
                <w:p w14:paraId="72BE7F86">
                  <w:pPr>
                    <w:keepNext w:val="0"/>
                    <w:keepLines w:val="0"/>
                    <w:widowControl/>
                    <w:suppressLineNumbers w:val="0"/>
                    <w:snapToGrid w:val="0"/>
                    <w:spacing w:before="0" w:beforeAutospacing="0" w:after="0" w:afterAutospacing="0"/>
                    <w:ind w:left="0" w:right="0"/>
                    <w:jc w:val="center"/>
                    <w:rPr>
                      <w:rFonts w:hint="default"/>
                      <w:iCs/>
                      <w:color w:val="auto"/>
                      <w:sz w:val="21"/>
                      <w:szCs w:val="21"/>
                      <w:highlight w:val="none"/>
                    </w:rPr>
                  </w:pPr>
                </w:p>
              </w:tc>
              <w:tc>
                <w:tcPr>
                  <w:tcW w:w="706" w:type="pct"/>
                  <w:tcBorders>
                    <w:tl2br w:val="nil"/>
                    <w:tr2bl w:val="nil"/>
                  </w:tcBorders>
                  <w:noWrap w:val="0"/>
                  <w:vAlign w:val="center"/>
                </w:tcPr>
                <w:p w14:paraId="4920495B">
                  <w:pPr>
                    <w:keepNext w:val="0"/>
                    <w:keepLines w:val="0"/>
                    <w:widowControl/>
                    <w:suppressLineNumbers w:val="0"/>
                    <w:snapToGrid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1mg/kg</w:t>
                  </w:r>
                </w:p>
              </w:tc>
            </w:tr>
            <w:tr w14:paraId="4BD41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435C7857">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铅</w:t>
                  </w:r>
                </w:p>
              </w:tc>
              <w:tc>
                <w:tcPr>
                  <w:tcW w:w="1324" w:type="pct"/>
                  <w:vMerge w:val="continue"/>
                  <w:tcBorders>
                    <w:tl2br w:val="nil"/>
                    <w:tr2bl w:val="nil"/>
                  </w:tcBorders>
                  <w:noWrap w:val="0"/>
                  <w:vAlign w:val="center"/>
                </w:tcPr>
                <w:p w14:paraId="74B57783">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934" w:type="pct"/>
                  <w:vMerge w:val="continue"/>
                  <w:tcBorders>
                    <w:tl2br w:val="nil"/>
                    <w:tr2bl w:val="nil"/>
                  </w:tcBorders>
                  <w:noWrap w:val="0"/>
                  <w:vAlign w:val="center"/>
                </w:tcPr>
                <w:p w14:paraId="6222CD9C">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05DC0D3C">
                  <w:pPr>
                    <w:keepNext w:val="0"/>
                    <w:keepLines w:val="0"/>
                    <w:widowControl/>
                    <w:suppressLineNumbers w:val="0"/>
                    <w:snapToGrid w:val="0"/>
                    <w:spacing w:before="0" w:beforeAutospacing="0" w:after="0" w:afterAutospacing="0"/>
                    <w:ind w:left="315" w:right="0" w:hanging="315"/>
                    <w:jc w:val="center"/>
                    <w:rPr>
                      <w:rFonts w:hint="default"/>
                      <w:color w:val="auto"/>
                      <w:kern w:val="0"/>
                      <w:sz w:val="21"/>
                      <w:szCs w:val="21"/>
                      <w:highlight w:val="none"/>
                    </w:rPr>
                  </w:pPr>
                </w:p>
              </w:tc>
              <w:tc>
                <w:tcPr>
                  <w:tcW w:w="706" w:type="pct"/>
                  <w:tcBorders>
                    <w:tl2br w:val="nil"/>
                    <w:tr2bl w:val="nil"/>
                  </w:tcBorders>
                  <w:noWrap w:val="0"/>
                  <w:vAlign w:val="center"/>
                </w:tcPr>
                <w:p w14:paraId="4714B763">
                  <w:pPr>
                    <w:keepNext w:val="0"/>
                    <w:keepLines w:val="0"/>
                    <w:widowControl/>
                    <w:suppressLineNumbers w:val="0"/>
                    <w:snapToGrid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10mg/kg</w:t>
                  </w:r>
                </w:p>
              </w:tc>
            </w:tr>
            <w:tr w14:paraId="49CA6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41C308E4">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镍</w:t>
                  </w:r>
                </w:p>
              </w:tc>
              <w:tc>
                <w:tcPr>
                  <w:tcW w:w="1324" w:type="pct"/>
                  <w:vMerge w:val="continue"/>
                  <w:tcBorders>
                    <w:tl2br w:val="nil"/>
                    <w:tr2bl w:val="nil"/>
                  </w:tcBorders>
                  <w:noWrap w:val="0"/>
                  <w:vAlign w:val="center"/>
                </w:tcPr>
                <w:p w14:paraId="5AE0D38B">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934" w:type="pct"/>
                  <w:vMerge w:val="continue"/>
                  <w:tcBorders>
                    <w:tl2br w:val="nil"/>
                    <w:tr2bl w:val="nil"/>
                  </w:tcBorders>
                  <w:noWrap w:val="0"/>
                  <w:vAlign w:val="center"/>
                </w:tcPr>
                <w:p w14:paraId="3583351A">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4BD485DD">
                  <w:pPr>
                    <w:keepNext w:val="0"/>
                    <w:keepLines w:val="0"/>
                    <w:widowControl/>
                    <w:suppressLineNumbers w:val="0"/>
                    <w:snapToGrid w:val="0"/>
                    <w:spacing w:before="0" w:beforeAutospacing="0" w:after="0" w:afterAutospacing="0"/>
                    <w:ind w:left="315" w:right="0" w:hanging="315"/>
                    <w:jc w:val="center"/>
                    <w:rPr>
                      <w:rFonts w:hint="default"/>
                      <w:color w:val="auto"/>
                      <w:kern w:val="0"/>
                      <w:sz w:val="21"/>
                      <w:szCs w:val="21"/>
                      <w:highlight w:val="none"/>
                    </w:rPr>
                  </w:pPr>
                </w:p>
              </w:tc>
              <w:tc>
                <w:tcPr>
                  <w:tcW w:w="706" w:type="pct"/>
                  <w:tcBorders>
                    <w:tl2br w:val="nil"/>
                    <w:tr2bl w:val="nil"/>
                  </w:tcBorders>
                  <w:noWrap w:val="0"/>
                  <w:vAlign w:val="center"/>
                </w:tcPr>
                <w:p w14:paraId="193BA3EA">
                  <w:pPr>
                    <w:keepNext w:val="0"/>
                    <w:keepLines w:val="0"/>
                    <w:widowControl/>
                    <w:suppressLineNumbers w:val="0"/>
                    <w:snapToGrid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3mg/kg</w:t>
                  </w:r>
                </w:p>
              </w:tc>
            </w:tr>
            <w:tr w14:paraId="3E8C0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416AF7EB">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铬</w:t>
                  </w:r>
                </w:p>
              </w:tc>
              <w:tc>
                <w:tcPr>
                  <w:tcW w:w="1324" w:type="pct"/>
                  <w:vMerge w:val="continue"/>
                  <w:tcBorders>
                    <w:tl2br w:val="nil"/>
                    <w:tr2bl w:val="nil"/>
                  </w:tcBorders>
                  <w:noWrap w:val="0"/>
                  <w:vAlign w:val="center"/>
                </w:tcPr>
                <w:p w14:paraId="25756298">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934" w:type="pct"/>
                  <w:vMerge w:val="continue"/>
                  <w:tcBorders>
                    <w:tl2br w:val="nil"/>
                    <w:tr2bl w:val="nil"/>
                  </w:tcBorders>
                  <w:noWrap w:val="0"/>
                  <w:vAlign w:val="center"/>
                </w:tcPr>
                <w:p w14:paraId="3DA414E6">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33ACD16C">
                  <w:pPr>
                    <w:keepNext w:val="0"/>
                    <w:keepLines w:val="0"/>
                    <w:widowControl/>
                    <w:suppressLineNumbers w:val="0"/>
                    <w:snapToGrid w:val="0"/>
                    <w:spacing w:before="0" w:beforeAutospacing="0" w:after="0" w:afterAutospacing="0"/>
                    <w:ind w:left="315" w:right="0" w:hanging="315"/>
                    <w:jc w:val="center"/>
                    <w:rPr>
                      <w:rFonts w:hint="default"/>
                      <w:color w:val="auto"/>
                      <w:kern w:val="0"/>
                      <w:sz w:val="21"/>
                      <w:szCs w:val="21"/>
                      <w:highlight w:val="none"/>
                    </w:rPr>
                  </w:pPr>
                </w:p>
              </w:tc>
              <w:tc>
                <w:tcPr>
                  <w:tcW w:w="706" w:type="pct"/>
                  <w:tcBorders>
                    <w:tl2br w:val="nil"/>
                    <w:tr2bl w:val="nil"/>
                  </w:tcBorders>
                  <w:noWrap w:val="0"/>
                  <w:vAlign w:val="center"/>
                </w:tcPr>
                <w:p w14:paraId="5EF485A3">
                  <w:pPr>
                    <w:keepNext w:val="0"/>
                    <w:keepLines w:val="0"/>
                    <w:widowControl/>
                    <w:suppressLineNumbers w:val="0"/>
                    <w:snapToGrid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4mg/kg</w:t>
                  </w:r>
                </w:p>
              </w:tc>
            </w:tr>
            <w:tr w14:paraId="5848D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4461B2D8">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六价铬</w:t>
                  </w:r>
                </w:p>
              </w:tc>
              <w:tc>
                <w:tcPr>
                  <w:tcW w:w="1324" w:type="pct"/>
                  <w:tcBorders>
                    <w:tl2br w:val="nil"/>
                    <w:tr2bl w:val="nil"/>
                  </w:tcBorders>
                  <w:noWrap w:val="0"/>
                  <w:vAlign w:val="center"/>
                </w:tcPr>
                <w:p w14:paraId="0CB05E8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土壤和沉积物 六价铬的测定 碱溶液提取-火焰原子吸收分光光度法</w:t>
                  </w:r>
                </w:p>
              </w:tc>
              <w:tc>
                <w:tcPr>
                  <w:tcW w:w="934" w:type="pct"/>
                  <w:tcBorders>
                    <w:tl2br w:val="nil"/>
                    <w:tr2bl w:val="nil"/>
                  </w:tcBorders>
                  <w:noWrap w:val="0"/>
                  <w:vAlign w:val="center"/>
                </w:tcPr>
                <w:p w14:paraId="31B5E14F">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r>
                    <w:rPr>
                      <w:rFonts w:hint="default" w:cs="Times New Roman"/>
                      <w:color w:val="auto"/>
                      <w:kern w:val="0"/>
                      <w:sz w:val="21"/>
                      <w:szCs w:val="21"/>
                      <w:highlight w:val="none"/>
                    </w:rPr>
                    <w:t>HJ 1082-2019</w:t>
                  </w:r>
                </w:p>
              </w:tc>
              <w:tc>
                <w:tcPr>
                  <w:tcW w:w="1169" w:type="pct"/>
                  <w:vMerge w:val="continue"/>
                  <w:tcBorders>
                    <w:tl2br w:val="nil"/>
                    <w:tr2bl w:val="nil"/>
                  </w:tcBorders>
                  <w:noWrap w:val="0"/>
                  <w:vAlign w:val="center"/>
                </w:tcPr>
                <w:p w14:paraId="07706267">
                  <w:pPr>
                    <w:keepNext w:val="0"/>
                    <w:keepLines w:val="0"/>
                    <w:widowControl/>
                    <w:suppressLineNumbers w:val="0"/>
                    <w:snapToGrid w:val="0"/>
                    <w:spacing w:before="0" w:beforeAutospacing="0" w:after="0" w:afterAutospacing="0"/>
                    <w:ind w:left="0" w:right="0"/>
                    <w:jc w:val="center"/>
                    <w:rPr>
                      <w:rFonts w:hint="default"/>
                      <w:color w:val="auto"/>
                      <w:kern w:val="0"/>
                      <w:sz w:val="21"/>
                      <w:szCs w:val="21"/>
                      <w:highlight w:val="none"/>
                    </w:rPr>
                  </w:pPr>
                </w:p>
              </w:tc>
              <w:tc>
                <w:tcPr>
                  <w:tcW w:w="706" w:type="pct"/>
                  <w:tcBorders>
                    <w:tl2br w:val="nil"/>
                    <w:tr2bl w:val="nil"/>
                  </w:tcBorders>
                  <w:noWrap w:val="0"/>
                  <w:vAlign w:val="center"/>
                </w:tcPr>
                <w:p w14:paraId="5F08AED8">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0.5mg/kg</w:t>
                  </w:r>
                </w:p>
              </w:tc>
            </w:tr>
            <w:tr w14:paraId="0DDFE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31A80020">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镉</w:t>
                  </w:r>
                </w:p>
              </w:tc>
              <w:tc>
                <w:tcPr>
                  <w:tcW w:w="1324" w:type="pct"/>
                  <w:tcBorders>
                    <w:tl2br w:val="nil"/>
                    <w:tr2bl w:val="nil"/>
                  </w:tcBorders>
                  <w:noWrap w:val="0"/>
                  <w:vAlign w:val="center"/>
                </w:tcPr>
                <w:p w14:paraId="445B7A83">
                  <w:pPr>
                    <w:keepNext w:val="0"/>
                    <w:keepLines w:val="0"/>
                    <w:suppressLineNumbers w:val="0"/>
                    <w:autoSpaceDE w:val="0"/>
                    <w:autoSpaceDN w:val="0"/>
                    <w:adjustRightInd w:val="0"/>
                    <w:spacing w:before="0" w:beforeAutospacing="0" w:after="0" w:afterAutospacing="0"/>
                    <w:ind w:left="0" w:right="0"/>
                    <w:jc w:val="center"/>
                    <w:textAlignment w:val="center"/>
                    <w:rPr>
                      <w:rFonts w:hint="default"/>
                      <w:color w:val="auto"/>
                      <w:sz w:val="21"/>
                      <w:szCs w:val="21"/>
                      <w:highlight w:val="none"/>
                    </w:rPr>
                  </w:pPr>
                  <w:r>
                    <w:rPr>
                      <w:rFonts w:hint="default"/>
                      <w:color w:val="auto"/>
                      <w:sz w:val="21"/>
                      <w:szCs w:val="21"/>
                      <w:highlight w:val="none"/>
                    </w:rPr>
                    <w:t>土壤质量 铅、镉的测定 石墨炉原子吸收分光光度法</w:t>
                  </w:r>
                </w:p>
              </w:tc>
              <w:tc>
                <w:tcPr>
                  <w:tcW w:w="934" w:type="pct"/>
                  <w:tcBorders>
                    <w:tl2br w:val="nil"/>
                    <w:tr2bl w:val="nil"/>
                  </w:tcBorders>
                  <w:noWrap w:val="0"/>
                  <w:vAlign w:val="center"/>
                </w:tcPr>
                <w:p w14:paraId="58F1633E">
                  <w:pPr>
                    <w:keepNext w:val="0"/>
                    <w:keepLines w:val="0"/>
                    <w:suppressLineNumbers w:val="0"/>
                    <w:autoSpaceDE w:val="0"/>
                    <w:autoSpaceDN w:val="0"/>
                    <w:adjustRightInd w:val="0"/>
                    <w:spacing w:before="0" w:beforeAutospacing="0" w:after="0" w:afterAutospacing="0"/>
                    <w:ind w:left="0" w:right="0"/>
                    <w:jc w:val="center"/>
                    <w:textAlignment w:val="center"/>
                    <w:rPr>
                      <w:rFonts w:hint="default"/>
                      <w:iCs/>
                      <w:color w:val="auto"/>
                      <w:sz w:val="21"/>
                      <w:szCs w:val="21"/>
                      <w:highlight w:val="none"/>
                    </w:rPr>
                  </w:pPr>
                  <w:r>
                    <w:rPr>
                      <w:rFonts w:hint="default"/>
                      <w:iCs/>
                      <w:color w:val="auto"/>
                      <w:sz w:val="21"/>
                      <w:szCs w:val="21"/>
                      <w:highlight w:val="none"/>
                    </w:rPr>
                    <w:t>GB/T 17141-1997</w:t>
                  </w:r>
                </w:p>
              </w:tc>
              <w:tc>
                <w:tcPr>
                  <w:tcW w:w="1169" w:type="pct"/>
                  <w:tcBorders>
                    <w:tl2br w:val="nil"/>
                    <w:tr2bl w:val="nil"/>
                  </w:tcBorders>
                  <w:noWrap w:val="0"/>
                  <w:vAlign w:val="center"/>
                </w:tcPr>
                <w:p w14:paraId="36210A65">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PE600G型石墨炉原子吸收分光</w:t>
                  </w:r>
                </w:p>
                <w:p w14:paraId="73A21AC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光度计</w:t>
                  </w:r>
                </w:p>
                <w:p w14:paraId="3E44D8A9">
                  <w:pPr>
                    <w:keepNext w:val="0"/>
                    <w:keepLines w:val="0"/>
                    <w:suppressLineNumbers w:val="0"/>
                    <w:tabs>
                      <w:tab w:val="left" w:pos="0"/>
                    </w:tabs>
                    <w:autoSpaceDN w:val="0"/>
                    <w:spacing w:before="0" w:beforeAutospacing="0" w:after="0" w:afterAutospacing="0"/>
                    <w:ind w:left="0" w:right="-103" w:rightChars="-43"/>
                    <w:jc w:val="center"/>
                    <w:textAlignment w:val="center"/>
                    <w:rPr>
                      <w:rFonts w:hint="default"/>
                      <w:iCs/>
                      <w:color w:val="auto"/>
                      <w:sz w:val="21"/>
                      <w:szCs w:val="21"/>
                      <w:highlight w:val="none"/>
                    </w:rPr>
                  </w:pPr>
                  <w:r>
                    <w:rPr>
                      <w:rFonts w:hint="default"/>
                      <w:color w:val="auto"/>
                      <w:sz w:val="21"/>
                      <w:szCs w:val="21"/>
                      <w:highlight w:val="none"/>
                    </w:rPr>
                    <w:t>（HFJ-047）</w:t>
                  </w:r>
                </w:p>
              </w:tc>
              <w:tc>
                <w:tcPr>
                  <w:tcW w:w="706" w:type="pct"/>
                  <w:tcBorders>
                    <w:tl2br w:val="nil"/>
                    <w:tr2bl w:val="nil"/>
                  </w:tcBorders>
                  <w:noWrap w:val="0"/>
                  <w:vAlign w:val="center"/>
                </w:tcPr>
                <w:p w14:paraId="2F8CAD95">
                  <w:pPr>
                    <w:keepNext w:val="0"/>
                    <w:keepLines w:val="0"/>
                    <w:suppressLineNumbers w:val="0"/>
                    <w:autoSpaceDE w:val="0"/>
                    <w:autoSpaceDN w:val="0"/>
                    <w:adjustRightInd w:val="0"/>
                    <w:spacing w:before="0" w:beforeAutospacing="0" w:after="0" w:afterAutospacing="0"/>
                    <w:ind w:left="0" w:right="0"/>
                    <w:jc w:val="center"/>
                    <w:textAlignment w:val="center"/>
                    <w:rPr>
                      <w:rFonts w:hint="default"/>
                      <w:iCs/>
                      <w:color w:val="auto"/>
                      <w:sz w:val="21"/>
                      <w:szCs w:val="21"/>
                      <w:highlight w:val="none"/>
                    </w:rPr>
                  </w:pPr>
                  <w:r>
                    <w:rPr>
                      <w:rFonts w:hint="default"/>
                      <w:iCs/>
                      <w:color w:val="auto"/>
                      <w:sz w:val="21"/>
                      <w:szCs w:val="21"/>
                      <w:highlight w:val="none"/>
                    </w:rPr>
                    <w:t>0.01mg/kg</w:t>
                  </w:r>
                </w:p>
              </w:tc>
            </w:tr>
            <w:tr w14:paraId="31482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36A47ABB">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砷</w:t>
                  </w:r>
                </w:p>
              </w:tc>
              <w:tc>
                <w:tcPr>
                  <w:tcW w:w="1324" w:type="pct"/>
                  <w:vMerge w:val="restart"/>
                  <w:tcBorders>
                    <w:tl2br w:val="nil"/>
                    <w:tr2bl w:val="nil"/>
                  </w:tcBorders>
                  <w:noWrap w:val="0"/>
                  <w:vAlign w:val="center"/>
                </w:tcPr>
                <w:p w14:paraId="651692E4">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土壤和沉积物 汞、砷、硒、铋、锑的测定 微波消解/原子荧光法</w:t>
                  </w:r>
                </w:p>
              </w:tc>
              <w:tc>
                <w:tcPr>
                  <w:tcW w:w="934" w:type="pct"/>
                  <w:vMerge w:val="restart"/>
                  <w:tcBorders>
                    <w:tl2br w:val="nil"/>
                    <w:tr2bl w:val="nil"/>
                  </w:tcBorders>
                  <w:noWrap w:val="0"/>
                  <w:vAlign w:val="center"/>
                </w:tcPr>
                <w:p w14:paraId="62E49C92">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HJ 680-2013</w:t>
                  </w:r>
                </w:p>
              </w:tc>
              <w:tc>
                <w:tcPr>
                  <w:tcW w:w="1169" w:type="pct"/>
                  <w:vMerge w:val="restart"/>
                  <w:tcBorders>
                    <w:tl2br w:val="nil"/>
                    <w:tr2bl w:val="nil"/>
                  </w:tcBorders>
                  <w:noWrap w:val="0"/>
                  <w:vAlign w:val="center"/>
                </w:tcPr>
                <w:p w14:paraId="4CB5A277">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AFS-8500型原子</w:t>
                  </w:r>
                </w:p>
                <w:p w14:paraId="7A21A85F">
                  <w:pPr>
                    <w:keepNext w:val="0"/>
                    <w:keepLines w:val="0"/>
                    <w:suppressLineNumbers w:val="0"/>
                    <w:spacing w:before="0" w:beforeAutospacing="0" w:after="0" w:afterAutospacing="0"/>
                    <w:ind w:left="0" w:right="0"/>
                    <w:jc w:val="center"/>
                    <w:rPr>
                      <w:rFonts w:hint="default"/>
                      <w:snapToGrid w:val="0"/>
                      <w:color w:val="auto"/>
                      <w:kern w:val="0"/>
                      <w:sz w:val="21"/>
                      <w:szCs w:val="21"/>
                      <w:highlight w:val="none"/>
                    </w:rPr>
                  </w:pPr>
                  <w:r>
                    <w:rPr>
                      <w:rFonts w:hint="default"/>
                      <w:snapToGrid w:val="0"/>
                      <w:color w:val="auto"/>
                      <w:kern w:val="0"/>
                      <w:sz w:val="21"/>
                      <w:szCs w:val="21"/>
                      <w:highlight w:val="none"/>
                    </w:rPr>
                    <w:t>荧光光度计</w:t>
                  </w:r>
                </w:p>
                <w:p w14:paraId="7AD6436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snapToGrid w:val="0"/>
                      <w:color w:val="auto"/>
                      <w:kern w:val="0"/>
                      <w:sz w:val="21"/>
                      <w:szCs w:val="21"/>
                      <w:highlight w:val="none"/>
                    </w:rPr>
                    <w:t>（</w:t>
                  </w:r>
                  <w:r>
                    <w:rPr>
                      <w:rFonts w:hint="default"/>
                      <w:color w:val="auto"/>
                      <w:sz w:val="21"/>
                      <w:szCs w:val="21"/>
                      <w:highlight w:val="none"/>
                    </w:rPr>
                    <w:t>HFJ-095）</w:t>
                  </w:r>
                </w:p>
              </w:tc>
              <w:tc>
                <w:tcPr>
                  <w:tcW w:w="706" w:type="pct"/>
                  <w:tcBorders>
                    <w:tl2br w:val="nil"/>
                    <w:tr2bl w:val="nil"/>
                  </w:tcBorders>
                  <w:noWrap w:val="0"/>
                  <w:vAlign w:val="center"/>
                </w:tcPr>
                <w:p w14:paraId="7CC6E962">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iCs/>
                      <w:color w:val="auto"/>
                      <w:sz w:val="21"/>
                      <w:szCs w:val="21"/>
                      <w:highlight w:val="none"/>
                    </w:rPr>
                    <w:t>0.01mg/kg</w:t>
                  </w:r>
                </w:p>
              </w:tc>
            </w:tr>
            <w:tr w14:paraId="7DBE5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3F86B8E1">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汞</w:t>
                  </w:r>
                </w:p>
              </w:tc>
              <w:tc>
                <w:tcPr>
                  <w:tcW w:w="1324" w:type="pct"/>
                  <w:vMerge w:val="continue"/>
                  <w:tcBorders>
                    <w:tl2br w:val="nil"/>
                    <w:tr2bl w:val="nil"/>
                  </w:tcBorders>
                  <w:noWrap w:val="0"/>
                  <w:vAlign w:val="center"/>
                </w:tcPr>
                <w:p w14:paraId="12F905E0">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934" w:type="pct"/>
                  <w:vMerge w:val="continue"/>
                  <w:tcBorders>
                    <w:tl2br w:val="nil"/>
                    <w:tr2bl w:val="nil"/>
                  </w:tcBorders>
                  <w:noWrap w:val="0"/>
                  <w:vAlign w:val="center"/>
                </w:tcPr>
                <w:p w14:paraId="339881D5">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13DB9D90">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3F2485AE">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0.002mg/kg</w:t>
                  </w:r>
                </w:p>
              </w:tc>
            </w:tr>
            <w:tr w14:paraId="2F7FF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761603CA">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r>
                    <w:rPr>
                      <w:rFonts w:hint="default" w:cs="Times New Roman"/>
                      <w:color w:val="auto"/>
                      <w:sz w:val="21"/>
                      <w:szCs w:val="21"/>
                      <w:highlight w:val="none"/>
                    </w:rPr>
                    <w:t>四氯化碳</w:t>
                  </w:r>
                </w:p>
              </w:tc>
              <w:tc>
                <w:tcPr>
                  <w:tcW w:w="1324" w:type="pct"/>
                  <w:vMerge w:val="restart"/>
                  <w:tcBorders>
                    <w:tl2br w:val="nil"/>
                    <w:tr2bl w:val="nil"/>
                  </w:tcBorders>
                  <w:noWrap w:val="0"/>
                  <w:vAlign w:val="center"/>
                </w:tcPr>
                <w:p w14:paraId="4293120E">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土壤和沉积物 挥发性有机物的测定 顶空/气相色谱法</w:t>
                  </w:r>
                </w:p>
              </w:tc>
              <w:tc>
                <w:tcPr>
                  <w:tcW w:w="934" w:type="pct"/>
                  <w:vMerge w:val="restart"/>
                  <w:tcBorders>
                    <w:tl2br w:val="nil"/>
                    <w:tr2bl w:val="nil"/>
                  </w:tcBorders>
                  <w:noWrap w:val="0"/>
                  <w:vAlign w:val="center"/>
                </w:tcPr>
                <w:p w14:paraId="281948C6">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HJ 741-2015</w:t>
                  </w:r>
                </w:p>
              </w:tc>
              <w:tc>
                <w:tcPr>
                  <w:tcW w:w="1169" w:type="pct"/>
                  <w:vMerge w:val="restart"/>
                  <w:tcBorders>
                    <w:tl2br w:val="nil"/>
                    <w:tr2bl w:val="nil"/>
                  </w:tcBorders>
                  <w:noWrap w:val="0"/>
                  <w:vAlign w:val="center"/>
                </w:tcPr>
                <w:p w14:paraId="6DBF7418">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Agilent 6890N型气相色谱仪</w:t>
                  </w:r>
                </w:p>
                <w:p w14:paraId="42182473">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(HFJ-056</w:t>
                  </w:r>
                  <w:r>
                    <w:rPr>
                      <w:rFonts w:hint="default" w:cs="Times New Roman"/>
                      <w:color w:val="auto"/>
                      <w:sz w:val="21"/>
                      <w:szCs w:val="21"/>
                      <w:highlight w:val="none"/>
                    </w:rPr>
                    <w:t>)</w:t>
                  </w:r>
                </w:p>
              </w:tc>
              <w:tc>
                <w:tcPr>
                  <w:tcW w:w="706" w:type="pct"/>
                  <w:tcBorders>
                    <w:tl2br w:val="nil"/>
                    <w:tr2bl w:val="nil"/>
                  </w:tcBorders>
                  <w:noWrap w:val="0"/>
                  <w:vAlign w:val="center"/>
                </w:tcPr>
                <w:p w14:paraId="39513014">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0.03mg/kg</w:t>
                  </w:r>
                </w:p>
              </w:tc>
            </w:tr>
            <w:tr w14:paraId="55A01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1FCF61AC">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氯仿</w:t>
                  </w:r>
                </w:p>
              </w:tc>
              <w:tc>
                <w:tcPr>
                  <w:tcW w:w="1324" w:type="pct"/>
                  <w:vMerge w:val="continue"/>
                  <w:tcBorders>
                    <w:tl2br w:val="nil"/>
                    <w:tr2bl w:val="nil"/>
                  </w:tcBorders>
                  <w:noWrap w:val="0"/>
                  <w:vAlign w:val="center"/>
                </w:tcPr>
                <w:p w14:paraId="523F572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1861179B">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4867331F">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143F98EA">
                  <w:pPr>
                    <w:keepNext w:val="0"/>
                    <w:keepLines w:val="0"/>
                    <w:widowControl/>
                    <w:suppressLineNumbers w:val="0"/>
                    <w:snapToGrid w:val="0"/>
                    <w:spacing w:before="0" w:beforeAutospacing="0" w:after="0" w:afterAutospacing="0"/>
                    <w:ind w:left="315" w:right="0" w:hanging="315"/>
                    <w:jc w:val="center"/>
                    <w:rPr>
                      <w:rFonts w:hint="default"/>
                      <w:color w:val="auto"/>
                      <w:kern w:val="0"/>
                      <w:sz w:val="21"/>
                      <w:szCs w:val="21"/>
                      <w:highlight w:val="none"/>
                    </w:rPr>
                  </w:pPr>
                  <w:r>
                    <w:rPr>
                      <w:rFonts w:hint="default"/>
                      <w:color w:val="auto"/>
                      <w:kern w:val="0"/>
                      <w:sz w:val="21"/>
                      <w:szCs w:val="21"/>
                      <w:highlight w:val="none"/>
                    </w:rPr>
                    <w:t>0.02mg/kg</w:t>
                  </w:r>
                </w:p>
              </w:tc>
            </w:tr>
            <w:tr w14:paraId="3BE3C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251F0090">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1,1-二氯乙烷</w:t>
                  </w:r>
                </w:p>
              </w:tc>
              <w:tc>
                <w:tcPr>
                  <w:tcW w:w="1324" w:type="pct"/>
                  <w:vMerge w:val="restart"/>
                  <w:tcBorders>
                    <w:tl2br w:val="nil"/>
                    <w:tr2bl w:val="nil"/>
                  </w:tcBorders>
                  <w:noWrap w:val="0"/>
                  <w:vAlign w:val="center"/>
                </w:tcPr>
                <w:p w14:paraId="0B59D171">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土壤和沉积物 挥发性有机物的测定 顶空/气相色谱法</w:t>
                  </w:r>
                </w:p>
              </w:tc>
              <w:tc>
                <w:tcPr>
                  <w:tcW w:w="934" w:type="pct"/>
                  <w:vMerge w:val="restart"/>
                  <w:tcBorders>
                    <w:tl2br w:val="nil"/>
                    <w:tr2bl w:val="nil"/>
                  </w:tcBorders>
                  <w:noWrap w:val="0"/>
                  <w:vAlign w:val="center"/>
                </w:tcPr>
                <w:p w14:paraId="5887C9A0">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HJ 741-2015</w:t>
                  </w:r>
                </w:p>
              </w:tc>
              <w:tc>
                <w:tcPr>
                  <w:tcW w:w="1169" w:type="pct"/>
                  <w:vMerge w:val="restart"/>
                  <w:tcBorders>
                    <w:tl2br w:val="nil"/>
                    <w:tr2bl w:val="nil"/>
                  </w:tcBorders>
                  <w:noWrap w:val="0"/>
                  <w:vAlign w:val="center"/>
                </w:tcPr>
                <w:p w14:paraId="1151A5E0">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Agilent 6890N型气相色谱仪</w:t>
                  </w:r>
                </w:p>
                <w:p w14:paraId="2351FBC5">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(HFJ-056</w:t>
                  </w:r>
                  <w:r>
                    <w:rPr>
                      <w:rFonts w:hint="default" w:cs="Times New Roman"/>
                      <w:color w:val="auto"/>
                      <w:sz w:val="21"/>
                      <w:szCs w:val="21"/>
                      <w:highlight w:val="none"/>
                    </w:rPr>
                    <w:t>)</w:t>
                  </w:r>
                </w:p>
              </w:tc>
              <w:tc>
                <w:tcPr>
                  <w:tcW w:w="706" w:type="pct"/>
                  <w:tcBorders>
                    <w:tl2br w:val="nil"/>
                    <w:tr2bl w:val="nil"/>
                  </w:tcBorders>
                  <w:noWrap w:val="0"/>
                  <w:vAlign w:val="center"/>
                </w:tcPr>
                <w:p w14:paraId="6C7E19C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0.02mg/kg</w:t>
                  </w:r>
                </w:p>
              </w:tc>
            </w:tr>
            <w:tr w14:paraId="0BDC2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79CFB6D7">
                  <w:pPr>
                    <w:keepNext w:val="0"/>
                    <w:keepLines w:val="0"/>
                    <w:suppressLineNumbers w:val="0"/>
                    <w:autoSpaceDE w:val="0"/>
                    <w:autoSpaceDN w:val="0"/>
                    <w:adjustRightInd w:val="0"/>
                    <w:spacing w:before="0" w:beforeAutospacing="0" w:after="0" w:afterAutospacing="0"/>
                    <w:ind w:left="0" w:right="0"/>
                    <w:jc w:val="center"/>
                    <w:rPr>
                      <w:rFonts w:hint="default"/>
                      <w:color w:val="auto"/>
                      <w:spacing w:val="-4"/>
                      <w:sz w:val="21"/>
                      <w:szCs w:val="21"/>
                      <w:highlight w:val="none"/>
                    </w:rPr>
                  </w:pPr>
                  <w:r>
                    <w:rPr>
                      <w:rFonts w:hint="default"/>
                      <w:color w:val="auto"/>
                      <w:spacing w:val="-4"/>
                      <w:sz w:val="21"/>
                      <w:szCs w:val="21"/>
                      <w:highlight w:val="none"/>
                    </w:rPr>
                    <w:t>1,2-二氯乙烷，苯</w:t>
                  </w:r>
                </w:p>
              </w:tc>
              <w:tc>
                <w:tcPr>
                  <w:tcW w:w="1324" w:type="pct"/>
                  <w:vMerge w:val="continue"/>
                  <w:tcBorders>
                    <w:tl2br w:val="nil"/>
                    <w:tr2bl w:val="nil"/>
                  </w:tcBorders>
                  <w:noWrap w:val="0"/>
                  <w:vAlign w:val="center"/>
                </w:tcPr>
                <w:p w14:paraId="0A0989CF">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5C60AB9A">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69C16EDE">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21853370">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0.01mg/kg</w:t>
                  </w:r>
                </w:p>
              </w:tc>
            </w:tr>
            <w:tr w14:paraId="3F583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4F43F605">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1,1-二氯乙烯</w:t>
                  </w:r>
                </w:p>
              </w:tc>
              <w:tc>
                <w:tcPr>
                  <w:tcW w:w="1324" w:type="pct"/>
                  <w:vMerge w:val="restart"/>
                  <w:tcBorders>
                    <w:tl2br w:val="nil"/>
                    <w:tr2bl w:val="nil"/>
                  </w:tcBorders>
                  <w:noWrap w:val="0"/>
                  <w:vAlign w:val="center"/>
                </w:tcPr>
                <w:p w14:paraId="200D9E77">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r>
                    <w:rPr>
                      <w:rFonts w:hint="default" w:cs="Times New Roman"/>
                      <w:color w:val="auto"/>
                      <w:kern w:val="0"/>
                      <w:sz w:val="21"/>
                      <w:szCs w:val="21"/>
                      <w:highlight w:val="none"/>
                    </w:rPr>
                    <w:t>土壤和沉积物 挥发性有机物的测定 顶空/气相色谱法</w:t>
                  </w:r>
                </w:p>
              </w:tc>
              <w:tc>
                <w:tcPr>
                  <w:tcW w:w="934" w:type="pct"/>
                  <w:vMerge w:val="restart"/>
                  <w:tcBorders>
                    <w:tl2br w:val="nil"/>
                    <w:tr2bl w:val="nil"/>
                  </w:tcBorders>
                  <w:noWrap w:val="0"/>
                  <w:vAlign w:val="center"/>
                </w:tcPr>
                <w:p w14:paraId="4A057365">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HJ 741-2015</w:t>
                  </w:r>
                </w:p>
              </w:tc>
              <w:tc>
                <w:tcPr>
                  <w:tcW w:w="1169" w:type="pct"/>
                  <w:vMerge w:val="restart"/>
                  <w:tcBorders>
                    <w:tl2br w:val="nil"/>
                    <w:tr2bl w:val="nil"/>
                  </w:tcBorders>
                  <w:noWrap w:val="0"/>
                  <w:vAlign w:val="center"/>
                </w:tcPr>
                <w:p w14:paraId="44214FCB">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Agilent 6890N型气相色谱仪</w:t>
                  </w:r>
                </w:p>
                <w:p w14:paraId="3D478057">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r>
                    <w:rPr>
                      <w:rFonts w:hint="default" w:cs="Times New Roman"/>
                      <w:color w:val="auto"/>
                      <w:kern w:val="0"/>
                      <w:sz w:val="21"/>
                      <w:szCs w:val="21"/>
                      <w:highlight w:val="none"/>
                    </w:rPr>
                    <w:t>(HFJ-056</w:t>
                  </w:r>
                  <w:r>
                    <w:rPr>
                      <w:rFonts w:hint="default" w:cs="Times New Roman"/>
                      <w:color w:val="auto"/>
                      <w:sz w:val="21"/>
                      <w:szCs w:val="21"/>
                      <w:highlight w:val="none"/>
                    </w:rPr>
                    <w:t>)</w:t>
                  </w:r>
                </w:p>
              </w:tc>
              <w:tc>
                <w:tcPr>
                  <w:tcW w:w="706" w:type="pct"/>
                  <w:tcBorders>
                    <w:tl2br w:val="nil"/>
                    <w:tr2bl w:val="nil"/>
                  </w:tcBorders>
                  <w:noWrap w:val="0"/>
                  <w:vAlign w:val="center"/>
                </w:tcPr>
                <w:p w14:paraId="4B0858AC">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0.01mg/kg</w:t>
                  </w:r>
                </w:p>
              </w:tc>
            </w:tr>
            <w:tr w14:paraId="7B9F6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735DA5FB">
                  <w:pPr>
                    <w:keepNext w:val="0"/>
                    <w:keepLines w:val="0"/>
                    <w:suppressLineNumbers w:val="0"/>
                    <w:autoSpaceDE w:val="0"/>
                    <w:autoSpaceDN w:val="0"/>
                    <w:adjustRightInd w:val="0"/>
                    <w:spacing w:before="0" w:beforeAutospacing="0" w:after="0" w:afterAutospacing="0"/>
                    <w:ind w:left="0" w:right="0"/>
                    <w:jc w:val="center"/>
                    <w:rPr>
                      <w:rFonts w:hint="default"/>
                      <w:color w:val="auto"/>
                      <w:spacing w:val="-8"/>
                      <w:sz w:val="21"/>
                      <w:szCs w:val="21"/>
                      <w:highlight w:val="none"/>
                    </w:rPr>
                  </w:pPr>
                  <w:r>
                    <w:rPr>
                      <w:rFonts w:hint="default"/>
                      <w:color w:val="auto"/>
                      <w:spacing w:val="-8"/>
                      <w:sz w:val="21"/>
                      <w:szCs w:val="21"/>
                      <w:highlight w:val="none"/>
                    </w:rPr>
                    <w:t>顺-1,2-二氯乙烯</w:t>
                  </w:r>
                </w:p>
              </w:tc>
              <w:tc>
                <w:tcPr>
                  <w:tcW w:w="1324" w:type="pct"/>
                  <w:vMerge w:val="continue"/>
                  <w:tcBorders>
                    <w:tl2br w:val="nil"/>
                    <w:tr2bl w:val="nil"/>
                  </w:tcBorders>
                  <w:noWrap w:val="0"/>
                  <w:vAlign w:val="center"/>
                </w:tcPr>
                <w:p w14:paraId="080405D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4F7750A7">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3CF6CE6E">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746E0DF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0.008mg/kg</w:t>
                  </w:r>
                </w:p>
              </w:tc>
            </w:tr>
            <w:tr w14:paraId="6061D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2A34EA1F">
                  <w:pPr>
                    <w:keepNext w:val="0"/>
                    <w:keepLines w:val="0"/>
                    <w:suppressLineNumbers w:val="0"/>
                    <w:autoSpaceDE w:val="0"/>
                    <w:autoSpaceDN w:val="0"/>
                    <w:adjustRightInd w:val="0"/>
                    <w:spacing w:before="0" w:beforeAutospacing="0" w:after="0" w:afterAutospacing="0"/>
                    <w:ind w:left="0" w:right="0"/>
                    <w:jc w:val="center"/>
                    <w:rPr>
                      <w:rFonts w:hint="default"/>
                      <w:color w:val="auto"/>
                      <w:spacing w:val="-8"/>
                      <w:sz w:val="21"/>
                      <w:szCs w:val="21"/>
                      <w:highlight w:val="none"/>
                    </w:rPr>
                  </w:pPr>
                  <w:r>
                    <w:rPr>
                      <w:rFonts w:hint="default"/>
                      <w:color w:val="auto"/>
                      <w:spacing w:val="-8"/>
                      <w:sz w:val="21"/>
                      <w:szCs w:val="21"/>
                      <w:highlight w:val="none"/>
                    </w:rPr>
                    <w:t>反-1,2-二氯乙烯</w:t>
                  </w:r>
                </w:p>
              </w:tc>
              <w:tc>
                <w:tcPr>
                  <w:tcW w:w="1324" w:type="pct"/>
                  <w:vMerge w:val="continue"/>
                  <w:tcBorders>
                    <w:tl2br w:val="nil"/>
                    <w:tr2bl w:val="nil"/>
                  </w:tcBorders>
                  <w:noWrap w:val="0"/>
                  <w:vAlign w:val="center"/>
                </w:tcPr>
                <w:p w14:paraId="781BF6BE">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288072F7">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091542AE">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2960D74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0.02mg/kg</w:t>
                  </w:r>
                </w:p>
              </w:tc>
            </w:tr>
            <w:tr w14:paraId="6E541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7332586C">
                  <w:pPr>
                    <w:keepNext w:val="0"/>
                    <w:keepLines w:val="0"/>
                    <w:suppressLineNumbers w:val="0"/>
                    <w:autoSpaceDE w:val="0"/>
                    <w:autoSpaceDN w:val="0"/>
                    <w:adjustRightInd w:val="0"/>
                    <w:spacing w:before="0" w:beforeAutospacing="0" w:after="0" w:afterAutospacing="0"/>
                    <w:ind w:left="0" w:right="0"/>
                    <w:jc w:val="center"/>
                    <w:rPr>
                      <w:rFonts w:hint="default"/>
                      <w:color w:val="auto"/>
                      <w:spacing w:val="-8"/>
                      <w:sz w:val="21"/>
                      <w:szCs w:val="21"/>
                      <w:highlight w:val="none"/>
                    </w:rPr>
                  </w:pPr>
                  <w:r>
                    <w:rPr>
                      <w:rFonts w:hint="default"/>
                      <w:color w:val="auto"/>
                      <w:sz w:val="21"/>
                      <w:szCs w:val="21"/>
                      <w:highlight w:val="none"/>
                    </w:rPr>
                    <w:t>二氯甲烷</w:t>
                  </w:r>
                </w:p>
              </w:tc>
              <w:tc>
                <w:tcPr>
                  <w:tcW w:w="1324" w:type="pct"/>
                  <w:vMerge w:val="continue"/>
                  <w:tcBorders>
                    <w:tl2br w:val="nil"/>
                    <w:tr2bl w:val="nil"/>
                  </w:tcBorders>
                  <w:noWrap w:val="0"/>
                  <w:vAlign w:val="center"/>
                </w:tcPr>
                <w:p w14:paraId="4BEDE562">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50C56D00">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0E7FB6C9">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3C14383A">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0.02mg/kg</w:t>
                  </w:r>
                </w:p>
              </w:tc>
            </w:tr>
            <w:tr w14:paraId="6DF11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14517BF4">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1,2-二氯丙烷</w:t>
                  </w:r>
                </w:p>
              </w:tc>
              <w:tc>
                <w:tcPr>
                  <w:tcW w:w="1324" w:type="pct"/>
                  <w:vMerge w:val="continue"/>
                  <w:tcBorders>
                    <w:tl2br w:val="nil"/>
                    <w:tr2bl w:val="nil"/>
                  </w:tcBorders>
                  <w:noWrap w:val="0"/>
                  <w:vAlign w:val="center"/>
                </w:tcPr>
                <w:p w14:paraId="7ED6E45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1DA4069C">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3559AA10">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40BF472C">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0.008mg/kg</w:t>
                  </w:r>
                </w:p>
              </w:tc>
            </w:tr>
            <w:tr w14:paraId="1E30B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4663122E">
                  <w:pPr>
                    <w:keepNext w:val="0"/>
                    <w:keepLines w:val="0"/>
                    <w:suppressLineNumbers w:val="0"/>
                    <w:autoSpaceDE w:val="0"/>
                    <w:autoSpaceDN w:val="0"/>
                    <w:adjustRightInd w:val="0"/>
                    <w:spacing w:before="0" w:beforeAutospacing="0" w:after="0" w:afterAutospacing="0"/>
                    <w:ind w:left="0" w:right="0"/>
                    <w:jc w:val="center"/>
                    <w:rPr>
                      <w:rFonts w:hint="default"/>
                      <w:color w:val="auto"/>
                      <w:spacing w:val="-4"/>
                      <w:sz w:val="21"/>
                      <w:szCs w:val="21"/>
                      <w:highlight w:val="none"/>
                    </w:rPr>
                  </w:pPr>
                  <w:r>
                    <w:rPr>
                      <w:rFonts w:hint="default"/>
                      <w:color w:val="auto"/>
                      <w:spacing w:val="-4"/>
                      <w:sz w:val="21"/>
                      <w:szCs w:val="21"/>
                      <w:highlight w:val="none"/>
                    </w:rPr>
                    <w:t>1,1,1,2-四氯乙烷</w:t>
                  </w:r>
                </w:p>
              </w:tc>
              <w:tc>
                <w:tcPr>
                  <w:tcW w:w="1324" w:type="pct"/>
                  <w:vMerge w:val="continue"/>
                  <w:tcBorders>
                    <w:tl2br w:val="nil"/>
                    <w:tr2bl w:val="nil"/>
                  </w:tcBorders>
                  <w:noWrap w:val="0"/>
                  <w:vAlign w:val="center"/>
                </w:tcPr>
                <w:p w14:paraId="3DCB7F0F">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0249F3A1">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57DE7F6F">
                  <w:pPr>
                    <w:pStyle w:val="20"/>
                    <w:keepNext w:val="0"/>
                    <w:keepLines w:val="0"/>
                    <w:suppressLineNumbers w:val="0"/>
                    <w:spacing w:before="0" w:beforeAutospacing="0" w:after="0" w:afterAutospacing="0" w:line="240" w:lineRule="auto"/>
                    <w:ind w:right="0"/>
                    <w:jc w:val="center"/>
                    <w:rPr>
                      <w:rFonts w:hint="default"/>
                      <w:color w:val="auto"/>
                      <w:sz w:val="21"/>
                      <w:szCs w:val="21"/>
                      <w:highlight w:val="none"/>
                    </w:rPr>
                  </w:pPr>
                </w:p>
              </w:tc>
              <w:tc>
                <w:tcPr>
                  <w:tcW w:w="706" w:type="pct"/>
                  <w:tcBorders>
                    <w:tl2br w:val="nil"/>
                    <w:tr2bl w:val="nil"/>
                  </w:tcBorders>
                  <w:noWrap w:val="0"/>
                  <w:vAlign w:val="center"/>
                </w:tcPr>
                <w:p w14:paraId="62896941">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0.02mg/kg</w:t>
                  </w:r>
                </w:p>
              </w:tc>
            </w:tr>
            <w:tr w14:paraId="1E18C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235560F9">
                  <w:pPr>
                    <w:keepNext w:val="0"/>
                    <w:keepLines w:val="0"/>
                    <w:suppressLineNumbers w:val="0"/>
                    <w:autoSpaceDE w:val="0"/>
                    <w:autoSpaceDN w:val="0"/>
                    <w:adjustRightInd w:val="0"/>
                    <w:spacing w:before="0" w:beforeAutospacing="0" w:after="0" w:afterAutospacing="0"/>
                    <w:ind w:left="0" w:right="0"/>
                    <w:jc w:val="center"/>
                    <w:rPr>
                      <w:rFonts w:hint="default"/>
                      <w:color w:val="auto"/>
                      <w:spacing w:val="-4"/>
                      <w:sz w:val="21"/>
                      <w:szCs w:val="21"/>
                      <w:highlight w:val="none"/>
                    </w:rPr>
                  </w:pPr>
                  <w:r>
                    <w:rPr>
                      <w:rFonts w:hint="default"/>
                      <w:color w:val="auto"/>
                      <w:spacing w:val="-4"/>
                      <w:sz w:val="21"/>
                      <w:szCs w:val="21"/>
                      <w:highlight w:val="none"/>
                    </w:rPr>
                    <w:t>1,1,2,2-四氯乙烷</w:t>
                  </w:r>
                </w:p>
              </w:tc>
              <w:tc>
                <w:tcPr>
                  <w:tcW w:w="1324" w:type="pct"/>
                  <w:vMerge w:val="restart"/>
                  <w:tcBorders>
                    <w:tl2br w:val="nil"/>
                    <w:tr2bl w:val="nil"/>
                  </w:tcBorders>
                  <w:noWrap w:val="0"/>
                  <w:vAlign w:val="center"/>
                </w:tcPr>
                <w:p w14:paraId="5B1F5932">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r>
                    <w:rPr>
                      <w:rFonts w:hint="default" w:cs="Times New Roman"/>
                      <w:color w:val="auto"/>
                      <w:kern w:val="0"/>
                      <w:sz w:val="21"/>
                      <w:szCs w:val="21"/>
                      <w:highlight w:val="none"/>
                    </w:rPr>
                    <w:t>土壤和沉积物 挥发性有机物的测定 顶空/气相色谱法</w:t>
                  </w:r>
                </w:p>
              </w:tc>
              <w:tc>
                <w:tcPr>
                  <w:tcW w:w="934" w:type="pct"/>
                  <w:vMerge w:val="restart"/>
                  <w:tcBorders>
                    <w:tl2br w:val="nil"/>
                    <w:tr2bl w:val="nil"/>
                  </w:tcBorders>
                  <w:noWrap w:val="0"/>
                  <w:vAlign w:val="center"/>
                </w:tcPr>
                <w:p w14:paraId="1862652E">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HJ 741-2015</w:t>
                  </w:r>
                </w:p>
              </w:tc>
              <w:tc>
                <w:tcPr>
                  <w:tcW w:w="1169" w:type="pct"/>
                  <w:vMerge w:val="restart"/>
                  <w:tcBorders>
                    <w:tl2br w:val="nil"/>
                    <w:tr2bl w:val="nil"/>
                  </w:tcBorders>
                  <w:noWrap w:val="0"/>
                  <w:vAlign w:val="center"/>
                </w:tcPr>
                <w:p w14:paraId="1A651FC3">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Agilent 6890N型气相色谱仪</w:t>
                  </w:r>
                </w:p>
                <w:p w14:paraId="29FDC1CD">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r>
                    <w:rPr>
                      <w:rFonts w:hint="default" w:cs="Times New Roman"/>
                      <w:color w:val="auto"/>
                      <w:kern w:val="0"/>
                      <w:sz w:val="21"/>
                      <w:szCs w:val="21"/>
                      <w:highlight w:val="none"/>
                    </w:rPr>
                    <w:t>(HFJ-056</w:t>
                  </w:r>
                  <w:r>
                    <w:rPr>
                      <w:rFonts w:hint="default" w:cs="Times New Roman"/>
                      <w:color w:val="auto"/>
                      <w:sz w:val="21"/>
                      <w:szCs w:val="21"/>
                      <w:highlight w:val="none"/>
                    </w:rPr>
                    <w:t>)</w:t>
                  </w:r>
                </w:p>
              </w:tc>
              <w:tc>
                <w:tcPr>
                  <w:tcW w:w="706" w:type="pct"/>
                  <w:tcBorders>
                    <w:tl2br w:val="nil"/>
                    <w:tr2bl w:val="nil"/>
                  </w:tcBorders>
                  <w:noWrap w:val="0"/>
                  <w:vAlign w:val="center"/>
                </w:tcPr>
                <w:p w14:paraId="7C5A3B6F">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0.02mg/kg</w:t>
                  </w:r>
                </w:p>
              </w:tc>
            </w:tr>
            <w:tr w14:paraId="617A0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0851BEB3">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四氯乙烯</w:t>
                  </w:r>
                </w:p>
              </w:tc>
              <w:tc>
                <w:tcPr>
                  <w:tcW w:w="1324" w:type="pct"/>
                  <w:vMerge w:val="continue"/>
                  <w:tcBorders>
                    <w:tl2br w:val="nil"/>
                    <w:tr2bl w:val="nil"/>
                  </w:tcBorders>
                  <w:noWrap w:val="0"/>
                  <w:vAlign w:val="center"/>
                </w:tcPr>
                <w:p w14:paraId="4705C442">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1C8D2677">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516FB0B8">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53107000">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0.02mg/kg</w:t>
                  </w:r>
                </w:p>
              </w:tc>
            </w:tr>
            <w:tr w14:paraId="0A5F0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74EF647A">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1,1,1-三氯乙烷</w:t>
                  </w:r>
                </w:p>
              </w:tc>
              <w:tc>
                <w:tcPr>
                  <w:tcW w:w="1324" w:type="pct"/>
                  <w:vMerge w:val="continue"/>
                  <w:tcBorders>
                    <w:tl2br w:val="nil"/>
                    <w:tr2bl w:val="nil"/>
                  </w:tcBorders>
                  <w:noWrap w:val="0"/>
                  <w:vAlign w:val="center"/>
                </w:tcPr>
                <w:p w14:paraId="2265EF71">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934" w:type="pct"/>
                  <w:vMerge w:val="continue"/>
                  <w:tcBorders>
                    <w:tl2br w:val="nil"/>
                    <w:tr2bl w:val="nil"/>
                  </w:tcBorders>
                  <w:noWrap w:val="0"/>
                  <w:vAlign w:val="center"/>
                </w:tcPr>
                <w:p w14:paraId="5239B4C4">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40693EE8">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706" w:type="pct"/>
                  <w:tcBorders>
                    <w:tl2br w:val="nil"/>
                    <w:tr2bl w:val="nil"/>
                  </w:tcBorders>
                  <w:noWrap w:val="0"/>
                  <w:vAlign w:val="center"/>
                </w:tcPr>
                <w:p w14:paraId="15F2D7F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0.02mg/kg</w:t>
                  </w:r>
                </w:p>
              </w:tc>
            </w:tr>
            <w:tr w14:paraId="59EB3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14A4B4F4">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1,1,2-三氯乙烷</w:t>
                  </w:r>
                </w:p>
              </w:tc>
              <w:tc>
                <w:tcPr>
                  <w:tcW w:w="1324" w:type="pct"/>
                  <w:vMerge w:val="continue"/>
                  <w:tcBorders>
                    <w:tl2br w:val="nil"/>
                    <w:tr2bl w:val="nil"/>
                  </w:tcBorders>
                  <w:noWrap w:val="0"/>
                  <w:vAlign w:val="center"/>
                </w:tcPr>
                <w:p w14:paraId="528725CD">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934" w:type="pct"/>
                  <w:vMerge w:val="continue"/>
                  <w:tcBorders>
                    <w:tl2br w:val="nil"/>
                    <w:tr2bl w:val="nil"/>
                  </w:tcBorders>
                  <w:noWrap w:val="0"/>
                  <w:vAlign w:val="center"/>
                </w:tcPr>
                <w:p w14:paraId="58D733EF">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5BECE0B9">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706" w:type="pct"/>
                  <w:tcBorders>
                    <w:tl2br w:val="nil"/>
                    <w:tr2bl w:val="nil"/>
                  </w:tcBorders>
                  <w:noWrap w:val="0"/>
                  <w:vAlign w:val="center"/>
                </w:tcPr>
                <w:p w14:paraId="034DE088">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0.02mg/kg</w:t>
                  </w:r>
                </w:p>
              </w:tc>
            </w:tr>
            <w:tr w14:paraId="72BF1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5FE8DC24">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三氯乙烯</w:t>
                  </w:r>
                </w:p>
              </w:tc>
              <w:tc>
                <w:tcPr>
                  <w:tcW w:w="1324" w:type="pct"/>
                  <w:vMerge w:val="continue"/>
                  <w:tcBorders>
                    <w:tl2br w:val="nil"/>
                    <w:tr2bl w:val="nil"/>
                  </w:tcBorders>
                  <w:noWrap w:val="0"/>
                  <w:vAlign w:val="center"/>
                </w:tcPr>
                <w:p w14:paraId="5FF50B6E">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17D7941A">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54813E2E">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756FCC9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0.009mg/kg</w:t>
                  </w:r>
                </w:p>
              </w:tc>
            </w:tr>
            <w:tr w14:paraId="7BF30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5E49F7D5">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1,2,3-三氯丙烷</w:t>
                  </w:r>
                </w:p>
              </w:tc>
              <w:tc>
                <w:tcPr>
                  <w:tcW w:w="1324" w:type="pct"/>
                  <w:vMerge w:val="continue"/>
                  <w:tcBorders>
                    <w:tl2br w:val="nil"/>
                    <w:tr2bl w:val="nil"/>
                  </w:tcBorders>
                  <w:noWrap w:val="0"/>
                  <w:vAlign w:val="center"/>
                </w:tcPr>
                <w:p w14:paraId="3ED88D3E">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934" w:type="pct"/>
                  <w:vMerge w:val="continue"/>
                  <w:tcBorders>
                    <w:tl2br w:val="nil"/>
                    <w:tr2bl w:val="nil"/>
                  </w:tcBorders>
                  <w:noWrap w:val="0"/>
                  <w:vAlign w:val="center"/>
                </w:tcPr>
                <w:p w14:paraId="7E15FFBA">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779593CF">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706" w:type="pct"/>
                  <w:tcBorders>
                    <w:tl2br w:val="nil"/>
                    <w:tr2bl w:val="nil"/>
                  </w:tcBorders>
                  <w:noWrap w:val="0"/>
                  <w:vAlign w:val="center"/>
                </w:tcPr>
                <w:p w14:paraId="3790F0B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0.02mg/kg</w:t>
                  </w:r>
                </w:p>
              </w:tc>
            </w:tr>
            <w:tr w14:paraId="211AE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3FAD58AF">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氯乙烯</w:t>
                  </w:r>
                </w:p>
              </w:tc>
              <w:tc>
                <w:tcPr>
                  <w:tcW w:w="1324" w:type="pct"/>
                  <w:vMerge w:val="continue"/>
                  <w:tcBorders>
                    <w:tl2br w:val="nil"/>
                    <w:tr2bl w:val="nil"/>
                  </w:tcBorders>
                  <w:noWrap w:val="0"/>
                  <w:vAlign w:val="center"/>
                </w:tcPr>
                <w:p w14:paraId="778D071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7B2169B1">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798E4DC5">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7BA4194B">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0.02mg/kg</w:t>
                  </w:r>
                </w:p>
              </w:tc>
            </w:tr>
            <w:tr w14:paraId="75CCB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6CCDF09A">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氯苯</w:t>
                  </w:r>
                </w:p>
              </w:tc>
              <w:tc>
                <w:tcPr>
                  <w:tcW w:w="1324" w:type="pct"/>
                  <w:vMerge w:val="continue"/>
                  <w:tcBorders>
                    <w:tl2br w:val="nil"/>
                    <w:tr2bl w:val="nil"/>
                  </w:tcBorders>
                  <w:noWrap w:val="0"/>
                  <w:vAlign w:val="center"/>
                </w:tcPr>
                <w:p w14:paraId="5906370D">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1CB4854E">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3BA41952">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2EBA0C78">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0.005mg/kg</w:t>
                  </w:r>
                </w:p>
              </w:tc>
            </w:tr>
            <w:tr w14:paraId="5CC9F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4D8EE6D0">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1,2-二氯苯</w:t>
                  </w:r>
                </w:p>
              </w:tc>
              <w:tc>
                <w:tcPr>
                  <w:tcW w:w="1324" w:type="pct"/>
                  <w:vMerge w:val="continue"/>
                  <w:tcBorders>
                    <w:tl2br w:val="nil"/>
                    <w:tr2bl w:val="nil"/>
                  </w:tcBorders>
                  <w:noWrap w:val="0"/>
                  <w:vAlign w:val="center"/>
                </w:tcPr>
                <w:p w14:paraId="2D1ADBAE">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934" w:type="pct"/>
                  <w:vMerge w:val="continue"/>
                  <w:tcBorders>
                    <w:tl2br w:val="nil"/>
                    <w:tr2bl w:val="nil"/>
                  </w:tcBorders>
                  <w:noWrap w:val="0"/>
                  <w:vAlign w:val="center"/>
                </w:tcPr>
                <w:p w14:paraId="301A88F0">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4045D8A7">
                  <w:pPr>
                    <w:pStyle w:val="40"/>
                    <w:keepNext w:val="0"/>
                    <w:keepLines w:val="0"/>
                    <w:suppressLineNumbers w:val="0"/>
                    <w:snapToGrid w:val="0"/>
                    <w:spacing w:before="0" w:beforeAutospacing="0" w:after="0" w:afterAutospacing="0"/>
                    <w:ind w:left="0" w:right="0"/>
                    <w:rPr>
                      <w:rFonts w:hint="default" w:cs="Times New Roman"/>
                      <w:color w:val="auto"/>
                      <w:sz w:val="21"/>
                      <w:szCs w:val="21"/>
                      <w:highlight w:val="none"/>
                    </w:rPr>
                  </w:pPr>
                </w:p>
              </w:tc>
              <w:tc>
                <w:tcPr>
                  <w:tcW w:w="706" w:type="pct"/>
                  <w:tcBorders>
                    <w:tl2br w:val="nil"/>
                    <w:tr2bl w:val="nil"/>
                  </w:tcBorders>
                  <w:noWrap w:val="0"/>
                  <w:vAlign w:val="center"/>
                </w:tcPr>
                <w:p w14:paraId="55B71B0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0.02mg/kg</w:t>
                  </w:r>
                </w:p>
              </w:tc>
            </w:tr>
            <w:tr w14:paraId="70BEE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4063D4B8">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1,4-二氯苯</w:t>
                  </w:r>
                </w:p>
              </w:tc>
              <w:tc>
                <w:tcPr>
                  <w:tcW w:w="1324" w:type="pct"/>
                  <w:vMerge w:val="continue"/>
                  <w:tcBorders>
                    <w:tl2br w:val="nil"/>
                    <w:tr2bl w:val="nil"/>
                  </w:tcBorders>
                  <w:noWrap w:val="0"/>
                  <w:vAlign w:val="center"/>
                </w:tcPr>
                <w:p w14:paraId="788F3F68">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934" w:type="pct"/>
                  <w:vMerge w:val="continue"/>
                  <w:tcBorders>
                    <w:tl2br w:val="nil"/>
                    <w:tr2bl w:val="nil"/>
                  </w:tcBorders>
                  <w:noWrap w:val="0"/>
                  <w:vAlign w:val="center"/>
                </w:tcPr>
                <w:p w14:paraId="48A888CF">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3BDC8B43">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706" w:type="pct"/>
                  <w:tcBorders>
                    <w:tl2br w:val="nil"/>
                    <w:tr2bl w:val="nil"/>
                  </w:tcBorders>
                  <w:noWrap w:val="0"/>
                  <w:vAlign w:val="center"/>
                </w:tcPr>
                <w:p w14:paraId="12AA66FE">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0.008mg/kg</w:t>
                  </w:r>
                </w:p>
              </w:tc>
            </w:tr>
            <w:tr w14:paraId="73268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5AA4A7CE">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乙苯</w:t>
                  </w:r>
                </w:p>
              </w:tc>
              <w:tc>
                <w:tcPr>
                  <w:tcW w:w="1324" w:type="pct"/>
                  <w:vMerge w:val="continue"/>
                  <w:tcBorders>
                    <w:tl2br w:val="nil"/>
                    <w:tr2bl w:val="nil"/>
                  </w:tcBorders>
                  <w:noWrap w:val="0"/>
                  <w:vAlign w:val="center"/>
                </w:tcPr>
                <w:p w14:paraId="6D2633DC">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4B9F9998">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59E42B50">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16F287B1">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0.006mg/kg</w:t>
                  </w:r>
                </w:p>
              </w:tc>
            </w:tr>
            <w:tr w14:paraId="3B782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158A6B1B">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甲苯</w:t>
                  </w:r>
                </w:p>
              </w:tc>
              <w:tc>
                <w:tcPr>
                  <w:tcW w:w="1324" w:type="pct"/>
                  <w:vMerge w:val="continue"/>
                  <w:tcBorders>
                    <w:tl2br w:val="nil"/>
                    <w:tr2bl w:val="nil"/>
                  </w:tcBorders>
                  <w:noWrap w:val="0"/>
                  <w:vAlign w:val="center"/>
                </w:tcPr>
                <w:p w14:paraId="0D3F070F">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1B54C330">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16639161">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7A685DCF">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0.006mg/kg</w:t>
                  </w:r>
                </w:p>
              </w:tc>
            </w:tr>
            <w:tr w14:paraId="7665E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108E5DB6">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间，对二甲苯</w:t>
                  </w:r>
                </w:p>
              </w:tc>
              <w:tc>
                <w:tcPr>
                  <w:tcW w:w="1324" w:type="pct"/>
                  <w:vMerge w:val="continue"/>
                  <w:tcBorders>
                    <w:tl2br w:val="nil"/>
                    <w:tr2bl w:val="nil"/>
                  </w:tcBorders>
                  <w:noWrap w:val="0"/>
                  <w:vAlign w:val="center"/>
                </w:tcPr>
                <w:p w14:paraId="7E15B3C5">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934" w:type="pct"/>
                  <w:vMerge w:val="continue"/>
                  <w:tcBorders>
                    <w:tl2br w:val="nil"/>
                    <w:tr2bl w:val="nil"/>
                  </w:tcBorders>
                  <w:noWrap w:val="0"/>
                  <w:vAlign w:val="center"/>
                </w:tcPr>
                <w:p w14:paraId="6F0081D5">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176449AB">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706" w:type="pct"/>
                  <w:tcBorders>
                    <w:tl2br w:val="nil"/>
                    <w:tr2bl w:val="nil"/>
                  </w:tcBorders>
                  <w:noWrap w:val="0"/>
                  <w:vAlign w:val="center"/>
                </w:tcPr>
                <w:p w14:paraId="519B5FE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0.009mg/kg</w:t>
                  </w:r>
                </w:p>
              </w:tc>
            </w:tr>
            <w:tr w14:paraId="6D3EE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5A1347F9">
                  <w:pPr>
                    <w:keepNext w:val="0"/>
                    <w:keepLines w:val="0"/>
                    <w:suppressLineNumbers w:val="0"/>
                    <w:autoSpaceDE w:val="0"/>
                    <w:autoSpaceDN w:val="0"/>
                    <w:adjustRightInd w:val="0"/>
                    <w:spacing w:before="0" w:beforeAutospacing="0" w:after="0" w:afterAutospacing="0"/>
                    <w:ind w:left="0" w:right="0"/>
                    <w:jc w:val="center"/>
                    <w:rPr>
                      <w:rFonts w:hint="default"/>
                      <w:color w:val="auto"/>
                      <w:spacing w:val="-8"/>
                      <w:sz w:val="21"/>
                      <w:szCs w:val="21"/>
                      <w:highlight w:val="none"/>
                    </w:rPr>
                  </w:pPr>
                  <w:r>
                    <w:rPr>
                      <w:rFonts w:hint="default"/>
                      <w:color w:val="auto"/>
                      <w:spacing w:val="-8"/>
                      <w:sz w:val="21"/>
                      <w:szCs w:val="21"/>
                      <w:highlight w:val="none"/>
                    </w:rPr>
                    <w:t>邻二甲苯，苯乙烯</w:t>
                  </w:r>
                </w:p>
              </w:tc>
              <w:tc>
                <w:tcPr>
                  <w:tcW w:w="1324" w:type="pct"/>
                  <w:vMerge w:val="continue"/>
                  <w:tcBorders>
                    <w:tl2br w:val="nil"/>
                    <w:tr2bl w:val="nil"/>
                  </w:tcBorders>
                  <w:noWrap w:val="0"/>
                  <w:vAlign w:val="center"/>
                </w:tcPr>
                <w:p w14:paraId="5D688B9F">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1358D669">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3C779A43">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737FB2E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0.02mg/kg</w:t>
                  </w:r>
                </w:p>
              </w:tc>
            </w:tr>
            <w:tr w14:paraId="26747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5E8BEE81">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苯并[a]芘</w:t>
                  </w:r>
                </w:p>
              </w:tc>
              <w:tc>
                <w:tcPr>
                  <w:tcW w:w="1324" w:type="pct"/>
                  <w:vMerge w:val="restart"/>
                  <w:tcBorders>
                    <w:tl2br w:val="nil"/>
                    <w:tr2bl w:val="nil"/>
                  </w:tcBorders>
                  <w:noWrap w:val="0"/>
                  <w:vAlign w:val="center"/>
                </w:tcPr>
                <w:p w14:paraId="359A5D68">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土壤和沉积物 半挥发性有机物的测定 气相色谱-质谱法</w:t>
                  </w:r>
                </w:p>
              </w:tc>
              <w:tc>
                <w:tcPr>
                  <w:tcW w:w="934" w:type="pct"/>
                  <w:vMerge w:val="restart"/>
                  <w:tcBorders>
                    <w:tl2br w:val="nil"/>
                    <w:tr2bl w:val="nil"/>
                  </w:tcBorders>
                  <w:noWrap w:val="0"/>
                  <w:vAlign w:val="center"/>
                </w:tcPr>
                <w:p w14:paraId="5368BBE1">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HJ 834-2017</w:t>
                  </w:r>
                </w:p>
              </w:tc>
              <w:tc>
                <w:tcPr>
                  <w:tcW w:w="1169" w:type="pct"/>
                  <w:vMerge w:val="restart"/>
                  <w:tcBorders>
                    <w:tl2br w:val="nil"/>
                    <w:tr2bl w:val="nil"/>
                  </w:tcBorders>
                  <w:noWrap w:val="0"/>
                  <w:vAlign w:val="center"/>
                </w:tcPr>
                <w:p w14:paraId="2EC283CD">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GC-MS 3200型气相色谱质谱联用仪</w:t>
                  </w:r>
                </w:p>
                <w:p w14:paraId="56457EC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(HFJ-097)</w:t>
                  </w:r>
                </w:p>
              </w:tc>
              <w:tc>
                <w:tcPr>
                  <w:tcW w:w="706" w:type="pct"/>
                  <w:tcBorders>
                    <w:tl2br w:val="nil"/>
                    <w:tr2bl w:val="nil"/>
                  </w:tcBorders>
                  <w:noWrap w:val="0"/>
                  <w:vAlign w:val="center"/>
                </w:tcPr>
                <w:p w14:paraId="506B0D5F">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0.1mg/kg</w:t>
                  </w:r>
                </w:p>
              </w:tc>
            </w:tr>
            <w:tr w14:paraId="4BA11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47F0D147">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苯并[b]荧蒽</w:t>
                  </w:r>
                </w:p>
              </w:tc>
              <w:tc>
                <w:tcPr>
                  <w:tcW w:w="1324" w:type="pct"/>
                  <w:vMerge w:val="continue"/>
                  <w:tcBorders>
                    <w:tl2br w:val="nil"/>
                    <w:tr2bl w:val="nil"/>
                  </w:tcBorders>
                  <w:noWrap w:val="0"/>
                  <w:vAlign w:val="center"/>
                </w:tcPr>
                <w:p w14:paraId="4F51ED39">
                  <w:pPr>
                    <w:keepNext w:val="0"/>
                    <w:keepLines w:val="0"/>
                    <w:suppressLineNumbers w:val="0"/>
                    <w:spacing w:before="0" w:beforeAutospacing="0" w:after="0" w:afterAutospacing="0"/>
                    <w:ind w:left="0" w:right="0"/>
                    <w:jc w:val="center"/>
                    <w:rPr>
                      <w:rFonts w:hint="default"/>
                      <w:color w:val="auto"/>
                      <w:kern w:val="0"/>
                      <w:sz w:val="21"/>
                      <w:szCs w:val="21"/>
                      <w:highlight w:val="none"/>
                    </w:rPr>
                  </w:pPr>
                </w:p>
              </w:tc>
              <w:tc>
                <w:tcPr>
                  <w:tcW w:w="934" w:type="pct"/>
                  <w:vMerge w:val="continue"/>
                  <w:tcBorders>
                    <w:tl2br w:val="nil"/>
                    <w:tr2bl w:val="nil"/>
                  </w:tcBorders>
                  <w:noWrap w:val="0"/>
                  <w:vAlign w:val="center"/>
                </w:tcPr>
                <w:p w14:paraId="36452B92">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4932C6F1">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06" w:type="pct"/>
                  <w:tcBorders>
                    <w:tl2br w:val="nil"/>
                    <w:tr2bl w:val="nil"/>
                  </w:tcBorders>
                  <w:noWrap w:val="0"/>
                  <w:vAlign w:val="center"/>
                </w:tcPr>
                <w:p w14:paraId="17B6DF6C">
                  <w:pPr>
                    <w:keepNext w:val="0"/>
                    <w:keepLines w:val="0"/>
                    <w:suppressLineNumbers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0.2mg/kg</w:t>
                  </w:r>
                </w:p>
              </w:tc>
            </w:tr>
            <w:tr w14:paraId="378D5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5D0A2127">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苯并[k]荧蒽</w:t>
                  </w:r>
                </w:p>
              </w:tc>
              <w:tc>
                <w:tcPr>
                  <w:tcW w:w="1324" w:type="pct"/>
                  <w:vMerge w:val="continue"/>
                  <w:tcBorders>
                    <w:tl2br w:val="nil"/>
                    <w:tr2bl w:val="nil"/>
                  </w:tcBorders>
                  <w:noWrap w:val="0"/>
                  <w:vAlign w:val="center"/>
                </w:tcPr>
                <w:p w14:paraId="79E4F685">
                  <w:pPr>
                    <w:keepNext w:val="0"/>
                    <w:keepLines w:val="0"/>
                    <w:suppressLineNumbers w:val="0"/>
                    <w:spacing w:before="0" w:beforeAutospacing="0" w:after="0" w:afterAutospacing="0"/>
                    <w:ind w:left="0" w:right="0"/>
                    <w:jc w:val="center"/>
                    <w:rPr>
                      <w:rFonts w:hint="default"/>
                      <w:color w:val="auto"/>
                      <w:kern w:val="0"/>
                      <w:sz w:val="21"/>
                      <w:szCs w:val="21"/>
                      <w:highlight w:val="none"/>
                    </w:rPr>
                  </w:pPr>
                </w:p>
              </w:tc>
              <w:tc>
                <w:tcPr>
                  <w:tcW w:w="934" w:type="pct"/>
                  <w:vMerge w:val="continue"/>
                  <w:tcBorders>
                    <w:tl2br w:val="nil"/>
                    <w:tr2bl w:val="nil"/>
                  </w:tcBorders>
                  <w:noWrap w:val="0"/>
                  <w:vAlign w:val="center"/>
                </w:tcPr>
                <w:p w14:paraId="230657CC">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5A7A973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06" w:type="pct"/>
                  <w:tcBorders>
                    <w:tl2br w:val="nil"/>
                    <w:tr2bl w:val="nil"/>
                  </w:tcBorders>
                  <w:noWrap w:val="0"/>
                  <w:vAlign w:val="center"/>
                </w:tcPr>
                <w:p w14:paraId="21A9FC15">
                  <w:pPr>
                    <w:keepNext w:val="0"/>
                    <w:keepLines w:val="0"/>
                    <w:suppressLineNumbers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0.1mg/kg</w:t>
                  </w:r>
                </w:p>
              </w:tc>
            </w:tr>
            <w:tr w14:paraId="33DB2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7865737E">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䓛</w:t>
                  </w:r>
                </w:p>
              </w:tc>
              <w:tc>
                <w:tcPr>
                  <w:tcW w:w="1324" w:type="pct"/>
                  <w:vMerge w:val="continue"/>
                  <w:tcBorders>
                    <w:tl2br w:val="nil"/>
                    <w:tr2bl w:val="nil"/>
                  </w:tcBorders>
                  <w:noWrap w:val="0"/>
                  <w:vAlign w:val="center"/>
                </w:tcPr>
                <w:p w14:paraId="14956B40">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78F077CD">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64DFF6F2">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17E7DF4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0.1mg/kg</w:t>
                  </w:r>
                </w:p>
              </w:tc>
            </w:tr>
            <w:tr w14:paraId="71BCF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4CDEC12D">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二苯并[a,h]蒽</w:t>
                  </w:r>
                </w:p>
              </w:tc>
              <w:tc>
                <w:tcPr>
                  <w:tcW w:w="1324" w:type="pct"/>
                  <w:vMerge w:val="continue"/>
                  <w:tcBorders>
                    <w:tl2br w:val="nil"/>
                    <w:tr2bl w:val="nil"/>
                  </w:tcBorders>
                  <w:noWrap w:val="0"/>
                  <w:vAlign w:val="center"/>
                </w:tcPr>
                <w:p w14:paraId="31FDAEBA">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2CAE55DE">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1B561670">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4D5628C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0.1mg/kg</w:t>
                  </w:r>
                </w:p>
              </w:tc>
            </w:tr>
            <w:tr w14:paraId="12887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000A8EE8">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茚并[1,2,3-cd]芘</w:t>
                  </w:r>
                </w:p>
              </w:tc>
              <w:tc>
                <w:tcPr>
                  <w:tcW w:w="1324" w:type="pct"/>
                  <w:vMerge w:val="continue"/>
                  <w:tcBorders>
                    <w:tl2br w:val="nil"/>
                    <w:tr2bl w:val="nil"/>
                  </w:tcBorders>
                  <w:noWrap w:val="0"/>
                  <w:vAlign w:val="center"/>
                </w:tcPr>
                <w:p w14:paraId="4A58F891">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50A9B95D">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6AF7F716">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0C5D1B2E">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0.1mg/kg</w:t>
                  </w:r>
                </w:p>
              </w:tc>
            </w:tr>
            <w:tr w14:paraId="56334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0E6EC9BA">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萘</w:t>
                  </w:r>
                </w:p>
              </w:tc>
              <w:tc>
                <w:tcPr>
                  <w:tcW w:w="1324" w:type="pct"/>
                  <w:vMerge w:val="continue"/>
                  <w:tcBorders>
                    <w:tl2br w:val="nil"/>
                    <w:tr2bl w:val="nil"/>
                  </w:tcBorders>
                  <w:noWrap w:val="0"/>
                  <w:vAlign w:val="center"/>
                </w:tcPr>
                <w:p w14:paraId="237B102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38A58CC1">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12C85C5A">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2F8A9319">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0.09mg/kg</w:t>
                  </w:r>
                </w:p>
              </w:tc>
            </w:tr>
            <w:tr w14:paraId="6E664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774EB912">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苯并[a]蒽</w:t>
                  </w:r>
                </w:p>
              </w:tc>
              <w:tc>
                <w:tcPr>
                  <w:tcW w:w="1324" w:type="pct"/>
                  <w:vMerge w:val="continue"/>
                  <w:tcBorders>
                    <w:tl2br w:val="nil"/>
                    <w:tr2bl w:val="nil"/>
                  </w:tcBorders>
                  <w:noWrap w:val="0"/>
                  <w:vAlign w:val="center"/>
                </w:tcPr>
                <w:p w14:paraId="793ECA54">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3246DAA1">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38992C8F">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3E2C5DCB">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0.1mg/kg</w:t>
                  </w:r>
                </w:p>
              </w:tc>
            </w:tr>
            <w:tr w14:paraId="55C1C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5FC78742">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石油烃</w:t>
                  </w:r>
                  <w:r>
                    <w:rPr>
                      <w:rFonts w:hint="default"/>
                      <w:color w:val="auto"/>
                      <w:kern w:val="0"/>
                      <w:sz w:val="21"/>
                      <w:szCs w:val="21"/>
                      <w:highlight w:val="none"/>
                    </w:rPr>
                    <w:t>（C</w:t>
                  </w:r>
                  <w:r>
                    <w:rPr>
                      <w:rFonts w:hint="default"/>
                      <w:color w:val="auto"/>
                      <w:kern w:val="0"/>
                      <w:sz w:val="21"/>
                      <w:szCs w:val="21"/>
                      <w:highlight w:val="none"/>
                      <w:vertAlign w:val="subscript"/>
                    </w:rPr>
                    <w:t>10</w:t>
                  </w:r>
                  <w:r>
                    <w:rPr>
                      <w:rFonts w:hint="default"/>
                      <w:color w:val="auto"/>
                      <w:kern w:val="0"/>
                      <w:sz w:val="21"/>
                      <w:szCs w:val="21"/>
                      <w:highlight w:val="none"/>
                    </w:rPr>
                    <w:t>-C</w:t>
                  </w:r>
                  <w:r>
                    <w:rPr>
                      <w:rFonts w:hint="default"/>
                      <w:color w:val="auto"/>
                      <w:kern w:val="0"/>
                      <w:sz w:val="21"/>
                      <w:szCs w:val="21"/>
                      <w:highlight w:val="none"/>
                      <w:vertAlign w:val="subscript"/>
                    </w:rPr>
                    <w:t>40</w:t>
                  </w:r>
                  <w:r>
                    <w:rPr>
                      <w:rFonts w:hint="default"/>
                      <w:color w:val="auto"/>
                      <w:kern w:val="0"/>
                      <w:sz w:val="21"/>
                      <w:szCs w:val="21"/>
                      <w:highlight w:val="none"/>
                    </w:rPr>
                    <w:t>）</w:t>
                  </w:r>
                </w:p>
              </w:tc>
              <w:tc>
                <w:tcPr>
                  <w:tcW w:w="1324" w:type="pct"/>
                  <w:tcBorders>
                    <w:tl2br w:val="nil"/>
                    <w:tr2bl w:val="nil"/>
                  </w:tcBorders>
                  <w:noWrap w:val="0"/>
                  <w:vAlign w:val="center"/>
                </w:tcPr>
                <w:p w14:paraId="2E01F7C7">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土壤和沉积物 石油烃（C</w:t>
                  </w:r>
                  <w:r>
                    <w:rPr>
                      <w:rFonts w:hint="default" w:cs="Times New Roman"/>
                      <w:color w:val="auto"/>
                      <w:kern w:val="0"/>
                      <w:sz w:val="21"/>
                      <w:szCs w:val="21"/>
                      <w:highlight w:val="none"/>
                      <w:vertAlign w:val="subscript"/>
                    </w:rPr>
                    <w:t>10</w:t>
                  </w:r>
                  <w:r>
                    <w:rPr>
                      <w:rFonts w:hint="default" w:cs="Times New Roman"/>
                      <w:color w:val="auto"/>
                      <w:kern w:val="0"/>
                      <w:sz w:val="21"/>
                      <w:szCs w:val="21"/>
                      <w:highlight w:val="none"/>
                    </w:rPr>
                    <w:t>-C</w:t>
                  </w:r>
                  <w:r>
                    <w:rPr>
                      <w:rFonts w:hint="default" w:cs="Times New Roman"/>
                      <w:color w:val="auto"/>
                      <w:kern w:val="0"/>
                      <w:sz w:val="21"/>
                      <w:szCs w:val="21"/>
                      <w:highlight w:val="none"/>
                      <w:vertAlign w:val="subscript"/>
                    </w:rPr>
                    <w:t>40</w:t>
                  </w:r>
                  <w:r>
                    <w:rPr>
                      <w:rFonts w:hint="default" w:cs="Times New Roman"/>
                      <w:color w:val="auto"/>
                      <w:kern w:val="0"/>
                      <w:sz w:val="21"/>
                      <w:szCs w:val="21"/>
                      <w:highlight w:val="none"/>
                    </w:rPr>
                    <w:t>）的测定 气相色谱法</w:t>
                  </w:r>
                </w:p>
              </w:tc>
              <w:tc>
                <w:tcPr>
                  <w:tcW w:w="934" w:type="pct"/>
                  <w:tcBorders>
                    <w:tl2br w:val="nil"/>
                    <w:tr2bl w:val="nil"/>
                  </w:tcBorders>
                  <w:noWrap w:val="0"/>
                  <w:vAlign w:val="center"/>
                </w:tcPr>
                <w:p w14:paraId="6EFD102E">
                  <w:pPr>
                    <w:pStyle w:val="40"/>
                    <w:keepNext w:val="0"/>
                    <w:keepLines w:val="0"/>
                    <w:suppressLineNumbers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HJ 1021-2019</w:t>
                  </w:r>
                </w:p>
              </w:tc>
              <w:tc>
                <w:tcPr>
                  <w:tcW w:w="1169" w:type="pct"/>
                  <w:tcBorders>
                    <w:tl2br w:val="nil"/>
                    <w:tr2bl w:val="nil"/>
                  </w:tcBorders>
                  <w:noWrap w:val="0"/>
                  <w:vAlign w:val="center"/>
                </w:tcPr>
                <w:p w14:paraId="3D34628F">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Agilent 6890N型</w:t>
                  </w:r>
                </w:p>
                <w:p w14:paraId="65BC6A70">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气相色谱仪</w:t>
                  </w:r>
                </w:p>
                <w:p w14:paraId="63C1EEDD">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（HFJ-056）</w:t>
                  </w:r>
                </w:p>
              </w:tc>
              <w:tc>
                <w:tcPr>
                  <w:tcW w:w="706" w:type="pct"/>
                  <w:tcBorders>
                    <w:tl2br w:val="nil"/>
                    <w:tr2bl w:val="nil"/>
                  </w:tcBorders>
                  <w:noWrap w:val="0"/>
                  <w:vAlign w:val="center"/>
                </w:tcPr>
                <w:p w14:paraId="3D5533CF">
                  <w:pPr>
                    <w:keepNext w:val="0"/>
                    <w:keepLines w:val="0"/>
                    <w:suppressLineNumbers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6mg/kg</w:t>
                  </w:r>
                </w:p>
              </w:tc>
            </w:tr>
            <w:tr w14:paraId="40446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34F489AF">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r>
                    <w:rPr>
                      <w:rFonts w:hint="default"/>
                      <w:color w:val="auto"/>
                      <w:spacing w:val="-6"/>
                      <w:sz w:val="21"/>
                      <w:szCs w:val="21"/>
                      <w:highlight w:val="none"/>
                    </w:rPr>
                    <w:t>石油烃（C</w:t>
                  </w:r>
                  <w:r>
                    <w:rPr>
                      <w:rFonts w:hint="default"/>
                      <w:color w:val="auto"/>
                      <w:spacing w:val="-6"/>
                      <w:sz w:val="21"/>
                      <w:szCs w:val="21"/>
                      <w:highlight w:val="none"/>
                      <w:vertAlign w:val="subscript"/>
                    </w:rPr>
                    <w:t>6</w:t>
                  </w:r>
                  <w:r>
                    <w:rPr>
                      <w:rFonts w:hint="default"/>
                      <w:color w:val="auto"/>
                      <w:spacing w:val="-6"/>
                      <w:sz w:val="21"/>
                      <w:szCs w:val="21"/>
                      <w:highlight w:val="none"/>
                    </w:rPr>
                    <w:t>-C</w:t>
                  </w:r>
                  <w:r>
                    <w:rPr>
                      <w:rFonts w:hint="default"/>
                      <w:color w:val="auto"/>
                      <w:spacing w:val="-6"/>
                      <w:sz w:val="21"/>
                      <w:szCs w:val="21"/>
                      <w:highlight w:val="none"/>
                      <w:vertAlign w:val="subscript"/>
                    </w:rPr>
                    <w:t>9</w:t>
                  </w:r>
                  <w:r>
                    <w:rPr>
                      <w:rFonts w:hint="default"/>
                      <w:color w:val="auto"/>
                      <w:spacing w:val="-6"/>
                      <w:sz w:val="21"/>
                      <w:szCs w:val="21"/>
                      <w:highlight w:val="none"/>
                    </w:rPr>
                    <w:t>）*</w:t>
                  </w:r>
                </w:p>
              </w:tc>
              <w:tc>
                <w:tcPr>
                  <w:tcW w:w="1324" w:type="pct"/>
                  <w:tcBorders>
                    <w:tl2br w:val="nil"/>
                    <w:tr2bl w:val="nil"/>
                  </w:tcBorders>
                  <w:noWrap w:val="0"/>
                  <w:vAlign w:val="center"/>
                </w:tcPr>
                <w:p w14:paraId="757E4D97">
                  <w:pPr>
                    <w:keepNext w:val="0"/>
                    <w:keepLines w:val="0"/>
                    <w:suppressLineNumbers w:val="0"/>
                    <w:spacing w:before="0" w:beforeAutospacing="0" w:after="0" w:afterAutospacing="0"/>
                    <w:ind w:left="0" w:right="0"/>
                    <w:jc w:val="center"/>
                    <w:rPr>
                      <w:rFonts w:hint="default"/>
                      <w:color w:val="auto"/>
                      <w:kern w:val="0"/>
                      <w:sz w:val="21"/>
                      <w:szCs w:val="21"/>
                      <w:highlight w:val="none"/>
                    </w:rPr>
                  </w:pPr>
                  <w:r>
                    <w:rPr>
                      <w:rFonts w:hint="default"/>
                      <w:color w:val="auto"/>
                      <w:sz w:val="21"/>
                      <w:szCs w:val="21"/>
                      <w:highlight w:val="none"/>
                    </w:rPr>
                    <w:t>土壤和沉积物 石油烃（C</w:t>
                  </w:r>
                  <w:r>
                    <w:rPr>
                      <w:rFonts w:hint="default"/>
                      <w:color w:val="auto"/>
                      <w:sz w:val="21"/>
                      <w:szCs w:val="21"/>
                      <w:highlight w:val="none"/>
                      <w:vertAlign w:val="subscript"/>
                    </w:rPr>
                    <w:t>6</w:t>
                  </w:r>
                  <w:r>
                    <w:rPr>
                      <w:rFonts w:hint="default"/>
                      <w:color w:val="auto"/>
                      <w:sz w:val="21"/>
                      <w:szCs w:val="21"/>
                      <w:highlight w:val="none"/>
                    </w:rPr>
                    <w:t>-C</w:t>
                  </w:r>
                  <w:r>
                    <w:rPr>
                      <w:rFonts w:hint="default"/>
                      <w:color w:val="auto"/>
                      <w:sz w:val="21"/>
                      <w:szCs w:val="21"/>
                      <w:highlight w:val="none"/>
                      <w:vertAlign w:val="subscript"/>
                    </w:rPr>
                    <w:t>9</w:t>
                  </w:r>
                  <w:r>
                    <w:rPr>
                      <w:rFonts w:hint="default"/>
                      <w:color w:val="auto"/>
                      <w:sz w:val="21"/>
                      <w:szCs w:val="21"/>
                      <w:highlight w:val="none"/>
                    </w:rPr>
                    <w:t>）的测定 吹扫捕集/气相色谱法</w:t>
                  </w:r>
                </w:p>
              </w:tc>
              <w:tc>
                <w:tcPr>
                  <w:tcW w:w="934" w:type="pct"/>
                  <w:tcBorders>
                    <w:tl2br w:val="nil"/>
                    <w:tr2bl w:val="nil"/>
                  </w:tcBorders>
                  <w:noWrap w:val="0"/>
                  <w:vAlign w:val="center"/>
                </w:tcPr>
                <w:p w14:paraId="3FCA1DF8">
                  <w:pPr>
                    <w:keepNext w:val="0"/>
                    <w:keepLines w:val="0"/>
                    <w:suppressLineNumbers w:val="0"/>
                    <w:spacing w:before="0" w:beforeAutospacing="0" w:after="0" w:afterAutospacing="0"/>
                    <w:ind w:left="0" w:right="0"/>
                    <w:jc w:val="center"/>
                    <w:rPr>
                      <w:rFonts w:hint="default"/>
                      <w:color w:val="auto"/>
                      <w:kern w:val="0"/>
                      <w:sz w:val="21"/>
                      <w:szCs w:val="21"/>
                      <w:highlight w:val="none"/>
                    </w:rPr>
                  </w:pPr>
                  <w:r>
                    <w:rPr>
                      <w:rFonts w:hint="default"/>
                      <w:color w:val="auto"/>
                      <w:sz w:val="21"/>
                      <w:szCs w:val="21"/>
                      <w:highlight w:val="none"/>
                    </w:rPr>
                    <w:t>HJ 1020-2019</w:t>
                  </w:r>
                </w:p>
              </w:tc>
              <w:tc>
                <w:tcPr>
                  <w:tcW w:w="1169" w:type="pct"/>
                  <w:tcBorders>
                    <w:tl2br w:val="nil"/>
                    <w:tr2bl w:val="nil"/>
                  </w:tcBorders>
                  <w:noWrap w:val="0"/>
                  <w:vAlign w:val="center"/>
                </w:tcPr>
                <w:p w14:paraId="0EEBE66F">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Intuvo9000气相</w:t>
                  </w:r>
                </w:p>
                <w:p w14:paraId="180BF4FE">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 xml:space="preserve">色谱仪 </w:t>
                  </w:r>
                </w:p>
                <w:p w14:paraId="67947B5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（CHYC/01-3024）</w:t>
                  </w:r>
                </w:p>
              </w:tc>
              <w:tc>
                <w:tcPr>
                  <w:tcW w:w="706" w:type="pct"/>
                  <w:tcBorders>
                    <w:tl2br w:val="nil"/>
                    <w:tr2bl w:val="nil"/>
                  </w:tcBorders>
                  <w:noWrap w:val="0"/>
                  <w:vAlign w:val="center"/>
                </w:tcPr>
                <w:p w14:paraId="622E8F91">
                  <w:pPr>
                    <w:keepNext w:val="0"/>
                    <w:keepLines w:val="0"/>
                    <w:suppressLineNumbers w:val="0"/>
                    <w:spacing w:before="0" w:beforeAutospacing="0" w:after="0" w:afterAutospacing="0"/>
                    <w:ind w:left="0" w:right="0"/>
                    <w:jc w:val="center"/>
                    <w:rPr>
                      <w:rFonts w:hint="default"/>
                      <w:color w:val="auto"/>
                      <w:kern w:val="0"/>
                      <w:sz w:val="21"/>
                      <w:szCs w:val="21"/>
                      <w:highlight w:val="none"/>
                    </w:rPr>
                  </w:pPr>
                  <w:r>
                    <w:rPr>
                      <w:rFonts w:hint="default"/>
                      <w:color w:val="auto"/>
                      <w:sz w:val="21"/>
                      <w:szCs w:val="21"/>
                      <w:highlight w:val="none"/>
                    </w:rPr>
                    <w:t>0.04mg/kg</w:t>
                  </w:r>
                </w:p>
              </w:tc>
            </w:tr>
            <w:tr w14:paraId="25EA7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447DCC19">
                  <w:pPr>
                    <w:keepNext w:val="0"/>
                    <w:keepLines w:val="0"/>
                    <w:suppressLineNumbers w:val="0"/>
                    <w:autoSpaceDE w:val="0"/>
                    <w:autoSpaceDN w:val="0"/>
                    <w:spacing w:before="0" w:beforeAutospacing="0" w:after="0" w:afterAutospacing="0"/>
                    <w:ind w:left="0" w:right="0"/>
                    <w:jc w:val="center"/>
                    <w:rPr>
                      <w:rFonts w:hint="default"/>
                      <w:color w:val="auto"/>
                      <w:spacing w:val="-6"/>
                      <w:sz w:val="21"/>
                      <w:szCs w:val="21"/>
                      <w:highlight w:val="none"/>
                    </w:rPr>
                  </w:pPr>
                  <w:r>
                    <w:rPr>
                      <w:rFonts w:hint="default"/>
                      <w:color w:val="auto"/>
                      <w:spacing w:val="-6"/>
                      <w:sz w:val="21"/>
                      <w:szCs w:val="21"/>
                      <w:highlight w:val="none"/>
                    </w:rPr>
                    <w:t>石油类*</w:t>
                  </w:r>
                </w:p>
              </w:tc>
              <w:tc>
                <w:tcPr>
                  <w:tcW w:w="1324" w:type="pct"/>
                  <w:tcBorders>
                    <w:tl2br w:val="nil"/>
                    <w:tr2bl w:val="nil"/>
                  </w:tcBorders>
                  <w:noWrap w:val="0"/>
                  <w:vAlign w:val="center"/>
                </w:tcPr>
                <w:p w14:paraId="466605B5">
                  <w:pPr>
                    <w:keepNext w:val="0"/>
                    <w:keepLines w:val="0"/>
                    <w:suppressLineNumbers w:val="0"/>
                    <w:spacing w:before="0" w:beforeAutospacing="0" w:after="0" w:afterAutospacing="0"/>
                    <w:ind w:left="0" w:right="0"/>
                    <w:jc w:val="center"/>
                    <w:rPr>
                      <w:rFonts w:hint="default"/>
                      <w:color w:val="auto"/>
                      <w:kern w:val="0"/>
                      <w:sz w:val="21"/>
                      <w:szCs w:val="21"/>
                      <w:highlight w:val="none"/>
                    </w:rPr>
                  </w:pPr>
                  <w:r>
                    <w:rPr>
                      <w:rFonts w:hint="default"/>
                      <w:color w:val="auto"/>
                      <w:sz w:val="21"/>
                      <w:szCs w:val="21"/>
                      <w:highlight w:val="none"/>
                    </w:rPr>
                    <w:t>土壤 石油类的测定 红外分光光度法</w:t>
                  </w:r>
                </w:p>
              </w:tc>
              <w:tc>
                <w:tcPr>
                  <w:tcW w:w="934" w:type="pct"/>
                  <w:tcBorders>
                    <w:tl2br w:val="nil"/>
                    <w:tr2bl w:val="nil"/>
                  </w:tcBorders>
                  <w:noWrap w:val="0"/>
                  <w:vAlign w:val="center"/>
                </w:tcPr>
                <w:p w14:paraId="70F74020">
                  <w:pPr>
                    <w:keepNext w:val="0"/>
                    <w:keepLines w:val="0"/>
                    <w:suppressLineNumbers w:val="0"/>
                    <w:spacing w:before="0" w:beforeAutospacing="0" w:after="0" w:afterAutospacing="0"/>
                    <w:ind w:left="0" w:right="0"/>
                    <w:jc w:val="center"/>
                    <w:rPr>
                      <w:rFonts w:hint="default"/>
                      <w:color w:val="auto"/>
                      <w:kern w:val="0"/>
                      <w:sz w:val="21"/>
                      <w:szCs w:val="21"/>
                      <w:highlight w:val="none"/>
                    </w:rPr>
                  </w:pPr>
                  <w:r>
                    <w:rPr>
                      <w:rFonts w:hint="default"/>
                      <w:color w:val="auto"/>
                      <w:sz w:val="21"/>
                      <w:szCs w:val="21"/>
                      <w:highlight w:val="none"/>
                    </w:rPr>
                    <w:t>HJ 1051-2019</w:t>
                  </w:r>
                </w:p>
              </w:tc>
              <w:tc>
                <w:tcPr>
                  <w:tcW w:w="1169" w:type="pct"/>
                  <w:tcBorders>
                    <w:tl2br w:val="nil"/>
                    <w:tr2bl w:val="nil"/>
                  </w:tcBorders>
                  <w:noWrap w:val="0"/>
                  <w:vAlign w:val="center"/>
                </w:tcPr>
                <w:p w14:paraId="03B06DA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JLBG-125u红外分光测油仪</w:t>
                  </w:r>
                </w:p>
                <w:p w14:paraId="11B7587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（CHYC/01-1025）</w:t>
                  </w:r>
                </w:p>
              </w:tc>
              <w:tc>
                <w:tcPr>
                  <w:tcW w:w="706" w:type="pct"/>
                  <w:tcBorders>
                    <w:tl2br w:val="nil"/>
                    <w:tr2bl w:val="nil"/>
                  </w:tcBorders>
                  <w:noWrap w:val="0"/>
                  <w:vAlign w:val="center"/>
                </w:tcPr>
                <w:p w14:paraId="58C16C66">
                  <w:pPr>
                    <w:keepNext w:val="0"/>
                    <w:keepLines w:val="0"/>
                    <w:suppressLineNumbers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lang w:bidi="ar"/>
                    </w:rPr>
                    <w:t>4mg/kg</w:t>
                  </w:r>
                </w:p>
              </w:tc>
            </w:tr>
            <w:tr w14:paraId="6D940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66B85610">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氯甲烷*</w:t>
                  </w:r>
                </w:p>
              </w:tc>
              <w:tc>
                <w:tcPr>
                  <w:tcW w:w="1324" w:type="pct"/>
                  <w:tcBorders>
                    <w:tl2br w:val="nil"/>
                    <w:tr2bl w:val="nil"/>
                  </w:tcBorders>
                  <w:noWrap w:val="0"/>
                  <w:vAlign w:val="center"/>
                </w:tcPr>
                <w:p w14:paraId="7B80BDCD">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土壤和沉积物 挥发性有机物的测定 吹扫捕集/气相色谱-质谱法</w:t>
                  </w:r>
                </w:p>
              </w:tc>
              <w:tc>
                <w:tcPr>
                  <w:tcW w:w="934" w:type="pct"/>
                  <w:tcBorders>
                    <w:tl2br w:val="nil"/>
                    <w:tr2bl w:val="nil"/>
                  </w:tcBorders>
                  <w:noWrap w:val="0"/>
                  <w:vAlign w:val="center"/>
                </w:tcPr>
                <w:p w14:paraId="54F65BD4">
                  <w:pPr>
                    <w:pStyle w:val="40"/>
                    <w:keepNext w:val="0"/>
                    <w:keepLines w:val="0"/>
                    <w:suppressLineNumbers w:val="0"/>
                    <w:snapToGrid w:val="0"/>
                    <w:spacing w:before="0" w:beforeAutospacing="0" w:after="0" w:afterAutospacing="0"/>
                    <w:ind w:left="0" w:right="0"/>
                    <w:rPr>
                      <w:rFonts w:hint="default" w:cs="Times New Roman"/>
                      <w:color w:val="auto"/>
                      <w:kern w:val="0"/>
                      <w:sz w:val="21"/>
                      <w:szCs w:val="21"/>
                      <w:highlight w:val="none"/>
                    </w:rPr>
                  </w:pPr>
                  <w:r>
                    <w:rPr>
                      <w:rFonts w:hint="default" w:cs="Times New Roman"/>
                      <w:color w:val="auto"/>
                      <w:kern w:val="0"/>
                      <w:sz w:val="21"/>
                      <w:szCs w:val="21"/>
                      <w:highlight w:val="none"/>
                    </w:rPr>
                    <w:t>HJ 605-2011</w:t>
                  </w:r>
                </w:p>
              </w:tc>
              <w:tc>
                <w:tcPr>
                  <w:tcW w:w="1169" w:type="pct"/>
                  <w:tcBorders>
                    <w:tl2br w:val="nil"/>
                    <w:tr2bl w:val="nil"/>
                  </w:tcBorders>
                  <w:noWrap w:val="0"/>
                  <w:vAlign w:val="center"/>
                </w:tcPr>
                <w:p w14:paraId="32694DBE">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Intuvo9000+5977B气相色谱质谱联用仪</w:t>
                  </w:r>
                </w:p>
                <w:p w14:paraId="14DF6B1D">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(CHYC/01-3023)</w:t>
                  </w:r>
                </w:p>
              </w:tc>
              <w:tc>
                <w:tcPr>
                  <w:tcW w:w="706" w:type="pct"/>
                  <w:tcBorders>
                    <w:tl2br w:val="nil"/>
                    <w:tr2bl w:val="nil"/>
                  </w:tcBorders>
                  <w:noWrap w:val="0"/>
                  <w:vAlign w:val="center"/>
                </w:tcPr>
                <w:p w14:paraId="3B4D1979">
                  <w:pPr>
                    <w:keepNext w:val="0"/>
                    <w:keepLines w:val="0"/>
                    <w:suppressLineNumbers w:val="0"/>
                    <w:spacing w:before="0" w:beforeAutospacing="0" w:after="0" w:afterAutospacing="0"/>
                    <w:ind w:left="0" w:right="0"/>
                    <w:jc w:val="center"/>
                    <w:rPr>
                      <w:rFonts w:hint="default"/>
                      <w:color w:val="auto"/>
                      <w:kern w:val="0"/>
                      <w:sz w:val="21"/>
                      <w:szCs w:val="21"/>
                      <w:highlight w:val="none"/>
                    </w:rPr>
                  </w:pPr>
                  <w:r>
                    <w:rPr>
                      <w:rFonts w:hint="default"/>
                      <w:color w:val="auto"/>
                      <w:kern w:val="0"/>
                      <w:sz w:val="21"/>
                      <w:szCs w:val="21"/>
                      <w:highlight w:val="none"/>
                    </w:rPr>
                    <w:t>0.0010mg/kg</w:t>
                  </w:r>
                </w:p>
              </w:tc>
            </w:tr>
            <w:tr w14:paraId="491B2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16365ACD">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硝基苯*</w:t>
                  </w:r>
                </w:p>
              </w:tc>
              <w:tc>
                <w:tcPr>
                  <w:tcW w:w="1324" w:type="pct"/>
                  <w:vMerge w:val="restart"/>
                  <w:tcBorders>
                    <w:tl2br w:val="nil"/>
                    <w:tr2bl w:val="nil"/>
                  </w:tcBorders>
                  <w:noWrap w:val="0"/>
                  <w:vAlign w:val="center"/>
                </w:tcPr>
                <w:p w14:paraId="4B57635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土壤和沉积物 半挥发性有机物的测定 气相色谱-质谱法</w:t>
                  </w:r>
                </w:p>
              </w:tc>
              <w:tc>
                <w:tcPr>
                  <w:tcW w:w="934" w:type="pct"/>
                  <w:vMerge w:val="restart"/>
                  <w:tcBorders>
                    <w:tl2br w:val="nil"/>
                    <w:tr2bl w:val="nil"/>
                  </w:tcBorders>
                  <w:noWrap w:val="0"/>
                  <w:vAlign w:val="center"/>
                </w:tcPr>
                <w:p w14:paraId="128234DF">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r>
                    <w:rPr>
                      <w:rFonts w:hint="default" w:cs="Times New Roman"/>
                      <w:color w:val="auto"/>
                      <w:kern w:val="0"/>
                      <w:sz w:val="21"/>
                      <w:szCs w:val="21"/>
                      <w:highlight w:val="none"/>
                    </w:rPr>
                    <w:t>HJ 834-2017</w:t>
                  </w:r>
                </w:p>
              </w:tc>
              <w:tc>
                <w:tcPr>
                  <w:tcW w:w="1169" w:type="pct"/>
                  <w:vMerge w:val="restart"/>
                  <w:tcBorders>
                    <w:tl2br w:val="nil"/>
                    <w:tr2bl w:val="nil"/>
                  </w:tcBorders>
                  <w:noWrap w:val="0"/>
                  <w:vAlign w:val="center"/>
                </w:tcPr>
                <w:p w14:paraId="2590120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7890B+5977B气相色谱质谱联用仪(CHYC/01-3001)</w:t>
                  </w:r>
                </w:p>
              </w:tc>
              <w:tc>
                <w:tcPr>
                  <w:tcW w:w="706" w:type="pct"/>
                  <w:tcBorders>
                    <w:tl2br w:val="nil"/>
                    <w:tr2bl w:val="nil"/>
                  </w:tcBorders>
                  <w:noWrap w:val="0"/>
                  <w:vAlign w:val="center"/>
                </w:tcPr>
                <w:p w14:paraId="601ECAF1">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0.09mg/kg</w:t>
                  </w:r>
                </w:p>
              </w:tc>
            </w:tr>
            <w:tr w14:paraId="2C633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39815229">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2-氯酚*</w:t>
                  </w:r>
                </w:p>
              </w:tc>
              <w:tc>
                <w:tcPr>
                  <w:tcW w:w="1324" w:type="pct"/>
                  <w:vMerge w:val="continue"/>
                  <w:tcBorders>
                    <w:tl2br w:val="nil"/>
                    <w:tr2bl w:val="nil"/>
                  </w:tcBorders>
                  <w:noWrap w:val="0"/>
                  <w:vAlign w:val="center"/>
                </w:tcPr>
                <w:p w14:paraId="47E6A083">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934" w:type="pct"/>
                  <w:vMerge w:val="continue"/>
                  <w:tcBorders>
                    <w:tl2br w:val="nil"/>
                    <w:tr2bl w:val="nil"/>
                  </w:tcBorders>
                  <w:noWrap w:val="0"/>
                  <w:vAlign w:val="center"/>
                </w:tcPr>
                <w:p w14:paraId="2A20A34F">
                  <w:pPr>
                    <w:pStyle w:val="40"/>
                    <w:keepNext w:val="0"/>
                    <w:keepLines w:val="0"/>
                    <w:suppressLineNumbers w:val="0"/>
                    <w:snapToGrid w:val="0"/>
                    <w:spacing w:before="0" w:beforeAutospacing="0" w:after="0" w:afterAutospacing="0"/>
                    <w:ind w:left="315" w:right="0" w:hanging="315"/>
                    <w:rPr>
                      <w:rFonts w:hint="default" w:cs="Times New Roman"/>
                      <w:color w:val="auto"/>
                      <w:kern w:val="0"/>
                      <w:sz w:val="21"/>
                      <w:szCs w:val="21"/>
                      <w:highlight w:val="none"/>
                    </w:rPr>
                  </w:pPr>
                </w:p>
              </w:tc>
              <w:tc>
                <w:tcPr>
                  <w:tcW w:w="1169" w:type="pct"/>
                  <w:vMerge w:val="continue"/>
                  <w:tcBorders>
                    <w:tl2br w:val="nil"/>
                    <w:tr2bl w:val="nil"/>
                  </w:tcBorders>
                  <w:noWrap w:val="0"/>
                  <w:vAlign w:val="center"/>
                </w:tcPr>
                <w:p w14:paraId="30EB1F83">
                  <w:pPr>
                    <w:pStyle w:val="20"/>
                    <w:keepNext w:val="0"/>
                    <w:keepLines w:val="0"/>
                    <w:suppressLineNumbers w:val="0"/>
                    <w:spacing w:before="0" w:beforeAutospacing="0" w:after="0" w:afterAutospacing="0" w:line="240" w:lineRule="auto"/>
                    <w:ind w:leftChars="0" w:right="0" w:firstLine="0" w:firstLineChars="0"/>
                    <w:jc w:val="center"/>
                    <w:rPr>
                      <w:rFonts w:hint="default"/>
                      <w:color w:val="auto"/>
                      <w:sz w:val="21"/>
                      <w:szCs w:val="21"/>
                      <w:highlight w:val="none"/>
                    </w:rPr>
                  </w:pPr>
                </w:p>
              </w:tc>
              <w:tc>
                <w:tcPr>
                  <w:tcW w:w="706" w:type="pct"/>
                  <w:tcBorders>
                    <w:tl2br w:val="nil"/>
                    <w:tr2bl w:val="nil"/>
                  </w:tcBorders>
                  <w:noWrap w:val="0"/>
                  <w:vAlign w:val="center"/>
                </w:tcPr>
                <w:p w14:paraId="374E872D">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rPr>
                    <w:t>0.06mg/kg</w:t>
                  </w:r>
                </w:p>
              </w:tc>
            </w:tr>
            <w:tr w14:paraId="6A35D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864" w:type="pct"/>
                  <w:tcBorders>
                    <w:tl2br w:val="nil"/>
                    <w:tr2bl w:val="nil"/>
                  </w:tcBorders>
                  <w:noWrap w:val="0"/>
                  <w:vAlign w:val="center"/>
                </w:tcPr>
                <w:p w14:paraId="1D093689">
                  <w:pPr>
                    <w:keepNext w:val="0"/>
                    <w:keepLines w:val="0"/>
                    <w:suppressLineNumbers w:val="0"/>
                    <w:autoSpaceDE w:val="0"/>
                    <w:autoSpaceDN w:val="0"/>
                    <w:adjustRightIn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苯胺*</w:t>
                  </w:r>
                </w:p>
              </w:tc>
              <w:tc>
                <w:tcPr>
                  <w:tcW w:w="1324" w:type="pct"/>
                  <w:tcBorders>
                    <w:tl2br w:val="nil"/>
                    <w:tr2bl w:val="nil"/>
                  </w:tcBorders>
                  <w:noWrap w:val="0"/>
                  <w:vAlign w:val="center"/>
                </w:tcPr>
                <w:p w14:paraId="677557D1">
                  <w:pPr>
                    <w:keepNext w:val="0"/>
                    <w:keepLines w:val="0"/>
                    <w:widowControl/>
                    <w:suppressLineNumbers w:val="0"/>
                    <w:autoSpaceDE w:val="0"/>
                    <w:spacing w:before="0" w:beforeAutospacing="0" w:after="0" w:afterAutospacing="0"/>
                    <w:ind w:left="0" w:right="0"/>
                    <w:jc w:val="center"/>
                    <w:textAlignment w:val="center"/>
                    <w:rPr>
                      <w:rFonts w:hint="default"/>
                      <w:color w:val="auto"/>
                      <w:sz w:val="21"/>
                      <w:szCs w:val="21"/>
                      <w:highlight w:val="none"/>
                    </w:rPr>
                  </w:pPr>
                  <w:r>
                    <w:rPr>
                      <w:rFonts w:hint="default"/>
                      <w:color w:val="auto"/>
                      <w:sz w:val="21"/>
                      <w:szCs w:val="21"/>
                      <w:highlight w:val="none"/>
                    </w:rPr>
                    <w:t>土壤和沉积物 13种苯胺类和2种联苯胺类化合物的测定 液相色谱-三重四极杆质谱法</w:t>
                  </w:r>
                </w:p>
              </w:tc>
              <w:tc>
                <w:tcPr>
                  <w:tcW w:w="934" w:type="pct"/>
                  <w:tcBorders>
                    <w:tl2br w:val="nil"/>
                    <w:tr2bl w:val="nil"/>
                  </w:tcBorders>
                  <w:noWrap w:val="0"/>
                  <w:vAlign w:val="center"/>
                </w:tcPr>
                <w:p w14:paraId="684A95AE">
                  <w:pPr>
                    <w:keepNext w:val="0"/>
                    <w:keepLines w:val="0"/>
                    <w:widowControl/>
                    <w:suppressLineNumbers w:val="0"/>
                    <w:autoSpaceDE w:val="0"/>
                    <w:spacing w:before="0" w:beforeAutospacing="0" w:after="0" w:afterAutospacing="0"/>
                    <w:ind w:left="0" w:right="0"/>
                    <w:jc w:val="center"/>
                    <w:textAlignment w:val="center"/>
                    <w:rPr>
                      <w:rFonts w:hint="default"/>
                      <w:color w:val="auto"/>
                      <w:sz w:val="21"/>
                      <w:szCs w:val="21"/>
                      <w:highlight w:val="none"/>
                    </w:rPr>
                  </w:pPr>
                  <w:r>
                    <w:rPr>
                      <w:rFonts w:hint="default"/>
                      <w:color w:val="auto"/>
                      <w:sz w:val="21"/>
                      <w:szCs w:val="21"/>
                      <w:highlight w:val="none"/>
                    </w:rPr>
                    <w:t>HJ 1210-2021</w:t>
                  </w:r>
                </w:p>
              </w:tc>
              <w:tc>
                <w:tcPr>
                  <w:tcW w:w="1169" w:type="pct"/>
                  <w:tcBorders>
                    <w:tl2br w:val="nil"/>
                    <w:tr2bl w:val="nil"/>
                  </w:tcBorders>
                  <w:noWrap w:val="0"/>
                  <w:vAlign w:val="center"/>
                </w:tcPr>
                <w:p w14:paraId="6E3A8F5C">
                  <w:pPr>
                    <w:keepNext w:val="0"/>
                    <w:keepLines w:val="0"/>
                    <w:widowControl/>
                    <w:suppressLineNumbers w:val="0"/>
                    <w:autoSpaceDE w:val="0"/>
                    <w:spacing w:before="0" w:beforeAutospacing="0" w:after="0" w:afterAutospacing="0"/>
                    <w:ind w:left="0" w:right="0"/>
                    <w:jc w:val="center"/>
                    <w:textAlignment w:val="center"/>
                    <w:rPr>
                      <w:rFonts w:hint="default"/>
                      <w:color w:val="auto"/>
                      <w:sz w:val="21"/>
                      <w:szCs w:val="21"/>
                      <w:highlight w:val="none"/>
                    </w:rPr>
                  </w:pPr>
                  <w:r>
                    <w:rPr>
                      <w:rFonts w:hint="default"/>
                      <w:color w:val="auto"/>
                      <w:sz w:val="21"/>
                      <w:szCs w:val="21"/>
                      <w:highlight w:val="none"/>
                    </w:rPr>
                    <w:t>1290 infinity Ⅱ+Ultivo液相色谱三重四极杆质谱联用仪（CHYC/01-3025）</w:t>
                  </w:r>
                </w:p>
              </w:tc>
              <w:tc>
                <w:tcPr>
                  <w:tcW w:w="706" w:type="pct"/>
                  <w:tcBorders>
                    <w:tl2br w:val="nil"/>
                    <w:tr2bl w:val="nil"/>
                  </w:tcBorders>
                  <w:noWrap w:val="0"/>
                  <w:vAlign w:val="center"/>
                </w:tcPr>
                <w:p w14:paraId="2655F40C">
                  <w:pPr>
                    <w:keepNext w:val="0"/>
                    <w:keepLines w:val="0"/>
                    <w:widowControl/>
                    <w:suppressLineNumbers w:val="0"/>
                    <w:autoSpaceDE w:val="0"/>
                    <w:spacing w:before="0" w:beforeAutospacing="0" w:after="0" w:afterAutospacing="0"/>
                    <w:ind w:left="0" w:right="0"/>
                    <w:jc w:val="center"/>
                    <w:textAlignment w:val="center"/>
                    <w:rPr>
                      <w:rFonts w:hint="default"/>
                      <w:color w:val="auto"/>
                      <w:sz w:val="21"/>
                      <w:szCs w:val="21"/>
                      <w:highlight w:val="none"/>
                    </w:rPr>
                  </w:pPr>
                  <w:r>
                    <w:rPr>
                      <w:rFonts w:hint="default"/>
                      <w:color w:val="auto"/>
                      <w:sz w:val="21"/>
                      <w:szCs w:val="21"/>
                      <w:highlight w:val="none"/>
                    </w:rPr>
                    <w:t>0.002mg/kg</w:t>
                  </w:r>
                </w:p>
              </w:tc>
            </w:tr>
          </w:tbl>
          <w:p w14:paraId="630D5874">
            <w:pPr>
              <w:pStyle w:val="57"/>
              <w:keepNext w:val="0"/>
              <w:keepLines w:val="0"/>
              <w:suppressLineNumbers w:val="0"/>
              <w:spacing w:before="0" w:beforeAutospacing="0" w:after="0" w:afterAutospacing="0"/>
              <w:ind w:left="0" w:right="0" w:firstLine="482"/>
              <w:rPr>
                <w:rFonts w:hint="default"/>
                <w:b/>
                <w:bCs/>
                <w:color w:val="auto"/>
                <w:szCs w:val="24"/>
                <w:highlight w:val="none"/>
              </w:rPr>
            </w:pPr>
            <w:r>
              <w:rPr>
                <w:rFonts w:hint="default"/>
                <w:b/>
                <w:bCs/>
                <w:color w:val="auto"/>
                <w:szCs w:val="24"/>
                <w:highlight w:val="none"/>
              </w:rPr>
              <w:t>4、监测结果</w:t>
            </w:r>
          </w:p>
          <w:p w14:paraId="6DB7F7D3">
            <w:pPr>
              <w:keepNext w:val="0"/>
              <w:keepLines w:val="0"/>
              <w:suppressLineNumbers w:val="0"/>
              <w:kinsoku w:val="0"/>
              <w:overflowPunct w:val="0"/>
              <w:autoSpaceDE w:val="0"/>
              <w:autoSpaceDN w:val="0"/>
              <w:adjustRightInd w:val="0"/>
              <w:snapToGrid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项目土壤现状监测结果见表3-1</w:t>
            </w:r>
            <w:r>
              <w:rPr>
                <w:rFonts w:hint="eastAsia"/>
                <w:color w:val="auto"/>
                <w:sz w:val="24"/>
                <w:highlight w:val="none"/>
              </w:rPr>
              <w:t>1和表3-12</w:t>
            </w:r>
            <w:r>
              <w:rPr>
                <w:rFonts w:hint="default"/>
                <w:color w:val="auto"/>
                <w:sz w:val="24"/>
                <w:highlight w:val="none"/>
              </w:rPr>
              <w:t>。</w:t>
            </w:r>
          </w:p>
          <w:p w14:paraId="7EB61CB9">
            <w:pPr>
              <w:keepNext w:val="0"/>
              <w:keepLines w:val="0"/>
              <w:suppressLineNumbers w:val="0"/>
              <w:spacing w:before="0" w:beforeAutospacing="0" w:after="0" w:afterAutospacing="0" w:line="360" w:lineRule="auto"/>
              <w:ind w:left="0" w:right="0" w:firstLine="402" w:firstLineChars="200"/>
              <w:jc w:val="center"/>
              <w:rPr>
                <w:rFonts w:hint="eastAsia"/>
                <w:b/>
                <w:bCs/>
                <w:color w:val="auto"/>
                <w:szCs w:val="21"/>
                <w:highlight w:val="none"/>
              </w:rPr>
            </w:pPr>
            <w:r>
              <w:rPr>
                <w:rFonts w:hint="default" w:ascii="Times New Roman" w:hAnsi="Times New Roman" w:eastAsia="黑体" w:cs="Times New Roman"/>
                <w:b/>
                <w:bCs/>
                <w:color w:val="auto"/>
                <w:kern w:val="0"/>
                <w:sz w:val="20"/>
                <w:szCs w:val="20"/>
                <w:highlight w:val="none"/>
                <w:lang w:val="en-US" w:eastAsia="zh-CN"/>
              </w:rPr>
              <w:t>表3-1</w:t>
            </w:r>
            <w:r>
              <w:rPr>
                <w:rFonts w:hint="eastAsia" w:ascii="Times New Roman" w:hAnsi="Times New Roman" w:eastAsia="黑体" w:cs="Times New Roman"/>
                <w:b/>
                <w:bCs/>
                <w:color w:val="auto"/>
                <w:kern w:val="0"/>
                <w:sz w:val="20"/>
                <w:szCs w:val="20"/>
                <w:highlight w:val="none"/>
                <w:lang w:val="en-US" w:eastAsia="zh-CN"/>
              </w:rPr>
              <w:t>1</w:t>
            </w:r>
            <w:r>
              <w:rPr>
                <w:rFonts w:hint="default" w:ascii="Times New Roman" w:hAnsi="Times New Roman" w:eastAsia="黑体" w:cs="Times New Roman"/>
                <w:b/>
                <w:bCs/>
                <w:color w:val="auto"/>
                <w:kern w:val="0"/>
                <w:sz w:val="20"/>
                <w:szCs w:val="20"/>
                <w:highlight w:val="none"/>
                <w:lang w:val="en-US" w:eastAsia="zh-CN"/>
              </w:rPr>
              <w:t xml:space="preserve"> 项目</w:t>
            </w:r>
            <w:r>
              <w:rPr>
                <w:rFonts w:hint="eastAsia" w:ascii="Times New Roman" w:hAnsi="Times New Roman" w:eastAsia="黑体" w:cs="Times New Roman"/>
                <w:b/>
                <w:bCs/>
                <w:color w:val="auto"/>
                <w:kern w:val="0"/>
                <w:sz w:val="20"/>
                <w:szCs w:val="20"/>
                <w:highlight w:val="none"/>
                <w:lang w:val="en-US" w:eastAsia="zh-CN"/>
              </w:rPr>
              <w:t>T2、T3点位</w:t>
            </w:r>
            <w:r>
              <w:rPr>
                <w:rFonts w:hint="default" w:ascii="Times New Roman" w:hAnsi="Times New Roman" w:eastAsia="黑体" w:cs="Times New Roman"/>
                <w:b/>
                <w:bCs/>
                <w:color w:val="auto"/>
                <w:kern w:val="0"/>
                <w:sz w:val="20"/>
                <w:szCs w:val="20"/>
                <w:highlight w:val="none"/>
                <w:lang w:val="en-US" w:eastAsia="zh-CN"/>
              </w:rPr>
              <w:t>土壤环境质量现状监测结果表（单位：mg/kg）</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2010"/>
              <w:gridCol w:w="1773"/>
              <w:gridCol w:w="1775"/>
              <w:gridCol w:w="1604"/>
            </w:tblGrid>
            <w:tr w14:paraId="26EAF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834" w:type="pct"/>
                  <w:vMerge w:val="restart"/>
                  <w:tcBorders>
                    <w:tl2br w:val="nil"/>
                    <w:tr2bl w:val="nil"/>
                  </w:tcBorders>
                  <w:noWrap w:val="0"/>
                  <w:vAlign w:val="center"/>
                </w:tcPr>
                <w:p w14:paraId="43F6E14D">
                  <w:pPr>
                    <w:keepNext w:val="0"/>
                    <w:keepLines w:val="0"/>
                    <w:suppressLineNumbers w:val="0"/>
                    <w:spacing w:before="0" w:beforeAutospacing="0" w:after="0" w:afterAutospacing="0"/>
                    <w:ind w:left="0" w:right="0"/>
                    <w:jc w:val="center"/>
                    <w:rPr>
                      <w:rFonts w:hint="default"/>
                      <w:b/>
                      <w:color w:val="auto"/>
                      <w:sz w:val="21"/>
                      <w:szCs w:val="21"/>
                      <w:highlight w:val="none"/>
                      <w:lang w:bidi="ar"/>
                    </w:rPr>
                  </w:pPr>
                  <w:r>
                    <w:rPr>
                      <w:rFonts w:hint="default"/>
                      <w:b/>
                      <w:color w:val="auto"/>
                      <w:sz w:val="21"/>
                      <w:szCs w:val="21"/>
                      <w:highlight w:val="none"/>
                      <w:lang w:bidi="ar"/>
                    </w:rPr>
                    <w:t>采样日期</w:t>
                  </w:r>
                </w:p>
              </w:tc>
              <w:tc>
                <w:tcPr>
                  <w:tcW w:w="1169" w:type="pct"/>
                  <w:vMerge w:val="restart"/>
                  <w:tcBorders>
                    <w:tl2br w:val="nil"/>
                    <w:tr2bl w:val="nil"/>
                  </w:tcBorders>
                  <w:noWrap w:val="0"/>
                  <w:vAlign w:val="center"/>
                </w:tcPr>
                <w:p w14:paraId="1EA53AA7">
                  <w:pPr>
                    <w:keepNext w:val="0"/>
                    <w:keepLines w:val="0"/>
                    <w:suppressLineNumbers w:val="0"/>
                    <w:spacing w:before="0" w:beforeAutospacing="0" w:after="0" w:afterAutospacing="0"/>
                    <w:ind w:left="0" w:right="0"/>
                    <w:jc w:val="center"/>
                    <w:rPr>
                      <w:rFonts w:hint="default"/>
                      <w:b/>
                      <w:color w:val="auto"/>
                      <w:sz w:val="21"/>
                      <w:szCs w:val="21"/>
                      <w:highlight w:val="none"/>
                      <w:lang w:bidi="ar"/>
                    </w:rPr>
                  </w:pPr>
                  <w:r>
                    <w:rPr>
                      <w:rFonts w:hint="default"/>
                      <w:b/>
                      <w:color w:val="auto"/>
                      <w:sz w:val="21"/>
                      <w:szCs w:val="21"/>
                      <w:highlight w:val="none"/>
                      <w:lang w:bidi="ar"/>
                    </w:rPr>
                    <w:t>检测</w:t>
                  </w:r>
                  <w:r>
                    <w:rPr>
                      <w:rFonts w:hint="eastAsia"/>
                      <w:b/>
                      <w:color w:val="auto"/>
                      <w:sz w:val="21"/>
                      <w:szCs w:val="21"/>
                      <w:highlight w:val="none"/>
                      <w:lang w:bidi="ar"/>
                    </w:rPr>
                    <w:t>因子</w:t>
                  </w:r>
                </w:p>
              </w:tc>
              <w:tc>
                <w:tcPr>
                  <w:tcW w:w="2063" w:type="pct"/>
                  <w:gridSpan w:val="2"/>
                  <w:tcBorders>
                    <w:tl2br w:val="nil"/>
                    <w:tr2bl w:val="nil"/>
                  </w:tcBorders>
                  <w:noWrap w:val="0"/>
                  <w:vAlign w:val="center"/>
                </w:tcPr>
                <w:p w14:paraId="3CE57B42">
                  <w:pPr>
                    <w:keepNext w:val="0"/>
                    <w:keepLines w:val="0"/>
                    <w:suppressLineNumbers w:val="0"/>
                    <w:spacing w:before="0" w:beforeAutospacing="0" w:after="0" w:afterAutospacing="0"/>
                    <w:ind w:left="0" w:right="0"/>
                    <w:jc w:val="center"/>
                    <w:rPr>
                      <w:rFonts w:hint="default"/>
                      <w:b/>
                      <w:color w:val="auto"/>
                      <w:sz w:val="21"/>
                      <w:szCs w:val="21"/>
                      <w:highlight w:val="none"/>
                      <w:lang w:bidi="ar"/>
                    </w:rPr>
                  </w:pPr>
                  <w:r>
                    <w:rPr>
                      <w:rFonts w:hint="default"/>
                      <w:b/>
                      <w:color w:val="auto"/>
                      <w:sz w:val="21"/>
                      <w:szCs w:val="21"/>
                      <w:highlight w:val="none"/>
                      <w:lang w:bidi="ar"/>
                    </w:rPr>
                    <w:t>检测</w:t>
                  </w:r>
                  <w:r>
                    <w:rPr>
                      <w:rFonts w:hint="eastAsia"/>
                      <w:b/>
                      <w:color w:val="auto"/>
                      <w:sz w:val="21"/>
                      <w:szCs w:val="21"/>
                      <w:highlight w:val="none"/>
                      <w:lang w:bidi="ar"/>
                    </w:rPr>
                    <w:t>点位</w:t>
                  </w:r>
                  <w:r>
                    <w:rPr>
                      <w:rFonts w:hint="default"/>
                      <w:b/>
                      <w:color w:val="auto"/>
                      <w:sz w:val="21"/>
                      <w:szCs w:val="21"/>
                      <w:highlight w:val="none"/>
                      <w:lang w:bidi="ar"/>
                    </w:rPr>
                    <w:t>及检测结果</w:t>
                  </w:r>
                </w:p>
              </w:tc>
              <w:tc>
                <w:tcPr>
                  <w:tcW w:w="932" w:type="pct"/>
                  <w:vMerge w:val="restart"/>
                  <w:tcBorders>
                    <w:tl2br w:val="nil"/>
                    <w:tr2bl w:val="nil"/>
                  </w:tcBorders>
                  <w:noWrap w:val="0"/>
                  <w:vAlign w:val="center"/>
                </w:tcPr>
                <w:p w14:paraId="4BDA28A3">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r>
                    <w:rPr>
                      <w:rFonts w:hint="default"/>
                      <w:b/>
                      <w:color w:val="auto"/>
                      <w:sz w:val="21"/>
                      <w:szCs w:val="21"/>
                      <w:highlight w:val="none"/>
                    </w:rPr>
                    <w:t>第二类用地筛选值标准</w:t>
                  </w:r>
                </w:p>
              </w:tc>
            </w:tr>
            <w:tr w14:paraId="52006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834" w:type="pct"/>
                  <w:vMerge w:val="continue"/>
                  <w:tcBorders>
                    <w:tl2br w:val="nil"/>
                    <w:tr2bl w:val="nil"/>
                  </w:tcBorders>
                  <w:noWrap w:val="0"/>
                  <w:vAlign w:val="center"/>
                </w:tcPr>
                <w:p w14:paraId="6A2AD696">
                  <w:pPr>
                    <w:keepNext w:val="0"/>
                    <w:keepLines w:val="0"/>
                    <w:suppressLineNumbers w:val="0"/>
                    <w:spacing w:before="0" w:beforeAutospacing="0" w:after="0" w:afterAutospacing="0"/>
                    <w:ind w:left="0" w:right="0"/>
                    <w:jc w:val="center"/>
                    <w:rPr>
                      <w:rFonts w:hint="default"/>
                      <w:b/>
                      <w:color w:val="auto"/>
                      <w:sz w:val="21"/>
                      <w:szCs w:val="21"/>
                      <w:highlight w:val="none"/>
                      <w:lang w:bidi="ar"/>
                    </w:rPr>
                  </w:pPr>
                </w:p>
              </w:tc>
              <w:tc>
                <w:tcPr>
                  <w:tcW w:w="1169" w:type="pct"/>
                  <w:vMerge w:val="continue"/>
                  <w:tcBorders>
                    <w:tl2br w:val="nil"/>
                    <w:tr2bl w:val="nil"/>
                  </w:tcBorders>
                  <w:noWrap w:val="0"/>
                  <w:vAlign w:val="center"/>
                </w:tcPr>
                <w:p w14:paraId="465F3BCE">
                  <w:pPr>
                    <w:keepNext w:val="0"/>
                    <w:keepLines w:val="0"/>
                    <w:suppressLineNumbers w:val="0"/>
                    <w:spacing w:before="0" w:beforeAutospacing="0" w:after="0" w:afterAutospacing="0"/>
                    <w:ind w:left="0" w:right="0"/>
                    <w:jc w:val="center"/>
                    <w:rPr>
                      <w:rFonts w:hint="default"/>
                      <w:b/>
                      <w:color w:val="auto"/>
                      <w:sz w:val="21"/>
                      <w:szCs w:val="21"/>
                      <w:highlight w:val="none"/>
                      <w:lang w:bidi="ar"/>
                    </w:rPr>
                  </w:pPr>
                </w:p>
              </w:tc>
              <w:tc>
                <w:tcPr>
                  <w:tcW w:w="1031" w:type="pct"/>
                  <w:tcBorders>
                    <w:tl2br w:val="nil"/>
                    <w:tr2bl w:val="nil"/>
                  </w:tcBorders>
                  <w:noWrap w:val="0"/>
                  <w:vAlign w:val="center"/>
                </w:tcPr>
                <w:p w14:paraId="4AA42941">
                  <w:pPr>
                    <w:keepNext w:val="0"/>
                    <w:keepLines w:val="0"/>
                    <w:suppressLineNumbers w:val="0"/>
                    <w:spacing w:before="0" w:beforeAutospacing="0" w:after="0" w:afterAutospacing="0"/>
                    <w:ind w:left="0" w:right="0"/>
                    <w:jc w:val="center"/>
                    <w:rPr>
                      <w:rFonts w:hint="default"/>
                      <w:b/>
                      <w:color w:val="auto"/>
                      <w:sz w:val="21"/>
                      <w:szCs w:val="21"/>
                      <w:highlight w:val="none"/>
                      <w:lang w:bidi="ar"/>
                    </w:rPr>
                  </w:pPr>
                  <w:r>
                    <w:rPr>
                      <w:rFonts w:hint="eastAsia"/>
                      <w:b/>
                      <w:color w:val="auto"/>
                      <w:sz w:val="21"/>
                      <w:szCs w:val="21"/>
                      <w:highlight w:val="none"/>
                      <w:lang w:bidi="ar"/>
                    </w:rPr>
                    <w:t>T2，项目拟建加油加气区</w:t>
                  </w:r>
                </w:p>
              </w:tc>
              <w:tc>
                <w:tcPr>
                  <w:tcW w:w="1032" w:type="pct"/>
                  <w:tcBorders>
                    <w:tl2br w:val="nil"/>
                    <w:tr2bl w:val="nil"/>
                  </w:tcBorders>
                  <w:noWrap w:val="0"/>
                  <w:vAlign w:val="center"/>
                </w:tcPr>
                <w:p w14:paraId="1DE46DCB">
                  <w:pPr>
                    <w:keepNext w:val="0"/>
                    <w:keepLines w:val="0"/>
                    <w:suppressLineNumbers w:val="0"/>
                    <w:spacing w:before="0" w:beforeAutospacing="0" w:after="0" w:afterAutospacing="0"/>
                    <w:ind w:left="0" w:right="0"/>
                    <w:jc w:val="center"/>
                    <w:rPr>
                      <w:rFonts w:hint="default"/>
                      <w:b/>
                      <w:color w:val="auto"/>
                      <w:sz w:val="21"/>
                      <w:szCs w:val="21"/>
                      <w:highlight w:val="none"/>
                      <w:lang w:bidi="ar"/>
                    </w:rPr>
                  </w:pPr>
                  <w:r>
                    <w:rPr>
                      <w:rFonts w:hint="eastAsia"/>
                      <w:b/>
                      <w:color w:val="auto"/>
                      <w:sz w:val="21"/>
                      <w:szCs w:val="21"/>
                      <w:highlight w:val="none"/>
                      <w:lang w:bidi="ar"/>
                    </w:rPr>
                    <w:t>T3，项目拟建站房区</w:t>
                  </w:r>
                </w:p>
              </w:tc>
              <w:tc>
                <w:tcPr>
                  <w:tcW w:w="932" w:type="pct"/>
                  <w:vMerge w:val="continue"/>
                  <w:tcBorders>
                    <w:tl2br w:val="nil"/>
                    <w:tr2bl w:val="nil"/>
                  </w:tcBorders>
                  <w:noWrap w:val="0"/>
                  <w:vAlign w:val="center"/>
                </w:tcPr>
                <w:p w14:paraId="228053C9">
                  <w:pPr>
                    <w:keepNext w:val="0"/>
                    <w:keepLines w:val="0"/>
                    <w:suppressLineNumbers w:val="0"/>
                    <w:spacing w:before="0" w:beforeAutospacing="0" w:after="0" w:afterAutospacing="0"/>
                    <w:ind w:left="0" w:right="0"/>
                    <w:jc w:val="center"/>
                    <w:rPr>
                      <w:rFonts w:hint="eastAsia"/>
                      <w:bCs/>
                      <w:color w:val="auto"/>
                      <w:sz w:val="21"/>
                      <w:szCs w:val="21"/>
                      <w:highlight w:val="none"/>
                      <w:lang w:bidi="ar"/>
                    </w:rPr>
                  </w:pPr>
                </w:p>
              </w:tc>
            </w:tr>
            <w:tr w14:paraId="236A8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pct"/>
                  <w:vMerge w:val="restart"/>
                  <w:tcBorders>
                    <w:tl2br w:val="nil"/>
                    <w:tr2bl w:val="nil"/>
                  </w:tcBorders>
                  <w:noWrap w:val="0"/>
                  <w:vAlign w:val="center"/>
                </w:tcPr>
                <w:p w14:paraId="2F023803">
                  <w:pPr>
                    <w:keepNext w:val="0"/>
                    <w:keepLines w:val="0"/>
                    <w:suppressLineNumbers w:val="0"/>
                    <w:spacing w:before="0" w:beforeAutospacing="0" w:after="0" w:afterAutospacing="0"/>
                    <w:ind w:left="0" w:right="0"/>
                    <w:jc w:val="center"/>
                    <w:rPr>
                      <w:rFonts w:hint="default" w:eastAsia="宋体"/>
                      <w:bCs/>
                      <w:color w:val="auto"/>
                      <w:sz w:val="21"/>
                      <w:szCs w:val="21"/>
                      <w:highlight w:val="none"/>
                      <w:lang w:val="en-US" w:eastAsia="zh-CN" w:bidi="ar"/>
                    </w:rPr>
                  </w:pPr>
                  <w:r>
                    <w:rPr>
                      <w:rFonts w:hint="eastAsia"/>
                      <w:bCs/>
                      <w:color w:val="auto"/>
                      <w:sz w:val="21"/>
                      <w:szCs w:val="21"/>
                      <w:highlight w:val="none"/>
                      <w:lang w:bidi="ar"/>
                    </w:rPr>
                    <w:t>202</w:t>
                  </w:r>
                  <w:r>
                    <w:rPr>
                      <w:rFonts w:hint="eastAsia"/>
                      <w:bCs/>
                      <w:color w:val="auto"/>
                      <w:sz w:val="21"/>
                      <w:szCs w:val="21"/>
                      <w:highlight w:val="none"/>
                      <w:lang w:val="en-US" w:eastAsia="zh-CN" w:bidi="ar"/>
                    </w:rPr>
                    <w:t>5</w:t>
                  </w:r>
                  <w:r>
                    <w:rPr>
                      <w:rFonts w:hint="eastAsia"/>
                      <w:bCs/>
                      <w:color w:val="auto"/>
                      <w:sz w:val="21"/>
                      <w:szCs w:val="21"/>
                      <w:highlight w:val="none"/>
                      <w:lang w:bidi="ar"/>
                    </w:rPr>
                    <w:t>.0</w:t>
                  </w:r>
                  <w:r>
                    <w:rPr>
                      <w:rFonts w:hint="eastAsia"/>
                      <w:bCs/>
                      <w:color w:val="auto"/>
                      <w:sz w:val="21"/>
                      <w:szCs w:val="21"/>
                      <w:highlight w:val="none"/>
                      <w:lang w:val="en-US" w:eastAsia="zh-CN" w:bidi="ar"/>
                    </w:rPr>
                    <w:t>5</w:t>
                  </w:r>
                  <w:r>
                    <w:rPr>
                      <w:rFonts w:hint="eastAsia"/>
                      <w:bCs/>
                      <w:color w:val="auto"/>
                      <w:sz w:val="21"/>
                      <w:szCs w:val="21"/>
                      <w:highlight w:val="none"/>
                      <w:lang w:bidi="ar"/>
                    </w:rPr>
                    <w:t>.</w:t>
                  </w:r>
                  <w:r>
                    <w:rPr>
                      <w:rFonts w:hint="eastAsia"/>
                      <w:bCs/>
                      <w:color w:val="auto"/>
                      <w:sz w:val="21"/>
                      <w:szCs w:val="21"/>
                      <w:highlight w:val="none"/>
                      <w:lang w:val="en-US" w:eastAsia="zh-CN" w:bidi="ar"/>
                    </w:rPr>
                    <w:t>26</w:t>
                  </w:r>
                </w:p>
              </w:tc>
              <w:tc>
                <w:tcPr>
                  <w:tcW w:w="1169" w:type="pct"/>
                  <w:tcBorders>
                    <w:tl2br w:val="nil"/>
                    <w:tr2bl w:val="nil"/>
                  </w:tcBorders>
                  <w:noWrap w:val="0"/>
                  <w:vAlign w:val="center"/>
                </w:tcPr>
                <w:p w14:paraId="0A593BE1">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r>
                    <w:rPr>
                      <w:rFonts w:hint="eastAsia"/>
                      <w:bCs/>
                      <w:color w:val="auto"/>
                      <w:sz w:val="21"/>
                      <w:szCs w:val="21"/>
                      <w:highlight w:val="none"/>
                      <w:lang w:bidi="ar"/>
                    </w:rPr>
                    <w:t>pH（无量纲）</w:t>
                  </w:r>
                </w:p>
              </w:tc>
              <w:tc>
                <w:tcPr>
                  <w:tcW w:w="1031" w:type="pct"/>
                  <w:tcBorders>
                    <w:tl2br w:val="nil"/>
                    <w:tr2bl w:val="nil"/>
                  </w:tcBorders>
                  <w:noWrap w:val="0"/>
                  <w:vAlign w:val="center"/>
                </w:tcPr>
                <w:p w14:paraId="24D1750F">
                  <w:pPr>
                    <w:keepNext w:val="0"/>
                    <w:keepLines w:val="0"/>
                    <w:widowControl/>
                    <w:suppressLineNumbers w:val="0"/>
                    <w:spacing w:before="0" w:beforeAutospacing="0" w:after="0" w:afterAutospacing="0"/>
                    <w:ind w:left="0" w:right="0"/>
                    <w:jc w:val="center"/>
                    <w:textAlignment w:val="top"/>
                    <w:rPr>
                      <w:rFonts w:hint="default"/>
                      <w:bCs/>
                      <w:color w:val="auto"/>
                      <w:sz w:val="21"/>
                      <w:szCs w:val="21"/>
                      <w:highlight w:val="none"/>
                      <w:lang w:bidi="ar"/>
                    </w:rPr>
                  </w:pPr>
                  <w:r>
                    <w:rPr>
                      <w:rFonts w:hint="eastAsia" w:ascii="Times New Roman" w:hAnsi="Times New Roman" w:eastAsia="宋体" w:cs="Times New Roman"/>
                      <w:i w:val="0"/>
                      <w:color w:val="auto"/>
                      <w:kern w:val="0"/>
                      <w:sz w:val="21"/>
                      <w:szCs w:val="21"/>
                      <w:highlight w:val="none"/>
                      <w:u w:val="none"/>
                      <w:lang w:val="en-US" w:eastAsia="zh-CN" w:bidi="ar"/>
                    </w:rPr>
                    <w:t>6.95</w:t>
                  </w:r>
                </w:p>
              </w:tc>
              <w:tc>
                <w:tcPr>
                  <w:tcW w:w="1032" w:type="pct"/>
                  <w:tcBorders>
                    <w:tl2br w:val="nil"/>
                    <w:tr2bl w:val="nil"/>
                  </w:tcBorders>
                  <w:noWrap w:val="0"/>
                  <w:vAlign w:val="center"/>
                </w:tcPr>
                <w:p w14:paraId="76FED1B2">
                  <w:pPr>
                    <w:keepNext w:val="0"/>
                    <w:keepLines w:val="0"/>
                    <w:widowControl/>
                    <w:suppressLineNumbers w:val="0"/>
                    <w:spacing w:before="0" w:beforeAutospacing="0" w:after="0" w:afterAutospacing="0"/>
                    <w:ind w:left="0" w:right="0"/>
                    <w:jc w:val="center"/>
                    <w:textAlignment w:val="top"/>
                    <w:rPr>
                      <w:rFonts w:hint="default"/>
                      <w:bCs/>
                      <w:color w:val="auto"/>
                      <w:sz w:val="21"/>
                      <w:szCs w:val="21"/>
                      <w:highlight w:val="none"/>
                      <w:lang w:bidi="ar"/>
                    </w:rPr>
                  </w:pPr>
                  <w:r>
                    <w:rPr>
                      <w:rFonts w:hint="eastAsia" w:ascii="Times New Roman" w:hAnsi="Times New Roman" w:eastAsia="宋体" w:cs="Times New Roman"/>
                      <w:i w:val="0"/>
                      <w:color w:val="auto"/>
                      <w:kern w:val="0"/>
                      <w:sz w:val="21"/>
                      <w:szCs w:val="21"/>
                      <w:highlight w:val="none"/>
                      <w:u w:val="none"/>
                      <w:lang w:val="en-US" w:eastAsia="zh-CN" w:bidi="ar"/>
                    </w:rPr>
                    <w:t>6.88</w:t>
                  </w:r>
                </w:p>
              </w:tc>
              <w:tc>
                <w:tcPr>
                  <w:tcW w:w="932" w:type="pct"/>
                  <w:tcBorders>
                    <w:tl2br w:val="nil"/>
                    <w:tr2bl w:val="nil"/>
                  </w:tcBorders>
                  <w:noWrap w:val="0"/>
                  <w:vAlign w:val="center"/>
                </w:tcPr>
                <w:p w14:paraId="0601EDB4">
                  <w:pPr>
                    <w:keepNext w:val="0"/>
                    <w:keepLines w:val="0"/>
                    <w:suppressLineNumbers w:val="0"/>
                    <w:spacing w:before="0" w:beforeAutospacing="0" w:after="0" w:afterAutospacing="0"/>
                    <w:ind w:left="0" w:right="0"/>
                    <w:jc w:val="center"/>
                    <w:rPr>
                      <w:rFonts w:hint="eastAsia"/>
                      <w:bCs/>
                      <w:color w:val="auto"/>
                      <w:sz w:val="21"/>
                      <w:szCs w:val="21"/>
                      <w:highlight w:val="none"/>
                      <w:lang w:bidi="ar"/>
                    </w:rPr>
                  </w:pPr>
                  <w:r>
                    <w:rPr>
                      <w:rFonts w:hint="eastAsia"/>
                      <w:bCs/>
                      <w:color w:val="auto"/>
                      <w:sz w:val="21"/>
                      <w:szCs w:val="21"/>
                      <w:highlight w:val="none"/>
                      <w:lang w:bidi="ar"/>
                    </w:rPr>
                    <w:t>/</w:t>
                  </w:r>
                </w:p>
              </w:tc>
            </w:tr>
            <w:tr w14:paraId="4FEDB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pct"/>
                  <w:vMerge w:val="continue"/>
                  <w:tcBorders>
                    <w:tl2br w:val="nil"/>
                    <w:tr2bl w:val="nil"/>
                  </w:tcBorders>
                  <w:noWrap w:val="0"/>
                  <w:vAlign w:val="center"/>
                </w:tcPr>
                <w:p w14:paraId="5D9A0891">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p>
              </w:tc>
              <w:tc>
                <w:tcPr>
                  <w:tcW w:w="1169" w:type="pct"/>
                  <w:tcBorders>
                    <w:tl2br w:val="nil"/>
                    <w:tr2bl w:val="nil"/>
                  </w:tcBorders>
                  <w:noWrap w:val="0"/>
                  <w:vAlign w:val="center"/>
                </w:tcPr>
                <w:p w14:paraId="52113567">
                  <w:pPr>
                    <w:keepNext w:val="0"/>
                    <w:keepLines w:val="0"/>
                    <w:suppressLineNumbers w:val="0"/>
                    <w:spacing w:before="0" w:beforeAutospacing="0" w:after="0" w:afterAutospacing="0"/>
                    <w:ind w:left="0" w:leftChars="0" w:right="0" w:rightChars="0"/>
                    <w:jc w:val="center"/>
                    <w:rPr>
                      <w:rFonts w:hint="default"/>
                      <w:bCs/>
                      <w:color w:val="auto"/>
                      <w:sz w:val="21"/>
                      <w:szCs w:val="21"/>
                      <w:highlight w:val="none"/>
                      <w:lang w:bidi="ar"/>
                    </w:rPr>
                  </w:pPr>
                  <w:r>
                    <w:rPr>
                      <w:rFonts w:hint="eastAsia"/>
                      <w:bCs/>
                      <w:color w:val="auto"/>
                      <w:sz w:val="21"/>
                      <w:szCs w:val="21"/>
                      <w:highlight w:val="none"/>
                      <w:lang w:bidi="ar"/>
                    </w:rPr>
                    <w:t>汞</w:t>
                  </w:r>
                </w:p>
              </w:tc>
              <w:tc>
                <w:tcPr>
                  <w:tcW w:w="1031" w:type="pct"/>
                  <w:tcBorders>
                    <w:tl2br w:val="nil"/>
                    <w:tr2bl w:val="nil"/>
                  </w:tcBorders>
                  <w:noWrap w:val="0"/>
                  <w:vAlign w:val="top"/>
                </w:tcPr>
                <w:p w14:paraId="26641BA2">
                  <w:pPr>
                    <w:keepNext w:val="0"/>
                    <w:keepLines w:val="0"/>
                    <w:widowControl/>
                    <w:suppressLineNumbers w:val="0"/>
                    <w:spacing w:before="0" w:beforeAutospacing="0" w:after="0" w:afterAutospacing="0"/>
                    <w:ind w:left="0" w:right="0"/>
                    <w:jc w:val="center"/>
                    <w:textAlignment w:val="top"/>
                    <w:rPr>
                      <w:rFonts w:hint="default"/>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0.318</w:t>
                  </w:r>
                </w:p>
              </w:tc>
              <w:tc>
                <w:tcPr>
                  <w:tcW w:w="1032" w:type="pct"/>
                  <w:tcBorders>
                    <w:tl2br w:val="nil"/>
                    <w:tr2bl w:val="nil"/>
                  </w:tcBorders>
                  <w:noWrap w:val="0"/>
                  <w:vAlign w:val="top"/>
                </w:tcPr>
                <w:p w14:paraId="59BB33C9">
                  <w:pPr>
                    <w:keepNext w:val="0"/>
                    <w:keepLines w:val="0"/>
                    <w:widowControl/>
                    <w:suppressLineNumbers w:val="0"/>
                    <w:spacing w:before="0" w:beforeAutospacing="0" w:after="0" w:afterAutospacing="0"/>
                    <w:ind w:left="0" w:right="0"/>
                    <w:jc w:val="center"/>
                    <w:textAlignment w:val="top"/>
                    <w:rPr>
                      <w:rFonts w:hint="default"/>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0.364</w:t>
                  </w:r>
                </w:p>
              </w:tc>
              <w:tc>
                <w:tcPr>
                  <w:tcW w:w="932" w:type="pct"/>
                  <w:tcBorders>
                    <w:tl2br w:val="nil"/>
                    <w:tr2bl w:val="nil"/>
                  </w:tcBorders>
                  <w:noWrap w:val="0"/>
                  <w:vAlign w:val="center"/>
                </w:tcPr>
                <w:p w14:paraId="7AEDCE04">
                  <w:pPr>
                    <w:keepNext w:val="0"/>
                    <w:keepLines w:val="0"/>
                    <w:suppressLineNumbers w:val="0"/>
                    <w:spacing w:before="0" w:beforeAutospacing="0" w:after="0" w:afterAutospacing="0"/>
                    <w:ind w:left="0" w:leftChars="0" w:right="0" w:rightChars="0"/>
                    <w:jc w:val="center"/>
                    <w:rPr>
                      <w:rFonts w:hint="eastAsia"/>
                      <w:bCs/>
                      <w:color w:val="auto"/>
                      <w:sz w:val="21"/>
                      <w:szCs w:val="21"/>
                      <w:highlight w:val="none"/>
                      <w:lang w:bidi="ar"/>
                    </w:rPr>
                  </w:pPr>
                  <w:r>
                    <w:rPr>
                      <w:rFonts w:hint="eastAsia"/>
                      <w:bCs/>
                      <w:color w:val="auto"/>
                      <w:sz w:val="21"/>
                      <w:szCs w:val="21"/>
                      <w:highlight w:val="none"/>
                      <w:lang w:bidi="ar"/>
                    </w:rPr>
                    <w:t>38</w:t>
                  </w:r>
                </w:p>
              </w:tc>
            </w:tr>
            <w:tr w14:paraId="281E29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pct"/>
                  <w:vMerge w:val="continue"/>
                  <w:tcBorders>
                    <w:tl2br w:val="nil"/>
                    <w:tr2bl w:val="nil"/>
                  </w:tcBorders>
                  <w:noWrap w:val="0"/>
                  <w:vAlign w:val="center"/>
                </w:tcPr>
                <w:p w14:paraId="3BA0E0FA">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p>
              </w:tc>
              <w:tc>
                <w:tcPr>
                  <w:tcW w:w="1169" w:type="pct"/>
                  <w:tcBorders>
                    <w:tl2br w:val="nil"/>
                    <w:tr2bl w:val="nil"/>
                  </w:tcBorders>
                  <w:noWrap w:val="0"/>
                  <w:vAlign w:val="center"/>
                </w:tcPr>
                <w:p w14:paraId="013CE3C2">
                  <w:pPr>
                    <w:keepNext w:val="0"/>
                    <w:keepLines w:val="0"/>
                    <w:suppressLineNumbers w:val="0"/>
                    <w:spacing w:before="0" w:beforeAutospacing="0" w:after="0" w:afterAutospacing="0"/>
                    <w:ind w:left="0" w:leftChars="0" w:right="0" w:rightChars="0"/>
                    <w:jc w:val="center"/>
                    <w:rPr>
                      <w:rFonts w:hint="default"/>
                      <w:bCs/>
                      <w:color w:val="auto"/>
                      <w:sz w:val="21"/>
                      <w:szCs w:val="21"/>
                      <w:highlight w:val="none"/>
                      <w:lang w:bidi="ar"/>
                    </w:rPr>
                  </w:pPr>
                  <w:r>
                    <w:rPr>
                      <w:rFonts w:hint="eastAsia"/>
                      <w:bCs/>
                      <w:color w:val="auto"/>
                      <w:sz w:val="21"/>
                      <w:szCs w:val="21"/>
                      <w:highlight w:val="none"/>
                      <w:lang w:bidi="ar"/>
                    </w:rPr>
                    <w:t>砷</w:t>
                  </w:r>
                </w:p>
              </w:tc>
              <w:tc>
                <w:tcPr>
                  <w:tcW w:w="1031" w:type="pct"/>
                  <w:tcBorders>
                    <w:tl2br w:val="nil"/>
                    <w:tr2bl w:val="nil"/>
                  </w:tcBorders>
                  <w:noWrap w:val="0"/>
                  <w:vAlign w:val="top"/>
                </w:tcPr>
                <w:p w14:paraId="5404EDC5">
                  <w:pPr>
                    <w:keepNext w:val="0"/>
                    <w:keepLines w:val="0"/>
                    <w:widowControl/>
                    <w:suppressLineNumbers w:val="0"/>
                    <w:spacing w:before="0" w:beforeAutospacing="0" w:after="0" w:afterAutospacing="0"/>
                    <w:ind w:left="0" w:right="0"/>
                    <w:jc w:val="center"/>
                    <w:textAlignment w:val="top"/>
                    <w:rPr>
                      <w:rFonts w:hint="default"/>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4.11</w:t>
                  </w:r>
                </w:p>
              </w:tc>
              <w:tc>
                <w:tcPr>
                  <w:tcW w:w="1032" w:type="pct"/>
                  <w:tcBorders>
                    <w:tl2br w:val="nil"/>
                    <w:tr2bl w:val="nil"/>
                  </w:tcBorders>
                  <w:noWrap w:val="0"/>
                  <w:vAlign w:val="top"/>
                </w:tcPr>
                <w:p w14:paraId="7A1A2CE4">
                  <w:pPr>
                    <w:keepNext w:val="0"/>
                    <w:keepLines w:val="0"/>
                    <w:widowControl/>
                    <w:suppressLineNumbers w:val="0"/>
                    <w:spacing w:before="0" w:beforeAutospacing="0" w:after="0" w:afterAutospacing="0"/>
                    <w:ind w:left="0" w:right="0"/>
                    <w:jc w:val="center"/>
                    <w:textAlignment w:val="top"/>
                    <w:rPr>
                      <w:rFonts w:hint="default"/>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4.48</w:t>
                  </w:r>
                </w:p>
              </w:tc>
              <w:tc>
                <w:tcPr>
                  <w:tcW w:w="932" w:type="pct"/>
                  <w:tcBorders>
                    <w:tl2br w:val="nil"/>
                    <w:tr2bl w:val="nil"/>
                  </w:tcBorders>
                  <w:noWrap w:val="0"/>
                  <w:vAlign w:val="center"/>
                </w:tcPr>
                <w:p w14:paraId="4D29B95A">
                  <w:pPr>
                    <w:keepNext w:val="0"/>
                    <w:keepLines w:val="0"/>
                    <w:suppressLineNumbers w:val="0"/>
                    <w:spacing w:before="0" w:beforeAutospacing="0" w:after="0" w:afterAutospacing="0"/>
                    <w:ind w:left="0" w:leftChars="0" w:right="0" w:rightChars="0"/>
                    <w:jc w:val="center"/>
                    <w:rPr>
                      <w:rFonts w:hint="eastAsia"/>
                      <w:bCs/>
                      <w:color w:val="auto"/>
                      <w:sz w:val="21"/>
                      <w:szCs w:val="21"/>
                      <w:highlight w:val="none"/>
                      <w:lang w:bidi="ar"/>
                    </w:rPr>
                  </w:pPr>
                  <w:r>
                    <w:rPr>
                      <w:rFonts w:hint="eastAsia"/>
                      <w:bCs/>
                      <w:color w:val="auto"/>
                      <w:sz w:val="21"/>
                      <w:szCs w:val="21"/>
                      <w:highlight w:val="none"/>
                      <w:lang w:bidi="ar"/>
                    </w:rPr>
                    <w:t>60</w:t>
                  </w:r>
                </w:p>
              </w:tc>
            </w:tr>
            <w:tr w14:paraId="06CFD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pct"/>
                  <w:vMerge w:val="continue"/>
                  <w:tcBorders>
                    <w:tl2br w:val="nil"/>
                    <w:tr2bl w:val="nil"/>
                  </w:tcBorders>
                  <w:noWrap w:val="0"/>
                  <w:vAlign w:val="center"/>
                </w:tcPr>
                <w:p w14:paraId="6BCB42C6">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p>
              </w:tc>
              <w:tc>
                <w:tcPr>
                  <w:tcW w:w="1169" w:type="pct"/>
                  <w:tcBorders>
                    <w:tl2br w:val="nil"/>
                    <w:tr2bl w:val="nil"/>
                  </w:tcBorders>
                  <w:noWrap w:val="0"/>
                  <w:vAlign w:val="center"/>
                </w:tcPr>
                <w:p w14:paraId="7F124F48">
                  <w:pPr>
                    <w:keepNext w:val="0"/>
                    <w:keepLines w:val="0"/>
                    <w:suppressLineNumbers w:val="0"/>
                    <w:spacing w:before="0" w:beforeAutospacing="0" w:after="0" w:afterAutospacing="0"/>
                    <w:ind w:left="0" w:leftChars="0" w:right="0" w:rightChars="0"/>
                    <w:jc w:val="center"/>
                    <w:rPr>
                      <w:rFonts w:hint="default"/>
                      <w:bCs/>
                      <w:color w:val="auto"/>
                      <w:sz w:val="21"/>
                      <w:szCs w:val="21"/>
                      <w:highlight w:val="none"/>
                      <w:lang w:bidi="ar"/>
                    </w:rPr>
                  </w:pPr>
                  <w:r>
                    <w:rPr>
                      <w:rFonts w:hint="eastAsia"/>
                      <w:bCs/>
                      <w:color w:val="auto"/>
                      <w:sz w:val="21"/>
                      <w:szCs w:val="21"/>
                      <w:highlight w:val="none"/>
                      <w:lang w:bidi="ar"/>
                    </w:rPr>
                    <w:t>六价铬</w:t>
                  </w:r>
                </w:p>
              </w:tc>
              <w:tc>
                <w:tcPr>
                  <w:tcW w:w="1031" w:type="pct"/>
                  <w:tcBorders>
                    <w:tl2br w:val="nil"/>
                    <w:tr2bl w:val="nil"/>
                  </w:tcBorders>
                  <w:noWrap w:val="0"/>
                  <w:vAlign w:val="center"/>
                </w:tcPr>
                <w:p w14:paraId="30A17D8E">
                  <w:pPr>
                    <w:keepNext w:val="0"/>
                    <w:keepLines w:val="0"/>
                    <w:widowControl/>
                    <w:suppressLineNumbers w:val="0"/>
                    <w:spacing w:before="0" w:beforeAutospacing="0" w:after="0" w:afterAutospacing="0"/>
                    <w:ind w:left="0" w:right="0"/>
                    <w:jc w:val="center"/>
                    <w:textAlignment w:val="center"/>
                    <w:rPr>
                      <w:rFonts w:hint="default"/>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32" w:type="pct"/>
                  <w:tcBorders>
                    <w:tl2br w:val="nil"/>
                    <w:tr2bl w:val="nil"/>
                  </w:tcBorders>
                  <w:noWrap w:val="0"/>
                  <w:vAlign w:val="center"/>
                </w:tcPr>
                <w:p w14:paraId="232915B3">
                  <w:pPr>
                    <w:keepNext w:val="0"/>
                    <w:keepLines w:val="0"/>
                    <w:widowControl/>
                    <w:suppressLineNumbers w:val="0"/>
                    <w:spacing w:before="0" w:beforeAutospacing="0" w:after="0" w:afterAutospacing="0"/>
                    <w:ind w:left="0" w:right="0"/>
                    <w:jc w:val="center"/>
                    <w:textAlignment w:val="center"/>
                    <w:rPr>
                      <w:rFonts w:hint="default"/>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932" w:type="pct"/>
                  <w:tcBorders>
                    <w:tl2br w:val="nil"/>
                    <w:tr2bl w:val="nil"/>
                  </w:tcBorders>
                  <w:noWrap w:val="0"/>
                  <w:vAlign w:val="center"/>
                </w:tcPr>
                <w:p w14:paraId="6F21DD15">
                  <w:pPr>
                    <w:keepNext w:val="0"/>
                    <w:keepLines w:val="0"/>
                    <w:suppressLineNumbers w:val="0"/>
                    <w:spacing w:before="0" w:beforeAutospacing="0" w:after="0" w:afterAutospacing="0"/>
                    <w:ind w:left="0" w:leftChars="0" w:right="0" w:rightChars="0"/>
                    <w:jc w:val="center"/>
                    <w:rPr>
                      <w:rFonts w:hint="eastAsia"/>
                      <w:bCs/>
                      <w:color w:val="auto"/>
                      <w:sz w:val="21"/>
                      <w:szCs w:val="21"/>
                      <w:highlight w:val="none"/>
                      <w:lang w:bidi="ar"/>
                    </w:rPr>
                  </w:pPr>
                  <w:r>
                    <w:rPr>
                      <w:rFonts w:hint="eastAsia"/>
                      <w:bCs/>
                      <w:color w:val="auto"/>
                      <w:sz w:val="21"/>
                      <w:szCs w:val="21"/>
                      <w:highlight w:val="none"/>
                      <w:lang w:bidi="ar"/>
                    </w:rPr>
                    <w:t>5.7</w:t>
                  </w:r>
                </w:p>
              </w:tc>
            </w:tr>
            <w:tr w14:paraId="36B82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pct"/>
                  <w:vMerge w:val="continue"/>
                  <w:tcBorders>
                    <w:tl2br w:val="nil"/>
                    <w:tr2bl w:val="nil"/>
                  </w:tcBorders>
                  <w:noWrap w:val="0"/>
                  <w:vAlign w:val="center"/>
                </w:tcPr>
                <w:p w14:paraId="0331E67D">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p>
              </w:tc>
              <w:tc>
                <w:tcPr>
                  <w:tcW w:w="1169" w:type="pct"/>
                  <w:tcBorders>
                    <w:tl2br w:val="nil"/>
                    <w:tr2bl w:val="nil"/>
                  </w:tcBorders>
                  <w:noWrap w:val="0"/>
                  <w:vAlign w:val="center"/>
                </w:tcPr>
                <w:p w14:paraId="73DCE5CE">
                  <w:pPr>
                    <w:keepNext w:val="0"/>
                    <w:keepLines w:val="0"/>
                    <w:suppressLineNumbers w:val="0"/>
                    <w:spacing w:before="0" w:beforeAutospacing="0" w:after="0" w:afterAutospacing="0"/>
                    <w:ind w:left="0" w:leftChars="0" w:right="0" w:rightChars="0"/>
                    <w:jc w:val="center"/>
                    <w:rPr>
                      <w:rFonts w:hint="eastAsia"/>
                      <w:bCs/>
                      <w:color w:val="auto"/>
                      <w:sz w:val="21"/>
                      <w:szCs w:val="21"/>
                      <w:highlight w:val="none"/>
                      <w:lang w:bidi="ar"/>
                    </w:rPr>
                  </w:pPr>
                  <w:r>
                    <w:rPr>
                      <w:rFonts w:hint="eastAsia" w:ascii="Times New Roman" w:hAnsi="Times New Roman" w:cs="Times New Roman"/>
                      <w:color w:val="auto"/>
                      <w:sz w:val="21"/>
                      <w:szCs w:val="21"/>
                      <w:highlight w:val="none"/>
                    </w:rPr>
                    <w:t>铬</w:t>
                  </w:r>
                </w:p>
              </w:tc>
              <w:tc>
                <w:tcPr>
                  <w:tcW w:w="1031" w:type="pct"/>
                  <w:tcBorders>
                    <w:tl2br w:val="nil"/>
                    <w:tr2bl w:val="nil"/>
                  </w:tcBorders>
                  <w:noWrap w:val="0"/>
                  <w:vAlign w:val="center"/>
                </w:tcPr>
                <w:p w14:paraId="366C370A">
                  <w:pPr>
                    <w:keepNext w:val="0"/>
                    <w:keepLines w:val="0"/>
                    <w:widowControl/>
                    <w:suppressLineNumbers w:val="0"/>
                    <w:spacing w:before="0" w:beforeAutospacing="0" w:after="0" w:afterAutospacing="0"/>
                    <w:ind w:left="0" w:right="0"/>
                    <w:jc w:val="center"/>
                    <w:textAlignment w:val="center"/>
                    <w:rPr>
                      <w:rFonts w:hint="eastAsia" w:eastAsia="宋体"/>
                      <w:bCs/>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136</w:t>
                  </w:r>
                </w:p>
              </w:tc>
              <w:tc>
                <w:tcPr>
                  <w:tcW w:w="1032" w:type="pct"/>
                  <w:tcBorders>
                    <w:tl2br w:val="nil"/>
                    <w:tr2bl w:val="nil"/>
                  </w:tcBorders>
                  <w:noWrap w:val="0"/>
                  <w:vAlign w:val="center"/>
                </w:tcPr>
                <w:p w14:paraId="0C72CDF2">
                  <w:pPr>
                    <w:keepNext w:val="0"/>
                    <w:keepLines w:val="0"/>
                    <w:widowControl/>
                    <w:suppressLineNumbers w:val="0"/>
                    <w:spacing w:before="0" w:beforeAutospacing="0" w:after="0" w:afterAutospacing="0"/>
                    <w:ind w:left="0" w:right="0"/>
                    <w:jc w:val="center"/>
                    <w:textAlignment w:val="center"/>
                    <w:rPr>
                      <w:rFonts w:hint="default" w:eastAsia="宋体"/>
                      <w:bCs/>
                      <w:color w:val="auto"/>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932" w:type="pct"/>
                  <w:tcBorders>
                    <w:tl2br w:val="nil"/>
                    <w:tr2bl w:val="nil"/>
                  </w:tcBorders>
                  <w:noWrap w:val="0"/>
                  <w:vAlign w:val="center"/>
                </w:tcPr>
                <w:p w14:paraId="6521CCD5">
                  <w:pPr>
                    <w:keepNext w:val="0"/>
                    <w:keepLines w:val="0"/>
                    <w:suppressLineNumbers w:val="0"/>
                    <w:spacing w:before="0" w:beforeAutospacing="0" w:after="0" w:afterAutospacing="0"/>
                    <w:ind w:left="0" w:leftChars="0" w:right="0" w:rightChars="0"/>
                    <w:jc w:val="center"/>
                    <w:rPr>
                      <w:rFonts w:hint="eastAsia" w:eastAsia="宋体"/>
                      <w:bCs/>
                      <w:color w:val="auto"/>
                      <w:sz w:val="21"/>
                      <w:szCs w:val="21"/>
                      <w:highlight w:val="none"/>
                      <w:lang w:val="en-US" w:eastAsia="zh-CN" w:bidi="ar"/>
                    </w:rPr>
                  </w:pPr>
                  <w:r>
                    <w:rPr>
                      <w:rFonts w:hint="eastAsia"/>
                      <w:bCs/>
                      <w:color w:val="auto"/>
                      <w:sz w:val="21"/>
                      <w:szCs w:val="21"/>
                      <w:highlight w:val="none"/>
                      <w:lang w:val="en-US" w:eastAsia="zh-CN" w:bidi="ar"/>
                    </w:rPr>
                    <w:t>/</w:t>
                  </w:r>
                </w:p>
              </w:tc>
            </w:tr>
            <w:tr w14:paraId="474E1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pct"/>
                  <w:vMerge w:val="continue"/>
                  <w:tcBorders>
                    <w:tl2br w:val="nil"/>
                    <w:tr2bl w:val="nil"/>
                  </w:tcBorders>
                  <w:noWrap w:val="0"/>
                  <w:vAlign w:val="center"/>
                </w:tcPr>
                <w:p w14:paraId="199A47A7">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p>
              </w:tc>
              <w:tc>
                <w:tcPr>
                  <w:tcW w:w="1169" w:type="pct"/>
                  <w:tcBorders>
                    <w:tl2br w:val="nil"/>
                    <w:tr2bl w:val="nil"/>
                  </w:tcBorders>
                  <w:noWrap w:val="0"/>
                  <w:vAlign w:val="center"/>
                </w:tcPr>
                <w:p w14:paraId="3EB09AE5">
                  <w:pPr>
                    <w:keepNext w:val="0"/>
                    <w:keepLines w:val="0"/>
                    <w:suppressLineNumbers w:val="0"/>
                    <w:spacing w:before="0" w:beforeAutospacing="0" w:after="0" w:afterAutospacing="0"/>
                    <w:ind w:left="0" w:leftChars="0" w:right="0" w:rightChars="0"/>
                    <w:jc w:val="center"/>
                    <w:rPr>
                      <w:rFonts w:hint="eastAsia"/>
                      <w:bCs/>
                      <w:color w:val="auto"/>
                      <w:sz w:val="21"/>
                      <w:szCs w:val="21"/>
                      <w:highlight w:val="none"/>
                      <w:lang w:bidi="ar"/>
                    </w:rPr>
                  </w:pPr>
                  <w:r>
                    <w:rPr>
                      <w:rFonts w:hint="eastAsia"/>
                      <w:bCs/>
                      <w:color w:val="auto"/>
                      <w:sz w:val="21"/>
                      <w:szCs w:val="21"/>
                      <w:highlight w:val="none"/>
                      <w:lang w:bidi="ar"/>
                    </w:rPr>
                    <w:t>镉</w:t>
                  </w:r>
                </w:p>
              </w:tc>
              <w:tc>
                <w:tcPr>
                  <w:tcW w:w="1031" w:type="pct"/>
                  <w:tcBorders>
                    <w:tl2br w:val="nil"/>
                    <w:tr2bl w:val="nil"/>
                  </w:tcBorders>
                  <w:noWrap w:val="0"/>
                  <w:vAlign w:val="top"/>
                </w:tcPr>
                <w:p w14:paraId="59A2E357">
                  <w:pPr>
                    <w:keepNext w:val="0"/>
                    <w:keepLines w:val="0"/>
                    <w:widowControl/>
                    <w:suppressLineNumbers w:val="0"/>
                    <w:spacing w:before="0" w:beforeAutospacing="0" w:after="0" w:afterAutospacing="0"/>
                    <w:ind w:left="0" w:right="0"/>
                    <w:jc w:val="center"/>
                    <w:textAlignment w:val="top"/>
                    <w:rPr>
                      <w:rFonts w:hint="default"/>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0.14</w:t>
                  </w:r>
                </w:p>
              </w:tc>
              <w:tc>
                <w:tcPr>
                  <w:tcW w:w="1032" w:type="pct"/>
                  <w:tcBorders>
                    <w:tl2br w:val="nil"/>
                    <w:tr2bl w:val="nil"/>
                  </w:tcBorders>
                  <w:noWrap w:val="0"/>
                  <w:vAlign w:val="top"/>
                </w:tcPr>
                <w:p w14:paraId="08A7958F">
                  <w:pPr>
                    <w:keepNext w:val="0"/>
                    <w:keepLines w:val="0"/>
                    <w:widowControl/>
                    <w:suppressLineNumbers w:val="0"/>
                    <w:spacing w:before="0" w:beforeAutospacing="0" w:after="0" w:afterAutospacing="0"/>
                    <w:ind w:left="0" w:right="0"/>
                    <w:jc w:val="center"/>
                    <w:textAlignment w:val="top"/>
                    <w:rPr>
                      <w:rFonts w:hint="eastAsia"/>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c>
                <w:tcPr>
                  <w:tcW w:w="932" w:type="pct"/>
                  <w:tcBorders>
                    <w:tl2br w:val="nil"/>
                    <w:tr2bl w:val="nil"/>
                  </w:tcBorders>
                  <w:noWrap w:val="0"/>
                  <w:vAlign w:val="center"/>
                </w:tcPr>
                <w:p w14:paraId="2897F092">
                  <w:pPr>
                    <w:keepNext w:val="0"/>
                    <w:keepLines w:val="0"/>
                    <w:suppressLineNumbers w:val="0"/>
                    <w:spacing w:before="0" w:beforeAutospacing="0" w:after="0" w:afterAutospacing="0"/>
                    <w:ind w:left="0" w:leftChars="0" w:right="0" w:rightChars="0"/>
                    <w:jc w:val="center"/>
                    <w:rPr>
                      <w:rFonts w:hint="eastAsia"/>
                      <w:bCs/>
                      <w:color w:val="auto"/>
                      <w:sz w:val="21"/>
                      <w:szCs w:val="21"/>
                      <w:highlight w:val="none"/>
                      <w:lang w:bidi="ar"/>
                    </w:rPr>
                  </w:pPr>
                  <w:r>
                    <w:rPr>
                      <w:rFonts w:hint="eastAsia"/>
                      <w:bCs/>
                      <w:color w:val="auto"/>
                      <w:sz w:val="21"/>
                      <w:szCs w:val="21"/>
                      <w:highlight w:val="none"/>
                      <w:lang w:bidi="ar"/>
                    </w:rPr>
                    <w:t>65</w:t>
                  </w:r>
                </w:p>
              </w:tc>
            </w:tr>
            <w:tr w14:paraId="1BC56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pct"/>
                  <w:vMerge w:val="continue"/>
                  <w:tcBorders>
                    <w:tl2br w:val="nil"/>
                    <w:tr2bl w:val="nil"/>
                  </w:tcBorders>
                  <w:noWrap w:val="0"/>
                  <w:vAlign w:val="center"/>
                </w:tcPr>
                <w:p w14:paraId="5BF6A621">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p>
              </w:tc>
              <w:tc>
                <w:tcPr>
                  <w:tcW w:w="1169" w:type="pct"/>
                  <w:tcBorders>
                    <w:tl2br w:val="nil"/>
                    <w:tr2bl w:val="nil"/>
                  </w:tcBorders>
                  <w:shd w:val="clear" w:color="auto" w:fill="auto"/>
                  <w:noWrap w:val="0"/>
                  <w:vAlign w:val="center"/>
                </w:tcPr>
                <w:p w14:paraId="105F726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highlight w:val="none"/>
                      <w:lang w:val="en-US" w:eastAsia="zh-CN" w:bidi="ar"/>
                    </w:rPr>
                  </w:pPr>
                  <w:r>
                    <w:rPr>
                      <w:rFonts w:hint="eastAsia"/>
                      <w:bCs/>
                      <w:color w:val="auto"/>
                      <w:sz w:val="21"/>
                      <w:szCs w:val="21"/>
                      <w:highlight w:val="none"/>
                      <w:lang w:bidi="ar"/>
                    </w:rPr>
                    <w:t>铜</w:t>
                  </w:r>
                </w:p>
              </w:tc>
              <w:tc>
                <w:tcPr>
                  <w:tcW w:w="1031" w:type="pct"/>
                  <w:tcBorders>
                    <w:tl2br w:val="nil"/>
                    <w:tr2bl w:val="nil"/>
                  </w:tcBorders>
                  <w:shd w:val="clear" w:color="auto" w:fill="auto"/>
                  <w:noWrap w:val="0"/>
                  <w:vAlign w:val="top"/>
                </w:tcPr>
                <w:p w14:paraId="70401F5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1032" w:type="pct"/>
                  <w:tcBorders>
                    <w:tl2br w:val="nil"/>
                    <w:tr2bl w:val="nil"/>
                  </w:tcBorders>
                  <w:shd w:val="clear" w:color="auto" w:fill="auto"/>
                  <w:noWrap w:val="0"/>
                  <w:vAlign w:val="top"/>
                </w:tcPr>
                <w:p w14:paraId="005D3631">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bCs/>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932" w:type="pct"/>
                  <w:tcBorders>
                    <w:tl2br w:val="nil"/>
                    <w:tr2bl w:val="nil"/>
                  </w:tcBorders>
                  <w:shd w:val="clear" w:color="auto" w:fill="auto"/>
                  <w:noWrap w:val="0"/>
                  <w:vAlign w:val="center"/>
                </w:tcPr>
                <w:p w14:paraId="597BE0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
                    </w:rPr>
                  </w:pPr>
                  <w:r>
                    <w:rPr>
                      <w:rFonts w:hint="eastAsia"/>
                      <w:bCs/>
                      <w:color w:val="auto"/>
                      <w:sz w:val="21"/>
                      <w:szCs w:val="21"/>
                      <w:highlight w:val="none"/>
                      <w:lang w:bidi="ar"/>
                    </w:rPr>
                    <w:t>18000</w:t>
                  </w:r>
                </w:p>
              </w:tc>
            </w:tr>
            <w:tr w14:paraId="5D0EA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pct"/>
                  <w:vMerge w:val="continue"/>
                  <w:tcBorders>
                    <w:tl2br w:val="nil"/>
                    <w:tr2bl w:val="nil"/>
                  </w:tcBorders>
                  <w:noWrap w:val="0"/>
                  <w:vAlign w:val="center"/>
                </w:tcPr>
                <w:p w14:paraId="4469DEA3">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p>
              </w:tc>
              <w:tc>
                <w:tcPr>
                  <w:tcW w:w="1169" w:type="pct"/>
                  <w:tcBorders>
                    <w:tl2br w:val="nil"/>
                    <w:tr2bl w:val="nil"/>
                  </w:tcBorders>
                  <w:noWrap w:val="0"/>
                  <w:vAlign w:val="center"/>
                </w:tcPr>
                <w:p w14:paraId="23525EAA">
                  <w:pPr>
                    <w:keepNext w:val="0"/>
                    <w:keepLines w:val="0"/>
                    <w:suppressLineNumbers w:val="0"/>
                    <w:spacing w:before="0" w:beforeAutospacing="0" w:after="0" w:afterAutospacing="0"/>
                    <w:ind w:left="0" w:right="0"/>
                    <w:jc w:val="center"/>
                    <w:rPr>
                      <w:rFonts w:hint="eastAsia"/>
                      <w:bCs/>
                      <w:color w:val="auto"/>
                      <w:sz w:val="21"/>
                      <w:szCs w:val="21"/>
                      <w:highlight w:val="none"/>
                      <w:lang w:bidi="ar"/>
                    </w:rPr>
                  </w:pPr>
                  <w:r>
                    <w:rPr>
                      <w:rFonts w:hint="eastAsia"/>
                      <w:bCs/>
                      <w:color w:val="auto"/>
                      <w:sz w:val="21"/>
                      <w:szCs w:val="21"/>
                      <w:highlight w:val="none"/>
                      <w:lang w:bidi="ar"/>
                    </w:rPr>
                    <w:t>铅</w:t>
                  </w:r>
                </w:p>
              </w:tc>
              <w:tc>
                <w:tcPr>
                  <w:tcW w:w="1031" w:type="pct"/>
                  <w:tcBorders>
                    <w:tl2br w:val="nil"/>
                    <w:tr2bl w:val="nil"/>
                  </w:tcBorders>
                  <w:noWrap w:val="0"/>
                  <w:vAlign w:val="top"/>
                </w:tcPr>
                <w:p w14:paraId="0D3298D8">
                  <w:pPr>
                    <w:keepNext w:val="0"/>
                    <w:keepLines w:val="0"/>
                    <w:widowControl/>
                    <w:suppressLineNumbers w:val="0"/>
                    <w:spacing w:before="0" w:beforeAutospacing="0" w:after="0" w:afterAutospacing="0"/>
                    <w:ind w:left="0" w:right="0"/>
                    <w:jc w:val="center"/>
                    <w:textAlignment w:val="top"/>
                    <w:rPr>
                      <w:rFonts w:hint="default"/>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63</w:t>
                  </w:r>
                </w:p>
              </w:tc>
              <w:tc>
                <w:tcPr>
                  <w:tcW w:w="1032" w:type="pct"/>
                  <w:tcBorders>
                    <w:tl2br w:val="nil"/>
                    <w:tr2bl w:val="nil"/>
                  </w:tcBorders>
                  <w:noWrap w:val="0"/>
                  <w:vAlign w:val="top"/>
                </w:tcPr>
                <w:p w14:paraId="4146DF08">
                  <w:pPr>
                    <w:keepNext w:val="0"/>
                    <w:keepLines w:val="0"/>
                    <w:widowControl/>
                    <w:suppressLineNumbers w:val="0"/>
                    <w:spacing w:before="0" w:beforeAutospacing="0" w:after="0" w:afterAutospacing="0"/>
                    <w:ind w:left="0" w:right="0"/>
                    <w:jc w:val="center"/>
                    <w:textAlignment w:val="top"/>
                    <w:rPr>
                      <w:rFonts w:hint="eastAsia"/>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932" w:type="pct"/>
                  <w:tcBorders>
                    <w:tl2br w:val="nil"/>
                    <w:tr2bl w:val="nil"/>
                  </w:tcBorders>
                  <w:noWrap w:val="0"/>
                  <w:vAlign w:val="center"/>
                </w:tcPr>
                <w:p w14:paraId="63932B5D">
                  <w:pPr>
                    <w:keepNext w:val="0"/>
                    <w:keepLines w:val="0"/>
                    <w:suppressLineNumbers w:val="0"/>
                    <w:spacing w:before="0" w:beforeAutospacing="0" w:after="0" w:afterAutospacing="0"/>
                    <w:ind w:left="0" w:right="0"/>
                    <w:jc w:val="center"/>
                    <w:rPr>
                      <w:rFonts w:hint="eastAsia"/>
                      <w:bCs/>
                      <w:color w:val="auto"/>
                      <w:sz w:val="21"/>
                      <w:szCs w:val="21"/>
                      <w:highlight w:val="none"/>
                      <w:lang w:bidi="ar"/>
                    </w:rPr>
                  </w:pPr>
                  <w:r>
                    <w:rPr>
                      <w:rFonts w:hint="eastAsia"/>
                      <w:bCs/>
                      <w:color w:val="auto"/>
                      <w:sz w:val="21"/>
                      <w:szCs w:val="21"/>
                      <w:highlight w:val="none"/>
                      <w:lang w:bidi="ar"/>
                    </w:rPr>
                    <w:t>800</w:t>
                  </w:r>
                </w:p>
              </w:tc>
            </w:tr>
            <w:tr w14:paraId="375F1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pct"/>
                  <w:vMerge w:val="continue"/>
                  <w:tcBorders>
                    <w:tl2br w:val="nil"/>
                    <w:tr2bl w:val="nil"/>
                  </w:tcBorders>
                  <w:noWrap w:val="0"/>
                  <w:vAlign w:val="center"/>
                </w:tcPr>
                <w:p w14:paraId="02F0A44C">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p>
              </w:tc>
              <w:tc>
                <w:tcPr>
                  <w:tcW w:w="1169" w:type="pct"/>
                  <w:tcBorders>
                    <w:tl2br w:val="nil"/>
                    <w:tr2bl w:val="nil"/>
                  </w:tcBorders>
                  <w:noWrap w:val="0"/>
                  <w:vAlign w:val="center"/>
                </w:tcPr>
                <w:p w14:paraId="17C206CF">
                  <w:pPr>
                    <w:keepNext w:val="0"/>
                    <w:keepLines w:val="0"/>
                    <w:suppressLineNumbers w:val="0"/>
                    <w:spacing w:before="0" w:beforeAutospacing="0" w:after="0" w:afterAutospacing="0"/>
                    <w:ind w:left="0" w:right="0"/>
                    <w:jc w:val="center"/>
                    <w:rPr>
                      <w:rFonts w:hint="eastAsia"/>
                      <w:bCs/>
                      <w:color w:val="auto"/>
                      <w:sz w:val="21"/>
                      <w:szCs w:val="21"/>
                      <w:highlight w:val="none"/>
                      <w:lang w:bidi="ar"/>
                    </w:rPr>
                  </w:pPr>
                  <w:r>
                    <w:rPr>
                      <w:rFonts w:hint="eastAsia"/>
                      <w:bCs/>
                      <w:color w:val="auto"/>
                      <w:sz w:val="21"/>
                      <w:szCs w:val="21"/>
                      <w:highlight w:val="none"/>
                      <w:lang w:bidi="ar"/>
                    </w:rPr>
                    <w:t>镍</w:t>
                  </w:r>
                </w:p>
              </w:tc>
              <w:tc>
                <w:tcPr>
                  <w:tcW w:w="1031" w:type="pct"/>
                  <w:tcBorders>
                    <w:tl2br w:val="nil"/>
                    <w:tr2bl w:val="nil"/>
                  </w:tcBorders>
                  <w:noWrap w:val="0"/>
                  <w:vAlign w:val="top"/>
                </w:tcPr>
                <w:p w14:paraId="092A208D">
                  <w:pPr>
                    <w:keepNext w:val="0"/>
                    <w:keepLines w:val="0"/>
                    <w:widowControl/>
                    <w:suppressLineNumbers w:val="0"/>
                    <w:spacing w:before="0" w:beforeAutospacing="0" w:after="0" w:afterAutospacing="0"/>
                    <w:ind w:left="0" w:right="0"/>
                    <w:jc w:val="center"/>
                    <w:textAlignment w:val="top"/>
                    <w:rPr>
                      <w:rFonts w:hint="default"/>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1032" w:type="pct"/>
                  <w:tcBorders>
                    <w:tl2br w:val="nil"/>
                    <w:tr2bl w:val="nil"/>
                  </w:tcBorders>
                  <w:noWrap w:val="0"/>
                  <w:vAlign w:val="top"/>
                </w:tcPr>
                <w:p w14:paraId="71AA5734">
                  <w:pPr>
                    <w:keepNext w:val="0"/>
                    <w:keepLines w:val="0"/>
                    <w:widowControl/>
                    <w:suppressLineNumbers w:val="0"/>
                    <w:spacing w:before="0" w:beforeAutospacing="0" w:after="0" w:afterAutospacing="0"/>
                    <w:ind w:left="0" w:right="0"/>
                    <w:jc w:val="center"/>
                    <w:textAlignment w:val="top"/>
                    <w:rPr>
                      <w:rFonts w:hint="eastAsia"/>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932" w:type="pct"/>
                  <w:tcBorders>
                    <w:tl2br w:val="nil"/>
                    <w:tr2bl w:val="nil"/>
                  </w:tcBorders>
                  <w:noWrap w:val="0"/>
                  <w:vAlign w:val="center"/>
                </w:tcPr>
                <w:p w14:paraId="6284EA66">
                  <w:pPr>
                    <w:keepNext w:val="0"/>
                    <w:keepLines w:val="0"/>
                    <w:suppressLineNumbers w:val="0"/>
                    <w:spacing w:before="0" w:beforeAutospacing="0" w:after="0" w:afterAutospacing="0"/>
                    <w:ind w:left="0" w:right="0"/>
                    <w:jc w:val="center"/>
                    <w:rPr>
                      <w:rFonts w:hint="eastAsia"/>
                      <w:bCs/>
                      <w:color w:val="auto"/>
                      <w:sz w:val="21"/>
                      <w:szCs w:val="21"/>
                      <w:highlight w:val="none"/>
                      <w:lang w:bidi="ar"/>
                    </w:rPr>
                  </w:pPr>
                  <w:r>
                    <w:rPr>
                      <w:rFonts w:hint="eastAsia"/>
                      <w:bCs/>
                      <w:color w:val="auto"/>
                      <w:sz w:val="21"/>
                      <w:szCs w:val="21"/>
                      <w:highlight w:val="none"/>
                      <w:lang w:bidi="ar"/>
                    </w:rPr>
                    <w:t>900</w:t>
                  </w:r>
                </w:p>
              </w:tc>
            </w:tr>
            <w:tr w14:paraId="7D50D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pct"/>
                  <w:vMerge w:val="continue"/>
                  <w:tcBorders>
                    <w:tl2br w:val="nil"/>
                    <w:tr2bl w:val="nil"/>
                  </w:tcBorders>
                  <w:noWrap w:val="0"/>
                  <w:vAlign w:val="center"/>
                </w:tcPr>
                <w:p w14:paraId="529BFD20">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p>
              </w:tc>
              <w:tc>
                <w:tcPr>
                  <w:tcW w:w="1169" w:type="pct"/>
                  <w:tcBorders>
                    <w:tl2br w:val="nil"/>
                    <w:tr2bl w:val="nil"/>
                  </w:tcBorders>
                  <w:noWrap w:val="0"/>
                  <w:vAlign w:val="center"/>
                </w:tcPr>
                <w:p w14:paraId="551F2B4B">
                  <w:pPr>
                    <w:keepNext w:val="0"/>
                    <w:keepLines w:val="0"/>
                    <w:suppressLineNumbers w:val="0"/>
                    <w:spacing w:before="0" w:beforeAutospacing="0" w:after="0" w:afterAutospacing="0"/>
                    <w:ind w:left="0" w:right="0"/>
                    <w:jc w:val="center"/>
                    <w:rPr>
                      <w:rFonts w:hint="eastAsia"/>
                      <w:bCs/>
                      <w:color w:val="auto"/>
                      <w:sz w:val="21"/>
                      <w:szCs w:val="21"/>
                      <w:highlight w:val="none"/>
                      <w:lang w:bidi="ar"/>
                    </w:rPr>
                  </w:pPr>
                  <w:r>
                    <w:rPr>
                      <w:rFonts w:hint="eastAsia"/>
                      <w:bCs/>
                      <w:color w:val="auto"/>
                      <w:sz w:val="21"/>
                      <w:szCs w:val="21"/>
                      <w:highlight w:val="none"/>
                      <w:lang w:bidi="ar"/>
                    </w:rPr>
                    <w:t>锌</w:t>
                  </w:r>
                </w:p>
              </w:tc>
              <w:tc>
                <w:tcPr>
                  <w:tcW w:w="1031" w:type="pct"/>
                  <w:tcBorders>
                    <w:tl2br w:val="nil"/>
                    <w:tr2bl w:val="nil"/>
                  </w:tcBorders>
                  <w:noWrap w:val="0"/>
                  <w:vAlign w:val="top"/>
                </w:tcPr>
                <w:p w14:paraId="1929861F">
                  <w:pPr>
                    <w:keepNext w:val="0"/>
                    <w:keepLines w:val="0"/>
                    <w:widowControl/>
                    <w:suppressLineNumbers w:val="0"/>
                    <w:spacing w:before="0" w:beforeAutospacing="0" w:after="0" w:afterAutospacing="0"/>
                    <w:ind w:left="0" w:right="0"/>
                    <w:jc w:val="center"/>
                    <w:textAlignment w:val="top"/>
                    <w:rPr>
                      <w:rFonts w:hint="default"/>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1032" w:type="pct"/>
                  <w:tcBorders>
                    <w:tl2br w:val="nil"/>
                    <w:tr2bl w:val="nil"/>
                  </w:tcBorders>
                  <w:noWrap w:val="0"/>
                  <w:vAlign w:val="top"/>
                </w:tcPr>
                <w:p w14:paraId="25E13074">
                  <w:pPr>
                    <w:keepNext w:val="0"/>
                    <w:keepLines w:val="0"/>
                    <w:widowControl/>
                    <w:suppressLineNumbers w:val="0"/>
                    <w:spacing w:before="0" w:beforeAutospacing="0" w:after="0" w:afterAutospacing="0"/>
                    <w:ind w:left="0" w:right="0"/>
                    <w:jc w:val="center"/>
                    <w:textAlignment w:val="top"/>
                    <w:rPr>
                      <w:rFonts w:hint="eastAsia"/>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932" w:type="pct"/>
                  <w:tcBorders>
                    <w:tl2br w:val="nil"/>
                    <w:tr2bl w:val="nil"/>
                  </w:tcBorders>
                  <w:noWrap w:val="0"/>
                  <w:vAlign w:val="center"/>
                </w:tcPr>
                <w:p w14:paraId="5CFE2860">
                  <w:pPr>
                    <w:keepNext w:val="0"/>
                    <w:keepLines w:val="0"/>
                    <w:suppressLineNumbers w:val="0"/>
                    <w:spacing w:before="0" w:beforeAutospacing="0" w:after="0" w:afterAutospacing="0"/>
                    <w:ind w:left="0" w:right="0"/>
                    <w:jc w:val="center"/>
                    <w:rPr>
                      <w:rFonts w:hint="eastAsia"/>
                      <w:bCs/>
                      <w:color w:val="auto"/>
                      <w:sz w:val="21"/>
                      <w:szCs w:val="21"/>
                      <w:highlight w:val="none"/>
                      <w:lang w:bidi="ar"/>
                    </w:rPr>
                  </w:pPr>
                  <w:r>
                    <w:rPr>
                      <w:rFonts w:hint="eastAsia"/>
                      <w:bCs/>
                      <w:color w:val="auto"/>
                      <w:sz w:val="21"/>
                      <w:szCs w:val="21"/>
                      <w:highlight w:val="none"/>
                      <w:lang w:bidi="ar"/>
                    </w:rPr>
                    <w:t>/</w:t>
                  </w:r>
                </w:p>
              </w:tc>
            </w:tr>
            <w:tr w14:paraId="69B83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pct"/>
                  <w:vMerge w:val="continue"/>
                  <w:tcBorders>
                    <w:tl2br w:val="nil"/>
                    <w:tr2bl w:val="nil"/>
                  </w:tcBorders>
                  <w:noWrap w:val="0"/>
                  <w:vAlign w:val="center"/>
                </w:tcPr>
                <w:p w14:paraId="141D3000">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p>
              </w:tc>
              <w:tc>
                <w:tcPr>
                  <w:tcW w:w="1169" w:type="pct"/>
                  <w:tcBorders>
                    <w:tl2br w:val="nil"/>
                    <w:tr2bl w:val="nil"/>
                  </w:tcBorders>
                  <w:noWrap w:val="0"/>
                  <w:vAlign w:val="center"/>
                </w:tcPr>
                <w:p w14:paraId="7D8C6685">
                  <w:pPr>
                    <w:keepNext w:val="0"/>
                    <w:keepLines w:val="0"/>
                    <w:suppressLineNumbers w:val="0"/>
                    <w:spacing w:before="0" w:beforeAutospacing="0" w:after="0" w:afterAutospacing="0"/>
                    <w:ind w:left="0" w:right="0"/>
                    <w:jc w:val="center"/>
                    <w:rPr>
                      <w:rFonts w:hint="eastAsia"/>
                      <w:bCs/>
                      <w:color w:val="auto"/>
                      <w:sz w:val="21"/>
                      <w:szCs w:val="21"/>
                      <w:highlight w:val="none"/>
                      <w:lang w:bidi="ar"/>
                    </w:rPr>
                  </w:pPr>
                  <w:r>
                    <w:rPr>
                      <w:rFonts w:hint="default"/>
                      <w:bCs/>
                      <w:color w:val="auto"/>
                      <w:sz w:val="21"/>
                      <w:szCs w:val="21"/>
                      <w:highlight w:val="none"/>
                      <w:lang w:bidi="ar"/>
                    </w:rPr>
                    <w:t>石油烃（C10-C40）</w:t>
                  </w:r>
                </w:p>
              </w:tc>
              <w:tc>
                <w:tcPr>
                  <w:tcW w:w="1031" w:type="pct"/>
                  <w:tcBorders>
                    <w:tl2br w:val="nil"/>
                    <w:tr2bl w:val="nil"/>
                  </w:tcBorders>
                  <w:noWrap w:val="0"/>
                  <w:vAlign w:val="center"/>
                </w:tcPr>
                <w:p w14:paraId="0D0897F3">
                  <w:pPr>
                    <w:keepNext w:val="0"/>
                    <w:keepLines w:val="0"/>
                    <w:widowControl/>
                    <w:suppressLineNumbers w:val="0"/>
                    <w:spacing w:before="0" w:beforeAutospacing="0" w:after="0" w:afterAutospacing="0"/>
                    <w:ind w:left="0" w:right="0"/>
                    <w:jc w:val="center"/>
                    <w:textAlignment w:val="center"/>
                    <w:rPr>
                      <w:rFonts w:hint="default"/>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32" w:type="pct"/>
                  <w:tcBorders>
                    <w:tl2br w:val="nil"/>
                    <w:tr2bl w:val="nil"/>
                  </w:tcBorders>
                  <w:noWrap w:val="0"/>
                  <w:vAlign w:val="center"/>
                </w:tcPr>
                <w:p w14:paraId="7A082B69">
                  <w:pPr>
                    <w:keepNext w:val="0"/>
                    <w:keepLines w:val="0"/>
                    <w:widowControl/>
                    <w:suppressLineNumbers w:val="0"/>
                    <w:spacing w:before="0" w:beforeAutospacing="0" w:after="0" w:afterAutospacing="0"/>
                    <w:ind w:left="0" w:right="0"/>
                    <w:jc w:val="center"/>
                    <w:textAlignment w:val="center"/>
                    <w:rPr>
                      <w:rFonts w:hint="eastAsia"/>
                      <w:bCs/>
                      <w:color w:val="auto"/>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932" w:type="pct"/>
                  <w:tcBorders>
                    <w:tl2br w:val="nil"/>
                    <w:tr2bl w:val="nil"/>
                  </w:tcBorders>
                  <w:noWrap w:val="0"/>
                  <w:vAlign w:val="center"/>
                </w:tcPr>
                <w:p w14:paraId="4DE9331F">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r>
                    <w:rPr>
                      <w:rFonts w:hint="eastAsia"/>
                      <w:bCs/>
                      <w:color w:val="auto"/>
                      <w:sz w:val="21"/>
                      <w:szCs w:val="21"/>
                      <w:highlight w:val="none"/>
                      <w:lang w:bidi="ar"/>
                    </w:rPr>
                    <w:t>4500</w:t>
                  </w:r>
                </w:p>
              </w:tc>
            </w:tr>
            <w:tr w14:paraId="518BA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pct"/>
                  <w:vMerge w:val="continue"/>
                  <w:tcBorders>
                    <w:tl2br w:val="nil"/>
                    <w:tr2bl w:val="nil"/>
                  </w:tcBorders>
                  <w:noWrap w:val="0"/>
                  <w:vAlign w:val="center"/>
                </w:tcPr>
                <w:p w14:paraId="5D84725D">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p>
              </w:tc>
              <w:tc>
                <w:tcPr>
                  <w:tcW w:w="1169" w:type="pct"/>
                  <w:tcBorders>
                    <w:tl2br w:val="nil"/>
                    <w:tr2bl w:val="nil"/>
                  </w:tcBorders>
                  <w:noWrap w:val="0"/>
                  <w:vAlign w:val="center"/>
                </w:tcPr>
                <w:p w14:paraId="355716DD">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r>
                    <w:rPr>
                      <w:rFonts w:hint="eastAsia"/>
                      <w:bCs/>
                      <w:color w:val="auto"/>
                      <w:sz w:val="21"/>
                      <w:szCs w:val="21"/>
                      <w:highlight w:val="none"/>
                      <w:lang w:bidi="ar"/>
                    </w:rPr>
                    <w:t>石油烃（C</w:t>
                  </w:r>
                  <w:r>
                    <w:rPr>
                      <w:rFonts w:hint="default"/>
                      <w:bCs/>
                      <w:color w:val="auto"/>
                      <w:sz w:val="21"/>
                      <w:szCs w:val="21"/>
                      <w:highlight w:val="none"/>
                      <w:lang w:bidi="ar"/>
                    </w:rPr>
                    <w:t>6</w:t>
                  </w:r>
                  <w:r>
                    <w:rPr>
                      <w:rFonts w:hint="eastAsia"/>
                      <w:bCs/>
                      <w:color w:val="auto"/>
                      <w:sz w:val="21"/>
                      <w:szCs w:val="21"/>
                      <w:highlight w:val="none"/>
                      <w:lang w:bidi="ar"/>
                    </w:rPr>
                    <w:t>-</w:t>
                  </w:r>
                  <w:r>
                    <w:rPr>
                      <w:rFonts w:hint="default"/>
                      <w:bCs/>
                      <w:color w:val="auto"/>
                      <w:sz w:val="21"/>
                      <w:szCs w:val="21"/>
                      <w:highlight w:val="none"/>
                      <w:lang w:bidi="ar"/>
                    </w:rPr>
                    <w:t>C9</w:t>
                  </w:r>
                  <w:r>
                    <w:rPr>
                      <w:rFonts w:hint="eastAsia"/>
                      <w:bCs/>
                      <w:color w:val="auto"/>
                      <w:sz w:val="21"/>
                      <w:szCs w:val="21"/>
                      <w:highlight w:val="none"/>
                      <w:lang w:bidi="ar"/>
                    </w:rPr>
                    <w:t>）*</w:t>
                  </w:r>
                </w:p>
              </w:tc>
              <w:tc>
                <w:tcPr>
                  <w:tcW w:w="1031" w:type="pct"/>
                  <w:tcBorders>
                    <w:tl2br w:val="nil"/>
                    <w:tr2bl w:val="nil"/>
                  </w:tcBorders>
                  <w:noWrap w:val="0"/>
                  <w:vAlign w:val="center"/>
                </w:tcPr>
                <w:p w14:paraId="0C8DF84B">
                  <w:pPr>
                    <w:keepNext w:val="0"/>
                    <w:keepLines w:val="0"/>
                    <w:widowControl/>
                    <w:suppressLineNumbers w:val="0"/>
                    <w:spacing w:before="0" w:beforeAutospacing="0" w:after="0" w:afterAutospacing="0"/>
                    <w:ind w:left="0" w:right="0"/>
                    <w:jc w:val="center"/>
                    <w:textAlignment w:val="center"/>
                    <w:rPr>
                      <w:rFonts w:hint="default"/>
                      <w:bCs/>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未检出</w:t>
                  </w:r>
                </w:p>
              </w:tc>
              <w:tc>
                <w:tcPr>
                  <w:tcW w:w="1032" w:type="pct"/>
                  <w:tcBorders>
                    <w:tl2br w:val="nil"/>
                    <w:tr2bl w:val="nil"/>
                  </w:tcBorders>
                  <w:noWrap w:val="0"/>
                  <w:vAlign w:val="center"/>
                </w:tcPr>
                <w:p w14:paraId="65572BA2">
                  <w:pPr>
                    <w:keepNext w:val="0"/>
                    <w:keepLines w:val="0"/>
                    <w:widowControl/>
                    <w:suppressLineNumbers w:val="0"/>
                    <w:spacing w:before="0" w:beforeAutospacing="0" w:after="0" w:afterAutospacing="0"/>
                    <w:ind w:left="0" w:right="0"/>
                    <w:jc w:val="center"/>
                    <w:textAlignment w:val="center"/>
                    <w:rPr>
                      <w:rFonts w:hint="eastAsia"/>
                      <w:bCs/>
                      <w:color w:val="auto"/>
                      <w:sz w:val="21"/>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未检出</w:t>
                  </w:r>
                </w:p>
              </w:tc>
              <w:tc>
                <w:tcPr>
                  <w:tcW w:w="932" w:type="pct"/>
                  <w:tcBorders>
                    <w:tl2br w:val="nil"/>
                    <w:tr2bl w:val="nil"/>
                  </w:tcBorders>
                  <w:noWrap w:val="0"/>
                  <w:vAlign w:val="center"/>
                </w:tcPr>
                <w:p w14:paraId="0B8B9EE3">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r>
                    <w:rPr>
                      <w:rFonts w:hint="eastAsia"/>
                      <w:bCs/>
                      <w:color w:val="auto"/>
                      <w:sz w:val="21"/>
                      <w:szCs w:val="21"/>
                      <w:highlight w:val="none"/>
                      <w:lang w:bidi="ar"/>
                    </w:rPr>
                    <w:t>/</w:t>
                  </w:r>
                </w:p>
              </w:tc>
            </w:tr>
            <w:tr w14:paraId="4789B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4" w:type="pct"/>
                  <w:tcBorders>
                    <w:tl2br w:val="nil"/>
                    <w:tr2bl w:val="nil"/>
                  </w:tcBorders>
                  <w:noWrap w:val="0"/>
                  <w:vAlign w:val="center"/>
                </w:tcPr>
                <w:p w14:paraId="42BDB758">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r>
                    <w:rPr>
                      <w:rFonts w:hint="eastAsia" w:ascii="Times New Roman" w:hAnsi="Times New Roman" w:eastAsia="宋体" w:cs="Times New Roman"/>
                      <w:sz w:val="21"/>
                      <w:szCs w:val="21"/>
                      <w:lang w:val="en-US" w:eastAsia="zh-CN"/>
                    </w:rPr>
                    <w:t>2025.06.17</w:t>
                  </w:r>
                </w:p>
              </w:tc>
              <w:tc>
                <w:tcPr>
                  <w:tcW w:w="1169" w:type="pct"/>
                  <w:tcBorders>
                    <w:tl2br w:val="nil"/>
                    <w:tr2bl w:val="nil"/>
                  </w:tcBorders>
                  <w:noWrap w:val="0"/>
                  <w:vAlign w:val="center"/>
                </w:tcPr>
                <w:p w14:paraId="1ECBFB90">
                  <w:pPr>
                    <w:keepNext w:val="0"/>
                    <w:keepLines w:val="0"/>
                    <w:suppressLineNumbers w:val="0"/>
                    <w:spacing w:before="0" w:beforeAutospacing="0" w:after="0" w:afterAutospacing="0"/>
                    <w:ind w:left="0" w:right="0"/>
                    <w:jc w:val="center"/>
                    <w:rPr>
                      <w:rFonts w:hint="eastAsia"/>
                      <w:bCs/>
                      <w:color w:val="auto"/>
                      <w:sz w:val="21"/>
                      <w:szCs w:val="21"/>
                      <w:highlight w:val="none"/>
                      <w:lang w:bidi="ar"/>
                    </w:rPr>
                  </w:pPr>
                  <w:r>
                    <w:rPr>
                      <w:rFonts w:hint="eastAsia"/>
                      <w:bCs/>
                      <w:color w:val="auto"/>
                      <w:sz w:val="21"/>
                      <w:szCs w:val="21"/>
                      <w:highlight w:val="none"/>
                      <w:lang w:bidi="ar"/>
                    </w:rPr>
                    <w:t>石油类*</w:t>
                  </w:r>
                </w:p>
              </w:tc>
              <w:tc>
                <w:tcPr>
                  <w:tcW w:w="1031" w:type="pct"/>
                  <w:tcBorders>
                    <w:tl2br w:val="nil"/>
                    <w:tr2bl w:val="nil"/>
                  </w:tcBorders>
                  <w:noWrap w:val="0"/>
                  <w:vAlign w:val="center"/>
                </w:tcPr>
                <w:p w14:paraId="3CA168DE">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r>
                    <w:rPr>
                      <w:rFonts w:hint="default"/>
                      <w:bCs/>
                      <w:color w:val="auto"/>
                      <w:sz w:val="21"/>
                      <w:szCs w:val="21"/>
                      <w:highlight w:val="none"/>
                      <w:lang w:bidi="ar"/>
                    </w:rPr>
                    <w:t>ND</w:t>
                  </w:r>
                </w:p>
              </w:tc>
              <w:tc>
                <w:tcPr>
                  <w:tcW w:w="1032" w:type="pct"/>
                  <w:tcBorders>
                    <w:tl2br w:val="nil"/>
                    <w:tr2bl w:val="nil"/>
                  </w:tcBorders>
                  <w:noWrap w:val="0"/>
                  <w:vAlign w:val="center"/>
                </w:tcPr>
                <w:p w14:paraId="538D3BE6">
                  <w:pPr>
                    <w:keepNext w:val="0"/>
                    <w:keepLines w:val="0"/>
                    <w:suppressLineNumbers w:val="0"/>
                    <w:spacing w:before="0" w:beforeAutospacing="0" w:after="0" w:afterAutospacing="0"/>
                    <w:ind w:left="0" w:right="0"/>
                    <w:jc w:val="center"/>
                    <w:rPr>
                      <w:rFonts w:hint="default" w:eastAsia="宋体"/>
                      <w:bCs/>
                      <w:color w:val="auto"/>
                      <w:sz w:val="21"/>
                      <w:szCs w:val="21"/>
                      <w:highlight w:val="none"/>
                      <w:lang w:val="en-US" w:eastAsia="zh-CN" w:bidi="ar"/>
                    </w:rPr>
                  </w:pPr>
                  <w:r>
                    <w:rPr>
                      <w:rFonts w:hint="eastAsia"/>
                      <w:bCs/>
                      <w:color w:val="auto"/>
                      <w:sz w:val="21"/>
                      <w:szCs w:val="21"/>
                      <w:highlight w:val="none"/>
                      <w:lang w:val="en-US" w:eastAsia="zh-CN" w:bidi="ar"/>
                    </w:rPr>
                    <w:t>18</w:t>
                  </w:r>
                </w:p>
              </w:tc>
              <w:tc>
                <w:tcPr>
                  <w:tcW w:w="932" w:type="pct"/>
                  <w:tcBorders>
                    <w:tl2br w:val="nil"/>
                    <w:tr2bl w:val="nil"/>
                  </w:tcBorders>
                  <w:noWrap w:val="0"/>
                  <w:vAlign w:val="center"/>
                </w:tcPr>
                <w:p w14:paraId="3EAF4662">
                  <w:pPr>
                    <w:keepNext w:val="0"/>
                    <w:keepLines w:val="0"/>
                    <w:suppressLineNumbers w:val="0"/>
                    <w:spacing w:before="0" w:beforeAutospacing="0" w:after="0" w:afterAutospacing="0"/>
                    <w:ind w:left="0" w:right="0"/>
                    <w:jc w:val="center"/>
                    <w:rPr>
                      <w:rFonts w:hint="default"/>
                      <w:bCs/>
                      <w:color w:val="auto"/>
                      <w:sz w:val="21"/>
                      <w:szCs w:val="21"/>
                      <w:highlight w:val="none"/>
                      <w:lang w:bidi="ar"/>
                    </w:rPr>
                  </w:pPr>
                  <w:r>
                    <w:rPr>
                      <w:rFonts w:hint="eastAsia"/>
                      <w:bCs/>
                      <w:color w:val="auto"/>
                      <w:sz w:val="21"/>
                      <w:szCs w:val="21"/>
                      <w:highlight w:val="none"/>
                      <w:lang w:bidi="ar"/>
                    </w:rPr>
                    <w:t>/</w:t>
                  </w:r>
                </w:p>
              </w:tc>
            </w:tr>
          </w:tbl>
          <w:p w14:paraId="5B8441D2">
            <w:pPr>
              <w:keepNext w:val="0"/>
              <w:keepLines w:val="0"/>
              <w:suppressLineNumbers w:val="0"/>
              <w:spacing w:before="0" w:beforeAutospacing="0" w:after="0" w:afterAutospacing="0" w:line="360" w:lineRule="auto"/>
              <w:ind w:left="0" w:right="0" w:firstLine="482" w:firstLineChars="200"/>
              <w:jc w:val="center"/>
              <w:rPr>
                <w:rFonts w:hint="default"/>
                <w:b/>
                <w:bCs/>
                <w:color w:val="auto"/>
                <w:szCs w:val="21"/>
                <w:highlight w:val="none"/>
              </w:rPr>
            </w:pPr>
          </w:p>
          <w:p w14:paraId="13E366C8">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rPr>
            </w:pPr>
            <w:r>
              <w:rPr>
                <w:rFonts w:hint="default" w:ascii="Times New Roman" w:hAnsi="Times New Roman" w:eastAsia="黑体" w:cs="Times New Roman"/>
                <w:b/>
                <w:bCs/>
                <w:color w:val="auto"/>
                <w:kern w:val="0"/>
                <w:sz w:val="20"/>
                <w:szCs w:val="20"/>
                <w:highlight w:val="none"/>
                <w:lang w:val="en-US" w:eastAsia="zh-CN"/>
              </w:rPr>
              <w:t>表3-1</w:t>
            </w:r>
            <w:r>
              <w:rPr>
                <w:rFonts w:hint="eastAsia" w:ascii="Times New Roman" w:hAnsi="Times New Roman" w:eastAsia="黑体" w:cs="Times New Roman"/>
                <w:b/>
                <w:bCs/>
                <w:color w:val="auto"/>
                <w:kern w:val="0"/>
                <w:sz w:val="20"/>
                <w:szCs w:val="20"/>
                <w:highlight w:val="none"/>
                <w:lang w:val="en-US" w:eastAsia="zh-CN"/>
              </w:rPr>
              <w:t>2</w:t>
            </w:r>
            <w:r>
              <w:rPr>
                <w:rFonts w:hint="default" w:ascii="Times New Roman" w:hAnsi="Times New Roman" w:eastAsia="黑体" w:cs="Times New Roman"/>
                <w:b/>
                <w:bCs/>
                <w:color w:val="auto"/>
                <w:kern w:val="0"/>
                <w:sz w:val="20"/>
                <w:szCs w:val="20"/>
                <w:highlight w:val="none"/>
                <w:lang w:val="en-US" w:eastAsia="zh-CN"/>
              </w:rPr>
              <w:t xml:space="preserve"> 项目</w:t>
            </w:r>
            <w:r>
              <w:rPr>
                <w:rFonts w:hint="eastAsia" w:eastAsia="黑体" w:cs="Times New Roman"/>
                <w:b/>
                <w:bCs/>
                <w:color w:val="auto"/>
                <w:kern w:val="0"/>
                <w:sz w:val="20"/>
                <w:szCs w:val="20"/>
                <w:highlight w:val="none"/>
                <w:lang w:val="en-US" w:eastAsia="zh-CN"/>
              </w:rPr>
              <w:t>T1</w:t>
            </w:r>
            <w:r>
              <w:rPr>
                <w:rFonts w:hint="eastAsia" w:ascii="Times New Roman" w:hAnsi="Times New Roman" w:eastAsia="黑体" w:cs="Times New Roman"/>
                <w:b/>
                <w:bCs/>
                <w:color w:val="auto"/>
                <w:kern w:val="0"/>
                <w:sz w:val="20"/>
                <w:szCs w:val="20"/>
                <w:highlight w:val="none"/>
                <w:lang w:val="en-US" w:eastAsia="zh-CN"/>
              </w:rPr>
              <w:t>点位</w:t>
            </w:r>
            <w:r>
              <w:rPr>
                <w:rFonts w:hint="default" w:ascii="Times New Roman" w:hAnsi="Times New Roman" w:eastAsia="黑体" w:cs="Times New Roman"/>
                <w:b/>
                <w:bCs/>
                <w:color w:val="auto"/>
                <w:kern w:val="0"/>
                <w:sz w:val="20"/>
                <w:szCs w:val="20"/>
                <w:highlight w:val="none"/>
                <w:lang w:val="en-US" w:eastAsia="zh-CN"/>
              </w:rPr>
              <w:t>土壤环境质量现状监测结果表（单位：mg/kg）</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655"/>
              <w:gridCol w:w="1997"/>
              <w:gridCol w:w="1709"/>
              <w:gridCol w:w="1608"/>
            </w:tblGrid>
            <w:tr w14:paraId="6B2F0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19" w:type="dxa"/>
                  <w:tcBorders>
                    <w:tl2br w:val="nil"/>
                    <w:tr2bl w:val="nil"/>
                  </w:tcBorders>
                  <w:noWrap w:val="0"/>
                  <w:vAlign w:val="center"/>
                </w:tcPr>
                <w:p w14:paraId="6E4719EC">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eastAsia"/>
                      <w:b/>
                      <w:bCs/>
                      <w:color w:val="auto"/>
                      <w:sz w:val="21"/>
                      <w:szCs w:val="21"/>
                      <w:highlight w:val="none"/>
                    </w:rPr>
                    <w:t>采样日期</w:t>
                  </w:r>
                </w:p>
              </w:tc>
              <w:tc>
                <w:tcPr>
                  <w:tcW w:w="1655" w:type="dxa"/>
                  <w:tcBorders>
                    <w:tl2br w:val="nil"/>
                    <w:tr2bl w:val="nil"/>
                  </w:tcBorders>
                  <w:noWrap w:val="0"/>
                  <w:vAlign w:val="center"/>
                </w:tcPr>
                <w:p w14:paraId="370D8658">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检测点编号及位置</w:t>
                  </w:r>
                </w:p>
              </w:tc>
              <w:tc>
                <w:tcPr>
                  <w:tcW w:w="1997" w:type="dxa"/>
                  <w:tcBorders>
                    <w:tl2br w:val="nil"/>
                    <w:tr2bl w:val="nil"/>
                  </w:tcBorders>
                  <w:noWrap w:val="0"/>
                  <w:vAlign w:val="center"/>
                </w:tcPr>
                <w:p w14:paraId="10678BE9">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检测因子</w:t>
                  </w:r>
                </w:p>
              </w:tc>
              <w:tc>
                <w:tcPr>
                  <w:tcW w:w="1709" w:type="dxa"/>
                  <w:tcBorders>
                    <w:tl2br w:val="nil"/>
                    <w:tr2bl w:val="nil"/>
                  </w:tcBorders>
                  <w:noWrap w:val="0"/>
                  <w:vAlign w:val="center"/>
                </w:tcPr>
                <w:p w14:paraId="460A886B">
                  <w:pPr>
                    <w:keepNext w:val="0"/>
                    <w:keepLines w:val="0"/>
                    <w:suppressLineNumbers w:val="0"/>
                    <w:spacing w:before="0" w:beforeAutospacing="0" w:after="0" w:afterAutospacing="0"/>
                    <w:ind w:left="0" w:right="0"/>
                    <w:jc w:val="center"/>
                    <w:rPr>
                      <w:rFonts w:hint="eastAsia"/>
                      <w:b/>
                      <w:bCs/>
                      <w:color w:val="auto"/>
                      <w:sz w:val="21"/>
                      <w:szCs w:val="21"/>
                      <w:highlight w:val="none"/>
                    </w:rPr>
                  </w:pPr>
                  <w:r>
                    <w:rPr>
                      <w:rFonts w:hint="eastAsia"/>
                      <w:b/>
                      <w:bCs/>
                      <w:color w:val="auto"/>
                      <w:sz w:val="21"/>
                      <w:szCs w:val="21"/>
                      <w:highlight w:val="none"/>
                    </w:rPr>
                    <w:t>检测结果</w:t>
                  </w:r>
                </w:p>
              </w:tc>
              <w:tc>
                <w:tcPr>
                  <w:tcW w:w="1608" w:type="dxa"/>
                  <w:tcBorders>
                    <w:tl2br w:val="nil"/>
                    <w:tr2bl w:val="nil"/>
                  </w:tcBorders>
                  <w:noWrap w:val="0"/>
                  <w:vAlign w:val="center"/>
                </w:tcPr>
                <w:p w14:paraId="231BAE2A">
                  <w:pPr>
                    <w:keepNext w:val="0"/>
                    <w:keepLines w:val="0"/>
                    <w:suppressLineNumbers w:val="0"/>
                    <w:spacing w:before="0" w:beforeAutospacing="0" w:after="0" w:afterAutospacing="0"/>
                    <w:ind w:left="0" w:right="0"/>
                    <w:jc w:val="center"/>
                    <w:rPr>
                      <w:rFonts w:hint="eastAsia"/>
                      <w:b/>
                      <w:bCs/>
                      <w:color w:val="auto"/>
                      <w:sz w:val="21"/>
                      <w:szCs w:val="21"/>
                      <w:highlight w:val="none"/>
                    </w:rPr>
                  </w:pPr>
                  <w:r>
                    <w:rPr>
                      <w:rFonts w:hint="default"/>
                      <w:b/>
                      <w:color w:val="auto"/>
                      <w:sz w:val="21"/>
                      <w:szCs w:val="21"/>
                      <w:highlight w:val="none"/>
                    </w:rPr>
                    <w:t>第二类用地筛选值标准</w:t>
                  </w:r>
                </w:p>
              </w:tc>
            </w:tr>
            <w:tr w14:paraId="581E7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restart"/>
                  <w:tcBorders>
                    <w:tl2br w:val="nil"/>
                    <w:tr2bl w:val="nil"/>
                  </w:tcBorders>
                  <w:noWrap w:val="0"/>
                  <w:vAlign w:val="center"/>
                </w:tcPr>
                <w:p w14:paraId="1AE99E5C">
                  <w:pPr>
                    <w:keepNext w:val="0"/>
                    <w:keepLines w:val="0"/>
                    <w:widowControl/>
                    <w:suppressLineNumbers w:val="0"/>
                    <w:spacing w:before="0" w:beforeAutospacing="0" w:after="0" w:afterAutospacing="0"/>
                    <w:ind w:left="0" w:right="0"/>
                    <w:jc w:val="center"/>
                    <w:textAlignment w:val="center"/>
                    <w:rPr>
                      <w:rFonts w:hint="default" w:eastAsia="宋体"/>
                      <w:color w:val="auto"/>
                      <w:sz w:val="21"/>
                      <w:szCs w:val="21"/>
                      <w:highlight w:val="none"/>
                      <w:lang w:val="en-US" w:eastAsia="zh-CN"/>
                    </w:rPr>
                  </w:pPr>
                  <w:r>
                    <w:rPr>
                      <w:rFonts w:hint="eastAsia"/>
                      <w:color w:val="auto"/>
                      <w:sz w:val="21"/>
                      <w:szCs w:val="21"/>
                      <w:highlight w:val="none"/>
                    </w:rPr>
                    <w:t>202</w:t>
                  </w:r>
                  <w:r>
                    <w:rPr>
                      <w:rFonts w:hint="eastAsia"/>
                      <w:color w:val="auto"/>
                      <w:sz w:val="21"/>
                      <w:szCs w:val="21"/>
                      <w:highlight w:val="none"/>
                      <w:lang w:val="en-US" w:eastAsia="zh-CN"/>
                    </w:rPr>
                    <w:t>5</w:t>
                  </w:r>
                  <w:r>
                    <w:rPr>
                      <w:rFonts w:hint="eastAsia"/>
                      <w:color w:val="auto"/>
                      <w:sz w:val="21"/>
                      <w:szCs w:val="21"/>
                      <w:highlight w:val="none"/>
                    </w:rPr>
                    <w:t>.0</w:t>
                  </w:r>
                  <w:r>
                    <w:rPr>
                      <w:rFonts w:hint="eastAsia"/>
                      <w:color w:val="auto"/>
                      <w:sz w:val="21"/>
                      <w:szCs w:val="21"/>
                      <w:highlight w:val="none"/>
                      <w:lang w:val="en-US" w:eastAsia="zh-CN"/>
                    </w:rPr>
                    <w:t>5.26</w:t>
                  </w:r>
                </w:p>
              </w:tc>
              <w:tc>
                <w:tcPr>
                  <w:tcW w:w="1655" w:type="dxa"/>
                  <w:vMerge w:val="restart"/>
                  <w:tcBorders>
                    <w:tl2br w:val="nil"/>
                    <w:tr2bl w:val="nil"/>
                  </w:tcBorders>
                  <w:noWrap w:val="0"/>
                  <w:vAlign w:val="center"/>
                </w:tcPr>
                <w:p w14:paraId="29033578">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r>
                    <w:rPr>
                      <w:rFonts w:hint="eastAsia"/>
                      <w:color w:val="auto"/>
                      <w:sz w:val="21"/>
                      <w:szCs w:val="21"/>
                      <w:highlight w:val="none"/>
                    </w:rPr>
                    <w:t>T1，</w:t>
                  </w:r>
                  <w:r>
                    <w:rPr>
                      <w:rFonts w:hint="eastAsia"/>
                      <w:bCs/>
                      <w:color w:val="auto"/>
                      <w:sz w:val="21"/>
                      <w:szCs w:val="21"/>
                      <w:highlight w:val="none"/>
                    </w:rPr>
                    <w:t>项目拟建油罐区</w:t>
                  </w:r>
                </w:p>
              </w:tc>
              <w:tc>
                <w:tcPr>
                  <w:tcW w:w="1997" w:type="dxa"/>
                  <w:tcBorders>
                    <w:tl2br w:val="nil"/>
                    <w:tr2bl w:val="nil"/>
                  </w:tcBorders>
                  <w:noWrap w:val="0"/>
                  <w:vAlign w:val="center"/>
                </w:tcPr>
                <w:p w14:paraId="32D7E02B">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bCs/>
                      <w:color w:val="auto"/>
                      <w:sz w:val="21"/>
                      <w:szCs w:val="21"/>
                      <w:highlight w:val="none"/>
                      <w:lang w:bidi="ar"/>
                    </w:rPr>
                    <w:t>pH（无量纲）</w:t>
                  </w:r>
                </w:p>
              </w:tc>
              <w:tc>
                <w:tcPr>
                  <w:tcW w:w="1709" w:type="dxa"/>
                  <w:tcBorders>
                    <w:tl2br w:val="nil"/>
                    <w:tr2bl w:val="nil"/>
                  </w:tcBorders>
                  <w:noWrap w:val="0"/>
                  <w:vAlign w:val="center"/>
                </w:tcPr>
                <w:p w14:paraId="77D26FF9">
                  <w:pPr>
                    <w:keepNext w:val="0"/>
                    <w:keepLines w:val="0"/>
                    <w:widowControl/>
                    <w:suppressLineNumbers w:val="0"/>
                    <w:spacing w:before="0" w:beforeAutospacing="0" w:after="0" w:afterAutospacing="0"/>
                    <w:ind w:left="0" w:right="0"/>
                    <w:jc w:val="center"/>
                    <w:textAlignment w:val="top"/>
                    <w:rPr>
                      <w:rFonts w:hint="default"/>
                      <w:color w:val="auto"/>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w:t>
                  </w:r>
                </w:p>
              </w:tc>
              <w:tc>
                <w:tcPr>
                  <w:tcW w:w="1608" w:type="dxa"/>
                  <w:tcBorders>
                    <w:tl2br w:val="nil"/>
                    <w:tr2bl w:val="nil"/>
                  </w:tcBorders>
                  <w:noWrap w:val="0"/>
                  <w:vAlign w:val="center"/>
                </w:tcPr>
                <w:p w14:paraId="36C2942A">
                  <w:pPr>
                    <w:keepNext w:val="0"/>
                    <w:keepLines w:val="0"/>
                    <w:suppressLineNumbers w:val="0"/>
                    <w:spacing w:before="0" w:beforeAutospacing="0" w:after="0" w:afterAutospacing="0"/>
                    <w:ind w:left="0" w:leftChars="0" w:right="0" w:rightChars="0"/>
                    <w:jc w:val="center"/>
                    <w:rPr>
                      <w:rFonts w:hint="default"/>
                      <w:color w:val="auto"/>
                      <w:kern w:val="0"/>
                      <w:sz w:val="21"/>
                      <w:szCs w:val="21"/>
                      <w:highlight w:val="none"/>
                      <w:lang w:bidi="ar"/>
                    </w:rPr>
                  </w:pPr>
                  <w:r>
                    <w:rPr>
                      <w:rFonts w:hint="eastAsia"/>
                      <w:bCs/>
                      <w:color w:val="auto"/>
                      <w:sz w:val="21"/>
                      <w:szCs w:val="21"/>
                      <w:highlight w:val="none"/>
                      <w:lang w:bidi="ar"/>
                    </w:rPr>
                    <w:t>/</w:t>
                  </w:r>
                </w:p>
              </w:tc>
            </w:tr>
            <w:tr w14:paraId="60CBB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152A73F3">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655" w:type="dxa"/>
                  <w:vMerge w:val="continue"/>
                  <w:tcBorders>
                    <w:tl2br w:val="nil"/>
                    <w:tr2bl w:val="nil"/>
                  </w:tcBorders>
                  <w:noWrap w:val="0"/>
                  <w:vAlign w:val="center"/>
                </w:tcPr>
                <w:p w14:paraId="0E952714">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997" w:type="dxa"/>
                  <w:tcBorders>
                    <w:tl2br w:val="nil"/>
                    <w:tr2bl w:val="nil"/>
                  </w:tcBorders>
                  <w:noWrap w:val="0"/>
                  <w:vAlign w:val="center"/>
                </w:tcPr>
                <w:p w14:paraId="6A2A8FCD">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bCs/>
                      <w:color w:val="auto"/>
                      <w:sz w:val="21"/>
                      <w:szCs w:val="21"/>
                      <w:highlight w:val="none"/>
                      <w:lang w:bidi="ar"/>
                    </w:rPr>
                    <w:t>镉</w:t>
                  </w:r>
                </w:p>
              </w:tc>
              <w:tc>
                <w:tcPr>
                  <w:tcW w:w="1709" w:type="dxa"/>
                  <w:tcBorders>
                    <w:tl2br w:val="nil"/>
                    <w:tr2bl w:val="nil"/>
                  </w:tcBorders>
                  <w:noWrap w:val="0"/>
                  <w:vAlign w:val="center"/>
                </w:tcPr>
                <w:p w14:paraId="7BABA761">
                  <w:pPr>
                    <w:keepNext w:val="0"/>
                    <w:keepLines w:val="0"/>
                    <w:widowControl/>
                    <w:suppressLineNumbers w:val="0"/>
                    <w:spacing w:before="0" w:beforeAutospacing="0" w:after="0" w:afterAutospacing="0"/>
                    <w:ind w:left="0" w:right="0"/>
                    <w:jc w:val="center"/>
                    <w:textAlignment w:val="top"/>
                    <w:rPr>
                      <w:rFonts w:hint="default"/>
                      <w:color w:val="auto"/>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0.499</w:t>
                  </w:r>
                </w:p>
              </w:tc>
              <w:tc>
                <w:tcPr>
                  <w:tcW w:w="1608" w:type="dxa"/>
                  <w:tcBorders>
                    <w:tl2br w:val="nil"/>
                    <w:tr2bl w:val="nil"/>
                  </w:tcBorders>
                  <w:noWrap w:val="0"/>
                  <w:vAlign w:val="center"/>
                </w:tcPr>
                <w:p w14:paraId="1D067729">
                  <w:pPr>
                    <w:keepNext w:val="0"/>
                    <w:keepLines w:val="0"/>
                    <w:suppressLineNumbers w:val="0"/>
                    <w:spacing w:before="0" w:beforeAutospacing="0" w:after="0" w:afterAutospacing="0"/>
                    <w:ind w:left="0" w:leftChars="0" w:right="0" w:rightChars="0"/>
                    <w:jc w:val="center"/>
                    <w:rPr>
                      <w:rFonts w:hint="default"/>
                      <w:color w:val="auto"/>
                      <w:kern w:val="0"/>
                      <w:sz w:val="21"/>
                      <w:szCs w:val="21"/>
                      <w:highlight w:val="none"/>
                      <w:lang w:bidi="ar"/>
                    </w:rPr>
                  </w:pPr>
                  <w:r>
                    <w:rPr>
                      <w:rFonts w:hint="eastAsia"/>
                      <w:bCs/>
                      <w:color w:val="auto"/>
                      <w:sz w:val="21"/>
                      <w:szCs w:val="21"/>
                      <w:highlight w:val="none"/>
                      <w:lang w:bidi="ar"/>
                    </w:rPr>
                    <w:t>38</w:t>
                  </w:r>
                </w:p>
              </w:tc>
            </w:tr>
            <w:tr w14:paraId="1F35C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55DC65E5">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655" w:type="dxa"/>
                  <w:vMerge w:val="continue"/>
                  <w:tcBorders>
                    <w:tl2br w:val="nil"/>
                    <w:tr2bl w:val="nil"/>
                  </w:tcBorders>
                  <w:noWrap w:val="0"/>
                  <w:vAlign w:val="center"/>
                </w:tcPr>
                <w:p w14:paraId="1E6DE79E">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997" w:type="dxa"/>
                  <w:tcBorders>
                    <w:tl2br w:val="nil"/>
                    <w:tr2bl w:val="nil"/>
                  </w:tcBorders>
                  <w:noWrap w:val="0"/>
                  <w:vAlign w:val="center"/>
                </w:tcPr>
                <w:p w14:paraId="5134187A">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bCs/>
                      <w:color w:val="auto"/>
                      <w:sz w:val="21"/>
                      <w:szCs w:val="21"/>
                      <w:highlight w:val="none"/>
                      <w:lang w:bidi="ar"/>
                    </w:rPr>
                    <w:t>汞</w:t>
                  </w:r>
                </w:p>
              </w:tc>
              <w:tc>
                <w:tcPr>
                  <w:tcW w:w="1709" w:type="dxa"/>
                  <w:tcBorders>
                    <w:tl2br w:val="nil"/>
                    <w:tr2bl w:val="nil"/>
                  </w:tcBorders>
                  <w:noWrap w:val="0"/>
                  <w:vAlign w:val="center"/>
                </w:tcPr>
                <w:p w14:paraId="01CC1E0A">
                  <w:pPr>
                    <w:keepNext w:val="0"/>
                    <w:keepLines w:val="0"/>
                    <w:widowControl/>
                    <w:suppressLineNumbers w:val="0"/>
                    <w:spacing w:before="0" w:beforeAutospacing="0" w:after="0" w:afterAutospacing="0"/>
                    <w:ind w:left="0" w:right="0"/>
                    <w:jc w:val="center"/>
                    <w:textAlignment w:val="top"/>
                    <w:rPr>
                      <w:rFonts w:hint="default"/>
                      <w:color w:val="auto"/>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7.40</w:t>
                  </w:r>
                </w:p>
              </w:tc>
              <w:tc>
                <w:tcPr>
                  <w:tcW w:w="1608" w:type="dxa"/>
                  <w:tcBorders>
                    <w:tl2br w:val="nil"/>
                    <w:tr2bl w:val="nil"/>
                  </w:tcBorders>
                  <w:noWrap w:val="0"/>
                  <w:vAlign w:val="center"/>
                </w:tcPr>
                <w:p w14:paraId="5EA8E958">
                  <w:pPr>
                    <w:keepNext w:val="0"/>
                    <w:keepLines w:val="0"/>
                    <w:suppressLineNumbers w:val="0"/>
                    <w:spacing w:before="0" w:beforeAutospacing="0" w:after="0" w:afterAutospacing="0"/>
                    <w:ind w:left="0" w:leftChars="0" w:right="0" w:rightChars="0"/>
                    <w:jc w:val="center"/>
                    <w:rPr>
                      <w:rFonts w:hint="default"/>
                      <w:color w:val="auto"/>
                      <w:kern w:val="0"/>
                      <w:sz w:val="21"/>
                      <w:szCs w:val="21"/>
                      <w:highlight w:val="none"/>
                      <w:lang w:bidi="ar"/>
                    </w:rPr>
                  </w:pPr>
                  <w:r>
                    <w:rPr>
                      <w:rFonts w:hint="eastAsia"/>
                      <w:bCs/>
                      <w:color w:val="auto"/>
                      <w:sz w:val="21"/>
                      <w:szCs w:val="21"/>
                      <w:highlight w:val="none"/>
                      <w:lang w:bidi="ar"/>
                    </w:rPr>
                    <w:t>60</w:t>
                  </w:r>
                </w:p>
              </w:tc>
            </w:tr>
            <w:tr w14:paraId="399DE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1C5EBF06">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655" w:type="dxa"/>
                  <w:vMerge w:val="continue"/>
                  <w:tcBorders>
                    <w:tl2br w:val="nil"/>
                    <w:tr2bl w:val="nil"/>
                  </w:tcBorders>
                  <w:noWrap w:val="0"/>
                  <w:vAlign w:val="center"/>
                </w:tcPr>
                <w:p w14:paraId="24A25D48">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997" w:type="dxa"/>
                  <w:tcBorders>
                    <w:tl2br w:val="nil"/>
                    <w:tr2bl w:val="nil"/>
                  </w:tcBorders>
                  <w:noWrap w:val="0"/>
                  <w:vAlign w:val="center"/>
                </w:tcPr>
                <w:p w14:paraId="507103AC">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bCs/>
                      <w:color w:val="auto"/>
                      <w:sz w:val="21"/>
                      <w:szCs w:val="21"/>
                      <w:highlight w:val="none"/>
                      <w:lang w:bidi="ar"/>
                    </w:rPr>
                    <w:t>砷</w:t>
                  </w:r>
                </w:p>
              </w:tc>
              <w:tc>
                <w:tcPr>
                  <w:tcW w:w="1709" w:type="dxa"/>
                  <w:tcBorders>
                    <w:tl2br w:val="nil"/>
                    <w:tr2bl w:val="nil"/>
                  </w:tcBorders>
                  <w:noWrap w:val="0"/>
                  <w:vAlign w:val="center"/>
                </w:tcPr>
                <w:p w14:paraId="03443F6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color w:val="auto"/>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1608" w:type="dxa"/>
                  <w:tcBorders>
                    <w:tl2br w:val="nil"/>
                    <w:tr2bl w:val="nil"/>
                  </w:tcBorders>
                  <w:noWrap w:val="0"/>
                  <w:vAlign w:val="center"/>
                </w:tcPr>
                <w:p w14:paraId="5F1A124E">
                  <w:pPr>
                    <w:keepNext w:val="0"/>
                    <w:keepLines w:val="0"/>
                    <w:suppressLineNumbers w:val="0"/>
                    <w:spacing w:before="0" w:beforeAutospacing="0" w:after="0" w:afterAutospacing="0"/>
                    <w:ind w:left="0" w:leftChars="0" w:right="0" w:rightChars="0"/>
                    <w:jc w:val="center"/>
                    <w:rPr>
                      <w:rFonts w:hint="default"/>
                      <w:color w:val="auto"/>
                      <w:kern w:val="0"/>
                      <w:sz w:val="21"/>
                      <w:szCs w:val="21"/>
                      <w:highlight w:val="none"/>
                      <w:lang w:bidi="ar"/>
                    </w:rPr>
                  </w:pPr>
                  <w:r>
                    <w:rPr>
                      <w:rFonts w:hint="eastAsia"/>
                      <w:bCs/>
                      <w:color w:val="auto"/>
                      <w:sz w:val="21"/>
                      <w:szCs w:val="21"/>
                      <w:highlight w:val="none"/>
                      <w:lang w:bidi="ar"/>
                    </w:rPr>
                    <w:t>5.7</w:t>
                  </w:r>
                </w:p>
              </w:tc>
            </w:tr>
            <w:tr w14:paraId="2CD2F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0255ABBE">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655" w:type="dxa"/>
                  <w:vMerge w:val="continue"/>
                  <w:tcBorders>
                    <w:tl2br w:val="nil"/>
                    <w:tr2bl w:val="nil"/>
                  </w:tcBorders>
                  <w:noWrap w:val="0"/>
                  <w:vAlign w:val="center"/>
                </w:tcPr>
                <w:p w14:paraId="76C32C58">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997" w:type="dxa"/>
                  <w:tcBorders>
                    <w:tl2br w:val="nil"/>
                    <w:tr2bl w:val="nil"/>
                  </w:tcBorders>
                  <w:noWrap w:val="0"/>
                  <w:vAlign w:val="center"/>
                </w:tcPr>
                <w:p w14:paraId="7E50412A">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bCs/>
                      <w:color w:val="auto"/>
                      <w:sz w:val="21"/>
                      <w:szCs w:val="21"/>
                      <w:highlight w:val="none"/>
                      <w:lang w:bidi="ar"/>
                    </w:rPr>
                    <w:t>铅</w:t>
                  </w:r>
                </w:p>
              </w:tc>
              <w:tc>
                <w:tcPr>
                  <w:tcW w:w="1709" w:type="dxa"/>
                  <w:tcBorders>
                    <w:tl2br w:val="nil"/>
                    <w:tr2bl w:val="nil"/>
                  </w:tcBorders>
                  <w:noWrap w:val="0"/>
                  <w:vAlign w:val="center"/>
                </w:tcPr>
                <w:p w14:paraId="063FCF5F">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color w:val="auto"/>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w:t>
                  </w:r>
                </w:p>
              </w:tc>
              <w:tc>
                <w:tcPr>
                  <w:tcW w:w="1608" w:type="dxa"/>
                  <w:tcBorders>
                    <w:tl2br w:val="nil"/>
                    <w:tr2bl w:val="nil"/>
                  </w:tcBorders>
                  <w:noWrap w:val="0"/>
                  <w:vAlign w:val="center"/>
                </w:tcPr>
                <w:p w14:paraId="2D20BE2F">
                  <w:pPr>
                    <w:keepNext w:val="0"/>
                    <w:keepLines w:val="0"/>
                    <w:suppressLineNumbers w:val="0"/>
                    <w:spacing w:before="0" w:beforeAutospacing="0" w:after="0" w:afterAutospacing="0"/>
                    <w:ind w:left="0" w:leftChars="0" w:right="0" w:rightChars="0"/>
                    <w:jc w:val="center"/>
                    <w:rPr>
                      <w:rFonts w:hint="default"/>
                      <w:color w:val="auto"/>
                      <w:kern w:val="0"/>
                      <w:sz w:val="21"/>
                      <w:szCs w:val="21"/>
                      <w:highlight w:val="none"/>
                      <w:lang w:bidi="ar"/>
                    </w:rPr>
                  </w:pPr>
                  <w:r>
                    <w:rPr>
                      <w:rFonts w:hint="eastAsia"/>
                      <w:bCs/>
                      <w:color w:val="auto"/>
                      <w:sz w:val="21"/>
                      <w:szCs w:val="21"/>
                      <w:highlight w:val="none"/>
                      <w:lang w:val="en-US" w:eastAsia="zh-CN" w:bidi="ar"/>
                    </w:rPr>
                    <w:t>/</w:t>
                  </w:r>
                </w:p>
              </w:tc>
            </w:tr>
            <w:tr w14:paraId="0586C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1F1A58FA">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655" w:type="dxa"/>
                  <w:vMerge w:val="continue"/>
                  <w:tcBorders>
                    <w:tl2br w:val="nil"/>
                    <w:tr2bl w:val="nil"/>
                  </w:tcBorders>
                  <w:noWrap w:val="0"/>
                  <w:vAlign w:val="center"/>
                </w:tcPr>
                <w:p w14:paraId="14FFDDB5">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997" w:type="dxa"/>
                  <w:tcBorders>
                    <w:tl2br w:val="nil"/>
                    <w:tr2bl w:val="nil"/>
                  </w:tcBorders>
                  <w:noWrap w:val="0"/>
                  <w:vAlign w:val="center"/>
                </w:tcPr>
                <w:p w14:paraId="2607C2CA">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bCs/>
                      <w:color w:val="auto"/>
                      <w:sz w:val="21"/>
                      <w:szCs w:val="21"/>
                      <w:highlight w:val="none"/>
                      <w:lang w:bidi="ar"/>
                    </w:rPr>
                    <w:t>六价铬</w:t>
                  </w:r>
                </w:p>
              </w:tc>
              <w:tc>
                <w:tcPr>
                  <w:tcW w:w="1709" w:type="dxa"/>
                  <w:tcBorders>
                    <w:tl2br w:val="nil"/>
                    <w:tr2bl w:val="nil"/>
                  </w:tcBorders>
                  <w:noWrap w:val="0"/>
                  <w:vAlign w:val="center"/>
                </w:tcPr>
                <w:p w14:paraId="432A346F">
                  <w:pPr>
                    <w:keepNext w:val="0"/>
                    <w:keepLines w:val="0"/>
                    <w:widowControl/>
                    <w:suppressLineNumbers w:val="0"/>
                    <w:spacing w:before="0" w:beforeAutospacing="0" w:after="0" w:afterAutospacing="0"/>
                    <w:ind w:left="0" w:right="0"/>
                    <w:jc w:val="center"/>
                    <w:textAlignment w:val="top"/>
                    <w:rPr>
                      <w:rFonts w:hint="default"/>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0.19</w:t>
                  </w:r>
                </w:p>
              </w:tc>
              <w:tc>
                <w:tcPr>
                  <w:tcW w:w="1608" w:type="dxa"/>
                  <w:tcBorders>
                    <w:tl2br w:val="nil"/>
                    <w:tr2bl w:val="nil"/>
                  </w:tcBorders>
                  <w:noWrap w:val="0"/>
                  <w:vAlign w:val="center"/>
                </w:tcPr>
                <w:p w14:paraId="1B67C90E">
                  <w:pPr>
                    <w:keepNext w:val="0"/>
                    <w:keepLines w:val="0"/>
                    <w:suppressLineNumbers w:val="0"/>
                    <w:spacing w:before="0" w:beforeAutospacing="0" w:after="0" w:afterAutospacing="0"/>
                    <w:ind w:left="0" w:leftChars="0" w:right="0" w:rightChars="0"/>
                    <w:jc w:val="center"/>
                    <w:rPr>
                      <w:rFonts w:hint="default"/>
                      <w:color w:val="auto"/>
                      <w:kern w:val="0"/>
                      <w:sz w:val="21"/>
                      <w:szCs w:val="21"/>
                      <w:highlight w:val="none"/>
                      <w:lang w:bidi="ar"/>
                    </w:rPr>
                  </w:pPr>
                  <w:r>
                    <w:rPr>
                      <w:rFonts w:hint="eastAsia"/>
                      <w:bCs/>
                      <w:color w:val="auto"/>
                      <w:sz w:val="21"/>
                      <w:szCs w:val="21"/>
                      <w:highlight w:val="none"/>
                      <w:lang w:bidi="ar"/>
                    </w:rPr>
                    <w:t>65</w:t>
                  </w:r>
                </w:p>
              </w:tc>
            </w:tr>
            <w:tr w14:paraId="3B204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3F91F262">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655" w:type="dxa"/>
                  <w:vMerge w:val="continue"/>
                  <w:tcBorders>
                    <w:tl2br w:val="nil"/>
                    <w:tr2bl w:val="nil"/>
                  </w:tcBorders>
                  <w:noWrap w:val="0"/>
                  <w:vAlign w:val="center"/>
                </w:tcPr>
                <w:p w14:paraId="6DED05B9">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997" w:type="dxa"/>
                  <w:tcBorders>
                    <w:tl2br w:val="nil"/>
                    <w:tr2bl w:val="nil"/>
                  </w:tcBorders>
                  <w:noWrap w:val="0"/>
                  <w:vAlign w:val="center"/>
                </w:tcPr>
                <w:p w14:paraId="4BB8E915">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bCs/>
                      <w:color w:val="auto"/>
                      <w:sz w:val="21"/>
                      <w:szCs w:val="21"/>
                      <w:highlight w:val="none"/>
                      <w:lang w:bidi="ar"/>
                    </w:rPr>
                    <w:t>铜</w:t>
                  </w:r>
                </w:p>
              </w:tc>
              <w:tc>
                <w:tcPr>
                  <w:tcW w:w="1709" w:type="dxa"/>
                  <w:tcBorders>
                    <w:tl2br w:val="nil"/>
                    <w:tr2bl w:val="nil"/>
                  </w:tcBorders>
                  <w:noWrap w:val="0"/>
                  <w:vAlign w:val="center"/>
                </w:tcPr>
                <w:p w14:paraId="49E25987">
                  <w:pPr>
                    <w:keepNext w:val="0"/>
                    <w:keepLines w:val="0"/>
                    <w:widowControl/>
                    <w:suppressLineNumbers w:val="0"/>
                    <w:spacing w:before="0" w:beforeAutospacing="0" w:after="0" w:afterAutospacing="0"/>
                    <w:ind w:left="0" w:right="0"/>
                    <w:jc w:val="center"/>
                    <w:textAlignment w:val="top"/>
                    <w:rPr>
                      <w:rFonts w:hint="default"/>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24</w:t>
                  </w:r>
                </w:p>
              </w:tc>
              <w:tc>
                <w:tcPr>
                  <w:tcW w:w="1608" w:type="dxa"/>
                  <w:tcBorders>
                    <w:tl2br w:val="nil"/>
                    <w:tr2bl w:val="nil"/>
                  </w:tcBorders>
                  <w:noWrap w:val="0"/>
                  <w:vAlign w:val="center"/>
                </w:tcPr>
                <w:p w14:paraId="5FAFC870">
                  <w:pPr>
                    <w:keepNext w:val="0"/>
                    <w:keepLines w:val="0"/>
                    <w:suppressLineNumbers w:val="0"/>
                    <w:spacing w:before="0" w:beforeAutospacing="0" w:after="0" w:afterAutospacing="0"/>
                    <w:ind w:left="0" w:leftChars="0" w:right="0" w:rightChars="0"/>
                    <w:jc w:val="center"/>
                    <w:rPr>
                      <w:rFonts w:hint="default"/>
                      <w:color w:val="auto"/>
                      <w:kern w:val="0"/>
                      <w:sz w:val="21"/>
                      <w:szCs w:val="21"/>
                      <w:highlight w:val="none"/>
                      <w:lang w:bidi="ar"/>
                    </w:rPr>
                  </w:pPr>
                  <w:r>
                    <w:rPr>
                      <w:rFonts w:hint="eastAsia"/>
                      <w:bCs/>
                      <w:color w:val="auto"/>
                      <w:sz w:val="21"/>
                      <w:szCs w:val="21"/>
                      <w:highlight w:val="none"/>
                      <w:lang w:bidi="ar"/>
                    </w:rPr>
                    <w:t>18000</w:t>
                  </w:r>
                </w:p>
              </w:tc>
            </w:tr>
            <w:tr w14:paraId="46B81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1837F78E">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655" w:type="dxa"/>
                  <w:vMerge w:val="continue"/>
                  <w:tcBorders>
                    <w:tl2br w:val="nil"/>
                    <w:tr2bl w:val="nil"/>
                  </w:tcBorders>
                  <w:noWrap w:val="0"/>
                  <w:vAlign w:val="center"/>
                </w:tcPr>
                <w:p w14:paraId="056C439D">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997" w:type="dxa"/>
                  <w:tcBorders>
                    <w:tl2br w:val="nil"/>
                    <w:tr2bl w:val="nil"/>
                  </w:tcBorders>
                  <w:noWrap w:val="0"/>
                  <w:vAlign w:val="center"/>
                </w:tcPr>
                <w:p w14:paraId="020A4BAB">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bCs/>
                      <w:color w:val="auto"/>
                      <w:sz w:val="21"/>
                      <w:szCs w:val="21"/>
                      <w:highlight w:val="none"/>
                      <w:lang w:bidi="ar"/>
                    </w:rPr>
                    <w:t>镍</w:t>
                  </w:r>
                </w:p>
              </w:tc>
              <w:tc>
                <w:tcPr>
                  <w:tcW w:w="1709" w:type="dxa"/>
                  <w:tcBorders>
                    <w:tl2br w:val="nil"/>
                    <w:tr2bl w:val="nil"/>
                  </w:tcBorders>
                  <w:noWrap w:val="0"/>
                  <w:vAlign w:val="center"/>
                </w:tcPr>
                <w:p w14:paraId="4F44565C">
                  <w:pPr>
                    <w:keepNext w:val="0"/>
                    <w:keepLines w:val="0"/>
                    <w:widowControl/>
                    <w:suppressLineNumbers w:val="0"/>
                    <w:spacing w:before="0" w:beforeAutospacing="0" w:after="0" w:afterAutospacing="0"/>
                    <w:ind w:left="0" w:right="0"/>
                    <w:jc w:val="center"/>
                    <w:textAlignment w:val="top"/>
                    <w:rPr>
                      <w:rFonts w:hint="default"/>
                      <w:color w:val="auto"/>
                      <w:sz w:val="21"/>
                      <w:szCs w:val="21"/>
                      <w:highlight w:val="none"/>
                    </w:rPr>
                  </w:pPr>
                  <w:r>
                    <w:rPr>
                      <w:rFonts w:hint="eastAsia" w:ascii="Times New Roman" w:hAnsi="Times New Roman" w:eastAsia="宋体" w:cs="Times New Roman"/>
                      <w:color w:val="auto"/>
                      <w:kern w:val="0"/>
                      <w:sz w:val="21"/>
                      <w:szCs w:val="21"/>
                      <w:highlight w:val="none"/>
                      <w:lang w:val="en-US" w:eastAsia="zh-CN"/>
                    </w:rPr>
                    <w:t>85</w:t>
                  </w:r>
                </w:p>
              </w:tc>
              <w:tc>
                <w:tcPr>
                  <w:tcW w:w="1608" w:type="dxa"/>
                  <w:tcBorders>
                    <w:tl2br w:val="nil"/>
                    <w:tr2bl w:val="nil"/>
                  </w:tcBorders>
                  <w:noWrap w:val="0"/>
                  <w:vAlign w:val="center"/>
                </w:tcPr>
                <w:p w14:paraId="0D6823CD">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bCs/>
                      <w:color w:val="auto"/>
                      <w:sz w:val="21"/>
                      <w:szCs w:val="21"/>
                      <w:highlight w:val="none"/>
                      <w:lang w:bidi="ar"/>
                    </w:rPr>
                    <w:t>800</w:t>
                  </w:r>
                </w:p>
              </w:tc>
            </w:tr>
            <w:tr w14:paraId="5524B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17406C0C">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655" w:type="dxa"/>
                  <w:vMerge w:val="continue"/>
                  <w:tcBorders>
                    <w:tl2br w:val="nil"/>
                    <w:tr2bl w:val="nil"/>
                  </w:tcBorders>
                  <w:noWrap w:val="0"/>
                  <w:vAlign w:val="center"/>
                </w:tcPr>
                <w:p w14:paraId="183B3210">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997" w:type="dxa"/>
                  <w:tcBorders>
                    <w:tl2br w:val="nil"/>
                    <w:tr2bl w:val="nil"/>
                  </w:tcBorders>
                  <w:noWrap w:val="0"/>
                  <w:vAlign w:val="center"/>
                </w:tcPr>
                <w:p w14:paraId="0C34F5FA">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bCs/>
                      <w:color w:val="auto"/>
                      <w:sz w:val="21"/>
                      <w:szCs w:val="21"/>
                      <w:highlight w:val="none"/>
                      <w:lang w:bidi="ar"/>
                    </w:rPr>
                    <w:t>锌</w:t>
                  </w:r>
                </w:p>
              </w:tc>
              <w:tc>
                <w:tcPr>
                  <w:tcW w:w="1709" w:type="dxa"/>
                  <w:tcBorders>
                    <w:tl2br w:val="nil"/>
                    <w:tr2bl w:val="nil"/>
                  </w:tcBorders>
                  <w:noWrap w:val="0"/>
                  <w:vAlign w:val="center"/>
                </w:tcPr>
                <w:p w14:paraId="6B0E1FF6">
                  <w:pPr>
                    <w:keepNext w:val="0"/>
                    <w:keepLines w:val="0"/>
                    <w:widowControl/>
                    <w:suppressLineNumbers w:val="0"/>
                    <w:spacing w:before="0" w:beforeAutospacing="0" w:after="0" w:afterAutospacing="0"/>
                    <w:ind w:left="0" w:right="0"/>
                    <w:jc w:val="center"/>
                    <w:textAlignment w:val="top"/>
                    <w:rPr>
                      <w:rFonts w:hint="default"/>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rPr>
                    <w:t>38</w:t>
                  </w:r>
                </w:p>
              </w:tc>
              <w:tc>
                <w:tcPr>
                  <w:tcW w:w="1608" w:type="dxa"/>
                  <w:tcBorders>
                    <w:tl2br w:val="nil"/>
                    <w:tr2bl w:val="nil"/>
                  </w:tcBorders>
                  <w:noWrap w:val="0"/>
                  <w:vAlign w:val="center"/>
                </w:tcPr>
                <w:p w14:paraId="76A6B21A">
                  <w:pPr>
                    <w:keepNext w:val="0"/>
                    <w:keepLines w:val="0"/>
                    <w:suppressLineNumbers w:val="0"/>
                    <w:spacing w:before="0" w:beforeAutospacing="0" w:after="0" w:afterAutospacing="0"/>
                    <w:ind w:left="0" w:leftChars="0" w:right="0" w:rightChars="0"/>
                    <w:jc w:val="center"/>
                    <w:rPr>
                      <w:rFonts w:hint="default"/>
                      <w:color w:val="auto"/>
                      <w:kern w:val="0"/>
                      <w:sz w:val="21"/>
                      <w:szCs w:val="21"/>
                      <w:highlight w:val="none"/>
                      <w:lang w:bidi="ar"/>
                    </w:rPr>
                  </w:pPr>
                  <w:r>
                    <w:rPr>
                      <w:rFonts w:hint="eastAsia"/>
                      <w:bCs/>
                      <w:color w:val="auto"/>
                      <w:sz w:val="21"/>
                      <w:szCs w:val="21"/>
                      <w:highlight w:val="none"/>
                      <w:lang w:bidi="ar"/>
                    </w:rPr>
                    <w:t>900</w:t>
                  </w:r>
                </w:p>
              </w:tc>
            </w:tr>
            <w:tr w14:paraId="5A3DA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0CB16B50">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655" w:type="dxa"/>
                  <w:vMerge w:val="continue"/>
                  <w:tcBorders>
                    <w:tl2br w:val="nil"/>
                    <w:tr2bl w:val="nil"/>
                  </w:tcBorders>
                  <w:noWrap w:val="0"/>
                  <w:vAlign w:val="center"/>
                </w:tcPr>
                <w:p w14:paraId="3BF4A004">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rPr>
                  </w:pPr>
                </w:p>
              </w:tc>
              <w:tc>
                <w:tcPr>
                  <w:tcW w:w="1997" w:type="dxa"/>
                  <w:tcBorders>
                    <w:tl2br w:val="nil"/>
                    <w:tr2bl w:val="nil"/>
                  </w:tcBorders>
                  <w:noWrap w:val="0"/>
                  <w:vAlign w:val="center"/>
                </w:tcPr>
                <w:p w14:paraId="3A0554D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bCs/>
                      <w:color w:val="auto"/>
                      <w:sz w:val="21"/>
                      <w:szCs w:val="21"/>
                      <w:highlight w:val="none"/>
                      <w:lang w:bidi="ar"/>
                    </w:rPr>
                    <w:t>石油烃（C10-C40）</w:t>
                  </w:r>
                </w:p>
              </w:tc>
              <w:tc>
                <w:tcPr>
                  <w:tcW w:w="1709" w:type="dxa"/>
                  <w:tcBorders>
                    <w:tl2br w:val="nil"/>
                    <w:tr2bl w:val="nil"/>
                  </w:tcBorders>
                  <w:noWrap w:val="0"/>
                  <w:vAlign w:val="center"/>
                </w:tcPr>
                <w:p w14:paraId="5EE2CEDF">
                  <w:pPr>
                    <w:keepNext w:val="0"/>
                    <w:keepLines w:val="0"/>
                    <w:widowControl/>
                    <w:suppressLineNumbers w:val="0"/>
                    <w:spacing w:before="0" w:beforeAutospacing="0" w:after="0" w:afterAutospacing="0"/>
                    <w:ind w:left="0" w:right="0"/>
                    <w:jc w:val="center"/>
                    <w:textAlignment w:val="top"/>
                    <w:rPr>
                      <w:rFonts w:hint="default"/>
                      <w:color w:val="auto"/>
                      <w:kern w:val="0"/>
                      <w:sz w:val="21"/>
                      <w:szCs w:val="21"/>
                      <w:highlight w:val="none"/>
                      <w:lang w:bidi="ar"/>
                    </w:rPr>
                  </w:pPr>
                  <w:r>
                    <w:rPr>
                      <w:rFonts w:hint="eastAsia" w:ascii="Times New Roman" w:hAnsi="Times New Roman" w:eastAsia="宋体" w:cs="Times New Roman"/>
                      <w:color w:val="auto"/>
                      <w:kern w:val="0"/>
                      <w:sz w:val="21"/>
                      <w:szCs w:val="21"/>
                      <w:highlight w:val="none"/>
                      <w:lang w:val="en-US" w:eastAsia="zh-CN"/>
                    </w:rPr>
                    <w:t>/</w:t>
                  </w:r>
                </w:p>
              </w:tc>
              <w:tc>
                <w:tcPr>
                  <w:tcW w:w="1608" w:type="dxa"/>
                  <w:tcBorders>
                    <w:tl2br w:val="nil"/>
                    <w:tr2bl w:val="nil"/>
                  </w:tcBorders>
                  <w:noWrap w:val="0"/>
                  <w:vAlign w:val="center"/>
                </w:tcPr>
                <w:p w14:paraId="04AD3EB0">
                  <w:pPr>
                    <w:keepNext w:val="0"/>
                    <w:keepLines w:val="0"/>
                    <w:suppressLineNumbers w:val="0"/>
                    <w:spacing w:before="0" w:beforeAutospacing="0" w:after="0" w:afterAutospacing="0"/>
                    <w:ind w:left="0" w:leftChars="0" w:right="0" w:rightChars="0"/>
                    <w:jc w:val="center"/>
                    <w:rPr>
                      <w:rFonts w:hint="default"/>
                      <w:color w:val="auto"/>
                      <w:kern w:val="0"/>
                      <w:sz w:val="21"/>
                      <w:szCs w:val="21"/>
                      <w:highlight w:val="none"/>
                      <w:lang w:bidi="ar"/>
                    </w:rPr>
                  </w:pPr>
                  <w:r>
                    <w:rPr>
                      <w:rFonts w:hint="eastAsia"/>
                      <w:bCs/>
                      <w:color w:val="auto"/>
                      <w:sz w:val="21"/>
                      <w:szCs w:val="21"/>
                      <w:highlight w:val="none"/>
                      <w:lang w:bidi="ar"/>
                    </w:rPr>
                    <w:t>/</w:t>
                  </w:r>
                </w:p>
              </w:tc>
            </w:tr>
            <w:tr w14:paraId="453D4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78312E04">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616C3B20">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16963CEE">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bCs/>
                      <w:color w:val="auto"/>
                      <w:sz w:val="21"/>
                      <w:szCs w:val="21"/>
                      <w:highlight w:val="none"/>
                      <w:lang w:bidi="ar"/>
                    </w:rPr>
                    <w:t>石油烃（C</w:t>
                  </w:r>
                  <w:r>
                    <w:rPr>
                      <w:rFonts w:hint="default"/>
                      <w:bCs/>
                      <w:color w:val="auto"/>
                      <w:sz w:val="21"/>
                      <w:szCs w:val="21"/>
                      <w:highlight w:val="none"/>
                      <w:lang w:bidi="ar"/>
                    </w:rPr>
                    <w:t>6</w:t>
                  </w:r>
                  <w:r>
                    <w:rPr>
                      <w:rFonts w:hint="eastAsia"/>
                      <w:bCs/>
                      <w:color w:val="auto"/>
                      <w:sz w:val="21"/>
                      <w:szCs w:val="21"/>
                      <w:highlight w:val="none"/>
                      <w:lang w:bidi="ar"/>
                    </w:rPr>
                    <w:t>-</w:t>
                  </w:r>
                  <w:r>
                    <w:rPr>
                      <w:rFonts w:hint="default"/>
                      <w:bCs/>
                      <w:color w:val="auto"/>
                      <w:sz w:val="21"/>
                      <w:szCs w:val="21"/>
                      <w:highlight w:val="none"/>
                      <w:lang w:bidi="ar"/>
                    </w:rPr>
                    <w:t>C9</w:t>
                  </w:r>
                  <w:r>
                    <w:rPr>
                      <w:rFonts w:hint="eastAsia"/>
                      <w:bCs/>
                      <w:color w:val="auto"/>
                      <w:sz w:val="21"/>
                      <w:szCs w:val="21"/>
                      <w:highlight w:val="none"/>
                      <w:lang w:bidi="ar"/>
                    </w:rPr>
                    <w:t>）*</w:t>
                  </w:r>
                </w:p>
              </w:tc>
              <w:tc>
                <w:tcPr>
                  <w:tcW w:w="1709" w:type="dxa"/>
                  <w:tcBorders>
                    <w:tl2br w:val="nil"/>
                    <w:tr2bl w:val="nil"/>
                  </w:tcBorders>
                  <w:noWrap w:val="0"/>
                  <w:vAlign w:val="center"/>
                </w:tcPr>
                <w:p w14:paraId="295C860E">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color w:val="auto"/>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1608" w:type="dxa"/>
                  <w:tcBorders>
                    <w:tl2br w:val="nil"/>
                    <w:tr2bl w:val="nil"/>
                  </w:tcBorders>
                  <w:noWrap w:val="0"/>
                  <w:vAlign w:val="center"/>
                </w:tcPr>
                <w:p w14:paraId="1E7C0D1A">
                  <w:pPr>
                    <w:keepNext w:val="0"/>
                    <w:keepLines w:val="0"/>
                    <w:suppressLineNumbers w:val="0"/>
                    <w:spacing w:before="0" w:beforeAutospacing="0" w:after="0" w:afterAutospacing="0"/>
                    <w:ind w:left="0" w:leftChars="0" w:right="0" w:rightChars="0"/>
                    <w:jc w:val="center"/>
                    <w:rPr>
                      <w:rFonts w:hint="default"/>
                      <w:color w:val="auto"/>
                      <w:kern w:val="0"/>
                      <w:sz w:val="21"/>
                      <w:szCs w:val="21"/>
                      <w:highlight w:val="none"/>
                      <w:lang w:bidi="ar"/>
                    </w:rPr>
                  </w:pPr>
                  <w:r>
                    <w:rPr>
                      <w:rFonts w:hint="eastAsia"/>
                      <w:bCs/>
                      <w:color w:val="auto"/>
                      <w:sz w:val="21"/>
                      <w:szCs w:val="21"/>
                      <w:highlight w:val="none"/>
                      <w:lang w:bidi="ar"/>
                    </w:rPr>
                    <w:t>4500</w:t>
                  </w:r>
                </w:p>
              </w:tc>
            </w:tr>
            <w:tr w14:paraId="56F34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419" w:type="dxa"/>
                  <w:vMerge w:val="continue"/>
                  <w:tcBorders>
                    <w:tl2br w:val="nil"/>
                    <w:tr2bl w:val="nil"/>
                  </w:tcBorders>
                  <w:noWrap w:val="0"/>
                  <w:vAlign w:val="center"/>
                </w:tcPr>
                <w:p w14:paraId="5996F212">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0BB38F0E">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6207E4E6">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四氯化碳</w:t>
                  </w:r>
                </w:p>
              </w:tc>
              <w:tc>
                <w:tcPr>
                  <w:tcW w:w="1709" w:type="dxa"/>
                  <w:tcBorders>
                    <w:tl2br w:val="nil"/>
                    <w:tr2bl w:val="nil"/>
                  </w:tcBorders>
                  <w:noWrap w:val="0"/>
                  <w:vAlign w:val="center"/>
                </w:tcPr>
                <w:p w14:paraId="2D75C67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5EEBB8BA">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2.8</w:t>
                  </w:r>
                </w:p>
              </w:tc>
            </w:tr>
            <w:tr w14:paraId="5F76F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49AA4A99">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6205291B">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42B2A15F">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氯仿</w:t>
                  </w:r>
                </w:p>
              </w:tc>
              <w:tc>
                <w:tcPr>
                  <w:tcW w:w="1709" w:type="dxa"/>
                  <w:tcBorders>
                    <w:tl2br w:val="nil"/>
                    <w:tr2bl w:val="nil"/>
                  </w:tcBorders>
                  <w:noWrap w:val="0"/>
                  <w:vAlign w:val="center"/>
                </w:tcPr>
                <w:p w14:paraId="73F0B06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4D4D6577">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0.9</w:t>
                  </w:r>
                </w:p>
              </w:tc>
            </w:tr>
            <w:tr w14:paraId="7F832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302A8AA3">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11C8D675">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37E05B37">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1,2-二氯乙烷</w:t>
                  </w:r>
                </w:p>
              </w:tc>
              <w:tc>
                <w:tcPr>
                  <w:tcW w:w="1709" w:type="dxa"/>
                  <w:tcBorders>
                    <w:tl2br w:val="nil"/>
                    <w:tr2bl w:val="nil"/>
                  </w:tcBorders>
                  <w:noWrap w:val="0"/>
                  <w:vAlign w:val="center"/>
                </w:tcPr>
                <w:p w14:paraId="4C431E38">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0C6C39AF">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w:t>
                  </w:r>
                </w:p>
              </w:tc>
            </w:tr>
            <w:tr w14:paraId="77383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4122A659">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347B27D5">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2EA12429">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苯</w:t>
                  </w:r>
                </w:p>
              </w:tc>
              <w:tc>
                <w:tcPr>
                  <w:tcW w:w="1709" w:type="dxa"/>
                  <w:tcBorders>
                    <w:tl2br w:val="nil"/>
                    <w:tr2bl w:val="nil"/>
                  </w:tcBorders>
                  <w:noWrap w:val="0"/>
                  <w:vAlign w:val="center"/>
                </w:tcPr>
                <w:p w14:paraId="21D4D77A">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48FE597F">
                  <w:pPr>
                    <w:keepNext w:val="0"/>
                    <w:keepLines w:val="0"/>
                    <w:suppressLineNumbers w:val="0"/>
                    <w:spacing w:before="0" w:beforeAutospacing="0" w:after="0" w:afterAutospacing="0"/>
                    <w:ind w:left="0" w:right="0"/>
                    <w:jc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4</w:t>
                  </w:r>
                </w:p>
              </w:tc>
            </w:tr>
            <w:tr w14:paraId="5EEBF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6467AF08">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0BB77B81">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505F6B8D">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1,1-二氯乙烯</w:t>
                  </w:r>
                </w:p>
              </w:tc>
              <w:tc>
                <w:tcPr>
                  <w:tcW w:w="1709" w:type="dxa"/>
                  <w:tcBorders>
                    <w:tl2br w:val="nil"/>
                    <w:tr2bl w:val="nil"/>
                  </w:tcBorders>
                  <w:noWrap w:val="0"/>
                  <w:vAlign w:val="center"/>
                </w:tcPr>
                <w:p w14:paraId="640F51F1">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3B453A16">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66</w:t>
                  </w:r>
                </w:p>
              </w:tc>
            </w:tr>
            <w:tr w14:paraId="40D78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10FF0070">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2613D447">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1E61DBD3">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二氯甲烷</w:t>
                  </w:r>
                </w:p>
              </w:tc>
              <w:tc>
                <w:tcPr>
                  <w:tcW w:w="1709" w:type="dxa"/>
                  <w:tcBorders>
                    <w:tl2br w:val="nil"/>
                    <w:tr2bl w:val="nil"/>
                  </w:tcBorders>
                  <w:noWrap w:val="0"/>
                  <w:vAlign w:val="center"/>
                </w:tcPr>
                <w:p w14:paraId="41D5E38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468ABEA0">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616</w:t>
                  </w:r>
                </w:p>
              </w:tc>
            </w:tr>
            <w:tr w14:paraId="27A77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16C0ECC0">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30D4AD32">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53FAACA6">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1,2-二氯丙烷</w:t>
                  </w:r>
                </w:p>
              </w:tc>
              <w:tc>
                <w:tcPr>
                  <w:tcW w:w="1709" w:type="dxa"/>
                  <w:tcBorders>
                    <w:tl2br w:val="nil"/>
                    <w:tr2bl w:val="nil"/>
                  </w:tcBorders>
                  <w:noWrap w:val="0"/>
                  <w:vAlign w:val="center"/>
                </w:tcPr>
                <w:p w14:paraId="6497203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580E2663">
                  <w:pPr>
                    <w:keepNext w:val="0"/>
                    <w:keepLines w:val="0"/>
                    <w:suppressLineNumbers w:val="0"/>
                    <w:spacing w:before="0" w:beforeAutospacing="0" w:after="0" w:afterAutospacing="0"/>
                    <w:ind w:left="0" w:right="0"/>
                    <w:jc w:val="center"/>
                    <w:rPr>
                      <w:rFonts w:hint="eastAsia" w:eastAsia="宋体"/>
                      <w:color w:val="auto"/>
                      <w:kern w:val="0"/>
                      <w:sz w:val="21"/>
                      <w:szCs w:val="21"/>
                      <w:highlight w:val="none"/>
                      <w:lang w:eastAsia="zh-CN" w:bidi="ar"/>
                    </w:rPr>
                  </w:pPr>
                  <w:r>
                    <w:rPr>
                      <w:rFonts w:hint="eastAsia"/>
                      <w:color w:val="auto"/>
                      <w:kern w:val="0"/>
                      <w:sz w:val="21"/>
                      <w:szCs w:val="21"/>
                      <w:highlight w:val="none"/>
                      <w:lang w:val="en-US" w:eastAsia="zh-CN" w:bidi="ar"/>
                    </w:rPr>
                    <w:t>5</w:t>
                  </w:r>
                </w:p>
              </w:tc>
            </w:tr>
            <w:tr w14:paraId="5FF28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285E7C61">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67AEAFC3">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6E000A64">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四氯乙烯</w:t>
                  </w:r>
                </w:p>
              </w:tc>
              <w:tc>
                <w:tcPr>
                  <w:tcW w:w="1709" w:type="dxa"/>
                  <w:tcBorders>
                    <w:tl2br w:val="nil"/>
                    <w:tr2bl w:val="nil"/>
                  </w:tcBorders>
                  <w:noWrap w:val="0"/>
                  <w:vAlign w:val="center"/>
                </w:tcPr>
                <w:p w14:paraId="44B20BE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559C5E9B">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53</w:t>
                  </w:r>
                </w:p>
              </w:tc>
            </w:tr>
            <w:tr w14:paraId="2B16C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0E5A3FF2">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49B4C326">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68BC5855">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三氯乙烯</w:t>
                  </w:r>
                </w:p>
              </w:tc>
              <w:tc>
                <w:tcPr>
                  <w:tcW w:w="1709" w:type="dxa"/>
                  <w:tcBorders>
                    <w:tl2br w:val="nil"/>
                    <w:tr2bl w:val="nil"/>
                  </w:tcBorders>
                  <w:noWrap w:val="0"/>
                  <w:vAlign w:val="center"/>
                </w:tcPr>
                <w:p w14:paraId="4FA54F1F">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5A257A65">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2.8</w:t>
                  </w:r>
                </w:p>
              </w:tc>
            </w:tr>
            <w:tr w14:paraId="121AE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515F327F">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47D302D9">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6331C0CF">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1,2,3-三氯丙烷</w:t>
                  </w:r>
                </w:p>
              </w:tc>
              <w:tc>
                <w:tcPr>
                  <w:tcW w:w="1709" w:type="dxa"/>
                  <w:tcBorders>
                    <w:tl2br w:val="nil"/>
                    <w:tr2bl w:val="nil"/>
                  </w:tcBorders>
                  <w:noWrap w:val="0"/>
                  <w:vAlign w:val="center"/>
                </w:tcPr>
                <w:p w14:paraId="6CFD1CB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4EDC0ADC">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0.5</w:t>
                  </w:r>
                </w:p>
              </w:tc>
            </w:tr>
            <w:tr w14:paraId="4B373E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1EDEA8A3">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22DD7731">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53BDC90B">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氯乙烯</w:t>
                  </w:r>
                </w:p>
              </w:tc>
              <w:tc>
                <w:tcPr>
                  <w:tcW w:w="1709" w:type="dxa"/>
                  <w:tcBorders>
                    <w:tl2br w:val="nil"/>
                    <w:tr2bl w:val="nil"/>
                  </w:tcBorders>
                  <w:noWrap w:val="0"/>
                  <w:vAlign w:val="center"/>
                </w:tcPr>
                <w:p w14:paraId="3F04C06E">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59B0FEB1">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0.43</w:t>
                  </w:r>
                </w:p>
              </w:tc>
            </w:tr>
            <w:tr w14:paraId="3BE2D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5C9D3EC6">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7B0BBCCA">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60E3CE79">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氯苯</w:t>
                  </w:r>
                </w:p>
              </w:tc>
              <w:tc>
                <w:tcPr>
                  <w:tcW w:w="1709" w:type="dxa"/>
                  <w:tcBorders>
                    <w:tl2br w:val="nil"/>
                    <w:tr2bl w:val="nil"/>
                  </w:tcBorders>
                  <w:noWrap w:val="0"/>
                  <w:vAlign w:val="center"/>
                </w:tcPr>
                <w:p w14:paraId="6EB7832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3E1E34AF">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270</w:t>
                  </w:r>
                </w:p>
              </w:tc>
            </w:tr>
            <w:tr w14:paraId="45253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27BEAB97">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5D92FC05">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557F8500">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1,4-二氯苯</w:t>
                  </w:r>
                </w:p>
              </w:tc>
              <w:tc>
                <w:tcPr>
                  <w:tcW w:w="1709" w:type="dxa"/>
                  <w:tcBorders>
                    <w:tl2br w:val="nil"/>
                    <w:tr2bl w:val="nil"/>
                  </w:tcBorders>
                  <w:noWrap w:val="0"/>
                  <w:vAlign w:val="center"/>
                </w:tcPr>
                <w:p w14:paraId="10A1BF1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6C93836B">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20</w:t>
                  </w:r>
                </w:p>
              </w:tc>
            </w:tr>
            <w:tr w14:paraId="34482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1B8BB9A4">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059A1052">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09E4530B">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乙苯</w:t>
                  </w:r>
                </w:p>
              </w:tc>
              <w:tc>
                <w:tcPr>
                  <w:tcW w:w="1709" w:type="dxa"/>
                  <w:tcBorders>
                    <w:tl2br w:val="nil"/>
                    <w:tr2bl w:val="nil"/>
                  </w:tcBorders>
                  <w:noWrap w:val="0"/>
                  <w:vAlign w:val="center"/>
                </w:tcPr>
                <w:p w14:paraId="0EC000A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45938193">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28</w:t>
                  </w:r>
                </w:p>
              </w:tc>
            </w:tr>
            <w:tr w14:paraId="3CDAC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2C65C293">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7FCC75FA">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4A4260A6">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甲苯</w:t>
                  </w:r>
                </w:p>
              </w:tc>
              <w:tc>
                <w:tcPr>
                  <w:tcW w:w="1709" w:type="dxa"/>
                  <w:tcBorders>
                    <w:tl2br w:val="nil"/>
                    <w:tr2bl w:val="nil"/>
                  </w:tcBorders>
                  <w:noWrap w:val="0"/>
                  <w:vAlign w:val="center"/>
                </w:tcPr>
                <w:p w14:paraId="780A8BB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2386B68F">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1200</w:t>
                  </w:r>
                </w:p>
              </w:tc>
            </w:tr>
            <w:tr w14:paraId="38790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1E8C5EC9">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2830F035">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79F82239">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对二甲苯+间二甲苯</w:t>
                  </w:r>
                </w:p>
              </w:tc>
              <w:tc>
                <w:tcPr>
                  <w:tcW w:w="1709" w:type="dxa"/>
                  <w:tcBorders>
                    <w:tl2br w:val="nil"/>
                    <w:tr2bl w:val="nil"/>
                  </w:tcBorders>
                  <w:noWrap w:val="0"/>
                  <w:vAlign w:val="center"/>
                </w:tcPr>
                <w:p w14:paraId="6BD90738">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74C3DCA6">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570</w:t>
                  </w:r>
                </w:p>
              </w:tc>
            </w:tr>
            <w:tr w14:paraId="0BEB1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67FA3669">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2804BBCB">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16D648D7">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邻二甲苯+苯乙烯</w:t>
                  </w:r>
                </w:p>
              </w:tc>
              <w:tc>
                <w:tcPr>
                  <w:tcW w:w="1709" w:type="dxa"/>
                  <w:tcBorders>
                    <w:tl2br w:val="nil"/>
                    <w:tr2bl w:val="nil"/>
                  </w:tcBorders>
                  <w:noWrap w:val="0"/>
                  <w:vAlign w:val="center"/>
                </w:tcPr>
                <w:p w14:paraId="25D2D33C">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0A670082">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640</w:t>
                  </w:r>
                </w:p>
              </w:tc>
            </w:tr>
            <w:tr w14:paraId="31002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39ED7E8C">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281C91B0">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1E38AFDC">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ascii="Times New Roman" w:hAnsi="Times New Roman" w:cs="Times New Roman"/>
                      <w:color w:val="auto"/>
                      <w:sz w:val="21"/>
                      <w:szCs w:val="21"/>
                      <w:highlight w:val="none"/>
                    </w:rPr>
                    <w:t>1,1-二氯乙烷</w:t>
                  </w:r>
                </w:p>
              </w:tc>
              <w:tc>
                <w:tcPr>
                  <w:tcW w:w="1709" w:type="dxa"/>
                  <w:tcBorders>
                    <w:tl2br w:val="nil"/>
                    <w:tr2bl w:val="nil"/>
                  </w:tcBorders>
                  <w:noWrap w:val="0"/>
                  <w:vAlign w:val="center"/>
                </w:tcPr>
                <w:p w14:paraId="2872F73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6C1228AF">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66</w:t>
                  </w:r>
                </w:p>
              </w:tc>
            </w:tr>
            <w:tr w14:paraId="38D6B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00ED9B9B">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3E14AA66">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021929AA">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顺-1,2-二氯乙烯</w:t>
                  </w:r>
                </w:p>
              </w:tc>
              <w:tc>
                <w:tcPr>
                  <w:tcW w:w="1709" w:type="dxa"/>
                  <w:tcBorders>
                    <w:tl2br w:val="nil"/>
                    <w:tr2bl w:val="nil"/>
                  </w:tcBorders>
                  <w:noWrap w:val="0"/>
                  <w:vAlign w:val="center"/>
                </w:tcPr>
                <w:p w14:paraId="7FAEA7B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1778F8BC">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596</w:t>
                  </w:r>
                </w:p>
              </w:tc>
            </w:tr>
            <w:tr w14:paraId="2A403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7DE3DDD5">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31ED935C">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62381436">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反-1,2-二氯乙烯</w:t>
                  </w:r>
                </w:p>
              </w:tc>
              <w:tc>
                <w:tcPr>
                  <w:tcW w:w="1709" w:type="dxa"/>
                  <w:tcBorders>
                    <w:tl2br w:val="nil"/>
                    <w:tr2bl w:val="nil"/>
                  </w:tcBorders>
                  <w:noWrap w:val="0"/>
                  <w:vAlign w:val="center"/>
                </w:tcPr>
                <w:p w14:paraId="75E6BC31">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103F8718">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54</w:t>
                  </w:r>
                </w:p>
              </w:tc>
            </w:tr>
            <w:tr w14:paraId="199B8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62D62A40">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2C6DE9F9">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18413C36">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1,1,1,2-四氯乙烷</w:t>
                  </w:r>
                </w:p>
              </w:tc>
              <w:tc>
                <w:tcPr>
                  <w:tcW w:w="1709" w:type="dxa"/>
                  <w:tcBorders>
                    <w:tl2br w:val="nil"/>
                    <w:tr2bl w:val="nil"/>
                  </w:tcBorders>
                  <w:noWrap w:val="0"/>
                  <w:vAlign w:val="center"/>
                </w:tcPr>
                <w:p w14:paraId="68ABF251">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4FC340AF">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10</w:t>
                  </w:r>
                </w:p>
              </w:tc>
            </w:tr>
            <w:tr w14:paraId="094E3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65976508">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13374DBD">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16B78309">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1,1,2,2-四氯乙烷</w:t>
                  </w:r>
                </w:p>
              </w:tc>
              <w:tc>
                <w:tcPr>
                  <w:tcW w:w="1709" w:type="dxa"/>
                  <w:tcBorders>
                    <w:tl2br w:val="nil"/>
                    <w:tr2bl w:val="nil"/>
                  </w:tcBorders>
                  <w:noWrap w:val="0"/>
                  <w:vAlign w:val="center"/>
                </w:tcPr>
                <w:p w14:paraId="0D391638">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217C022A">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6.8</w:t>
                  </w:r>
                </w:p>
              </w:tc>
            </w:tr>
            <w:tr w14:paraId="14B7F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65803B4A">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579A6988">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6419E299">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1,1,1,-三氯乙烷</w:t>
                  </w:r>
                </w:p>
              </w:tc>
              <w:tc>
                <w:tcPr>
                  <w:tcW w:w="1709" w:type="dxa"/>
                  <w:tcBorders>
                    <w:tl2br w:val="nil"/>
                    <w:tr2bl w:val="nil"/>
                  </w:tcBorders>
                  <w:noWrap w:val="0"/>
                  <w:vAlign w:val="center"/>
                </w:tcPr>
                <w:p w14:paraId="53D6903C">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06D3D70A">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840</w:t>
                  </w:r>
                </w:p>
              </w:tc>
            </w:tr>
            <w:tr w14:paraId="7110D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3A639D64">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0ECE9068">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253AEB4F">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color w:val="auto"/>
                      <w:sz w:val="21"/>
                      <w:szCs w:val="21"/>
                      <w:highlight w:val="none"/>
                    </w:rPr>
                  </w:pPr>
                  <w:r>
                    <w:rPr>
                      <w:rFonts w:hint="eastAsia" w:ascii="Times New Roman" w:hAnsi="Times New Roman" w:cs="Times New Roman"/>
                      <w:color w:val="auto"/>
                      <w:sz w:val="21"/>
                      <w:szCs w:val="21"/>
                      <w:highlight w:val="none"/>
                    </w:rPr>
                    <w:t>1,1,2-三氯乙烷</w:t>
                  </w:r>
                </w:p>
              </w:tc>
              <w:tc>
                <w:tcPr>
                  <w:tcW w:w="1709" w:type="dxa"/>
                  <w:tcBorders>
                    <w:tl2br w:val="nil"/>
                    <w:tr2bl w:val="nil"/>
                  </w:tcBorders>
                  <w:noWrap w:val="0"/>
                  <w:vAlign w:val="center"/>
                </w:tcPr>
                <w:p w14:paraId="7B3A965C">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3960C8C9">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2.8</w:t>
                  </w:r>
                </w:p>
              </w:tc>
            </w:tr>
            <w:tr w14:paraId="16446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6D3FB8F2">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65904A3F">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6DEBD491">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color w:val="auto"/>
                      <w:sz w:val="21"/>
                      <w:szCs w:val="21"/>
                      <w:highlight w:val="none"/>
                    </w:rPr>
                  </w:pPr>
                  <w:r>
                    <w:rPr>
                      <w:rFonts w:hint="eastAsia" w:ascii="Times New Roman" w:hAnsi="Times New Roman" w:cs="Times New Roman"/>
                      <w:color w:val="auto"/>
                      <w:sz w:val="21"/>
                      <w:szCs w:val="21"/>
                      <w:highlight w:val="none"/>
                    </w:rPr>
                    <w:t>1,2-二氯苯</w:t>
                  </w:r>
                </w:p>
              </w:tc>
              <w:tc>
                <w:tcPr>
                  <w:tcW w:w="1709" w:type="dxa"/>
                  <w:tcBorders>
                    <w:tl2br w:val="nil"/>
                    <w:tr2bl w:val="nil"/>
                  </w:tcBorders>
                  <w:noWrap w:val="0"/>
                  <w:vAlign w:val="center"/>
                </w:tcPr>
                <w:p w14:paraId="24B817D6">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305EA023">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560</w:t>
                  </w:r>
                </w:p>
              </w:tc>
            </w:tr>
            <w:tr w14:paraId="3BEAA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6F14FD6D">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10A66117">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2BD067B7">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color w:val="auto"/>
                      <w:sz w:val="21"/>
                      <w:szCs w:val="21"/>
                      <w:highlight w:val="none"/>
                    </w:rPr>
                  </w:pPr>
                  <w:r>
                    <w:rPr>
                      <w:rFonts w:hint="eastAsia" w:ascii="Times New Roman" w:hAnsi="Times New Roman" w:cs="Times New Roman"/>
                      <w:color w:val="auto"/>
                      <w:sz w:val="21"/>
                      <w:szCs w:val="21"/>
                      <w:highlight w:val="none"/>
                    </w:rPr>
                    <w:t>苯并[a]蒽</w:t>
                  </w:r>
                </w:p>
              </w:tc>
              <w:tc>
                <w:tcPr>
                  <w:tcW w:w="1709" w:type="dxa"/>
                  <w:tcBorders>
                    <w:tl2br w:val="nil"/>
                    <w:tr2bl w:val="nil"/>
                  </w:tcBorders>
                  <w:noWrap w:val="0"/>
                  <w:vAlign w:val="center"/>
                </w:tcPr>
                <w:p w14:paraId="01C6E701">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20EBB516">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r>
            <w:tr w14:paraId="2D341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10D1044F">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3722BDC5">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1A4F4819">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color w:val="auto"/>
                      <w:sz w:val="21"/>
                      <w:szCs w:val="21"/>
                      <w:highlight w:val="none"/>
                    </w:rPr>
                  </w:pPr>
                  <w:r>
                    <w:rPr>
                      <w:rFonts w:hint="eastAsia" w:ascii="Times New Roman" w:hAnsi="Times New Roman" w:cs="Times New Roman"/>
                      <w:color w:val="auto"/>
                      <w:sz w:val="21"/>
                      <w:szCs w:val="21"/>
                      <w:highlight w:val="none"/>
                    </w:rPr>
                    <w:t>苯并[a]芘</w:t>
                  </w:r>
                </w:p>
              </w:tc>
              <w:tc>
                <w:tcPr>
                  <w:tcW w:w="1709" w:type="dxa"/>
                  <w:tcBorders>
                    <w:tl2br w:val="nil"/>
                    <w:tr2bl w:val="nil"/>
                  </w:tcBorders>
                  <w:noWrap w:val="0"/>
                  <w:vAlign w:val="center"/>
                </w:tcPr>
                <w:p w14:paraId="21D69079">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49B92536">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r>
            <w:tr w14:paraId="11E23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20B3A4B0">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0C9B4CD0">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45F0BEDE">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color w:val="auto"/>
                      <w:sz w:val="21"/>
                      <w:szCs w:val="21"/>
                      <w:highlight w:val="none"/>
                    </w:rPr>
                  </w:pPr>
                  <w:r>
                    <w:rPr>
                      <w:rFonts w:hint="eastAsia" w:ascii="Times New Roman" w:hAnsi="Times New Roman" w:cs="Times New Roman"/>
                      <w:color w:val="auto"/>
                      <w:sz w:val="21"/>
                      <w:szCs w:val="21"/>
                      <w:highlight w:val="none"/>
                    </w:rPr>
                    <w:t>苯并[b]荧蒽</w:t>
                  </w:r>
                </w:p>
              </w:tc>
              <w:tc>
                <w:tcPr>
                  <w:tcW w:w="1709" w:type="dxa"/>
                  <w:tcBorders>
                    <w:tl2br w:val="nil"/>
                    <w:tr2bl w:val="nil"/>
                  </w:tcBorders>
                  <w:noWrap w:val="0"/>
                  <w:vAlign w:val="center"/>
                </w:tcPr>
                <w:p w14:paraId="5081EEA4">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7E2F0C46">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r>
            <w:tr w14:paraId="09F31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646A6A2C">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59BAC25A">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1D198727">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color w:val="auto"/>
                      <w:sz w:val="21"/>
                      <w:szCs w:val="21"/>
                      <w:highlight w:val="none"/>
                    </w:rPr>
                  </w:pPr>
                  <w:r>
                    <w:rPr>
                      <w:rFonts w:hint="eastAsia" w:ascii="Times New Roman" w:hAnsi="Times New Roman" w:cs="Times New Roman"/>
                      <w:color w:val="auto"/>
                      <w:sz w:val="21"/>
                      <w:szCs w:val="21"/>
                      <w:highlight w:val="none"/>
                    </w:rPr>
                    <w:t>苯并[k]荧蒽</w:t>
                  </w:r>
                </w:p>
              </w:tc>
              <w:tc>
                <w:tcPr>
                  <w:tcW w:w="1709" w:type="dxa"/>
                  <w:tcBorders>
                    <w:tl2br w:val="nil"/>
                    <w:tr2bl w:val="nil"/>
                  </w:tcBorders>
                  <w:noWrap w:val="0"/>
                  <w:vAlign w:val="center"/>
                </w:tcPr>
                <w:p w14:paraId="660C6A52">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50872D7D">
                  <w:pPr>
                    <w:keepNext w:val="0"/>
                    <w:keepLines w:val="0"/>
                    <w:suppressLineNumbers w:val="0"/>
                    <w:spacing w:before="0" w:beforeAutospacing="0" w:after="0" w:afterAutospacing="0"/>
                    <w:ind w:left="0" w:right="0"/>
                    <w:jc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bidi="ar"/>
                    </w:rPr>
                    <w:t>15</w:t>
                  </w:r>
                  <w:r>
                    <w:rPr>
                      <w:rFonts w:hint="eastAsia"/>
                      <w:color w:val="auto"/>
                      <w:kern w:val="0"/>
                      <w:sz w:val="21"/>
                      <w:szCs w:val="21"/>
                      <w:highlight w:val="none"/>
                      <w:lang w:val="en-US" w:eastAsia="zh-CN" w:bidi="ar"/>
                    </w:rPr>
                    <w:t>1</w:t>
                  </w:r>
                </w:p>
              </w:tc>
            </w:tr>
            <w:tr w14:paraId="1D216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7D545279">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5F9DEF2E">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4FAAB773">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color w:val="auto"/>
                      <w:sz w:val="21"/>
                      <w:szCs w:val="21"/>
                      <w:highlight w:val="none"/>
                    </w:rPr>
                  </w:pPr>
                  <w:r>
                    <w:rPr>
                      <w:rFonts w:hint="eastAsia" w:ascii="Times New Roman" w:hAnsi="Times New Roman" w:cs="Times New Roman"/>
                      <w:color w:val="auto"/>
                      <w:sz w:val="21"/>
                      <w:szCs w:val="21"/>
                      <w:highlight w:val="none"/>
                    </w:rPr>
                    <w:t>二苯并[a,h]蒽</w:t>
                  </w:r>
                </w:p>
              </w:tc>
              <w:tc>
                <w:tcPr>
                  <w:tcW w:w="1709" w:type="dxa"/>
                  <w:tcBorders>
                    <w:tl2br w:val="nil"/>
                    <w:tr2bl w:val="nil"/>
                  </w:tcBorders>
                  <w:noWrap w:val="0"/>
                  <w:vAlign w:val="center"/>
                </w:tcPr>
                <w:p w14:paraId="1F723A18">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22D58BD1">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r>
            <w:tr w14:paraId="79530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2F842187">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41840498">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10A117CB">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color w:val="auto"/>
                      <w:sz w:val="21"/>
                      <w:szCs w:val="21"/>
                      <w:highlight w:val="none"/>
                    </w:rPr>
                  </w:pPr>
                  <w:r>
                    <w:rPr>
                      <w:rFonts w:hint="eastAsia" w:ascii="Times New Roman" w:hAnsi="Times New Roman" w:cs="Times New Roman"/>
                      <w:color w:val="auto"/>
                      <w:sz w:val="21"/>
                      <w:szCs w:val="21"/>
                      <w:highlight w:val="none"/>
                    </w:rPr>
                    <w:t>茚并[1,2,3-cd]芘</w:t>
                  </w:r>
                </w:p>
              </w:tc>
              <w:tc>
                <w:tcPr>
                  <w:tcW w:w="1709" w:type="dxa"/>
                  <w:tcBorders>
                    <w:tl2br w:val="nil"/>
                    <w:tr2bl w:val="nil"/>
                  </w:tcBorders>
                  <w:noWrap w:val="0"/>
                  <w:vAlign w:val="center"/>
                </w:tcPr>
                <w:p w14:paraId="5863BB85">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05AB8A81">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r>
            <w:tr w14:paraId="32B96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658D7CC8">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21340C1B">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4F139C75">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color w:val="auto"/>
                      <w:sz w:val="21"/>
                      <w:szCs w:val="21"/>
                      <w:highlight w:val="none"/>
                    </w:rPr>
                  </w:pPr>
                  <w:r>
                    <w:rPr>
                      <w:rFonts w:hint="eastAsia" w:ascii="Times New Roman" w:hAnsi="Times New Roman" w:cs="Times New Roman"/>
                      <w:color w:val="auto"/>
                      <w:sz w:val="21"/>
                      <w:szCs w:val="21"/>
                      <w:highlight w:val="none"/>
                    </w:rPr>
                    <w:t>萘</w:t>
                  </w:r>
                </w:p>
              </w:tc>
              <w:tc>
                <w:tcPr>
                  <w:tcW w:w="1709" w:type="dxa"/>
                  <w:tcBorders>
                    <w:tl2br w:val="nil"/>
                    <w:tr2bl w:val="nil"/>
                  </w:tcBorders>
                  <w:noWrap w:val="0"/>
                  <w:vAlign w:val="center"/>
                </w:tcPr>
                <w:p w14:paraId="2059304B">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default"/>
                      <w:color w:val="auto"/>
                      <w:kern w:val="0"/>
                      <w:sz w:val="21"/>
                      <w:szCs w:val="21"/>
                      <w:highlight w:val="none"/>
                      <w:lang w:bidi="ar"/>
                    </w:rPr>
                    <w:t>ND</w:t>
                  </w:r>
                </w:p>
              </w:tc>
              <w:tc>
                <w:tcPr>
                  <w:tcW w:w="1608" w:type="dxa"/>
                  <w:tcBorders>
                    <w:tl2br w:val="nil"/>
                    <w:tr2bl w:val="nil"/>
                  </w:tcBorders>
                  <w:noWrap w:val="0"/>
                  <w:vAlign w:val="center"/>
                </w:tcPr>
                <w:p w14:paraId="7A3FF88C">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70</w:t>
                  </w:r>
                </w:p>
              </w:tc>
            </w:tr>
            <w:tr w14:paraId="3ACA4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1A30AABD">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0428F146">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08107A04">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color w:val="auto"/>
                      <w:sz w:val="21"/>
                      <w:szCs w:val="21"/>
                      <w:highlight w:val="none"/>
                    </w:rPr>
                  </w:pPr>
                  <w:r>
                    <w:rPr>
                      <w:rFonts w:hint="eastAsia" w:ascii="Times New Roman" w:hAnsi="Times New Roman" w:cs="Times New Roman"/>
                      <w:color w:val="auto"/>
                      <w:sz w:val="21"/>
                      <w:szCs w:val="21"/>
                      <w:highlight w:val="none"/>
                    </w:rPr>
                    <w:t>䓛</w:t>
                  </w:r>
                  <w:r>
                    <w:rPr>
                      <w:rFonts w:hint="default" w:ascii="Times New Roman" w:hAnsi="Times New Roman" w:eastAsia="宋体" w:cs="Times New Roman"/>
                      <w:color w:val="auto"/>
                      <w:sz w:val="21"/>
                      <w:szCs w:val="21"/>
                      <w:highlight w:val="none"/>
                      <w:lang w:val="en-US" w:eastAsia="zh-CN"/>
                    </w:rPr>
                    <w:t>*</w:t>
                  </w:r>
                </w:p>
              </w:tc>
              <w:tc>
                <w:tcPr>
                  <w:tcW w:w="1709" w:type="dxa"/>
                  <w:tcBorders>
                    <w:tl2br w:val="nil"/>
                    <w:tr2bl w:val="nil"/>
                  </w:tcBorders>
                  <w:noWrap w:val="0"/>
                  <w:vAlign w:val="center"/>
                </w:tcPr>
                <w:p w14:paraId="26998D99">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ascii="Times New Roman" w:hAnsi="Times New Roman" w:eastAsia="宋体" w:cs="Times New Roman"/>
                      <w:i w:val="0"/>
                      <w:color w:val="auto"/>
                      <w:kern w:val="0"/>
                      <w:sz w:val="21"/>
                      <w:szCs w:val="21"/>
                      <w:highlight w:val="none"/>
                      <w:u w:val="none"/>
                      <w:lang w:val="en-US" w:eastAsia="zh-CN" w:bidi="ar"/>
                    </w:rPr>
                    <w:t>未检出</w:t>
                  </w:r>
                </w:p>
              </w:tc>
              <w:tc>
                <w:tcPr>
                  <w:tcW w:w="1608" w:type="dxa"/>
                  <w:tcBorders>
                    <w:tl2br w:val="nil"/>
                    <w:tr2bl w:val="nil"/>
                  </w:tcBorders>
                  <w:noWrap w:val="0"/>
                  <w:vAlign w:val="center"/>
                </w:tcPr>
                <w:p w14:paraId="01FE869F">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1293</w:t>
                  </w:r>
                </w:p>
              </w:tc>
            </w:tr>
            <w:tr w14:paraId="22D0C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7C3029D4">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075E2E6E">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64DFF348">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color w:val="auto"/>
                      <w:sz w:val="21"/>
                      <w:szCs w:val="21"/>
                      <w:highlight w:val="none"/>
                    </w:rPr>
                  </w:pPr>
                  <w:r>
                    <w:rPr>
                      <w:rFonts w:hint="eastAsia" w:ascii="Times New Roman" w:hAnsi="Times New Roman" w:cs="Times New Roman"/>
                      <w:color w:val="auto"/>
                      <w:sz w:val="21"/>
                      <w:szCs w:val="21"/>
                      <w:highlight w:val="none"/>
                    </w:rPr>
                    <w:t>氯甲烷</w:t>
                  </w:r>
                  <w:r>
                    <w:rPr>
                      <w:rFonts w:hint="default" w:ascii="Times New Roman" w:hAnsi="Times New Roman" w:eastAsia="宋体" w:cs="Times New Roman"/>
                      <w:color w:val="auto"/>
                      <w:sz w:val="21"/>
                      <w:szCs w:val="21"/>
                      <w:highlight w:val="none"/>
                      <w:lang w:val="en-US" w:eastAsia="zh-CN"/>
                    </w:rPr>
                    <w:t>*</w:t>
                  </w:r>
                </w:p>
              </w:tc>
              <w:tc>
                <w:tcPr>
                  <w:tcW w:w="1709" w:type="dxa"/>
                  <w:tcBorders>
                    <w:tl2br w:val="nil"/>
                    <w:tr2bl w:val="nil"/>
                  </w:tcBorders>
                  <w:noWrap w:val="0"/>
                  <w:vAlign w:val="center"/>
                </w:tcPr>
                <w:p w14:paraId="5C6BA268">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ascii="Times New Roman" w:hAnsi="Times New Roman" w:eastAsia="宋体" w:cs="Times New Roman"/>
                      <w:i w:val="0"/>
                      <w:color w:val="auto"/>
                      <w:kern w:val="0"/>
                      <w:sz w:val="21"/>
                      <w:szCs w:val="21"/>
                      <w:highlight w:val="none"/>
                      <w:u w:val="none"/>
                      <w:lang w:val="en-US" w:eastAsia="zh-CN" w:bidi="ar"/>
                    </w:rPr>
                    <w:t>未检出</w:t>
                  </w:r>
                </w:p>
              </w:tc>
              <w:tc>
                <w:tcPr>
                  <w:tcW w:w="1608" w:type="dxa"/>
                  <w:tcBorders>
                    <w:tl2br w:val="nil"/>
                    <w:tr2bl w:val="nil"/>
                  </w:tcBorders>
                  <w:noWrap w:val="0"/>
                  <w:vAlign w:val="center"/>
                </w:tcPr>
                <w:p w14:paraId="1BC0B984">
                  <w:pPr>
                    <w:keepNext w:val="0"/>
                    <w:keepLines w:val="0"/>
                    <w:suppressLineNumbers w:val="0"/>
                    <w:spacing w:before="0" w:beforeAutospacing="0" w:after="0" w:afterAutospacing="0"/>
                    <w:ind w:left="0" w:right="0"/>
                    <w:jc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37</w:t>
                  </w:r>
                </w:p>
              </w:tc>
            </w:tr>
            <w:tr w14:paraId="6DE7E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01C6F035">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1BF54428">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36C3D452">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color w:val="auto"/>
                      <w:sz w:val="21"/>
                      <w:szCs w:val="21"/>
                      <w:highlight w:val="none"/>
                    </w:rPr>
                  </w:pPr>
                  <w:r>
                    <w:rPr>
                      <w:rFonts w:hint="eastAsia" w:ascii="Times New Roman" w:hAnsi="Times New Roman" w:cs="Times New Roman"/>
                      <w:color w:val="auto"/>
                      <w:sz w:val="21"/>
                      <w:szCs w:val="21"/>
                      <w:highlight w:val="none"/>
                    </w:rPr>
                    <w:t>硝基苯</w:t>
                  </w:r>
                  <w:r>
                    <w:rPr>
                      <w:rFonts w:hint="default" w:ascii="Times New Roman" w:hAnsi="Times New Roman" w:eastAsia="宋体" w:cs="Times New Roman"/>
                      <w:color w:val="auto"/>
                      <w:sz w:val="21"/>
                      <w:szCs w:val="21"/>
                      <w:highlight w:val="none"/>
                      <w:lang w:val="en-US" w:eastAsia="zh-CN"/>
                    </w:rPr>
                    <w:t>*</w:t>
                  </w:r>
                </w:p>
              </w:tc>
              <w:tc>
                <w:tcPr>
                  <w:tcW w:w="1709" w:type="dxa"/>
                  <w:tcBorders>
                    <w:tl2br w:val="nil"/>
                    <w:tr2bl w:val="nil"/>
                  </w:tcBorders>
                  <w:noWrap w:val="0"/>
                  <w:vAlign w:val="center"/>
                </w:tcPr>
                <w:p w14:paraId="1D61A17C">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ascii="Times New Roman" w:hAnsi="Times New Roman" w:eastAsia="宋体" w:cs="Times New Roman"/>
                      <w:i w:val="0"/>
                      <w:color w:val="auto"/>
                      <w:kern w:val="0"/>
                      <w:sz w:val="21"/>
                      <w:szCs w:val="21"/>
                      <w:highlight w:val="none"/>
                      <w:u w:val="none"/>
                      <w:lang w:val="en-US" w:eastAsia="zh-CN" w:bidi="ar"/>
                    </w:rPr>
                    <w:t>未检出</w:t>
                  </w:r>
                </w:p>
              </w:tc>
              <w:tc>
                <w:tcPr>
                  <w:tcW w:w="1608" w:type="dxa"/>
                  <w:tcBorders>
                    <w:tl2br w:val="nil"/>
                    <w:tr2bl w:val="nil"/>
                  </w:tcBorders>
                  <w:noWrap w:val="0"/>
                  <w:vAlign w:val="center"/>
                </w:tcPr>
                <w:p w14:paraId="1C3E9E68">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color w:val="auto"/>
                      <w:kern w:val="0"/>
                      <w:sz w:val="21"/>
                      <w:szCs w:val="21"/>
                      <w:highlight w:val="none"/>
                      <w:lang w:bidi="ar"/>
                    </w:rPr>
                    <w:t>76</w:t>
                  </w:r>
                </w:p>
              </w:tc>
            </w:tr>
            <w:tr w14:paraId="5F4E9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4582EECB">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3A465478">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3DCD7C8F">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eastAsia"/>
                      <w:color w:val="auto"/>
                      <w:sz w:val="21"/>
                      <w:szCs w:val="21"/>
                      <w:highlight w:val="none"/>
                    </w:rPr>
                  </w:pPr>
                  <w:r>
                    <w:rPr>
                      <w:rFonts w:hint="eastAsia" w:ascii="Times New Roman" w:hAnsi="Times New Roman" w:cs="Times New Roman"/>
                      <w:color w:val="auto"/>
                      <w:sz w:val="21"/>
                      <w:szCs w:val="21"/>
                      <w:highlight w:val="none"/>
                    </w:rPr>
                    <w:t>苯胺</w:t>
                  </w:r>
                  <w:r>
                    <w:rPr>
                      <w:rFonts w:hint="default" w:ascii="Times New Roman" w:hAnsi="Times New Roman" w:eastAsia="宋体" w:cs="Times New Roman"/>
                      <w:color w:val="auto"/>
                      <w:sz w:val="21"/>
                      <w:szCs w:val="21"/>
                      <w:highlight w:val="none"/>
                      <w:lang w:val="en-US" w:eastAsia="zh-CN"/>
                    </w:rPr>
                    <w:t>*</w:t>
                  </w:r>
                </w:p>
              </w:tc>
              <w:tc>
                <w:tcPr>
                  <w:tcW w:w="1709" w:type="dxa"/>
                  <w:tcBorders>
                    <w:tl2br w:val="nil"/>
                    <w:tr2bl w:val="nil"/>
                  </w:tcBorders>
                  <w:noWrap w:val="0"/>
                  <w:vAlign w:val="center"/>
                </w:tcPr>
                <w:p w14:paraId="777C82F6">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ascii="Times New Roman" w:hAnsi="Times New Roman" w:eastAsia="宋体" w:cs="Times New Roman"/>
                      <w:i w:val="0"/>
                      <w:color w:val="auto"/>
                      <w:kern w:val="0"/>
                      <w:sz w:val="21"/>
                      <w:szCs w:val="21"/>
                      <w:highlight w:val="none"/>
                      <w:u w:val="none"/>
                      <w:lang w:val="en-US" w:eastAsia="zh-CN" w:bidi="ar"/>
                    </w:rPr>
                    <w:t>未检出</w:t>
                  </w:r>
                </w:p>
              </w:tc>
              <w:tc>
                <w:tcPr>
                  <w:tcW w:w="1608" w:type="dxa"/>
                  <w:tcBorders>
                    <w:tl2br w:val="nil"/>
                    <w:tr2bl w:val="nil"/>
                  </w:tcBorders>
                  <w:noWrap w:val="0"/>
                  <w:vAlign w:val="center"/>
                </w:tcPr>
                <w:p w14:paraId="12D94B5D">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color w:val="auto"/>
                      <w:kern w:val="0"/>
                      <w:sz w:val="21"/>
                      <w:szCs w:val="21"/>
                      <w:highlight w:val="none"/>
                      <w:lang w:bidi="ar"/>
                    </w:rPr>
                    <w:t>260</w:t>
                  </w:r>
                </w:p>
              </w:tc>
            </w:tr>
            <w:tr w14:paraId="3266C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vMerge w:val="continue"/>
                  <w:tcBorders>
                    <w:tl2br w:val="nil"/>
                    <w:tr2bl w:val="nil"/>
                  </w:tcBorders>
                  <w:noWrap w:val="0"/>
                  <w:vAlign w:val="center"/>
                </w:tcPr>
                <w:p w14:paraId="617811BC">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655" w:type="dxa"/>
                  <w:vMerge w:val="continue"/>
                  <w:tcBorders>
                    <w:tl2br w:val="nil"/>
                    <w:tr2bl w:val="nil"/>
                  </w:tcBorders>
                  <w:noWrap w:val="0"/>
                  <w:vAlign w:val="center"/>
                </w:tcPr>
                <w:p w14:paraId="5509D364">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noWrap w:val="0"/>
                  <w:vAlign w:val="center"/>
                </w:tcPr>
                <w:p w14:paraId="52E74493">
                  <w:pPr>
                    <w:keepNext w:val="0"/>
                    <w:keepLines w:val="0"/>
                    <w:pageBreakBefore w:val="0"/>
                    <w:suppressLineNumbers w:val="0"/>
                    <w:kinsoku/>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color w:val="auto"/>
                      <w:sz w:val="21"/>
                      <w:szCs w:val="21"/>
                      <w:highlight w:val="none"/>
                    </w:rPr>
                  </w:pPr>
                  <w:r>
                    <w:rPr>
                      <w:rFonts w:hint="eastAsia" w:ascii="Times New Roman" w:hAnsi="Times New Roman" w:cs="Times New Roman"/>
                      <w:color w:val="auto"/>
                      <w:sz w:val="21"/>
                      <w:szCs w:val="21"/>
                      <w:highlight w:val="none"/>
                    </w:rPr>
                    <w:t>2-氯酚</w:t>
                  </w:r>
                  <w:r>
                    <w:rPr>
                      <w:rFonts w:hint="default" w:ascii="Times New Roman" w:hAnsi="Times New Roman" w:eastAsia="宋体" w:cs="Times New Roman"/>
                      <w:color w:val="auto"/>
                      <w:sz w:val="21"/>
                      <w:szCs w:val="21"/>
                      <w:highlight w:val="none"/>
                      <w:lang w:val="en-US" w:eastAsia="zh-CN"/>
                    </w:rPr>
                    <w:t>*</w:t>
                  </w:r>
                </w:p>
              </w:tc>
              <w:tc>
                <w:tcPr>
                  <w:tcW w:w="1709" w:type="dxa"/>
                  <w:tcBorders>
                    <w:tl2br w:val="nil"/>
                    <w:tr2bl w:val="nil"/>
                  </w:tcBorders>
                  <w:noWrap w:val="0"/>
                  <w:vAlign w:val="center"/>
                </w:tcPr>
                <w:p w14:paraId="4E199BA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ascii="Times New Roman" w:hAnsi="Times New Roman" w:eastAsia="宋体" w:cs="Times New Roman"/>
                      <w:i w:val="0"/>
                      <w:color w:val="auto"/>
                      <w:kern w:val="0"/>
                      <w:sz w:val="21"/>
                      <w:szCs w:val="21"/>
                      <w:highlight w:val="none"/>
                      <w:u w:val="none"/>
                      <w:lang w:val="en-US" w:eastAsia="zh-CN" w:bidi="ar"/>
                    </w:rPr>
                    <w:t>未检出</w:t>
                  </w:r>
                </w:p>
              </w:tc>
              <w:tc>
                <w:tcPr>
                  <w:tcW w:w="1608" w:type="dxa"/>
                  <w:tcBorders>
                    <w:tl2br w:val="nil"/>
                    <w:tr2bl w:val="nil"/>
                  </w:tcBorders>
                  <w:noWrap w:val="0"/>
                  <w:vAlign w:val="center"/>
                </w:tcPr>
                <w:p w14:paraId="70B7DEF2">
                  <w:pPr>
                    <w:keepNext w:val="0"/>
                    <w:keepLines w:val="0"/>
                    <w:suppressLineNumbers w:val="0"/>
                    <w:spacing w:before="0" w:beforeAutospacing="0" w:after="0" w:afterAutospacing="0"/>
                    <w:ind w:left="0" w:right="0"/>
                    <w:jc w:val="center"/>
                    <w:rPr>
                      <w:rFonts w:hint="default"/>
                      <w:color w:val="auto"/>
                      <w:kern w:val="0"/>
                      <w:sz w:val="21"/>
                      <w:szCs w:val="21"/>
                      <w:highlight w:val="none"/>
                      <w:lang w:bidi="ar"/>
                    </w:rPr>
                  </w:pPr>
                  <w:r>
                    <w:rPr>
                      <w:rFonts w:hint="eastAsia"/>
                      <w:color w:val="auto"/>
                      <w:kern w:val="0"/>
                      <w:sz w:val="21"/>
                      <w:szCs w:val="21"/>
                      <w:highlight w:val="none"/>
                      <w:lang w:bidi="ar"/>
                    </w:rPr>
                    <w:t>2256</w:t>
                  </w:r>
                </w:p>
              </w:tc>
            </w:tr>
            <w:tr w14:paraId="67A9D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9" w:type="dxa"/>
                  <w:tcBorders>
                    <w:tl2br w:val="nil"/>
                    <w:tr2bl w:val="nil"/>
                  </w:tcBorders>
                  <w:noWrap w:val="0"/>
                  <w:vAlign w:val="center"/>
                </w:tcPr>
                <w:p w14:paraId="4D540E3D">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r>
                    <w:rPr>
                      <w:rFonts w:hint="eastAsia" w:ascii="Times New Roman" w:hAnsi="Times New Roman" w:eastAsia="宋体" w:cs="Times New Roman"/>
                      <w:sz w:val="21"/>
                      <w:szCs w:val="21"/>
                      <w:lang w:val="en-US" w:eastAsia="zh-CN"/>
                    </w:rPr>
                    <w:t>2025.06.17</w:t>
                  </w:r>
                </w:p>
              </w:tc>
              <w:tc>
                <w:tcPr>
                  <w:tcW w:w="1655" w:type="dxa"/>
                  <w:vMerge w:val="continue"/>
                  <w:tcBorders>
                    <w:tl2br w:val="nil"/>
                    <w:tr2bl w:val="nil"/>
                  </w:tcBorders>
                  <w:noWrap w:val="0"/>
                  <w:vAlign w:val="center"/>
                </w:tcPr>
                <w:p w14:paraId="180E7AF7">
                  <w:pPr>
                    <w:keepNext w:val="0"/>
                    <w:keepLines w:val="0"/>
                    <w:suppressLineNumbers w:val="0"/>
                    <w:autoSpaceDE w:val="0"/>
                    <w:autoSpaceDN w:val="0"/>
                    <w:spacing w:before="0" w:beforeAutospacing="0" w:after="0" w:afterAutospacing="0"/>
                    <w:ind w:left="0" w:right="0"/>
                    <w:jc w:val="center"/>
                    <w:rPr>
                      <w:rFonts w:hint="default"/>
                      <w:color w:val="auto"/>
                      <w:sz w:val="21"/>
                      <w:szCs w:val="21"/>
                      <w:highlight w:val="none"/>
                    </w:rPr>
                  </w:pPr>
                </w:p>
              </w:tc>
              <w:tc>
                <w:tcPr>
                  <w:tcW w:w="1997" w:type="dxa"/>
                  <w:tcBorders>
                    <w:tl2br w:val="nil"/>
                    <w:tr2bl w:val="nil"/>
                  </w:tcBorders>
                  <w:shd w:val="clear" w:color="auto" w:fill="auto"/>
                  <w:noWrap w:val="0"/>
                  <w:vAlign w:val="center"/>
                </w:tcPr>
                <w:p w14:paraId="0BF49C5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bCs/>
                      <w:color w:val="auto"/>
                      <w:sz w:val="21"/>
                      <w:szCs w:val="21"/>
                      <w:highlight w:val="none"/>
                      <w:lang w:bidi="ar"/>
                    </w:rPr>
                    <w:t>石油类*</w:t>
                  </w:r>
                </w:p>
              </w:tc>
              <w:tc>
                <w:tcPr>
                  <w:tcW w:w="1709" w:type="dxa"/>
                  <w:tcBorders>
                    <w:tl2br w:val="nil"/>
                    <w:tr2bl w:val="nil"/>
                  </w:tcBorders>
                  <w:shd w:val="clear" w:color="auto" w:fill="auto"/>
                  <w:noWrap w:val="0"/>
                  <w:vAlign w:val="center"/>
                </w:tcPr>
                <w:p w14:paraId="607349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6</w:t>
                  </w:r>
                </w:p>
              </w:tc>
              <w:tc>
                <w:tcPr>
                  <w:tcW w:w="1608" w:type="dxa"/>
                  <w:tcBorders>
                    <w:tl2br w:val="nil"/>
                    <w:tr2bl w:val="nil"/>
                  </w:tcBorders>
                  <w:shd w:val="clear" w:color="auto" w:fill="auto"/>
                  <w:noWrap w:val="0"/>
                  <w:vAlign w:val="center"/>
                </w:tcPr>
                <w:p w14:paraId="6143EDF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1"/>
                      <w:highlight w:val="none"/>
                      <w:lang w:val="en-US" w:eastAsia="zh-CN" w:bidi="ar"/>
                    </w:rPr>
                  </w:pPr>
                  <w:r>
                    <w:rPr>
                      <w:rFonts w:hint="eastAsia"/>
                      <w:bCs/>
                      <w:color w:val="auto"/>
                      <w:sz w:val="21"/>
                      <w:szCs w:val="21"/>
                      <w:highlight w:val="none"/>
                      <w:lang w:bidi="ar"/>
                    </w:rPr>
                    <w:t>/</w:t>
                  </w:r>
                </w:p>
              </w:tc>
            </w:tr>
          </w:tbl>
          <w:p w14:paraId="4557D1D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由表3-11和表3-12可知，项目区土壤环境质量现状监测各监测点位的监测因子均满足《土壤环境质量-建设用地土壤污染风险管控标准（试行）》（GB36600-2018）建设用地第二类用地标准筛选值标准要求，项目场地内土壤环境质量较好。</w:t>
            </w:r>
          </w:p>
        </w:tc>
      </w:tr>
      <w:tr w14:paraId="1567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3" w:type="dxa"/>
            <w:vAlign w:val="center"/>
          </w:tcPr>
          <w:p w14:paraId="271AE809">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w:t>
            </w:r>
          </w:p>
          <w:p w14:paraId="387823A3">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保护</w:t>
            </w:r>
          </w:p>
          <w:p w14:paraId="50C94F09">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目标</w:t>
            </w:r>
          </w:p>
        </w:tc>
        <w:tc>
          <w:tcPr>
            <w:tcW w:w="8759" w:type="dxa"/>
            <w:vAlign w:val="center"/>
          </w:tcPr>
          <w:p w14:paraId="04903D12">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cs="Times New Roman"/>
                <w:b/>
                <w:color w:val="auto"/>
                <w:sz w:val="24"/>
                <w:szCs w:val="24"/>
                <w:highlight w:val="none"/>
              </w:rPr>
              <w:t>1、大气环境</w:t>
            </w:r>
            <w:r>
              <w:rPr>
                <w:rFonts w:hint="default" w:ascii="Times New Roman" w:hAnsi="Times New Roman" w:cs="Times New Roman"/>
                <w:b/>
                <w:color w:val="auto"/>
                <w:sz w:val="24"/>
                <w:szCs w:val="24"/>
                <w:highlight w:val="none"/>
                <w:lang w:val="en-US" w:eastAsia="zh-CN"/>
              </w:rPr>
              <w:t xml:space="preserve"> </w:t>
            </w:r>
          </w:p>
          <w:p w14:paraId="203722E9">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本项目厂界外500m范围内大气</w:t>
            </w:r>
            <w:r>
              <w:rPr>
                <w:rFonts w:hint="eastAsia" w:cs="Times New Roman"/>
                <w:color w:val="auto"/>
                <w:sz w:val="24"/>
                <w:szCs w:val="24"/>
                <w:highlight w:val="none"/>
                <w:lang w:eastAsia="zh-CN"/>
              </w:rPr>
              <w:t>环境</w:t>
            </w:r>
            <w:r>
              <w:rPr>
                <w:rFonts w:hint="default" w:ascii="Times New Roman" w:hAnsi="Times New Roman" w:cs="Times New Roman"/>
                <w:color w:val="auto"/>
                <w:sz w:val="24"/>
                <w:szCs w:val="24"/>
                <w:highlight w:val="none"/>
              </w:rPr>
              <w:t>保护目标见表3-</w:t>
            </w:r>
            <w:r>
              <w:rPr>
                <w:rFonts w:hint="eastAsia" w:cs="Times New Roman"/>
                <w:color w:val="auto"/>
                <w:sz w:val="24"/>
                <w:szCs w:val="24"/>
                <w:highlight w:val="none"/>
                <w:lang w:val="en-US" w:eastAsia="zh-CN"/>
              </w:rPr>
              <w:t>13</w:t>
            </w:r>
            <w:r>
              <w:rPr>
                <w:rFonts w:hint="default" w:ascii="Times New Roman" w:hAnsi="Times New Roman" w:cs="Times New Roman"/>
                <w:color w:val="auto"/>
                <w:sz w:val="24"/>
                <w:szCs w:val="24"/>
                <w:highlight w:val="none"/>
                <w:lang w:val="en-US" w:eastAsia="zh-CN"/>
              </w:rPr>
              <w:t>。</w:t>
            </w:r>
          </w:p>
          <w:p w14:paraId="5D1F1098">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rPr>
            </w:pPr>
            <w:r>
              <w:rPr>
                <w:rFonts w:hint="default" w:ascii="Times New Roman" w:hAnsi="Times New Roman" w:eastAsia="黑体" w:cs="Times New Roman"/>
                <w:b/>
                <w:bCs/>
                <w:color w:val="auto"/>
                <w:kern w:val="0"/>
                <w:sz w:val="20"/>
                <w:szCs w:val="20"/>
                <w:highlight w:val="none"/>
                <w:lang w:val="en-US" w:eastAsia="zh-CN"/>
              </w:rPr>
              <w:t>表3-</w:t>
            </w:r>
            <w:r>
              <w:rPr>
                <w:rFonts w:hint="eastAsia" w:eastAsia="黑体" w:cs="Times New Roman"/>
                <w:b/>
                <w:bCs/>
                <w:color w:val="auto"/>
                <w:kern w:val="0"/>
                <w:sz w:val="20"/>
                <w:szCs w:val="20"/>
                <w:highlight w:val="none"/>
                <w:lang w:val="en-US" w:eastAsia="zh-CN"/>
              </w:rPr>
              <w:t>13</w:t>
            </w:r>
            <w:r>
              <w:rPr>
                <w:rFonts w:hint="default" w:ascii="Times New Roman" w:hAnsi="Times New Roman" w:eastAsia="黑体" w:cs="Times New Roman"/>
                <w:b/>
                <w:bCs/>
                <w:color w:val="auto"/>
                <w:kern w:val="0"/>
                <w:sz w:val="20"/>
                <w:szCs w:val="20"/>
                <w:highlight w:val="none"/>
                <w:lang w:val="en-US" w:eastAsia="zh-CN"/>
              </w:rPr>
              <w:t xml:space="preserve">  </w:t>
            </w:r>
            <w:r>
              <w:rPr>
                <w:rFonts w:hint="eastAsia" w:ascii="Times New Roman" w:hAnsi="Times New Roman" w:eastAsia="黑体" w:cs="Times New Roman"/>
                <w:b/>
                <w:bCs/>
                <w:color w:val="auto"/>
                <w:kern w:val="0"/>
                <w:sz w:val="20"/>
                <w:szCs w:val="20"/>
                <w:highlight w:val="none"/>
                <w:lang w:val="en-US" w:eastAsia="zh-CN"/>
              </w:rPr>
              <w:t>大气环境</w:t>
            </w:r>
            <w:r>
              <w:rPr>
                <w:rFonts w:hint="default" w:ascii="Times New Roman" w:hAnsi="Times New Roman" w:eastAsia="黑体" w:cs="Times New Roman"/>
                <w:b/>
                <w:bCs/>
                <w:color w:val="auto"/>
                <w:kern w:val="0"/>
                <w:sz w:val="20"/>
                <w:szCs w:val="20"/>
                <w:highlight w:val="none"/>
                <w:lang w:val="en-US" w:eastAsia="zh-CN"/>
              </w:rPr>
              <w:t>主要环境保护目标</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426"/>
              <w:gridCol w:w="1030"/>
              <w:gridCol w:w="1176"/>
              <w:gridCol w:w="960"/>
              <w:gridCol w:w="1068"/>
              <w:gridCol w:w="2243"/>
            </w:tblGrid>
            <w:tr w14:paraId="121D0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03" w:type="pct"/>
                  <w:tcBorders>
                    <w:tl2br w:val="nil"/>
                    <w:tr2bl w:val="nil"/>
                  </w:tcBorders>
                  <w:vAlign w:val="center"/>
                </w:tcPr>
                <w:p w14:paraId="1A0A7280">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829" w:type="pct"/>
                  <w:tcBorders>
                    <w:tl2br w:val="nil"/>
                    <w:tr2bl w:val="nil"/>
                  </w:tcBorders>
                  <w:vAlign w:val="center"/>
                </w:tcPr>
                <w:p w14:paraId="2C90A4EB">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保护对象</w:t>
                  </w:r>
                </w:p>
              </w:tc>
              <w:tc>
                <w:tcPr>
                  <w:tcW w:w="599" w:type="pct"/>
                  <w:tcBorders>
                    <w:tl2br w:val="nil"/>
                    <w:tr2bl w:val="nil"/>
                  </w:tcBorders>
                  <w:vAlign w:val="center"/>
                </w:tcPr>
                <w:p w14:paraId="49A696A7">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方位</w:t>
                  </w:r>
                </w:p>
              </w:tc>
              <w:tc>
                <w:tcPr>
                  <w:tcW w:w="684" w:type="pct"/>
                  <w:tcBorders>
                    <w:tl2br w:val="nil"/>
                    <w:tr2bl w:val="nil"/>
                  </w:tcBorders>
                  <w:vAlign w:val="center"/>
                </w:tcPr>
                <w:p w14:paraId="418006CA">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距离</w:t>
                  </w:r>
                  <w:r>
                    <w:rPr>
                      <w:rFonts w:hint="eastAsia" w:cs="Times New Roman"/>
                      <w:b/>
                      <w:bCs/>
                      <w:color w:val="auto"/>
                      <w:sz w:val="21"/>
                      <w:szCs w:val="21"/>
                      <w:highlight w:val="none"/>
                      <w:lang w:eastAsia="zh-CN"/>
                    </w:rPr>
                    <w:t>（</w:t>
                  </w:r>
                  <w:r>
                    <w:rPr>
                      <w:rFonts w:hint="eastAsia" w:cs="Times New Roman"/>
                      <w:b/>
                      <w:bCs/>
                      <w:color w:val="auto"/>
                      <w:sz w:val="21"/>
                      <w:szCs w:val="21"/>
                      <w:highlight w:val="none"/>
                      <w:lang w:val="en-US" w:eastAsia="zh-CN"/>
                    </w:rPr>
                    <w:t>m</w:t>
                  </w:r>
                  <w:r>
                    <w:rPr>
                      <w:rFonts w:hint="eastAsia" w:cs="Times New Roman"/>
                      <w:b/>
                      <w:bCs/>
                      <w:color w:val="auto"/>
                      <w:sz w:val="21"/>
                      <w:szCs w:val="21"/>
                      <w:highlight w:val="none"/>
                      <w:lang w:eastAsia="zh-CN"/>
                    </w:rPr>
                    <w:t>）</w:t>
                  </w:r>
                </w:p>
              </w:tc>
              <w:tc>
                <w:tcPr>
                  <w:tcW w:w="558" w:type="pct"/>
                  <w:tcBorders>
                    <w:tl2br w:val="nil"/>
                    <w:tr2bl w:val="nil"/>
                  </w:tcBorders>
                  <w:vAlign w:val="center"/>
                </w:tcPr>
                <w:p w14:paraId="0BEE102C">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规模</w:t>
                  </w:r>
                </w:p>
              </w:tc>
              <w:tc>
                <w:tcPr>
                  <w:tcW w:w="621" w:type="pct"/>
                  <w:tcBorders>
                    <w:tl2br w:val="nil"/>
                    <w:tr2bl w:val="nil"/>
                  </w:tcBorders>
                  <w:vAlign w:val="center"/>
                </w:tcPr>
                <w:p w14:paraId="72E38F3B">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性质</w:t>
                  </w:r>
                </w:p>
              </w:tc>
              <w:tc>
                <w:tcPr>
                  <w:tcW w:w="1304" w:type="pct"/>
                  <w:tcBorders>
                    <w:tl2br w:val="nil"/>
                    <w:tr2bl w:val="nil"/>
                  </w:tcBorders>
                  <w:vAlign w:val="center"/>
                </w:tcPr>
                <w:p w14:paraId="05041845">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保护级别</w:t>
                  </w:r>
                </w:p>
              </w:tc>
            </w:tr>
            <w:tr w14:paraId="1CAA5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03" w:type="pct"/>
                  <w:tcBorders>
                    <w:tl2br w:val="nil"/>
                    <w:tr2bl w:val="nil"/>
                  </w:tcBorders>
                  <w:vAlign w:val="center"/>
                </w:tcPr>
                <w:p w14:paraId="064D2F46">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829" w:type="pct"/>
                  <w:tcBorders>
                    <w:tl2br w:val="nil"/>
                    <w:tr2bl w:val="nil"/>
                  </w:tcBorders>
                  <w:vAlign w:val="center"/>
                </w:tcPr>
                <w:p w14:paraId="3ACD3DC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
                    </w:rPr>
                    <w:t>李家湾居民</w:t>
                  </w:r>
                </w:p>
              </w:tc>
              <w:tc>
                <w:tcPr>
                  <w:tcW w:w="599" w:type="pct"/>
                  <w:tcBorders>
                    <w:tl2br w:val="nil"/>
                    <w:tr2bl w:val="nil"/>
                  </w:tcBorders>
                  <w:vAlign w:val="center"/>
                </w:tcPr>
                <w:p w14:paraId="494C648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
                    </w:rPr>
                    <w:t>北侧</w:t>
                  </w:r>
                </w:p>
              </w:tc>
              <w:tc>
                <w:tcPr>
                  <w:tcW w:w="684" w:type="pct"/>
                  <w:tcBorders>
                    <w:tl2br w:val="nil"/>
                    <w:tr2bl w:val="nil"/>
                  </w:tcBorders>
                  <w:vAlign w:val="center"/>
                </w:tcPr>
                <w:p w14:paraId="2C948E4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
                    </w:rPr>
                    <w:t>340~500</w:t>
                  </w:r>
                </w:p>
              </w:tc>
              <w:tc>
                <w:tcPr>
                  <w:tcW w:w="558" w:type="pct"/>
                  <w:tcBorders>
                    <w:tl2br w:val="nil"/>
                    <w:tr2bl w:val="nil"/>
                  </w:tcBorders>
                  <w:vAlign w:val="center"/>
                </w:tcPr>
                <w:p w14:paraId="69BB6D4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r>
                    <w:rPr>
                      <w:rFonts w:hint="default" w:ascii="Times New Roman" w:hAnsi="Times New Roman" w:cs="Times New Roman"/>
                      <w:color w:val="auto"/>
                      <w:kern w:val="0"/>
                      <w:sz w:val="21"/>
                      <w:szCs w:val="21"/>
                      <w:highlight w:val="none"/>
                      <w:lang w:val="en-US" w:eastAsia="zh-CN" w:bidi="ar-SA"/>
                    </w:rPr>
                    <w:t>户</w:t>
                  </w:r>
                </w:p>
              </w:tc>
              <w:tc>
                <w:tcPr>
                  <w:tcW w:w="621" w:type="pct"/>
                  <w:vMerge w:val="restart"/>
                  <w:tcBorders>
                    <w:tl2br w:val="nil"/>
                    <w:tr2bl w:val="nil"/>
                  </w:tcBorders>
                  <w:vAlign w:val="center"/>
                </w:tcPr>
                <w:p w14:paraId="1E4B2CA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住宅</w:t>
                  </w:r>
                </w:p>
              </w:tc>
              <w:tc>
                <w:tcPr>
                  <w:tcW w:w="1304" w:type="pct"/>
                  <w:vMerge w:val="restart"/>
                  <w:tcBorders>
                    <w:tl2br w:val="nil"/>
                    <w:tr2bl w:val="nil"/>
                  </w:tcBorders>
                  <w:vAlign w:val="center"/>
                </w:tcPr>
                <w:p w14:paraId="0EE6907E">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GB3095-2012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二级标准</w:t>
                  </w:r>
                </w:p>
              </w:tc>
            </w:tr>
            <w:tr w14:paraId="2C8D8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03" w:type="pct"/>
                  <w:tcBorders>
                    <w:tl2br w:val="nil"/>
                    <w:tr2bl w:val="nil"/>
                  </w:tcBorders>
                  <w:vAlign w:val="center"/>
                </w:tcPr>
                <w:p w14:paraId="3687B36B">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829" w:type="pct"/>
                  <w:tcBorders>
                    <w:tl2br w:val="nil"/>
                    <w:tr2bl w:val="nil"/>
                  </w:tcBorders>
                  <w:vAlign w:val="center"/>
                </w:tcPr>
                <w:p w14:paraId="602E6B6B">
                  <w:pPr>
                    <w:keepNext w:val="0"/>
                    <w:keepLines w:val="0"/>
                    <w:widowControl/>
                    <w:suppressLineNumbers w:val="0"/>
                    <w:spacing w:before="0" w:beforeAutospacing="0" w:after="0" w:afterAutospacing="0"/>
                    <w:ind w:left="0" w:leftChars="0" w:right="0" w:rightChars="0"/>
                    <w:jc w:val="center"/>
                    <w:rPr>
                      <w:rFonts w:hint="default"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
                    </w:rPr>
                    <w:t>方家浩居民</w:t>
                  </w:r>
                </w:p>
              </w:tc>
              <w:tc>
                <w:tcPr>
                  <w:tcW w:w="599" w:type="pct"/>
                  <w:tcBorders>
                    <w:tl2br w:val="nil"/>
                    <w:tr2bl w:val="nil"/>
                  </w:tcBorders>
                  <w:vAlign w:val="center"/>
                </w:tcPr>
                <w:p w14:paraId="16B8C603">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
                    </w:rPr>
                    <w:t>东</w:t>
                  </w:r>
                  <w:r>
                    <w:rPr>
                      <w:rFonts w:hint="eastAsia" w:cs="Times New Roman"/>
                      <w:b w:val="0"/>
                      <w:bCs w:val="0"/>
                      <w:color w:val="auto"/>
                      <w:kern w:val="0"/>
                      <w:sz w:val="21"/>
                      <w:szCs w:val="21"/>
                      <w:highlight w:val="none"/>
                      <w:lang w:val="en-US" w:eastAsia="zh-CN" w:bidi="ar"/>
                    </w:rPr>
                    <w:t>北</w:t>
                  </w:r>
                  <w:r>
                    <w:rPr>
                      <w:rFonts w:hint="eastAsia" w:ascii="Times New Roman" w:hAnsi="Times New Roman" w:eastAsia="宋体" w:cs="Times New Roman"/>
                      <w:b w:val="0"/>
                      <w:bCs w:val="0"/>
                      <w:color w:val="auto"/>
                      <w:kern w:val="0"/>
                      <w:sz w:val="21"/>
                      <w:szCs w:val="21"/>
                      <w:highlight w:val="none"/>
                      <w:lang w:val="en-US" w:eastAsia="zh-CN" w:bidi="ar"/>
                    </w:rPr>
                    <w:t>侧</w:t>
                  </w:r>
                </w:p>
              </w:tc>
              <w:tc>
                <w:tcPr>
                  <w:tcW w:w="684" w:type="pct"/>
                  <w:tcBorders>
                    <w:tl2br w:val="nil"/>
                    <w:tr2bl w:val="nil"/>
                  </w:tcBorders>
                  <w:vAlign w:val="center"/>
                </w:tcPr>
                <w:p w14:paraId="0BC68D52">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
                    </w:rPr>
                    <w:t>430~490</w:t>
                  </w:r>
                </w:p>
              </w:tc>
              <w:tc>
                <w:tcPr>
                  <w:tcW w:w="558" w:type="pct"/>
                  <w:tcBorders>
                    <w:tl2br w:val="nil"/>
                    <w:tr2bl w:val="nil"/>
                  </w:tcBorders>
                  <w:vAlign w:val="center"/>
                </w:tcPr>
                <w:p w14:paraId="609480C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3户</w:t>
                  </w:r>
                </w:p>
              </w:tc>
              <w:tc>
                <w:tcPr>
                  <w:tcW w:w="621" w:type="pct"/>
                  <w:vMerge w:val="continue"/>
                  <w:tcBorders>
                    <w:tl2br w:val="nil"/>
                    <w:tr2bl w:val="nil"/>
                  </w:tcBorders>
                  <w:vAlign w:val="center"/>
                </w:tcPr>
                <w:p w14:paraId="6C6D3E5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lang w:val="en-US" w:eastAsia="zh-CN" w:bidi="ar-SA"/>
                    </w:rPr>
                  </w:pPr>
                </w:p>
              </w:tc>
              <w:tc>
                <w:tcPr>
                  <w:tcW w:w="1304" w:type="pct"/>
                  <w:vMerge w:val="continue"/>
                  <w:tcBorders>
                    <w:tl2br w:val="nil"/>
                    <w:tr2bl w:val="nil"/>
                  </w:tcBorders>
                  <w:vAlign w:val="center"/>
                </w:tcPr>
                <w:p w14:paraId="4E270B26">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r>
            <w:tr w14:paraId="505B9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03" w:type="pct"/>
                  <w:tcBorders>
                    <w:tl2br w:val="nil"/>
                    <w:tr2bl w:val="nil"/>
                  </w:tcBorders>
                  <w:vAlign w:val="center"/>
                </w:tcPr>
                <w:p w14:paraId="09F7F76F">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829" w:type="pct"/>
                  <w:tcBorders>
                    <w:tl2br w:val="nil"/>
                    <w:tr2bl w:val="nil"/>
                  </w:tcBorders>
                  <w:vAlign w:val="center"/>
                </w:tcPr>
                <w:p w14:paraId="475AB6CF">
                  <w:pPr>
                    <w:keepNext w:val="0"/>
                    <w:keepLines w:val="0"/>
                    <w:widowControl/>
                    <w:suppressLineNumbers w:val="0"/>
                    <w:spacing w:before="0" w:beforeAutospacing="0" w:after="0" w:afterAutospacing="0"/>
                    <w:ind w:left="0" w:leftChars="0" w:right="0" w:rightChars="0"/>
                    <w:jc w:val="center"/>
                    <w:rPr>
                      <w:rFonts w:hint="eastAsia"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袁家湾居民</w:t>
                  </w:r>
                </w:p>
              </w:tc>
              <w:tc>
                <w:tcPr>
                  <w:tcW w:w="599" w:type="pct"/>
                  <w:tcBorders>
                    <w:tl2br w:val="nil"/>
                    <w:tr2bl w:val="nil"/>
                  </w:tcBorders>
                  <w:vAlign w:val="center"/>
                </w:tcPr>
                <w:p w14:paraId="132AC672">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
                    </w:rPr>
                    <w:t>东侧</w:t>
                  </w:r>
                </w:p>
              </w:tc>
              <w:tc>
                <w:tcPr>
                  <w:tcW w:w="684" w:type="pct"/>
                  <w:tcBorders>
                    <w:tl2br w:val="nil"/>
                    <w:tr2bl w:val="nil"/>
                  </w:tcBorders>
                  <w:vAlign w:val="center"/>
                </w:tcPr>
                <w:p w14:paraId="1BB5D771">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
                    </w:rPr>
                    <w:t>300~350</w:t>
                  </w:r>
                </w:p>
              </w:tc>
              <w:tc>
                <w:tcPr>
                  <w:tcW w:w="558" w:type="pct"/>
                  <w:tcBorders>
                    <w:tl2br w:val="nil"/>
                    <w:tr2bl w:val="nil"/>
                  </w:tcBorders>
                  <w:vAlign w:val="center"/>
                </w:tcPr>
                <w:p w14:paraId="4A9A3ED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2户</w:t>
                  </w:r>
                </w:p>
              </w:tc>
              <w:tc>
                <w:tcPr>
                  <w:tcW w:w="621" w:type="pct"/>
                  <w:vMerge w:val="continue"/>
                  <w:tcBorders>
                    <w:tl2br w:val="nil"/>
                    <w:tr2bl w:val="nil"/>
                  </w:tcBorders>
                  <w:vAlign w:val="center"/>
                </w:tcPr>
                <w:p w14:paraId="41C7663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auto"/>
                      <w:kern w:val="0"/>
                      <w:sz w:val="21"/>
                      <w:szCs w:val="21"/>
                      <w:highlight w:val="none"/>
                      <w:lang w:val="en-US" w:eastAsia="zh-CN" w:bidi="ar-SA"/>
                    </w:rPr>
                  </w:pPr>
                </w:p>
              </w:tc>
              <w:tc>
                <w:tcPr>
                  <w:tcW w:w="1304" w:type="pct"/>
                  <w:vMerge w:val="continue"/>
                  <w:tcBorders>
                    <w:tl2br w:val="nil"/>
                    <w:tr2bl w:val="nil"/>
                  </w:tcBorders>
                  <w:vAlign w:val="center"/>
                </w:tcPr>
                <w:p w14:paraId="23F6EAA8">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r>
            <w:tr w14:paraId="0C684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03" w:type="pct"/>
                  <w:tcBorders>
                    <w:tl2br w:val="nil"/>
                    <w:tr2bl w:val="nil"/>
                  </w:tcBorders>
                  <w:vAlign w:val="center"/>
                </w:tcPr>
                <w:p w14:paraId="699CC7DA">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829" w:type="pct"/>
                  <w:tcBorders>
                    <w:tl2br w:val="nil"/>
                    <w:tr2bl w:val="nil"/>
                  </w:tcBorders>
                  <w:vAlign w:val="center"/>
                </w:tcPr>
                <w:p w14:paraId="30818CA6">
                  <w:pPr>
                    <w:keepNext w:val="0"/>
                    <w:keepLines w:val="0"/>
                    <w:widowControl/>
                    <w:suppressLineNumbers w:val="0"/>
                    <w:spacing w:before="0" w:beforeAutospacing="0" w:after="0" w:afterAutospacing="0"/>
                    <w:ind w:left="0" w:leftChars="0" w:right="0" w:rightChars="0"/>
                    <w:jc w:val="center"/>
                    <w:rPr>
                      <w:rFonts w:hint="default"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
                    </w:rPr>
                    <w:t>曲家浩居民</w:t>
                  </w:r>
                </w:p>
              </w:tc>
              <w:tc>
                <w:tcPr>
                  <w:tcW w:w="599" w:type="pct"/>
                  <w:tcBorders>
                    <w:tl2br w:val="nil"/>
                    <w:tr2bl w:val="nil"/>
                  </w:tcBorders>
                  <w:vAlign w:val="center"/>
                </w:tcPr>
                <w:p w14:paraId="7879CFA7">
                  <w:pPr>
                    <w:keepNext w:val="0"/>
                    <w:keepLines w:val="0"/>
                    <w:widowControl/>
                    <w:suppressLineNumbers w:val="0"/>
                    <w:spacing w:before="0" w:beforeAutospacing="0" w:after="0" w:afterAutospacing="0"/>
                    <w:ind w:left="0" w:leftChars="0" w:right="0" w:rightChars="0"/>
                    <w:jc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
                    </w:rPr>
                    <w:t>西</w:t>
                  </w:r>
                  <w:r>
                    <w:rPr>
                      <w:rFonts w:hint="eastAsia" w:cs="Times New Roman"/>
                      <w:b w:val="0"/>
                      <w:bCs w:val="0"/>
                      <w:color w:val="auto"/>
                      <w:kern w:val="0"/>
                      <w:sz w:val="21"/>
                      <w:szCs w:val="21"/>
                      <w:highlight w:val="none"/>
                      <w:lang w:val="en-US" w:eastAsia="zh-CN" w:bidi="ar"/>
                    </w:rPr>
                    <w:t>南</w:t>
                  </w:r>
                  <w:r>
                    <w:rPr>
                      <w:rFonts w:hint="eastAsia" w:ascii="Times New Roman" w:hAnsi="Times New Roman" w:eastAsia="宋体" w:cs="Times New Roman"/>
                      <w:b w:val="0"/>
                      <w:bCs w:val="0"/>
                      <w:color w:val="auto"/>
                      <w:kern w:val="0"/>
                      <w:sz w:val="21"/>
                      <w:szCs w:val="21"/>
                      <w:highlight w:val="none"/>
                      <w:lang w:val="en-US" w:eastAsia="zh-CN" w:bidi="ar"/>
                    </w:rPr>
                    <w:t>侧</w:t>
                  </w:r>
                </w:p>
              </w:tc>
              <w:tc>
                <w:tcPr>
                  <w:tcW w:w="684" w:type="pct"/>
                  <w:tcBorders>
                    <w:tl2br w:val="nil"/>
                    <w:tr2bl w:val="nil"/>
                  </w:tcBorders>
                  <w:vAlign w:val="center"/>
                </w:tcPr>
                <w:p w14:paraId="3148A966">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
                    </w:rPr>
                    <w:t>430~450</w:t>
                  </w:r>
                </w:p>
              </w:tc>
              <w:tc>
                <w:tcPr>
                  <w:tcW w:w="558" w:type="pct"/>
                  <w:tcBorders>
                    <w:tl2br w:val="nil"/>
                    <w:tr2bl w:val="nil"/>
                  </w:tcBorders>
                  <w:vAlign w:val="center"/>
                </w:tcPr>
                <w:p w14:paraId="79AEFBD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2户</w:t>
                  </w:r>
                </w:p>
              </w:tc>
              <w:tc>
                <w:tcPr>
                  <w:tcW w:w="621" w:type="pct"/>
                  <w:vMerge w:val="continue"/>
                  <w:tcBorders>
                    <w:tl2br w:val="nil"/>
                    <w:tr2bl w:val="nil"/>
                  </w:tcBorders>
                  <w:vAlign w:val="center"/>
                </w:tcPr>
                <w:p w14:paraId="4451F2A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lang w:val="en-US" w:eastAsia="zh-CN" w:bidi="ar-SA"/>
                    </w:rPr>
                  </w:pPr>
                </w:p>
              </w:tc>
              <w:tc>
                <w:tcPr>
                  <w:tcW w:w="1304" w:type="pct"/>
                  <w:vMerge w:val="continue"/>
                  <w:tcBorders>
                    <w:tl2br w:val="nil"/>
                    <w:tr2bl w:val="nil"/>
                  </w:tcBorders>
                  <w:vAlign w:val="center"/>
                </w:tcPr>
                <w:p w14:paraId="2C2C8F12">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r>
            <w:tr w14:paraId="33044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03" w:type="pct"/>
                  <w:tcBorders>
                    <w:tl2br w:val="nil"/>
                    <w:tr2bl w:val="nil"/>
                  </w:tcBorders>
                  <w:vAlign w:val="center"/>
                </w:tcPr>
                <w:p w14:paraId="6D60A174">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829" w:type="pct"/>
                  <w:tcBorders>
                    <w:tl2br w:val="nil"/>
                    <w:tr2bl w:val="nil"/>
                  </w:tcBorders>
                  <w:vAlign w:val="center"/>
                </w:tcPr>
                <w:p w14:paraId="3DB6153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
                    </w:rPr>
                    <w:t>魏复路居民</w:t>
                  </w:r>
                </w:p>
              </w:tc>
              <w:tc>
                <w:tcPr>
                  <w:tcW w:w="599" w:type="pct"/>
                  <w:tcBorders>
                    <w:tl2br w:val="nil"/>
                    <w:tr2bl w:val="nil"/>
                  </w:tcBorders>
                  <w:vAlign w:val="center"/>
                </w:tcPr>
                <w:p w14:paraId="2BBFF3B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
                    </w:rPr>
                    <w:t>西侧</w:t>
                  </w:r>
                </w:p>
              </w:tc>
              <w:tc>
                <w:tcPr>
                  <w:tcW w:w="684" w:type="pct"/>
                  <w:tcBorders>
                    <w:tl2br w:val="nil"/>
                    <w:tr2bl w:val="nil"/>
                  </w:tcBorders>
                  <w:vAlign w:val="center"/>
                </w:tcPr>
                <w:p w14:paraId="3DD9C5F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
                    </w:rPr>
                    <w:t>3</w:t>
                  </w:r>
                  <w:r>
                    <w:rPr>
                      <w:rFonts w:hint="eastAsia" w:cs="Times New Roman"/>
                      <w:b w:val="0"/>
                      <w:bCs w:val="0"/>
                      <w:color w:val="auto"/>
                      <w:kern w:val="0"/>
                      <w:sz w:val="21"/>
                      <w:szCs w:val="21"/>
                      <w:highlight w:val="none"/>
                      <w:lang w:val="en-US" w:eastAsia="zh-CN" w:bidi="ar"/>
                    </w:rPr>
                    <w:t>8</w:t>
                  </w:r>
                  <w:r>
                    <w:rPr>
                      <w:rFonts w:hint="eastAsia" w:ascii="Times New Roman" w:hAnsi="Times New Roman" w:eastAsia="宋体" w:cs="Times New Roman"/>
                      <w:b w:val="0"/>
                      <w:bCs w:val="0"/>
                      <w:color w:val="auto"/>
                      <w:kern w:val="0"/>
                      <w:sz w:val="21"/>
                      <w:szCs w:val="21"/>
                      <w:highlight w:val="none"/>
                      <w:lang w:val="en-US" w:eastAsia="zh-CN" w:bidi="ar"/>
                    </w:rPr>
                    <w:t>0</w:t>
                  </w:r>
                  <w:r>
                    <w:rPr>
                      <w:rFonts w:hint="eastAsia" w:cs="Times New Roman"/>
                      <w:b w:val="0"/>
                      <w:bCs w:val="0"/>
                      <w:color w:val="auto"/>
                      <w:kern w:val="0"/>
                      <w:sz w:val="21"/>
                      <w:szCs w:val="21"/>
                      <w:highlight w:val="none"/>
                      <w:lang w:val="en-US" w:eastAsia="zh-CN" w:bidi="ar"/>
                    </w:rPr>
                    <w:t>~450</w:t>
                  </w:r>
                </w:p>
              </w:tc>
              <w:tc>
                <w:tcPr>
                  <w:tcW w:w="558" w:type="pct"/>
                  <w:tcBorders>
                    <w:tl2br w:val="nil"/>
                    <w:tr2bl w:val="nil"/>
                  </w:tcBorders>
                  <w:vAlign w:val="center"/>
                </w:tcPr>
                <w:p w14:paraId="0104409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w:t>
                  </w:r>
                  <w:r>
                    <w:rPr>
                      <w:rFonts w:hint="default" w:ascii="Times New Roman" w:hAnsi="Times New Roman" w:cs="Times New Roman"/>
                      <w:color w:val="auto"/>
                      <w:kern w:val="0"/>
                      <w:sz w:val="21"/>
                      <w:szCs w:val="21"/>
                      <w:highlight w:val="none"/>
                      <w:lang w:val="en-US" w:eastAsia="zh-CN" w:bidi="ar-SA"/>
                    </w:rPr>
                    <w:t>户</w:t>
                  </w:r>
                </w:p>
              </w:tc>
              <w:tc>
                <w:tcPr>
                  <w:tcW w:w="621" w:type="pct"/>
                  <w:vMerge w:val="continue"/>
                  <w:tcBorders>
                    <w:tl2br w:val="nil"/>
                    <w:tr2bl w:val="nil"/>
                  </w:tcBorders>
                  <w:vAlign w:val="center"/>
                </w:tcPr>
                <w:p w14:paraId="63A6BB1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304" w:type="pct"/>
                  <w:vMerge w:val="continue"/>
                  <w:tcBorders>
                    <w:tl2br w:val="nil"/>
                    <w:tr2bl w:val="nil"/>
                  </w:tcBorders>
                  <w:vAlign w:val="center"/>
                </w:tcPr>
                <w:p w14:paraId="657D0C36">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r>
          </w:tbl>
          <w:p w14:paraId="06FD4FE5">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2、声环境</w:t>
            </w:r>
          </w:p>
          <w:p w14:paraId="3AA56251">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本项目厂界外50m范围内</w:t>
            </w:r>
            <w:r>
              <w:rPr>
                <w:rFonts w:hint="eastAsia" w:ascii="Times New Roman" w:hAnsi="Times New Roman" w:cs="Times New Roman"/>
                <w:color w:val="auto"/>
                <w:sz w:val="24"/>
                <w:szCs w:val="24"/>
                <w:highlight w:val="none"/>
                <w:lang w:val="en-US" w:eastAsia="zh-CN"/>
              </w:rPr>
              <w:t>声环境保护目标</w:t>
            </w:r>
            <w:r>
              <w:rPr>
                <w:rFonts w:hint="eastAsia" w:cs="Times New Roman"/>
                <w:color w:val="auto"/>
                <w:sz w:val="24"/>
                <w:szCs w:val="24"/>
                <w:highlight w:val="none"/>
                <w:lang w:val="en-US" w:eastAsia="zh-CN"/>
              </w:rPr>
              <w:t>见表3-14</w:t>
            </w:r>
            <w:r>
              <w:rPr>
                <w:rFonts w:hint="eastAsia" w:ascii="Times New Roman" w:hAnsi="Times New Roman" w:cs="Times New Roman"/>
                <w:color w:val="auto"/>
                <w:sz w:val="24"/>
                <w:szCs w:val="24"/>
                <w:highlight w:val="none"/>
                <w:lang w:val="en-US" w:eastAsia="zh-CN"/>
              </w:rPr>
              <w:t>。</w:t>
            </w:r>
          </w:p>
          <w:p w14:paraId="509027B3">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表3</w:t>
            </w:r>
            <w:r>
              <w:rPr>
                <w:rFonts w:hint="eastAsia" w:eastAsia="黑体" w:cs="Times New Roman"/>
                <w:b/>
                <w:bCs/>
                <w:color w:val="000000" w:themeColor="text1"/>
                <w:kern w:val="0"/>
                <w:sz w:val="20"/>
                <w:szCs w:val="20"/>
                <w:lang w:val="en-US" w:eastAsia="zh-CN"/>
                <w14:textFill>
                  <w14:solidFill>
                    <w14:schemeClr w14:val="tx1"/>
                  </w14:solidFill>
                </w14:textFill>
              </w:rPr>
              <w:t>-14</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 xml:space="preserve">  </w:t>
            </w:r>
            <w:r>
              <w:rPr>
                <w:rFonts w:hint="eastAsia" w:ascii="Times New Roman" w:hAnsi="Times New Roman" w:eastAsia="黑体" w:cs="Times New Roman"/>
                <w:b/>
                <w:bCs/>
                <w:color w:val="000000" w:themeColor="text1"/>
                <w:kern w:val="0"/>
                <w:sz w:val="20"/>
                <w:szCs w:val="20"/>
                <w:lang w:val="en-US" w:eastAsia="zh-CN"/>
                <w14:textFill>
                  <w14:solidFill>
                    <w14:schemeClr w14:val="tx1"/>
                  </w14:solidFill>
                </w14:textFill>
              </w:rPr>
              <w:t>声环境</w:t>
            </w:r>
            <w:r>
              <w:rPr>
                <w:rFonts w:hint="default" w:ascii="Times New Roman" w:hAnsi="Times New Roman" w:eastAsia="黑体" w:cs="Times New Roman"/>
                <w:b/>
                <w:bCs/>
                <w:color w:val="000000" w:themeColor="text1"/>
                <w:kern w:val="0"/>
                <w:sz w:val="20"/>
                <w:szCs w:val="20"/>
                <w:lang w:val="en-US" w:eastAsia="zh-CN"/>
                <w14:textFill>
                  <w14:solidFill>
                    <w14:schemeClr w14:val="tx1"/>
                  </w14:solidFill>
                </w14:textFill>
              </w:rPr>
              <w:t>主要环境保护目标</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648"/>
              <w:gridCol w:w="958"/>
              <w:gridCol w:w="1046"/>
              <w:gridCol w:w="1178"/>
              <w:gridCol w:w="999"/>
              <w:gridCol w:w="2096"/>
            </w:tblGrid>
            <w:tr w14:paraId="6F7B7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90" w:type="pct"/>
                  <w:tcBorders>
                    <w:tl2br w:val="nil"/>
                    <w:tr2bl w:val="nil"/>
                  </w:tcBorders>
                  <w:vAlign w:val="center"/>
                </w:tcPr>
                <w:p w14:paraId="107E4AE9">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序号</w:t>
                  </w:r>
                </w:p>
              </w:tc>
              <w:tc>
                <w:tcPr>
                  <w:tcW w:w="958" w:type="pct"/>
                  <w:tcBorders>
                    <w:tl2br w:val="nil"/>
                    <w:tr2bl w:val="nil"/>
                  </w:tcBorders>
                  <w:vAlign w:val="center"/>
                </w:tcPr>
                <w:p w14:paraId="013612B4">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保护对象</w:t>
                  </w:r>
                </w:p>
              </w:tc>
              <w:tc>
                <w:tcPr>
                  <w:tcW w:w="557" w:type="pct"/>
                  <w:tcBorders>
                    <w:tl2br w:val="nil"/>
                    <w:tr2bl w:val="nil"/>
                  </w:tcBorders>
                  <w:vAlign w:val="center"/>
                </w:tcPr>
                <w:p w14:paraId="2B6506DF">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方位</w:t>
                  </w:r>
                </w:p>
              </w:tc>
              <w:tc>
                <w:tcPr>
                  <w:tcW w:w="608" w:type="pct"/>
                  <w:tcBorders>
                    <w:tl2br w:val="nil"/>
                    <w:tr2bl w:val="nil"/>
                  </w:tcBorders>
                  <w:vAlign w:val="center"/>
                </w:tcPr>
                <w:p w14:paraId="158DCD5E">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距离</w:t>
                  </w:r>
                </w:p>
              </w:tc>
              <w:tc>
                <w:tcPr>
                  <w:tcW w:w="685" w:type="pct"/>
                  <w:tcBorders>
                    <w:tl2br w:val="nil"/>
                    <w:tr2bl w:val="nil"/>
                  </w:tcBorders>
                  <w:vAlign w:val="center"/>
                </w:tcPr>
                <w:p w14:paraId="617E6982">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规模</w:t>
                  </w:r>
                </w:p>
              </w:tc>
              <w:tc>
                <w:tcPr>
                  <w:tcW w:w="581" w:type="pct"/>
                  <w:tcBorders>
                    <w:tl2br w:val="nil"/>
                    <w:tr2bl w:val="nil"/>
                  </w:tcBorders>
                  <w:vAlign w:val="center"/>
                </w:tcPr>
                <w:p w14:paraId="33D0B93E">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性质</w:t>
                  </w:r>
                </w:p>
              </w:tc>
              <w:tc>
                <w:tcPr>
                  <w:tcW w:w="1218" w:type="pct"/>
                  <w:tcBorders>
                    <w:tl2br w:val="nil"/>
                    <w:tr2bl w:val="nil"/>
                  </w:tcBorders>
                  <w:vAlign w:val="center"/>
                </w:tcPr>
                <w:p w14:paraId="6B901D91">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保护级别</w:t>
                  </w:r>
                </w:p>
              </w:tc>
            </w:tr>
            <w:tr w14:paraId="64FA9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90" w:type="pct"/>
                  <w:tcBorders>
                    <w:tl2br w:val="nil"/>
                    <w:tr2bl w:val="nil"/>
                  </w:tcBorders>
                  <w:vAlign w:val="center"/>
                </w:tcPr>
                <w:p w14:paraId="7790C634">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958" w:type="pct"/>
                  <w:tcBorders>
                    <w:tl2br w:val="nil"/>
                    <w:tr2bl w:val="nil"/>
                  </w:tcBorders>
                  <w:vAlign w:val="center"/>
                </w:tcPr>
                <w:p w14:paraId="612E986B">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东岳收费站</w:t>
                  </w:r>
                </w:p>
              </w:tc>
              <w:tc>
                <w:tcPr>
                  <w:tcW w:w="557" w:type="pct"/>
                  <w:tcBorders>
                    <w:tl2br w:val="nil"/>
                    <w:tr2bl w:val="nil"/>
                  </w:tcBorders>
                  <w:vAlign w:val="center"/>
                </w:tcPr>
                <w:p w14:paraId="3CEDE88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南</w:t>
                  </w:r>
                  <w: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t>侧</w:t>
                  </w:r>
                </w:p>
              </w:tc>
              <w:tc>
                <w:tcPr>
                  <w:tcW w:w="608" w:type="pct"/>
                  <w:tcBorders>
                    <w:tl2br w:val="nil"/>
                    <w:tr2bl w:val="nil"/>
                  </w:tcBorders>
                  <w:vAlign w:val="center"/>
                </w:tcPr>
                <w:p w14:paraId="2B37176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紧邻</w:t>
                  </w:r>
                </w:p>
              </w:tc>
              <w:tc>
                <w:tcPr>
                  <w:tcW w:w="685" w:type="pct"/>
                  <w:tcBorders>
                    <w:tl2br w:val="nil"/>
                    <w:tr2bl w:val="nil"/>
                  </w:tcBorders>
                  <w:vAlign w:val="center"/>
                </w:tcPr>
                <w:p w14:paraId="32B9B73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w:t>
                  </w:r>
                </w:p>
              </w:tc>
              <w:tc>
                <w:tcPr>
                  <w:tcW w:w="581" w:type="pct"/>
                  <w:tcBorders>
                    <w:tl2br w:val="nil"/>
                    <w:tr2bl w:val="nil"/>
                  </w:tcBorders>
                  <w:vAlign w:val="center"/>
                </w:tcPr>
                <w:p w14:paraId="7226BC5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收费站</w:t>
                  </w:r>
                </w:p>
              </w:tc>
              <w:tc>
                <w:tcPr>
                  <w:tcW w:w="1218" w:type="pct"/>
                  <w:tcBorders>
                    <w:tl2br w:val="nil"/>
                    <w:tr2bl w:val="nil"/>
                  </w:tcBorders>
                  <w:vAlign w:val="center"/>
                </w:tcPr>
                <w:p w14:paraId="665267E7">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《声环境质量标准》</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GB3096-2008</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2类标准</w:t>
                  </w:r>
                </w:p>
              </w:tc>
            </w:tr>
          </w:tbl>
          <w:p w14:paraId="0D272F9B">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eastAsia="黑体" w:cs="Times New Roman"/>
                <w:b/>
                <w:bCs/>
                <w:color w:val="auto"/>
                <w:kern w:val="0"/>
                <w:sz w:val="20"/>
                <w:szCs w:val="20"/>
                <w:highlight w:val="none"/>
                <w:lang w:val="en-US" w:eastAsia="zh-CN"/>
              </w:rPr>
            </w:pPr>
            <w:r>
              <w:rPr>
                <w:rFonts w:hint="eastAsia"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w:t>
            </w:r>
            <w:r>
              <w:rPr>
                <w:rFonts w:hint="eastAsia" w:cs="Times New Roman"/>
                <w:b/>
                <w:color w:val="auto"/>
                <w:sz w:val="24"/>
                <w:szCs w:val="24"/>
                <w:highlight w:val="none"/>
                <w:lang w:eastAsia="zh-CN"/>
              </w:rPr>
              <w:t>地表水</w:t>
            </w:r>
            <w:r>
              <w:rPr>
                <w:rFonts w:hint="default" w:ascii="Times New Roman" w:hAnsi="Times New Roman" w:cs="Times New Roman"/>
                <w:b/>
                <w:color w:val="auto"/>
                <w:sz w:val="24"/>
                <w:szCs w:val="24"/>
                <w:highlight w:val="none"/>
              </w:rPr>
              <w:t>环境</w:t>
            </w:r>
          </w:p>
          <w:p w14:paraId="18E8DB84">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本项目厂界外50</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m范围内</w:t>
            </w:r>
            <w:r>
              <w:rPr>
                <w:rFonts w:hint="eastAsia" w:ascii="Times New Roman" w:hAnsi="Times New Roman" w:cs="Times New Roman"/>
                <w:color w:val="auto"/>
                <w:sz w:val="24"/>
                <w:szCs w:val="24"/>
                <w:highlight w:val="none"/>
                <w:lang w:val="en-US" w:eastAsia="zh-CN"/>
              </w:rPr>
              <w:t>无</w:t>
            </w:r>
            <w:r>
              <w:rPr>
                <w:rFonts w:hint="eastAsia" w:cs="Times New Roman"/>
                <w:color w:val="auto"/>
                <w:sz w:val="24"/>
                <w:szCs w:val="24"/>
                <w:highlight w:val="none"/>
                <w:lang w:val="en-US" w:eastAsia="zh-CN"/>
              </w:rPr>
              <w:t>地表水</w:t>
            </w:r>
            <w:r>
              <w:rPr>
                <w:rFonts w:hint="eastAsia" w:ascii="Times New Roman" w:hAnsi="Times New Roman" w:cs="Times New Roman"/>
                <w:color w:val="auto"/>
                <w:sz w:val="24"/>
                <w:szCs w:val="24"/>
                <w:highlight w:val="none"/>
                <w:lang w:val="en-US" w:eastAsia="zh-CN"/>
              </w:rPr>
              <w:t>环境保护目标。</w:t>
            </w:r>
          </w:p>
          <w:p w14:paraId="3488EC17">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eastAsia" w:cs="Times New Roman"/>
                <w:b/>
                <w:color w:val="auto"/>
                <w:sz w:val="24"/>
                <w:szCs w:val="24"/>
                <w:highlight w:val="none"/>
                <w:lang w:val="en-US" w:eastAsia="zh-CN"/>
              </w:rPr>
              <w:t>4</w:t>
            </w:r>
            <w:r>
              <w:rPr>
                <w:rFonts w:hint="default" w:ascii="Times New Roman" w:hAnsi="Times New Roman" w:cs="Times New Roman"/>
                <w:b/>
                <w:color w:val="auto"/>
                <w:sz w:val="24"/>
                <w:szCs w:val="24"/>
                <w:highlight w:val="none"/>
              </w:rPr>
              <w:t>、地下水环境</w:t>
            </w:r>
          </w:p>
          <w:p w14:paraId="550DBDA2">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本项目厂界外500m范围内无地下水集中式饮用水水源和热水、矿泉水、温泉等特殊地下水资源。</w:t>
            </w:r>
          </w:p>
          <w:p w14:paraId="32800673">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eastAsia" w:cs="Times New Roman"/>
                <w:b/>
                <w:color w:val="auto"/>
                <w:sz w:val="24"/>
                <w:szCs w:val="24"/>
                <w:highlight w:val="none"/>
                <w:lang w:val="en-US" w:eastAsia="zh-CN"/>
              </w:rPr>
              <w:t>5</w:t>
            </w:r>
            <w:r>
              <w:rPr>
                <w:rFonts w:hint="default" w:ascii="Times New Roman" w:hAnsi="Times New Roman" w:cs="Times New Roman"/>
                <w:b/>
                <w:color w:val="auto"/>
                <w:sz w:val="24"/>
                <w:szCs w:val="24"/>
                <w:highlight w:val="none"/>
              </w:rPr>
              <w:t>、生态环境</w:t>
            </w:r>
          </w:p>
          <w:p w14:paraId="30EA8460">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color w:val="auto"/>
                <w:sz w:val="24"/>
                <w:szCs w:val="24"/>
                <w:highlight w:val="none"/>
              </w:rPr>
              <w:t>本项目用地范围内无生态环境保护目标。</w:t>
            </w:r>
          </w:p>
        </w:tc>
      </w:tr>
      <w:tr w14:paraId="1058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3" w:type="dxa"/>
            <w:vAlign w:val="center"/>
          </w:tcPr>
          <w:p w14:paraId="1A4E6D8F">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w:t>
            </w:r>
          </w:p>
          <w:p w14:paraId="48F83D4B">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物排</w:t>
            </w:r>
          </w:p>
          <w:p w14:paraId="41FE9AE7">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放控</w:t>
            </w:r>
          </w:p>
          <w:p w14:paraId="3EC16EB9">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制标</w:t>
            </w:r>
          </w:p>
          <w:p w14:paraId="42220F0B">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准</w:t>
            </w:r>
          </w:p>
        </w:tc>
        <w:tc>
          <w:tcPr>
            <w:tcW w:w="8759" w:type="dxa"/>
            <w:vAlign w:val="center"/>
          </w:tcPr>
          <w:p w14:paraId="542C2D4C">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1、废气</w:t>
            </w:r>
          </w:p>
          <w:p w14:paraId="5749128C">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施工期扬尘执行《四川省施工场地扬尘排放标准》（DB51/2682-2020），</w:t>
            </w:r>
            <w:r>
              <w:rPr>
                <w:rFonts w:hint="default"/>
                <w:sz w:val="24"/>
              </w:rPr>
              <w:t>项目营运期</w:t>
            </w:r>
            <w:r>
              <w:rPr>
                <w:rFonts w:hint="eastAsia"/>
                <w:sz w:val="24"/>
              </w:rPr>
              <w:t>废气为油气（非甲烷总烃），项目边界油气浓度无组织排放执行《四川省加油站大气污染物排放标准》（DB51/2865-2021）无组织排放限值要求。加油装置运行过程中油气排放浓度执行《四川省加油站大气污染物排放标准》（DB51/2865-2021）中排放限值的要求。</w:t>
            </w:r>
            <w:r>
              <w:rPr>
                <w:rFonts w:hint="default"/>
                <w:sz w:val="24"/>
              </w:rPr>
              <w:t>具体标准限值见下表。</w:t>
            </w:r>
          </w:p>
          <w:p w14:paraId="2BA22AB2">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rPr>
            </w:pPr>
            <w:r>
              <w:rPr>
                <w:rFonts w:hint="default" w:ascii="Times New Roman" w:hAnsi="Times New Roman" w:eastAsia="黑体" w:cs="Times New Roman"/>
                <w:b/>
                <w:bCs/>
                <w:color w:val="auto"/>
                <w:kern w:val="0"/>
                <w:sz w:val="20"/>
                <w:szCs w:val="20"/>
                <w:highlight w:val="none"/>
                <w:lang w:val="en-US" w:eastAsia="zh-CN"/>
              </w:rPr>
              <w:t>表3-</w:t>
            </w:r>
            <w:r>
              <w:rPr>
                <w:rFonts w:hint="eastAsia" w:eastAsia="黑体" w:cs="Times New Roman"/>
                <w:b/>
                <w:bCs/>
                <w:color w:val="auto"/>
                <w:kern w:val="0"/>
                <w:sz w:val="20"/>
                <w:szCs w:val="20"/>
                <w:highlight w:val="none"/>
                <w:lang w:val="en-US" w:eastAsia="zh-CN"/>
              </w:rPr>
              <w:t>15</w:t>
            </w:r>
            <w:r>
              <w:rPr>
                <w:rFonts w:hint="default" w:ascii="Times New Roman" w:hAnsi="Times New Roman" w:eastAsia="黑体" w:cs="Times New Roman"/>
                <w:b/>
                <w:bCs/>
                <w:color w:val="auto"/>
                <w:kern w:val="0"/>
                <w:sz w:val="20"/>
                <w:szCs w:val="20"/>
                <w:highlight w:val="none"/>
                <w:lang w:val="en-US" w:eastAsia="zh-CN"/>
              </w:rPr>
              <w:t xml:space="preserve">  《四川省施工场地扬尘排放标准》（DB51/2682-2020）</w:t>
            </w:r>
          </w:p>
          <w:tbl>
            <w:tblPr>
              <w:tblStyle w:val="23"/>
              <w:tblW w:w="85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217"/>
              <w:gridCol w:w="2935"/>
              <w:gridCol w:w="2468"/>
              <w:gridCol w:w="1275"/>
            </w:tblGrid>
            <w:tr w14:paraId="31F9A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3" w:hRule="atLeast"/>
                <w:tblHeader/>
                <w:jc w:val="center"/>
              </w:trPr>
              <w:tc>
                <w:tcPr>
                  <w:tcW w:w="663" w:type="dxa"/>
                  <w:tcBorders>
                    <w:tl2br w:val="nil"/>
                    <w:tr2bl w:val="nil"/>
                  </w:tcBorders>
                  <w:vAlign w:val="center"/>
                </w:tcPr>
                <w:p w14:paraId="70B924FF">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217" w:type="dxa"/>
                  <w:tcBorders>
                    <w:tl2br w:val="nil"/>
                    <w:tr2bl w:val="nil"/>
                  </w:tcBorders>
                  <w:vAlign w:val="center"/>
                </w:tcPr>
                <w:p w14:paraId="4A8156AA">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2935" w:type="dxa"/>
                  <w:tcBorders>
                    <w:tl2br w:val="nil"/>
                    <w:tr2bl w:val="nil"/>
                  </w:tcBorders>
                  <w:vAlign w:val="center"/>
                </w:tcPr>
                <w:p w14:paraId="746735E9">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施工阶段</w:t>
                  </w:r>
                </w:p>
              </w:tc>
              <w:tc>
                <w:tcPr>
                  <w:tcW w:w="2468" w:type="dxa"/>
                  <w:tcBorders>
                    <w:tl2br w:val="nil"/>
                    <w:tr2bl w:val="nil"/>
                  </w:tcBorders>
                  <w:vAlign w:val="center"/>
                </w:tcPr>
                <w:p w14:paraId="3089CCB8">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监测点排放限值（mg/m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1275" w:type="dxa"/>
                  <w:tcBorders>
                    <w:tl2br w:val="nil"/>
                    <w:tr2bl w:val="nil"/>
                  </w:tcBorders>
                  <w:vAlign w:val="center"/>
                </w:tcPr>
                <w:p w14:paraId="78F9C5EC">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监测时间</w:t>
                  </w:r>
                </w:p>
              </w:tc>
            </w:tr>
            <w:tr w14:paraId="585BD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63" w:type="dxa"/>
                  <w:vMerge w:val="restart"/>
                  <w:tcBorders>
                    <w:tl2br w:val="nil"/>
                    <w:tr2bl w:val="nil"/>
                  </w:tcBorders>
                  <w:vAlign w:val="center"/>
                </w:tcPr>
                <w:p w14:paraId="418B882D">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217" w:type="dxa"/>
                  <w:vMerge w:val="restart"/>
                  <w:tcBorders>
                    <w:tl2br w:val="nil"/>
                    <w:tr2bl w:val="nil"/>
                  </w:tcBorders>
                  <w:vAlign w:val="center"/>
                </w:tcPr>
                <w:p w14:paraId="0319BE67">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总悬浮颗粒物（TSP）</w:t>
                  </w:r>
                </w:p>
              </w:tc>
              <w:tc>
                <w:tcPr>
                  <w:tcW w:w="2935" w:type="dxa"/>
                  <w:tcBorders>
                    <w:tl2br w:val="nil"/>
                    <w:tr2bl w:val="nil"/>
                  </w:tcBorders>
                  <w:vAlign w:val="center"/>
                </w:tcPr>
                <w:p w14:paraId="2DD35604">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拆除过程/土方开挖/土方回填</w:t>
                  </w:r>
                </w:p>
              </w:tc>
              <w:tc>
                <w:tcPr>
                  <w:tcW w:w="2468" w:type="dxa"/>
                  <w:tcBorders>
                    <w:tl2br w:val="nil"/>
                    <w:tr2bl w:val="nil"/>
                  </w:tcBorders>
                  <w:vAlign w:val="center"/>
                </w:tcPr>
                <w:p w14:paraId="34BFAF99">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0.600</w:t>
                  </w:r>
                </w:p>
              </w:tc>
              <w:tc>
                <w:tcPr>
                  <w:tcW w:w="1275" w:type="dxa"/>
                  <w:vMerge w:val="restart"/>
                  <w:tcBorders>
                    <w:tl2br w:val="nil"/>
                    <w:tr2bl w:val="nil"/>
                  </w:tcBorders>
                  <w:vAlign w:val="center"/>
                </w:tcPr>
                <w:p w14:paraId="647C7F4D">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自监测起持续15min</w:t>
                  </w:r>
                </w:p>
              </w:tc>
            </w:tr>
            <w:tr w14:paraId="03FCC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63" w:type="dxa"/>
                  <w:vMerge w:val="continue"/>
                  <w:tcBorders>
                    <w:tl2br w:val="nil"/>
                    <w:tr2bl w:val="nil"/>
                  </w:tcBorders>
                  <w:vAlign w:val="center"/>
                </w:tcPr>
                <w:p w14:paraId="399416C4">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1217" w:type="dxa"/>
                  <w:vMerge w:val="continue"/>
                  <w:tcBorders>
                    <w:tl2br w:val="nil"/>
                    <w:tr2bl w:val="nil"/>
                  </w:tcBorders>
                  <w:vAlign w:val="center"/>
                </w:tcPr>
                <w:p w14:paraId="3C747949">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c>
                <w:tcPr>
                  <w:tcW w:w="2935" w:type="dxa"/>
                  <w:tcBorders>
                    <w:tl2br w:val="nil"/>
                    <w:tr2bl w:val="nil"/>
                  </w:tcBorders>
                  <w:vAlign w:val="center"/>
                </w:tcPr>
                <w:p w14:paraId="78DD66DC">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其他过程阶段</w:t>
                  </w:r>
                </w:p>
              </w:tc>
              <w:tc>
                <w:tcPr>
                  <w:tcW w:w="2468" w:type="dxa"/>
                  <w:tcBorders>
                    <w:tl2br w:val="nil"/>
                    <w:tr2bl w:val="nil"/>
                  </w:tcBorders>
                  <w:vAlign w:val="center"/>
                </w:tcPr>
                <w:p w14:paraId="6573FBEF">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0.250</w:t>
                  </w:r>
                </w:p>
              </w:tc>
              <w:tc>
                <w:tcPr>
                  <w:tcW w:w="1275" w:type="dxa"/>
                  <w:vMerge w:val="continue"/>
                  <w:tcBorders>
                    <w:tl2br w:val="nil"/>
                    <w:tr2bl w:val="nil"/>
                  </w:tcBorders>
                  <w:vAlign w:val="center"/>
                </w:tcPr>
                <w:p w14:paraId="577D126E">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p>
              </w:tc>
            </w:tr>
          </w:tbl>
          <w:p w14:paraId="3AE61E43">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rPr>
            </w:pPr>
            <w:r>
              <w:rPr>
                <w:rFonts w:hint="eastAsia" w:ascii="Times New Roman" w:hAnsi="Times New Roman" w:eastAsia="黑体" w:cs="Times New Roman"/>
                <w:b/>
                <w:bCs/>
                <w:color w:val="auto"/>
                <w:kern w:val="0"/>
                <w:sz w:val="20"/>
                <w:szCs w:val="20"/>
                <w:highlight w:val="none"/>
                <w:lang w:val="en-US" w:eastAsia="zh-CN"/>
              </w:rPr>
              <w:t>表3-1</w:t>
            </w:r>
            <w:r>
              <w:rPr>
                <w:rFonts w:hint="eastAsia" w:eastAsia="黑体" w:cs="Times New Roman"/>
                <w:b/>
                <w:bCs/>
                <w:color w:val="auto"/>
                <w:kern w:val="0"/>
                <w:sz w:val="20"/>
                <w:szCs w:val="20"/>
                <w:highlight w:val="none"/>
                <w:lang w:val="en-US" w:eastAsia="zh-CN"/>
              </w:rPr>
              <w:t xml:space="preserve">6  </w:t>
            </w:r>
            <w:r>
              <w:rPr>
                <w:rFonts w:hint="eastAsia" w:ascii="Times New Roman" w:hAnsi="Times New Roman" w:eastAsia="黑体" w:cs="Times New Roman"/>
                <w:b/>
                <w:bCs/>
                <w:color w:val="auto"/>
                <w:kern w:val="0"/>
                <w:sz w:val="20"/>
                <w:szCs w:val="20"/>
                <w:highlight w:val="none"/>
                <w:lang w:val="en-US" w:eastAsia="zh-CN"/>
              </w:rPr>
              <w:t>《四川省加油站大气污染物排放标准》油气浓度无组织排放限值要求</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79"/>
              <w:gridCol w:w="3106"/>
              <w:gridCol w:w="4011"/>
            </w:tblGrid>
            <w:tr w14:paraId="5FBC8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860" w:type="pct"/>
                  <w:tcBorders>
                    <w:tl2br w:val="nil"/>
                    <w:tr2bl w:val="nil"/>
                  </w:tcBorders>
                  <w:noWrap w:val="0"/>
                  <w:vAlign w:val="center"/>
                </w:tcPr>
                <w:p w14:paraId="6DF19CA1">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污染物名称</w:t>
                  </w:r>
                </w:p>
              </w:tc>
              <w:tc>
                <w:tcPr>
                  <w:tcW w:w="1806" w:type="pct"/>
                  <w:tcBorders>
                    <w:tl2br w:val="nil"/>
                    <w:tr2bl w:val="nil"/>
                  </w:tcBorders>
                  <w:noWrap w:val="0"/>
                  <w:vAlign w:val="center"/>
                </w:tcPr>
                <w:p w14:paraId="407BD9B9">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排放限值</w:t>
                  </w:r>
                </w:p>
              </w:tc>
              <w:tc>
                <w:tcPr>
                  <w:tcW w:w="2332" w:type="pct"/>
                  <w:tcBorders>
                    <w:tl2br w:val="nil"/>
                    <w:tr2bl w:val="nil"/>
                  </w:tcBorders>
                  <w:noWrap w:val="0"/>
                  <w:vAlign w:val="center"/>
                </w:tcPr>
                <w:p w14:paraId="2A79BB8B">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限值含义</w:t>
                  </w:r>
                </w:p>
              </w:tc>
            </w:tr>
            <w:tr w14:paraId="43D18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860" w:type="pct"/>
                  <w:tcBorders>
                    <w:tl2br w:val="nil"/>
                    <w:tr2bl w:val="nil"/>
                  </w:tcBorders>
                  <w:noWrap w:val="0"/>
                  <w:vAlign w:val="center"/>
                </w:tcPr>
                <w:p w14:paraId="7EFC9857">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NMHC</w:t>
                  </w:r>
                </w:p>
              </w:tc>
              <w:tc>
                <w:tcPr>
                  <w:tcW w:w="1806" w:type="pct"/>
                  <w:tcBorders>
                    <w:tl2br w:val="nil"/>
                    <w:tr2bl w:val="nil"/>
                  </w:tcBorders>
                  <w:noWrap w:val="0"/>
                  <w:vAlign w:val="center"/>
                </w:tcPr>
                <w:p w14:paraId="1118EACE">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4.0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2332" w:type="pct"/>
                  <w:tcBorders>
                    <w:tl2br w:val="nil"/>
                    <w:tr2bl w:val="nil"/>
                  </w:tcBorders>
                  <w:noWrap w:val="0"/>
                  <w:vAlign w:val="center"/>
                </w:tcPr>
                <w:p w14:paraId="1EEAFD4A">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监控点1小时平均浓度值</w:t>
                  </w:r>
                </w:p>
              </w:tc>
            </w:tr>
          </w:tbl>
          <w:p w14:paraId="1DAA0E18">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rPr>
            </w:pPr>
            <w:r>
              <w:rPr>
                <w:rFonts w:hint="eastAsia" w:ascii="Times New Roman" w:hAnsi="Times New Roman" w:eastAsia="黑体" w:cs="Times New Roman"/>
                <w:b/>
                <w:bCs/>
                <w:color w:val="auto"/>
                <w:kern w:val="0"/>
                <w:sz w:val="20"/>
                <w:szCs w:val="20"/>
                <w:highlight w:val="none"/>
                <w:lang w:val="en-US" w:eastAsia="zh-CN"/>
              </w:rPr>
              <w:t>表3-</w:t>
            </w:r>
            <w:r>
              <w:rPr>
                <w:rFonts w:hint="eastAsia" w:eastAsia="黑体" w:cs="Times New Roman"/>
                <w:b/>
                <w:bCs/>
                <w:color w:val="auto"/>
                <w:kern w:val="0"/>
                <w:sz w:val="20"/>
                <w:szCs w:val="20"/>
                <w:highlight w:val="none"/>
                <w:lang w:val="en-US" w:eastAsia="zh-CN"/>
              </w:rPr>
              <w:t xml:space="preserve">17  </w:t>
            </w:r>
            <w:r>
              <w:rPr>
                <w:rFonts w:hint="eastAsia" w:ascii="Times New Roman" w:hAnsi="Times New Roman" w:eastAsia="黑体" w:cs="Times New Roman"/>
                <w:b/>
                <w:bCs/>
                <w:color w:val="auto"/>
                <w:kern w:val="0"/>
                <w:sz w:val="20"/>
                <w:szCs w:val="20"/>
                <w:highlight w:val="none"/>
                <w:lang w:val="en-US" w:eastAsia="zh-CN"/>
              </w:rPr>
              <w:t>《四川省加油站大气污染物排放标准》</w:t>
            </w:r>
          </w:p>
          <w:tbl>
            <w:tblPr>
              <w:tblStyle w:val="2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34"/>
              <w:gridCol w:w="3763"/>
            </w:tblGrid>
            <w:tr w14:paraId="41C98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811" w:type="pct"/>
                  <w:tcBorders>
                    <w:tl2br w:val="nil"/>
                    <w:tr2bl w:val="nil"/>
                  </w:tcBorders>
                  <w:noWrap w:val="0"/>
                  <w:vAlign w:val="top"/>
                </w:tcPr>
                <w:p w14:paraId="3978E607">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内容</w:t>
                  </w:r>
                </w:p>
              </w:tc>
              <w:tc>
                <w:tcPr>
                  <w:tcW w:w="2188" w:type="pct"/>
                  <w:tcBorders>
                    <w:tl2br w:val="nil"/>
                    <w:tr2bl w:val="nil"/>
                  </w:tcBorders>
                  <w:noWrap w:val="0"/>
                  <w:vAlign w:val="top"/>
                </w:tcPr>
                <w:p w14:paraId="6133737C">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标准要求值</w:t>
                  </w:r>
                </w:p>
              </w:tc>
            </w:tr>
            <w:tr w14:paraId="1167E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811" w:type="pct"/>
                  <w:tcBorders>
                    <w:tl2br w:val="nil"/>
                    <w:tr2bl w:val="nil"/>
                  </w:tcBorders>
                  <w:noWrap w:val="0"/>
                  <w:vAlign w:val="top"/>
                </w:tcPr>
                <w:p w14:paraId="7C50DFC5">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油气处理装置排气口距地平面高度</w:t>
                  </w:r>
                </w:p>
              </w:tc>
              <w:tc>
                <w:tcPr>
                  <w:tcW w:w="2188" w:type="pct"/>
                  <w:tcBorders>
                    <w:tl2br w:val="nil"/>
                    <w:tr2bl w:val="nil"/>
                  </w:tcBorders>
                  <w:noWrap w:val="0"/>
                  <w:vAlign w:val="top"/>
                </w:tcPr>
                <w:p w14:paraId="328E559F">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不应小于4m</w:t>
                  </w:r>
                </w:p>
              </w:tc>
            </w:tr>
            <w:tr w14:paraId="7AA78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811" w:type="pct"/>
                  <w:tcBorders>
                    <w:tl2br w:val="nil"/>
                    <w:tr2bl w:val="nil"/>
                  </w:tcBorders>
                  <w:noWrap w:val="0"/>
                  <w:vAlign w:val="top"/>
                </w:tcPr>
                <w:p w14:paraId="1DBF2E85">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油气处理装置的油气排放浓度1小时平均浓度值</w:t>
                  </w:r>
                </w:p>
              </w:tc>
              <w:tc>
                <w:tcPr>
                  <w:tcW w:w="2188" w:type="pct"/>
                  <w:tcBorders>
                    <w:tl2br w:val="nil"/>
                    <w:tr2bl w:val="nil"/>
                  </w:tcBorders>
                  <w:noWrap w:val="0"/>
                  <w:vAlign w:val="center"/>
                </w:tcPr>
                <w:p w14:paraId="60322293">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小于等于20mg/m</w:t>
                  </w:r>
                  <w:r>
                    <w:rPr>
                      <w:rFonts w:hint="eastAsia" w:ascii="Times New Roman" w:hAnsi="Times New Roman" w:eastAsia="宋体" w:cs="Times New Roman"/>
                      <w:color w:val="auto"/>
                      <w:sz w:val="21"/>
                      <w:szCs w:val="21"/>
                      <w:highlight w:val="none"/>
                      <w:vertAlign w:val="superscript"/>
                    </w:rPr>
                    <w:t>3</w:t>
                  </w:r>
                </w:p>
              </w:tc>
            </w:tr>
            <w:tr w14:paraId="48227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811" w:type="pct"/>
                  <w:tcBorders>
                    <w:tl2br w:val="nil"/>
                    <w:tr2bl w:val="nil"/>
                  </w:tcBorders>
                  <w:noWrap w:val="0"/>
                  <w:vAlign w:val="center"/>
                </w:tcPr>
                <w:p w14:paraId="6DAA5B12">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各种加油加气回收系统的气液比</w:t>
                  </w:r>
                </w:p>
              </w:tc>
              <w:tc>
                <w:tcPr>
                  <w:tcW w:w="2188" w:type="pct"/>
                  <w:tcBorders>
                    <w:tl2br w:val="nil"/>
                    <w:tr2bl w:val="nil"/>
                  </w:tcBorders>
                  <w:noWrap w:val="0"/>
                  <w:vAlign w:val="top"/>
                </w:tcPr>
                <w:p w14:paraId="210A24D9">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均应在大于等于1.0和小于等于1.2范围内</w:t>
                  </w:r>
                </w:p>
              </w:tc>
            </w:tr>
          </w:tbl>
          <w:p w14:paraId="5308F843">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2、废水</w:t>
            </w:r>
          </w:p>
          <w:p w14:paraId="58336D68">
            <w:pPr>
              <w:keepNext w:val="0"/>
              <w:keepLines w:val="0"/>
              <w:suppressLineNumbers w:val="0"/>
              <w:spacing w:before="0" w:beforeAutospacing="0" w:after="0" w:afterAutospacing="0" w:line="360" w:lineRule="auto"/>
              <w:ind w:left="0" w:right="0" w:firstLine="480" w:firstLineChars="200"/>
              <w:rPr>
                <w:rFonts w:hint="eastAsia"/>
                <w:color w:val="000000" w:themeColor="text1"/>
                <w:sz w:val="24"/>
                <w14:textFill>
                  <w14:solidFill>
                    <w14:schemeClr w14:val="tx1"/>
                  </w14:solidFill>
                </w14:textFill>
              </w:rPr>
            </w:pPr>
            <w:r>
              <w:rPr>
                <w:rFonts w:hint="eastAsia"/>
                <w:color w:val="auto"/>
                <w:sz w:val="24"/>
                <w:highlight w:val="none"/>
              </w:rPr>
              <w:t>本项目</w:t>
            </w:r>
            <w:r>
              <w:rPr>
                <w:rFonts w:hint="eastAsia"/>
                <w:color w:val="auto"/>
                <w:sz w:val="24"/>
                <w:highlight w:val="none"/>
                <w:lang w:val="en-US" w:eastAsia="zh-CN"/>
              </w:rPr>
              <w:t>生活污水和地面冲洗</w:t>
            </w:r>
            <w:r>
              <w:rPr>
                <w:rFonts w:hint="eastAsia"/>
                <w:color w:val="auto"/>
                <w:sz w:val="24"/>
                <w:highlight w:val="none"/>
              </w:rPr>
              <w:t>废水经预处理后</w:t>
            </w:r>
            <w:r>
              <w:rPr>
                <w:rFonts w:hint="eastAsia"/>
                <w:color w:val="auto"/>
                <w:sz w:val="24"/>
                <w:highlight w:val="none"/>
                <w:lang w:eastAsia="zh-CN"/>
              </w:rPr>
              <w:t>，达到</w:t>
            </w:r>
            <w:r>
              <w:rPr>
                <w:rFonts w:hint="eastAsia"/>
                <w:color w:val="000000" w:themeColor="text1"/>
                <w:sz w:val="24"/>
                <w14:textFill>
                  <w14:solidFill>
                    <w14:schemeClr w14:val="tx1"/>
                  </w14:solidFill>
                </w14:textFill>
              </w:rPr>
              <w:t>《污水综合排放标准》（</w:t>
            </w:r>
            <w:r>
              <w:rPr>
                <w:rFonts w:hint="default"/>
                <w:color w:val="000000" w:themeColor="text1"/>
                <w:sz w:val="24"/>
                <w14:textFill>
                  <w14:solidFill>
                    <w14:schemeClr w14:val="tx1"/>
                  </w14:solidFill>
                </w14:textFill>
              </w:rPr>
              <w:t>GB 8978-1996</w:t>
            </w:r>
            <w:r>
              <w:rPr>
                <w:rFonts w:hint="eastAsia"/>
                <w:color w:val="000000" w:themeColor="text1"/>
                <w:sz w:val="24"/>
                <w14:textFill>
                  <w14:solidFill>
                    <w14:schemeClr w14:val="tx1"/>
                  </w14:solidFill>
                </w14:textFill>
              </w:rPr>
              <w:t>）三级标准</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通过市政污水管网进入达州市通川区魏兴场镇污水处理厂处理</w:t>
            </w:r>
            <w:r>
              <w:rPr>
                <w:rFonts w:hint="eastAsia"/>
                <w:color w:val="000000" w:themeColor="text1"/>
                <w:sz w:val="24"/>
                <w:highlight w:val="none"/>
                <w:lang w:val="en-US" w:eastAsia="zh-CN"/>
                <w14:textFill>
                  <w14:solidFill>
                    <w14:schemeClr w14:val="tx1"/>
                  </w14:solidFill>
                </w14:textFill>
              </w:rPr>
              <w:t>后</w:t>
            </w:r>
            <w:r>
              <w:rPr>
                <w:rFonts w:hint="eastAsia"/>
                <w:color w:val="000000" w:themeColor="text1"/>
                <w:sz w:val="24"/>
                <w:highlight w:val="none"/>
                <w:lang w:eastAsia="zh-CN"/>
                <w14:textFill>
                  <w14:solidFill>
                    <w14:schemeClr w14:val="tx1"/>
                  </w14:solidFill>
                </w14:textFill>
              </w:rPr>
              <w:t>，达到</w:t>
            </w:r>
            <w:r>
              <w:rPr>
                <w:rFonts w:hint="eastAsia"/>
                <w:color w:val="000000" w:themeColor="text1"/>
                <w:sz w:val="24"/>
                <w:highlight w:val="none"/>
                <w14:textFill>
                  <w14:solidFill>
                    <w14:schemeClr w14:val="tx1"/>
                  </w14:solidFill>
                </w14:textFill>
              </w:rPr>
              <w:t>《城镇污水处理厂污染物排放标准》（GB18918—2002）一级A标准</w:t>
            </w:r>
            <w:r>
              <w:rPr>
                <w:rFonts w:hint="eastAsia"/>
                <w:color w:val="000000" w:themeColor="text1"/>
                <w:sz w:val="24"/>
                <w:highlight w:val="none"/>
                <w:lang w:val="en-US" w:eastAsia="zh-CN"/>
                <w14:textFill>
                  <w14:solidFill>
                    <w14:schemeClr w14:val="tx1"/>
                  </w14:solidFill>
                </w14:textFill>
              </w:rPr>
              <w:t>后外排；洗车废水经废水处理系统处理后（采用“隔油+絮凝沉淀+光催化氧化”工艺）回用，不外排。</w:t>
            </w:r>
          </w:p>
          <w:p w14:paraId="30F292C6">
            <w:pPr>
              <w:pStyle w:val="9"/>
              <w:keepNext w:val="0"/>
              <w:keepLines w:val="0"/>
              <w:suppressLineNumbers w:val="0"/>
              <w:spacing w:before="0" w:beforeAutospacing="0" w:after="0" w:afterAutospacing="0"/>
              <w:ind w:left="0" w:right="0"/>
              <w:jc w:val="center"/>
              <w:rPr>
                <w:rFonts w:hint="default" w:ascii="Times New Roman" w:hAnsi="Times New Roman" w:eastAsia="黑体" w:cs="Times New Roman"/>
                <w:b/>
                <w:bCs/>
                <w:color w:val="000000" w:themeColor="text1"/>
                <w:kern w:val="0"/>
                <w:sz w:val="20"/>
                <w:szCs w:val="20"/>
                <w:highlight w:val="none"/>
                <w:lang w:val="en-US" w:eastAsia="zh-CN"/>
                <w14:textFill>
                  <w14:solidFill>
                    <w14:schemeClr w14:val="tx1"/>
                  </w14:solidFill>
                </w14:textFill>
              </w:rPr>
            </w:pPr>
            <w:r>
              <w:rPr>
                <w:rFonts w:hint="default" w:ascii="Times New Roman" w:hAnsi="Times New Roman" w:eastAsia="黑体" w:cs="Times New Roman"/>
                <w:b/>
                <w:bCs/>
                <w:color w:val="000000" w:themeColor="text1"/>
                <w:kern w:val="0"/>
                <w:sz w:val="20"/>
                <w:szCs w:val="20"/>
                <w:highlight w:val="none"/>
                <w:lang w:val="en-US" w:eastAsia="zh-CN"/>
                <w14:textFill>
                  <w14:solidFill>
                    <w14:schemeClr w14:val="tx1"/>
                  </w14:solidFill>
                </w14:textFill>
              </w:rPr>
              <w:t>表3-</w:t>
            </w:r>
            <w:r>
              <w:rPr>
                <w:rFonts w:hint="eastAsia" w:eastAsia="黑体" w:cs="Times New Roman"/>
                <w:b/>
                <w:bCs/>
                <w:color w:val="000000" w:themeColor="text1"/>
                <w:kern w:val="0"/>
                <w:sz w:val="20"/>
                <w:szCs w:val="20"/>
                <w:highlight w:val="none"/>
                <w:lang w:val="en-US" w:eastAsia="zh-CN"/>
                <w14:textFill>
                  <w14:solidFill>
                    <w14:schemeClr w14:val="tx1"/>
                  </w14:solidFill>
                </w14:textFill>
              </w:rPr>
              <w:t xml:space="preserve">18  </w:t>
            </w:r>
            <w:r>
              <w:rPr>
                <w:rFonts w:hint="eastAsia" w:ascii="Times New Roman" w:hAnsi="Times New Roman" w:eastAsia="黑体" w:cs="Times New Roman"/>
                <w:b/>
                <w:bCs/>
                <w:color w:val="000000" w:themeColor="text1"/>
                <w:kern w:val="0"/>
                <w:sz w:val="20"/>
                <w:szCs w:val="20"/>
                <w:highlight w:val="none"/>
                <w:lang w:val="en-US" w:eastAsia="zh-CN"/>
                <w14:textFill>
                  <w14:solidFill>
                    <w14:schemeClr w14:val="tx1"/>
                  </w14:solidFill>
                </w14:textFill>
              </w:rPr>
              <w:t>污水</w:t>
            </w:r>
            <w:r>
              <w:rPr>
                <w:rFonts w:hint="default" w:ascii="Times New Roman" w:hAnsi="Times New Roman" w:eastAsia="黑体" w:cs="Times New Roman"/>
                <w:b/>
                <w:bCs/>
                <w:color w:val="000000" w:themeColor="text1"/>
                <w:kern w:val="0"/>
                <w:sz w:val="20"/>
                <w:szCs w:val="20"/>
                <w:highlight w:val="none"/>
                <w:lang w:val="en-US" w:eastAsia="zh-CN"/>
                <w14:textFill>
                  <w14:solidFill>
                    <w14:schemeClr w14:val="tx1"/>
                  </w14:solidFill>
                </w14:textFill>
              </w:rPr>
              <w:t>最高允许排放浓度（单位：mg/L）</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540"/>
              <w:gridCol w:w="842"/>
              <w:gridCol w:w="740"/>
              <w:gridCol w:w="531"/>
              <w:gridCol w:w="1261"/>
              <w:gridCol w:w="1295"/>
              <w:gridCol w:w="1302"/>
              <w:gridCol w:w="1307"/>
            </w:tblGrid>
            <w:tr w14:paraId="29D33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tcBorders>
                    <w:tl2br w:val="nil"/>
                    <w:tr2bl w:val="nil"/>
                  </w:tcBorders>
                  <w:noWrap w:val="0"/>
                  <w:vAlign w:val="center"/>
                </w:tcPr>
                <w:p w14:paraId="6346A1EA">
                  <w:pPr>
                    <w:keepNext w:val="0"/>
                    <w:keepLines w:val="0"/>
                    <w:suppressLineNumbers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项目</w:t>
                  </w:r>
                </w:p>
              </w:tc>
              <w:tc>
                <w:tcPr>
                  <w:tcW w:w="314" w:type="pct"/>
                  <w:tcBorders>
                    <w:tl2br w:val="nil"/>
                    <w:tr2bl w:val="nil"/>
                  </w:tcBorders>
                  <w:noWrap w:val="0"/>
                  <w:vAlign w:val="center"/>
                </w:tcPr>
                <w:p w14:paraId="4CEA64E8">
                  <w:pPr>
                    <w:keepNext w:val="0"/>
                    <w:keepLines w:val="0"/>
                    <w:suppressLineNumbers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pH</w:t>
                  </w:r>
                </w:p>
              </w:tc>
              <w:tc>
                <w:tcPr>
                  <w:tcW w:w="489" w:type="pct"/>
                  <w:tcBorders>
                    <w:tl2br w:val="nil"/>
                    <w:tr2bl w:val="nil"/>
                  </w:tcBorders>
                  <w:noWrap w:val="0"/>
                  <w:vAlign w:val="center"/>
                </w:tcPr>
                <w:p w14:paraId="4E3133F4">
                  <w:pPr>
                    <w:keepNext w:val="0"/>
                    <w:keepLines w:val="0"/>
                    <w:suppressLineNumbers w:val="0"/>
                    <w:spacing w:before="0" w:beforeAutospacing="0" w:after="0" w:afterAutospacing="0"/>
                    <w:ind w:left="0" w:right="0"/>
                    <w:jc w:val="center"/>
                    <w:rPr>
                      <w:rFonts w:hint="default"/>
                      <w:b/>
                      <w:color w:val="000000" w:themeColor="text1"/>
                      <w:sz w:val="21"/>
                      <w:szCs w:val="21"/>
                      <w:vertAlign w:val="subscript"/>
                      <w14:textFill>
                        <w14:solidFill>
                          <w14:schemeClr w14:val="tx1"/>
                        </w14:solidFill>
                      </w14:textFill>
                    </w:rPr>
                  </w:pPr>
                  <w:r>
                    <w:rPr>
                      <w:rFonts w:hint="default"/>
                      <w:b/>
                      <w:color w:val="000000" w:themeColor="text1"/>
                      <w:sz w:val="21"/>
                      <w:szCs w:val="21"/>
                      <w14:textFill>
                        <w14:solidFill>
                          <w14:schemeClr w14:val="tx1"/>
                        </w14:solidFill>
                      </w14:textFill>
                    </w:rPr>
                    <w:t>COD</w:t>
                  </w:r>
                  <w:r>
                    <w:rPr>
                      <w:rFonts w:hint="default"/>
                      <w:b/>
                      <w:color w:val="000000" w:themeColor="text1"/>
                      <w:sz w:val="21"/>
                      <w:szCs w:val="21"/>
                      <w:vertAlign w:val="subscript"/>
                      <w14:textFill>
                        <w14:solidFill>
                          <w14:schemeClr w14:val="tx1"/>
                        </w14:solidFill>
                      </w14:textFill>
                    </w:rPr>
                    <w:t>Cr</w:t>
                  </w:r>
                </w:p>
              </w:tc>
              <w:tc>
                <w:tcPr>
                  <w:tcW w:w="430" w:type="pct"/>
                  <w:tcBorders>
                    <w:tl2br w:val="nil"/>
                    <w:tr2bl w:val="nil"/>
                  </w:tcBorders>
                  <w:noWrap w:val="0"/>
                  <w:vAlign w:val="center"/>
                </w:tcPr>
                <w:p w14:paraId="3BFA7BAB">
                  <w:pPr>
                    <w:keepNext w:val="0"/>
                    <w:keepLines w:val="0"/>
                    <w:suppressLineNumbers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BOD</w:t>
                  </w:r>
                  <w:r>
                    <w:rPr>
                      <w:rFonts w:hint="default"/>
                      <w:b/>
                      <w:color w:val="000000" w:themeColor="text1"/>
                      <w:sz w:val="21"/>
                      <w:szCs w:val="21"/>
                      <w:vertAlign w:val="subscript"/>
                      <w14:textFill>
                        <w14:solidFill>
                          <w14:schemeClr w14:val="tx1"/>
                        </w14:solidFill>
                      </w14:textFill>
                    </w:rPr>
                    <w:t>5</w:t>
                  </w:r>
                </w:p>
              </w:tc>
              <w:tc>
                <w:tcPr>
                  <w:tcW w:w="308" w:type="pct"/>
                  <w:tcBorders>
                    <w:tl2br w:val="nil"/>
                    <w:tr2bl w:val="nil"/>
                  </w:tcBorders>
                  <w:noWrap w:val="0"/>
                  <w:vAlign w:val="center"/>
                </w:tcPr>
                <w:p w14:paraId="7241678C">
                  <w:pPr>
                    <w:keepNext w:val="0"/>
                    <w:keepLines w:val="0"/>
                    <w:suppressLineNumbers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SS</w:t>
                  </w:r>
                </w:p>
              </w:tc>
              <w:tc>
                <w:tcPr>
                  <w:tcW w:w="734" w:type="pct"/>
                  <w:tcBorders>
                    <w:tl2br w:val="nil"/>
                    <w:tr2bl w:val="nil"/>
                  </w:tcBorders>
                  <w:noWrap w:val="0"/>
                  <w:vAlign w:val="center"/>
                </w:tcPr>
                <w:p w14:paraId="0F5E23AA">
                  <w:pPr>
                    <w:keepNext w:val="0"/>
                    <w:keepLines w:val="0"/>
                    <w:suppressLineNumbers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氨氮（以N计）</w:t>
                  </w:r>
                </w:p>
              </w:tc>
              <w:tc>
                <w:tcPr>
                  <w:tcW w:w="754" w:type="pct"/>
                  <w:tcBorders>
                    <w:tl2br w:val="nil"/>
                    <w:tr2bl w:val="nil"/>
                  </w:tcBorders>
                  <w:noWrap w:val="0"/>
                  <w:vAlign w:val="center"/>
                </w:tcPr>
                <w:p w14:paraId="0E00C95F">
                  <w:pPr>
                    <w:keepNext w:val="0"/>
                    <w:keepLines w:val="0"/>
                    <w:suppressLineNumbers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总磷（以P计）</w:t>
                  </w:r>
                </w:p>
              </w:tc>
              <w:tc>
                <w:tcPr>
                  <w:tcW w:w="758" w:type="pct"/>
                  <w:tcBorders>
                    <w:tl2br w:val="nil"/>
                    <w:tr2bl w:val="nil"/>
                  </w:tcBorders>
                  <w:noWrap w:val="0"/>
                  <w:vAlign w:val="center"/>
                </w:tcPr>
                <w:p w14:paraId="6DA5652C">
                  <w:pPr>
                    <w:keepNext w:val="0"/>
                    <w:keepLines w:val="0"/>
                    <w:suppressLineNumbers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总氮（以N计）</w:t>
                  </w:r>
                </w:p>
              </w:tc>
              <w:tc>
                <w:tcPr>
                  <w:tcW w:w="756" w:type="pct"/>
                  <w:tcBorders>
                    <w:tl2br w:val="nil"/>
                    <w:tr2bl w:val="nil"/>
                  </w:tcBorders>
                  <w:noWrap w:val="0"/>
                  <w:vAlign w:val="center"/>
                </w:tcPr>
                <w:p w14:paraId="61E34874">
                  <w:pPr>
                    <w:keepNext w:val="0"/>
                    <w:keepLines w:val="0"/>
                    <w:suppressLineNumbers w:val="0"/>
                    <w:spacing w:before="0" w:beforeAutospacing="0" w:after="0" w:afterAutospacing="0"/>
                    <w:ind w:left="0" w:right="0"/>
                    <w:jc w:val="center"/>
                    <w:rPr>
                      <w:rFonts w:hint="eastAsia" w:eastAsia="宋体"/>
                      <w:b/>
                      <w:color w:val="000000" w:themeColor="text1"/>
                      <w:sz w:val="21"/>
                      <w:szCs w:val="21"/>
                      <w:lang w:val="en-US" w:eastAsia="zh-CN"/>
                      <w14:textFill>
                        <w14:solidFill>
                          <w14:schemeClr w14:val="tx1"/>
                        </w14:solidFill>
                      </w14:textFill>
                    </w:rPr>
                  </w:pPr>
                  <w:r>
                    <w:rPr>
                      <w:rFonts w:hint="eastAsia"/>
                      <w:b/>
                      <w:color w:val="000000" w:themeColor="text1"/>
                      <w:sz w:val="21"/>
                      <w:szCs w:val="21"/>
                      <w:lang w:val="en-US" w:eastAsia="zh-CN"/>
                      <w14:textFill>
                        <w14:solidFill>
                          <w14:schemeClr w14:val="tx1"/>
                        </w14:solidFill>
                      </w14:textFill>
                    </w:rPr>
                    <w:t>石油类</w:t>
                  </w:r>
                </w:p>
              </w:tc>
            </w:tr>
            <w:tr w14:paraId="13AFD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tcBorders>
                    <w:tl2br w:val="nil"/>
                    <w:tr2bl w:val="nil"/>
                  </w:tcBorders>
                  <w:noWrap w:val="0"/>
                  <w:vAlign w:val="center"/>
                </w:tcPr>
                <w:p w14:paraId="17CFE2CA">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标准值</w:t>
                  </w:r>
                </w:p>
              </w:tc>
              <w:tc>
                <w:tcPr>
                  <w:tcW w:w="314" w:type="pct"/>
                  <w:tcBorders>
                    <w:tl2br w:val="nil"/>
                    <w:tr2bl w:val="nil"/>
                  </w:tcBorders>
                  <w:noWrap w:val="0"/>
                  <w:vAlign w:val="center"/>
                </w:tcPr>
                <w:p w14:paraId="03AB842E">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6~9</w:t>
                  </w:r>
                </w:p>
              </w:tc>
              <w:tc>
                <w:tcPr>
                  <w:tcW w:w="489" w:type="pct"/>
                  <w:tcBorders>
                    <w:tl2br w:val="nil"/>
                    <w:tr2bl w:val="nil"/>
                  </w:tcBorders>
                  <w:noWrap w:val="0"/>
                  <w:vAlign w:val="center"/>
                </w:tcPr>
                <w:p w14:paraId="5497C767">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50</w:t>
                  </w:r>
                  <w:r>
                    <w:rPr>
                      <w:rFonts w:hint="eastAsia"/>
                      <w:color w:val="000000" w:themeColor="text1"/>
                      <w:sz w:val="21"/>
                      <w:szCs w:val="21"/>
                      <w14:textFill>
                        <w14:solidFill>
                          <w14:schemeClr w14:val="tx1"/>
                        </w14:solidFill>
                      </w14:textFill>
                    </w:rPr>
                    <w:t>0</w:t>
                  </w:r>
                </w:p>
              </w:tc>
              <w:tc>
                <w:tcPr>
                  <w:tcW w:w="430" w:type="pct"/>
                  <w:tcBorders>
                    <w:tl2br w:val="nil"/>
                    <w:tr2bl w:val="nil"/>
                  </w:tcBorders>
                  <w:noWrap w:val="0"/>
                  <w:vAlign w:val="center"/>
                </w:tcPr>
                <w:p w14:paraId="0C769402">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300</w:t>
                  </w:r>
                </w:p>
              </w:tc>
              <w:tc>
                <w:tcPr>
                  <w:tcW w:w="308" w:type="pct"/>
                  <w:tcBorders>
                    <w:tl2br w:val="nil"/>
                    <w:tr2bl w:val="nil"/>
                  </w:tcBorders>
                  <w:noWrap w:val="0"/>
                  <w:vAlign w:val="center"/>
                </w:tcPr>
                <w:p w14:paraId="57F756E2">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400</w:t>
                  </w:r>
                </w:p>
              </w:tc>
              <w:tc>
                <w:tcPr>
                  <w:tcW w:w="734" w:type="pct"/>
                  <w:tcBorders>
                    <w:tl2br w:val="nil"/>
                    <w:tr2bl w:val="nil"/>
                  </w:tcBorders>
                  <w:noWrap w:val="0"/>
                  <w:vAlign w:val="center"/>
                </w:tcPr>
                <w:p w14:paraId="1160775E">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w:t>
                  </w:r>
                </w:p>
              </w:tc>
              <w:tc>
                <w:tcPr>
                  <w:tcW w:w="754" w:type="pct"/>
                  <w:tcBorders>
                    <w:tl2br w:val="nil"/>
                    <w:tr2bl w:val="nil"/>
                  </w:tcBorders>
                  <w:noWrap w:val="0"/>
                  <w:vAlign w:val="center"/>
                </w:tcPr>
                <w:p w14:paraId="49E83638">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758" w:type="pct"/>
                  <w:tcBorders>
                    <w:tl2br w:val="nil"/>
                    <w:tr2bl w:val="nil"/>
                  </w:tcBorders>
                  <w:noWrap w:val="0"/>
                  <w:vAlign w:val="center"/>
                </w:tcPr>
                <w:p w14:paraId="7DEA4296">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70</w:t>
                  </w:r>
                </w:p>
              </w:tc>
              <w:tc>
                <w:tcPr>
                  <w:tcW w:w="756" w:type="pct"/>
                  <w:tcBorders>
                    <w:tl2br w:val="nil"/>
                    <w:tr2bl w:val="nil"/>
                  </w:tcBorders>
                  <w:noWrap w:val="0"/>
                  <w:vAlign w:val="center"/>
                </w:tcPr>
                <w:p w14:paraId="7C12556B">
                  <w:pPr>
                    <w:keepNext w:val="0"/>
                    <w:keepLines w:val="0"/>
                    <w:suppressLineNumbers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14:paraId="78C9B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9"/>
                  <w:tcBorders>
                    <w:tl2br w:val="nil"/>
                    <w:tr2bl w:val="nil"/>
                  </w:tcBorders>
                  <w:noWrap w:val="0"/>
                  <w:vAlign w:val="center"/>
                </w:tcPr>
                <w:p w14:paraId="120DA421">
                  <w:pPr>
                    <w:keepNext w:val="0"/>
                    <w:keepLines w:val="0"/>
                    <w:suppressLineNumbers w:val="0"/>
                    <w:spacing w:before="0" w:beforeAutospacing="0" w:after="0" w:afterAutospacing="0"/>
                    <w:ind w:left="0" w:right="0"/>
                    <w:jc w:val="left"/>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注：氨氮（以N计）、总磷（以P计）以及总氮（以N计）执行《污水排入城镇下水道水质标准》（GB/T31962-2015）B等级标准。</w:t>
                  </w:r>
                </w:p>
              </w:tc>
            </w:tr>
          </w:tbl>
          <w:p w14:paraId="389D260E">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3、噪声</w:t>
            </w:r>
          </w:p>
          <w:p w14:paraId="714CA756">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黑体" w:cs="Times New Roman"/>
                <w:b/>
                <w:bCs/>
                <w:color w:val="auto"/>
                <w:kern w:val="0"/>
                <w:sz w:val="20"/>
                <w:szCs w:val="20"/>
                <w:highlight w:val="none"/>
                <w:lang w:val="en-US" w:eastAsia="zh-CN"/>
              </w:rPr>
            </w:pPr>
            <w:r>
              <w:rPr>
                <w:rFonts w:hint="default" w:ascii="Times New Roman" w:hAnsi="Times New Roman" w:cs="Times New Roman"/>
                <w:color w:val="auto"/>
                <w:sz w:val="24"/>
                <w:szCs w:val="24"/>
                <w:highlight w:val="none"/>
              </w:rPr>
              <w:t>施工期执行《建筑施工</w:t>
            </w:r>
            <w:r>
              <w:rPr>
                <w:rFonts w:hint="eastAsia" w:cs="Times New Roman"/>
                <w:color w:val="auto"/>
                <w:sz w:val="24"/>
                <w:szCs w:val="24"/>
                <w:highlight w:val="none"/>
                <w:lang w:eastAsia="zh-CN"/>
              </w:rPr>
              <w:t>厂</w:t>
            </w:r>
            <w:r>
              <w:rPr>
                <w:rFonts w:hint="default" w:ascii="Times New Roman" w:hAnsi="Times New Roman" w:cs="Times New Roman"/>
                <w:color w:val="auto"/>
                <w:sz w:val="24"/>
                <w:szCs w:val="24"/>
                <w:highlight w:val="none"/>
              </w:rPr>
              <w:t>界环境噪声排放标准》（GB12523-2011），运营期执行《工业企业厂界环境噪声排放标准》（GB12348-2008）2类标准</w:t>
            </w:r>
            <w:r>
              <w:rPr>
                <w:rFonts w:hint="eastAsia" w:cs="Times New Roman"/>
                <w:color w:val="auto"/>
                <w:sz w:val="24"/>
                <w:szCs w:val="24"/>
                <w:highlight w:val="none"/>
                <w:lang w:eastAsia="zh-CN"/>
              </w:rPr>
              <w:t>。</w:t>
            </w:r>
          </w:p>
          <w:p w14:paraId="03ACC795">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rPr>
            </w:pPr>
            <w:r>
              <w:rPr>
                <w:rFonts w:hint="default" w:ascii="Times New Roman" w:hAnsi="Times New Roman" w:eastAsia="黑体" w:cs="Times New Roman"/>
                <w:b/>
                <w:bCs/>
                <w:color w:val="auto"/>
                <w:kern w:val="0"/>
                <w:sz w:val="20"/>
                <w:szCs w:val="20"/>
                <w:highlight w:val="none"/>
                <w:lang w:val="en-US" w:eastAsia="zh-CN"/>
              </w:rPr>
              <w:t>表3-</w:t>
            </w:r>
            <w:r>
              <w:rPr>
                <w:rFonts w:hint="eastAsia" w:ascii="Times New Roman" w:hAnsi="Times New Roman" w:eastAsia="黑体" w:cs="Times New Roman"/>
                <w:b/>
                <w:bCs/>
                <w:color w:val="auto"/>
                <w:kern w:val="0"/>
                <w:sz w:val="20"/>
                <w:szCs w:val="20"/>
                <w:highlight w:val="none"/>
                <w:lang w:val="en-US" w:eastAsia="zh-CN"/>
              </w:rPr>
              <w:t>1</w:t>
            </w:r>
            <w:r>
              <w:rPr>
                <w:rFonts w:hint="eastAsia" w:eastAsia="黑体" w:cs="Times New Roman"/>
                <w:b/>
                <w:bCs/>
                <w:color w:val="auto"/>
                <w:kern w:val="0"/>
                <w:sz w:val="20"/>
                <w:szCs w:val="20"/>
                <w:highlight w:val="none"/>
                <w:lang w:val="en-US" w:eastAsia="zh-CN"/>
              </w:rPr>
              <w:t>9</w:t>
            </w:r>
            <w:r>
              <w:rPr>
                <w:rFonts w:hint="default" w:ascii="Times New Roman" w:hAnsi="Times New Roman" w:eastAsia="黑体" w:cs="Times New Roman"/>
                <w:b/>
                <w:bCs/>
                <w:color w:val="auto"/>
                <w:kern w:val="0"/>
                <w:sz w:val="20"/>
                <w:szCs w:val="20"/>
                <w:highlight w:val="none"/>
                <w:lang w:val="en-US" w:eastAsia="zh-CN"/>
              </w:rPr>
              <w:t xml:space="preserve">  噪声排放标准限值</w:t>
            </w:r>
          </w:p>
          <w:tbl>
            <w:tblPr>
              <w:tblStyle w:val="23"/>
              <w:tblW w:w="85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74"/>
              <w:gridCol w:w="2762"/>
              <w:gridCol w:w="2763"/>
            </w:tblGrid>
            <w:tr w14:paraId="0F1AF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074" w:type="dxa"/>
                  <w:tcBorders>
                    <w:tl2br w:val="nil"/>
                    <w:tr2bl w:val="nil"/>
                  </w:tcBorders>
                  <w:shd w:val="clear" w:color="auto" w:fill="auto"/>
                  <w:vAlign w:val="center"/>
                </w:tcPr>
                <w:p w14:paraId="3DF834AE">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2762" w:type="dxa"/>
                  <w:tcBorders>
                    <w:tl2br w:val="nil"/>
                    <w:tr2bl w:val="nil"/>
                  </w:tcBorders>
                  <w:shd w:val="clear" w:color="auto" w:fill="auto"/>
                  <w:vAlign w:val="center"/>
                </w:tcPr>
                <w:p w14:paraId="10A9A8D9">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2763" w:type="dxa"/>
                  <w:tcBorders>
                    <w:tl2br w:val="nil"/>
                    <w:tr2bl w:val="nil"/>
                  </w:tcBorders>
                  <w:shd w:val="clear" w:color="auto" w:fill="auto"/>
                  <w:vAlign w:val="center"/>
                </w:tcPr>
                <w:p w14:paraId="1B09E0EE">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r>
            <w:tr w14:paraId="3A195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074" w:type="dxa"/>
                  <w:tcBorders>
                    <w:tl2br w:val="nil"/>
                    <w:tr2bl w:val="nil"/>
                  </w:tcBorders>
                  <w:shd w:val="clear" w:color="auto" w:fill="auto"/>
                  <w:vAlign w:val="center"/>
                </w:tcPr>
                <w:p w14:paraId="0099BC0B">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施工气</w:t>
                  </w:r>
                  <w:r>
                    <w:rPr>
                      <w:rFonts w:hint="default" w:ascii="Times New Roman" w:hAnsi="Times New Roman" w:cs="Times New Roman"/>
                      <w:color w:val="auto"/>
                      <w:sz w:val="21"/>
                      <w:szCs w:val="21"/>
                      <w:highlight w:val="none"/>
                    </w:rPr>
                    <w:t>排放限值</w:t>
                  </w:r>
                  <w:r>
                    <w:rPr>
                      <w:rFonts w:hint="default" w:ascii="Times New Roman" w:hAnsi="Times New Roman" w:eastAsia="仿宋" w:cs="Times New Roman"/>
                      <w:color w:val="auto"/>
                      <w:sz w:val="21"/>
                      <w:szCs w:val="21"/>
                      <w:highlight w:val="none"/>
                    </w:rPr>
                    <w:t>[</w:t>
                  </w:r>
                  <w:r>
                    <w:rPr>
                      <w:rFonts w:hint="default" w:ascii="Times New Roman" w:hAnsi="Times New Roman" w:cs="Times New Roman"/>
                      <w:color w:val="auto"/>
                      <w:sz w:val="21"/>
                      <w:szCs w:val="21"/>
                      <w:highlight w:val="none"/>
                    </w:rPr>
                    <w:t>dB（A）</w:t>
                  </w:r>
                  <w:r>
                    <w:rPr>
                      <w:rFonts w:hint="default" w:ascii="Times New Roman" w:hAnsi="Times New Roman" w:eastAsia="仿宋" w:cs="Times New Roman"/>
                      <w:color w:val="auto"/>
                      <w:sz w:val="21"/>
                      <w:szCs w:val="21"/>
                      <w:highlight w:val="none"/>
                    </w:rPr>
                    <w:t>]</w:t>
                  </w:r>
                </w:p>
              </w:tc>
              <w:tc>
                <w:tcPr>
                  <w:tcW w:w="2762" w:type="dxa"/>
                  <w:tcBorders>
                    <w:tl2br w:val="nil"/>
                    <w:tr2bl w:val="nil"/>
                  </w:tcBorders>
                  <w:shd w:val="clear" w:color="auto" w:fill="auto"/>
                  <w:vAlign w:val="center"/>
                </w:tcPr>
                <w:p w14:paraId="10A1A8E4">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2763" w:type="dxa"/>
                  <w:tcBorders>
                    <w:tl2br w:val="nil"/>
                    <w:tr2bl w:val="nil"/>
                  </w:tcBorders>
                  <w:shd w:val="clear" w:color="auto" w:fill="auto"/>
                  <w:vAlign w:val="center"/>
                </w:tcPr>
                <w:p w14:paraId="44D4AFA6">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r w14:paraId="16266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74" w:type="dxa"/>
                  <w:tcBorders>
                    <w:tl2br w:val="nil"/>
                    <w:tr2bl w:val="nil"/>
                  </w:tcBorders>
                  <w:shd w:val="clear" w:color="auto" w:fill="auto"/>
                  <w:vAlign w:val="center"/>
                </w:tcPr>
                <w:p w14:paraId="01985CF2">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运营期排放限值</w:t>
                  </w:r>
                  <w:r>
                    <w:rPr>
                      <w:rFonts w:hint="default" w:ascii="Times New Roman" w:hAnsi="Times New Roman" w:eastAsia="仿宋" w:cs="Times New Roman"/>
                      <w:color w:val="auto"/>
                      <w:sz w:val="21"/>
                      <w:szCs w:val="21"/>
                      <w:highlight w:val="none"/>
                    </w:rPr>
                    <w:t>[</w:t>
                  </w:r>
                  <w:r>
                    <w:rPr>
                      <w:rFonts w:hint="default" w:ascii="Times New Roman" w:hAnsi="Times New Roman" w:cs="Times New Roman"/>
                      <w:color w:val="auto"/>
                      <w:sz w:val="21"/>
                      <w:szCs w:val="21"/>
                      <w:highlight w:val="none"/>
                    </w:rPr>
                    <w:t>dB（A）</w:t>
                  </w:r>
                  <w:r>
                    <w:rPr>
                      <w:rFonts w:hint="default" w:ascii="Times New Roman" w:hAnsi="Times New Roman" w:eastAsia="仿宋" w:cs="Times New Roman"/>
                      <w:color w:val="auto"/>
                      <w:sz w:val="21"/>
                      <w:szCs w:val="21"/>
                      <w:highlight w:val="none"/>
                    </w:rPr>
                    <w:t>]</w:t>
                  </w:r>
                </w:p>
              </w:tc>
              <w:tc>
                <w:tcPr>
                  <w:tcW w:w="2762" w:type="dxa"/>
                  <w:tcBorders>
                    <w:tl2br w:val="nil"/>
                    <w:tr2bl w:val="nil"/>
                  </w:tcBorders>
                  <w:shd w:val="clear" w:color="auto" w:fill="auto"/>
                  <w:vAlign w:val="center"/>
                </w:tcPr>
                <w:p w14:paraId="7E03C35C">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2763" w:type="dxa"/>
                  <w:tcBorders>
                    <w:tl2br w:val="nil"/>
                    <w:tr2bl w:val="nil"/>
                  </w:tcBorders>
                  <w:shd w:val="clear" w:color="auto" w:fill="auto"/>
                  <w:vAlign w:val="center"/>
                </w:tcPr>
                <w:p w14:paraId="7C3919BD">
                  <w:pPr>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r>
          </w:tbl>
          <w:p w14:paraId="67B3B95C">
            <w:pPr>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4、固体废物</w:t>
            </w:r>
          </w:p>
          <w:p w14:paraId="2996AF89">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执行《一般工业固体废物贮存和填埋污染控制标准》（GB18599-2020）</w:t>
            </w:r>
            <w:r>
              <w:rPr>
                <w:rFonts w:hint="eastAsia" w:cs="Times New Roman"/>
                <w:color w:val="auto"/>
                <w:sz w:val="24"/>
                <w:szCs w:val="24"/>
                <w:highlight w:val="none"/>
                <w:lang w:val="en-US" w:eastAsia="zh-CN"/>
              </w:rPr>
              <w:t>的</w:t>
            </w:r>
            <w:r>
              <w:rPr>
                <w:rFonts w:hint="default" w:ascii="Times New Roman" w:hAnsi="Times New Roman" w:cs="Times New Roman"/>
                <w:color w:val="auto"/>
                <w:sz w:val="24"/>
                <w:szCs w:val="24"/>
                <w:highlight w:val="none"/>
              </w:rPr>
              <w:t>相关要求和《危险废物贮存污染控制标准》（GB18597-2023）中</w:t>
            </w:r>
            <w:r>
              <w:rPr>
                <w:rFonts w:hint="eastAsia" w:cs="Times New Roman"/>
                <w:color w:val="auto"/>
                <w:sz w:val="24"/>
                <w:szCs w:val="24"/>
                <w:highlight w:val="none"/>
                <w:lang w:val="en-US" w:eastAsia="zh-CN"/>
              </w:rPr>
              <w:t>的</w:t>
            </w:r>
            <w:r>
              <w:rPr>
                <w:rFonts w:hint="default" w:ascii="Times New Roman" w:hAnsi="Times New Roman" w:cs="Times New Roman"/>
                <w:color w:val="auto"/>
                <w:sz w:val="24"/>
                <w:szCs w:val="24"/>
                <w:highlight w:val="none"/>
              </w:rPr>
              <w:t>相关要求。</w:t>
            </w:r>
          </w:p>
        </w:tc>
      </w:tr>
      <w:tr w14:paraId="756A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5" w:hRule="atLeast"/>
          <w:jc w:val="center"/>
        </w:trPr>
        <w:tc>
          <w:tcPr>
            <w:tcW w:w="633" w:type="dxa"/>
            <w:vAlign w:val="center"/>
          </w:tcPr>
          <w:p w14:paraId="71E552F3">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总量</w:t>
            </w:r>
          </w:p>
          <w:p w14:paraId="46A3C0E0">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控制</w:t>
            </w:r>
          </w:p>
          <w:p w14:paraId="7E68FA90">
            <w:pPr>
              <w:keepNext w:val="0"/>
              <w:keepLines w:val="0"/>
              <w:pageBreakBefore w:val="0"/>
              <w:suppressLineNumbers w:val="0"/>
              <w:kinsoku/>
              <w:wordWrap/>
              <w:overflowPunct/>
              <w:topLinePunct w:val="0"/>
              <w:bidi w:val="0"/>
              <w:spacing w:before="0" w:beforeAutospacing="0" w:after="0" w:afterAutospacing="0" w:line="36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指标</w:t>
            </w:r>
          </w:p>
        </w:tc>
        <w:tc>
          <w:tcPr>
            <w:tcW w:w="8759" w:type="dxa"/>
            <w:vAlign w:val="center"/>
          </w:tcPr>
          <w:p w14:paraId="583E9EBD">
            <w:pPr>
              <w:keepNext w:val="0"/>
              <w:keepLines w:val="0"/>
              <w:pageBreakBefore w:val="0"/>
              <w:numPr>
                <w:ilvl w:val="0"/>
                <w:numId w:val="1"/>
              </w:numPr>
              <w:suppressLineNumbers w:val="0"/>
              <w:kinsoku/>
              <w:wordWrap/>
              <w:overflowPunct/>
              <w:topLinePunct w:val="0"/>
              <w:bidi w:val="0"/>
              <w:spacing w:before="0" w:beforeAutospacing="0" w:after="0" w:afterAutospacing="0" w:line="360" w:lineRule="auto"/>
              <w:ind w:left="0" w:right="0" w:firstLine="482" w:firstLineChars="200"/>
              <w:textAlignment w:val="auto"/>
              <w:rPr>
                <w:rFonts w:hint="eastAsia" w:cs="Times New Roman"/>
                <w:b/>
                <w:bCs w:val="0"/>
                <w:color w:val="auto"/>
                <w:sz w:val="24"/>
                <w:highlight w:val="none"/>
                <w:lang w:val="en-US" w:eastAsia="zh-CN"/>
              </w:rPr>
            </w:pPr>
            <w:r>
              <w:rPr>
                <w:rFonts w:hint="eastAsia" w:cs="Times New Roman"/>
                <w:b/>
                <w:bCs w:val="0"/>
                <w:color w:val="auto"/>
                <w:sz w:val="24"/>
                <w:highlight w:val="none"/>
                <w:lang w:val="en-US" w:eastAsia="zh-CN"/>
              </w:rPr>
              <w:t>废水</w:t>
            </w:r>
          </w:p>
          <w:p w14:paraId="3D07A98F">
            <w:pPr>
              <w:keepNext w:val="0"/>
              <w:keepLines w:val="0"/>
              <w:pageBreakBefore w:val="0"/>
              <w:numPr>
                <w:ilvl w:val="0"/>
                <w:numId w:val="0"/>
              </w:numPr>
              <w:suppressLineNumbers w:val="0"/>
              <w:kinsoku/>
              <w:wordWrap/>
              <w:overflowPunct/>
              <w:topLinePunct w:val="0"/>
              <w:bidi w:val="0"/>
              <w:spacing w:before="0" w:beforeAutospacing="0" w:after="0" w:afterAutospacing="0" w:line="360" w:lineRule="auto"/>
              <w:ind w:left="0" w:right="0" w:righ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本项目废水经预处理后通过市政污水管网进入通川区魏兴场镇污水处理厂，因此本项目不设总量控制指标。</w:t>
            </w:r>
          </w:p>
          <w:p w14:paraId="76242176">
            <w:pPr>
              <w:keepNext w:val="0"/>
              <w:keepLines w:val="0"/>
              <w:pageBreakBefore w:val="0"/>
              <w:numPr>
                <w:ilvl w:val="0"/>
                <w:numId w:val="1"/>
              </w:numPr>
              <w:suppressLineNumbers w:val="0"/>
              <w:kinsoku/>
              <w:wordWrap/>
              <w:overflowPunct/>
              <w:topLinePunct w:val="0"/>
              <w:bidi w:val="0"/>
              <w:spacing w:before="0" w:beforeAutospacing="0" w:after="0" w:afterAutospacing="0" w:line="360" w:lineRule="auto"/>
              <w:ind w:left="0" w:leftChars="0" w:right="0" w:firstLine="482"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废气</w:t>
            </w:r>
          </w:p>
          <w:p w14:paraId="10BC3372">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项目营运期产生的废气主要为卸油储油及加油作业的过程中产生的非甲烷总烃。本项目使用的油量较少，非甲烷总烃的排放量较小，周边地势开阔，空气流动性良好，则对周边大气环境影响小。故建议不申请大气污染物总量控制指标。</w:t>
            </w:r>
          </w:p>
          <w:p w14:paraId="1861CBF6">
            <w:pPr>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综上，本项目</w:t>
            </w:r>
            <w:r>
              <w:rPr>
                <w:rFonts w:hint="eastAsia" w:cs="Times New Roman"/>
                <w:color w:val="auto"/>
                <w:sz w:val="24"/>
                <w:szCs w:val="24"/>
                <w:highlight w:val="none"/>
                <w:lang w:val="en-US" w:eastAsia="zh-CN"/>
              </w:rPr>
              <w:t>无须设置</w:t>
            </w:r>
            <w:r>
              <w:rPr>
                <w:rFonts w:hint="default" w:ascii="Times New Roman" w:hAnsi="Times New Roman" w:cs="Times New Roman"/>
                <w:color w:val="auto"/>
                <w:sz w:val="24"/>
                <w:szCs w:val="24"/>
                <w:highlight w:val="none"/>
                <w:lang w:val="en-US" w:eastAsia="zh-CN"/>
              </w:rPr>
              <w:t>总量控制指标</w:t>
            </w:r>
            <w:r>
              <w:rPr>
                <w:rFonts w:hint="default" w:ascii="Times New Roman" w:hAnsi="Times New Roman" w:cs="Times New Roman"/>
                <w:color w:val="auto"/>
                <w:sz w:val="24"/>
                <w:szCs w:val="24"/>
                <w:highlight w:val="none"/>
              </w:rPr>
              <w:t>。</w:t>
            </w:r>
          </w:p>
        </w:tc>
      </w:tr>
    </w:tbl>
    <w:p w14:paraId="181C1C18">
      <w:pPr>
        <w:pStyle w:val="20"/>
        <w:rPr>
          <w:color w:val="auto"/>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2CB25446">
      <w:pPr>
        <w:pStyle w:val="30"/>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四、主要环境影响和保护措施</w:t>
      </w:r>
    </w:p>
    <w:tbl>
      <w:tblPr>
        <w:tblStyle w:val="23"/>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8779"/>
      </w:tblGrid>
      <w:tr w14:paraId="4EF3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81" w:type="dxa"/>
            <w:noWrap w:val="0"/>
            <w:vAlign w:val="center"/>
          </w:tcPr>
          <w:p w14:paraId="4566D0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w:t>
            </w:r>
          </w:p>
          <w:p w14:paraId="2D5296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期环</w:t>
            </w:r>
          </w:p>
          <w:p w14:paraId="3F60BB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境保</w:t>
            </w:r>
          </w:p>
          <w:p w14:paraId="4BB7B1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护措</w:t>
            </w:r>
          </w:p>
          <w:p w14:paraId="3147C3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w:t>
            </w:r>
          </w:p>
        </w:tc>
        <w:tc>
          <w:tcPr>
            <w:tcW w:w="8779" w:type="dxa"/>
            <w:noWrap w:val="0"/>
            <w:vAlign w:val="center"/>
          </w:tcPr>
          <w:p w14:paraId="771E5E45">
            <w:pPr>
              <w:keepNext w:val="0"/>
              <w:keepLines w:val="0"/>
              <w:suppressLineNumbers w:val="0"/>
              <w:spacing w:before="0" w:beforeAutospacing="0" w:after="0" w:afterAutospacing="0" w:line="360" w:lineRule="auto"/>
              <w:ind w:left="0" w:right="0" w:firstLine="482" w:firstLineChars="200"/>
              <w:rPr>
                <w:rFonts w:hint="default"/>
                <w:b/>
                <w:color w:val="auto"/>
                <w:szCs w:val="24"/>
                <w:highlight w:val="none"/>
              </w:rPr>
            </w:pPr>
            <w:r>
              <w:rPr>
                <w:rFonts w:hint="default"/>
                <w:b/>
                <w:color w:val="auto"/>
                <w:szCs w:val="24"/>
                <w:highlight w:val="none"/>
              </w:rPr>
              <w:t>1、废气</w:t>
            </w:r>
          </w:p>
          <w:p w14:paraId="7DE29123">
            <w:pPr>
              <w:keepNext w:val="0"/>
              <w:keepLines w:val="0"/>
              <w:suppressLineNumbers w:val="0"/>
              <w:spacing w:before="0" w:beforeAutospacing="0" w:after="0" w:afterAutospacing="0" w:line="360" w:lineRule="auto"/>
              <w:ind w:left="0" w:right="0" w:firstLine="361" w:firstLineChars="150"/>
              <w:rPr>
                <w:rFonts w:hint="default"/>
                <w:b/>
                <w:color w:val="auto"/>
                <w:szCs w:val="24"/>
                <w:highlight w:val="none"/>
              </w:rPr>
            </w:pPr>
            <w:r>
              <w:rPr>
                <w:rFonts w:hint="default"/>
                <w:b/>
                <w:color w:val="auto"/>
                <w:szCs w:val="24"/>
                <w:highlight w:val="none"/>
              </w:rPr>
              <w:t>（1）施工扬尘</w:t>
            </w:r>
          </w:p>
          <w:p w14:paraId="67136171">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在施工阶段，产生扬尘的作业主要有土地平整、开挖、回填、建材运输、装卸等过程，经类比分析，施工场地扬尘浓度一般约为3.5mg/m</w:t>
            </w:r>
            <w:r>
              <w:rPr>
                <w:rFonts w:hint="default"/>
                <w:color w:val="auto"/>
                <w:szCs w:val="24"/>
                <w:highlight w:val="none"/>
                <w:vertAlign w:val="superscript"/>
              </w:rPr>
              <w:t>3</w:t>
            </w:r>
            <w:r>
              <w:rPr>
                <w:rFonts w:hint="default"/>
                <w:color w:val="auto"/>
                <w:szCs w:val="24"/>
                <w:highlight w:val="none"/>
              </w:rPr>
              <w:t>，会对周围环境产生一定影响。为减轻施工期扬尘对大气环境的影响施工单位必须严格按照《四川省建筑工程扬尘污染防治技术导则（试行）》（川建发〔2019〕16号）等有关要求进行施工，采取以下扬尘防治措施：</w:t>
            </w:r>
          </w:p>
          <w:p w14:paraId="19DD0D6F">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①施工现场主要道路及施工区域与社会通行道路交叉通道必须硬化；推行绿色施工和装配式建筑施工方式，在专业化工厂预制构件，在工地进行装配，减少现场浇筑。</w:t>
            </w:r>
          </w:p>
          <w:p w14:paraId="4C90DA62">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②施工车辆实施限速管理，施工现场主要运输道路定期洒水抑尘；设置喷淋、冲洗等防尘降尘设施，对驶离车辆实施冲洗，配套设置地面排水沟、沉淀池。</w:t>
            </w:r>
          </w:p>
          <w:p w14:paraId="3E8CE702">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③运输车辆严禁超载行驶，必须采取密闭运输，装卸作业时必须采取有效防护措施，不得遗撒、泄漏、违规倾倒；运输时应选择对周围环境影响较小的运输路线，定时对运输路线进行清扫。</w:t>
            </w:r>
          </w:p>
          <w:p w14:paraId="728C1343">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④禁止在风天进行渣土堆放作业，建材堆放地点要相对集中，建筑垃圾应及时清运，并对堆场以防尘布覆盖，禁止露天堆放。</w:t>
            </w:r>
          </w:p>
          <w:p w14:paraId="7AABDF50">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⑤风速大于4m/s时应停止施工；尽量避免冬季、春季进行大规模土方作业，做到“慎开工，早完工”；遇重污染天气，建设单位和施工单位应按照《达州市重污染天气应急预案（</w:t>
            </w:r>
            <w:r>
              <w:rPr>
                <w:rFonts w:hint="eastAsia"/>
                <w:color w:val="auto"/>
                <w:szCs w:val="24"/>
                <w:highlight w:val="none"/>
              </w:rPr>
              <w:t>试行</w:t>
            </w:r>
            <w:r>
              <w:rPr>
                <w:rFonts w:hint="default"/>
                <w:color w:val="auto"/>
                <w:szCs w:val="24"/>
                <w:highlight w:val="none"/>
              </w:rPr>
              <w:t>）》通知落实重污染天气状况下的应急措施要求。</w:t>
            </w:r>
          </w:p>
          <w:p w14:paraId="23CA5EFB">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同时，施工单位</w:t>
            </w:r>
            <w:r>
              <w:rPr>
                <w:rFonts w:hint="eastAsia"/>
                <w:color w:val="auto"/>
                <w:szCs w:val="24"/>
                <w:highlight w:val="none"/>
              </w:rPr>
              <w:t>必须</w:t>
            </w:r>
            <w:r>
              <w:rPr>
                <w:rFonts w:hint="default"/>
                <w:color w:val="auto"/>
                <w:szCs w:val="24"/>
                <w:highlight w:val="none"/>
              </w:rPr>
              <w:t>全面督查建筑工地现场管理“六必须</w:t>
            </w:r>
            <w:r>
              <w:rPr>
                <w:rFonts w:hint="eastAsia"/>
                <w:color w:val="auto"/>
                <w:szCs w:val="24"/>
                <w:highlight w:val="none"/>
                <w:lang w:eastAsia="zh-CN"/>
              </w:rPr>
              <w:t>”“</w:t>
            </w:r>
            <w:r>
              <w:rPr>
                <w:rFonts w:hint="default"/>
                <w:color w:val="auto"/>
                <w:szCs w:val="24"/>
                <w:highlight w:val="none"/>
              </w:rPr>
              <w:t>六不准”的执行情况，即：必须打围作业、必须硬化道路、必须设置冲洗设施、必须湿法作业、必须配齐保洁人员、必须定时清扫施工现场；不准车辆带泥出门，不准运渣车辆冒顶装载、不准高空</w:t>
            </w:r>
            <w:r>
              <w:rPr>
                <w:rFonts w:hint="eastAsia"/>
                <w:color w:val="auto"/>
                <w:szCs w:val="24"/>
                <w:highlight w:val="none"/>
              </w:rPr>
              <w:t>抛洒</w:t>
            </w:r>
            <w:r>
              <w:rPr>
                <w:rFonts w:hint="default"/>
                <w:color w:val="auto"/>
                <w:szCs w:val="24"/>
                <w:highlight w:val="none"/>
              </w:rPr>
              <w:t>建渣、不准现场搅拌混凝土、不准场地积水、不准现场焚烧废弃物。同时，施工单位必须严格按照《四川省建筑工程扬尘污染防治技术导则（试行）》（川建发〔2019〕16号）中要求，严格落实“六个百分百”要求，包括：工地周边围挡、物料堆放覆盖、出入车辆冲洗、施工现场道路及材料堆场硬化、工地湿法作业及渣土车辆密闭运输，确保施工场地扬尘达到《四川省施工场地扬尘排放标准》（DB51/2682-2020）中相关限值要求。</w:t>
            </w:r>
          </w:p>
          <w:p w14:paraId="6464A937">
            <w:pPr>
              <w:keepNext w:val="0"/>
              <w:keepLines w:val="0"/>
              <w:suppressLineNumbers w:val="0"/>
              <w:spacing w:before="0" w:beforeAutospacing="0" w:after="0" w:afterAutospacing="0" w:line="360" w:lineRule="auto"/>
              <w:ind w:left="0" w:right="0" w:firstLine="361" w:firstLineChars="150"/>
              <w:rPr>
                <w:rFonts w:hint="default"/>
                <w:b/>
                <w:color w:val="auto"/>
                <w:szCs w:val="24"/>
                <w:highlight w:val="none"/>
              </w:rPr>
            </w:pPr>
            <w:r>
              <w:rPr>
                <w:rFonts w:hint="default"/>
                <w:b/>
                <w:color w:val="auto"/>
                <w:szCs w:val="24"/>
                <w:highlight w:val="none"/>
              </w:rPr>
              <w:t>（2）施工机械废气</w:t>
            </w:r>
          </w:p>
          <w:p w14:paraId="14CEA9A8">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项目施工设备和建筑机械设备的运转，会排放一定量的CO、NO</w:t>
            </w:r>
            <w:r>
              <w:rPr>
                <w:rFonts w:hint="default"/>
                <w:color w:val="auto"/>
                <w:szCs w:val="24"/>
                <w:highlight w:val="none"/>
                <w:vertAlign w:val="subscript"/>
              </w:rPr>
              <w:t>x</w:t>
            </w:r>
            <w:r>
              <w:rPr>
                <w:rFonts w:hint="default"/>
                <w:color w:val="auto"/>
                <w:szCs w:val="24"/>
                <w:highlight w:val="none"/>
              </w:rPr>
              <w:t>以及未完全燃烧的THC等，由于其属间断性无组织排放，特点是排放量小，加之施工场地开阔，扩散条件良好，对其不加处理也可达到相应的排放标准。环评要求建设单位禁止使用高排放非道路移动机械，制定施工现场非道路移动机械管理制度，并加强施工设备的维护和用油管理。</w:t>
            </w:r>
          </w:p>
          <w:p w14:paraId="6BF12A75">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lang w:eastAsia="zh-CN"/>
              </w:rPr>
              <w:t>（</w:t>
            </w:r>
            <w:r>
              <w:rPr>
                <w:rFonts w:hint="eastAsia"/>
                <w:b/>
                <w:bCs/>
                <w:color w:val="auto"/>
                <w:sz w:val="24"/>
                <w:highlight w:val="none"/>
                <w:lang w:val="en-US" w:eastAsia="zh-CN"/>
              </w:rPr>
              <w:t>3</w:t>
            </w:r>
            <w:r>
              <w:rPr>
                <w:rFonts w:hint="eastAsia"/>
                <w:b/>
                <w:bCs/>
                <w:color w:val="auto"/>
                <w:sz w:val="24"/>
                <w:highlight w:val="none"/>
                <w:lang w:eastAsia="zh-CN"/>
              </w:rPr>
              <w:t>）</w:t>
            </w:r>
            <w:r>
              <w:rPr>
                <w:rFonts w:hint="eastAsia"/>
                <w:b/>
                <w:bCs/>
                <w:color w:val="auto"/>
                <w:sz w:val="24"/>
                <w:highlight w:val="none"/>
              </w:rPr>
              <w:t>装修废气</w:t>
            </w:r>
          </w:p>
          <w:p w14:paraId="0F55C57E">
            <w:pPr>
              <w:keepNext w:val="0"/>
              <w:keepLines w:val="0"/>
              <w:suppressLineNumbers w:val="0"/>
              <w:spacing w:before="0" w:beforeAutospacing="0" w:after="0" w:afterAutospacing="0" w:line="360" w:lineRule="auto"/>
              <w:ind w:left="0" w:right="0" w:firstLine="480" w:firstLineChars="200"/>
              <w:rPr>
                <w:rFonts w:hint="default"/>
                <w:b/>
                <w:color w:val="auto"/>
                <w:spacing w:val="-10"/>
                <w:sz w:val="24"/>
                <w:highlight w:val="none"/>
              </w:rPr>
            </w:pPr>
            <w:r>
              <w:rPr>
                <w:rFonts w:hint="default"/>
                <w:color w:val="auto"/>
                <w:sz w:val="24"/>
                <w:highlight w:val="none"/>
              </w:rPr>
              <w:t>装修废气主要来自</w:t>
            </w:r>
            <w:r>
              <w:rPr>
                <w:rFonts w:hint="eastAsia"/>
                <w:color w:val="auto"/>
                <w:sz w:val="24"/>
                <w:highlight w:val="none"/>
              </w:rPr>
              <w:t>站房</w:t>
            </w:r>
            <w:r>
              <w:rPr>
                <w:rFonts w:hint="default"/>
                <w:color w:val="auto"/>
                <w:sz w:val="24"/>
                <w:highlight w:val="none"/>
              </w:rPr>
              <w:t>装修阶段，主要污染因子是涂料挥发废气，该废气的排放属无组织排放，由于装修阶段的装修废气排放周期短，且装修面积较少、作业点分散，故装修期间应加强通风换气。</w:t>
            </w:r>
            <w:r>
              <w:rPr>
                <w:rFonts w:hint="default"/>
                <w:bCs/>
                <w:color w:val="auto"/>
                <w:sz w:val="24"/>
                <w:highlight w:val="none"/>
              </w:rPr>
              <w:t>环</w:t>
            </w:r>
            <w:r>
              <w:rPr>
                <w:rFonts w:hint="default"/>
                <w:color w:val="auto"/>
                <w:sz w:val="24"/>
                <w:highlight w:val="none"/>
              </w:rPr>
              <w:t>评要求采用优质环保的装修材料，使用无污染性废气产生的材料、涂料，减少废气中有害物质的排放</w:t>
            </w:r>
            <w:r>
              <w:rPr>
                <w:rFonts w:hint="eastAsia"/>
                <w:color w:val="auto"/>
                <w:sz w:val="24"/>
                <w:highlight w:val="none"/>
              </w:rPr>
              <w:t>。</w:t>
            </w:r>
          </w:p>
          <w:p w14:paraId="491BC952">
            <w:pPr>
              <w:keepNext w:val="0"/>
              <w:keepLines w:val="0"/>
              <w:suppressLineNumbers w:val="0"/>
              <w:spacing w:before="0" w:beforeAutospacing="0" w:after="0" w:afterAutospacing="0" w:line="360" w:lineRule="auto"/>
              <w:ind w:left="0" w:right="0" w:firstLine="482" w:firstLineChars="200"/>
              <w:rPr>
                <w:rFonts w:hint="default"/>
                <w:b/>
                <w:color w:val="auto"/>
                <w:szCs w:val="24"/>
                <w:highlight w:val="none"/>
              </w:rPr>
            </w:pPr>
            <w:r>
              <w:rPr>
                <w:rFonts w:hint="default"/>
                <w:b/>
                <w:color w:val="auto"/>
                <w:szCs w:val="24"/>
                <w:highlight w:val="none"/>
              </w:rPr>
              <w:t>2、废水</w:t>
            </w:r>
          </w:p>
          <w:p w14:paraId="3E2DB3F6">
            <w:pPr>
              <w:keepNext w:val="0"/>
              <w:keepLines w:val="0"/>
              <w:suppressLineNumbers w:val="0"/>
              <w:spacing w:before="0" w:beforeAutospacing="0" w:after="0" w:afterAutospacing="0" w:line="360" w:lineRule="auto"/>
              <w:ind w:left="0" w:right="0" w:firstLine="361" w:firstLineChars="150"/>
              <w:rPr>
                <w:rFonts w:hint="default"/>
                <w:b/>
                <w:color w:val="auto"/>
                <w:szCs w:val="24"/>
                <w:highlight w:val="none"/>
              </w:rPr>
            </w:pPr>
            <w:r>
              <w:rPr>
                <w:rFonts w:hint="default"/>
                <w:b/>
                <w:color w:val="auto"/>
                <w:szCs w:val="24"/>
                <w:highlight w:val="none"/>
              </w:rPr>
              <w:t>（1）生活污水</w:t>
            </w:r>
          </w:p>
          <w:p w14:paraId="7FC3E11F">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施工高峰期施工人员预计约</w:t>
            </w:r>
            <w:r>
              <w:rPr>
                <w:rFonts w:hint="eastAsia"/>
                <w:color w:val="auto"/>
                <w:szCs w:val="24"/>
                <w:highlight w:val="none"/>
              </w:rPr>
              <w:t>10</w:t>
            </w:r>
            <w:r>
              <w:rPr>
                <w:rFonts w:hint="default"/>
                <w:color w:val="auto"/>
                <w:szCs w:val="24"/>
                <w:highlight w:val="none"/>
              </w:rPr>
              <w:t>人，施工人员生活用水量按0.1m</w:t>
            </w:r>
            <w:r>
              <w:rPr>
                <w:rFonts w:hint="default"/>
                <w:color w:val="auto"/>
                <w:szCs w:val="24"/>
                <w:highlight w:val="none"/>
                <w:vertAlign w:val="superscript"/>
              </w:rPr>
              <w:t>3</w:t>
            </w:r>
            <w:r>
              <w:rPr>
                <w:rFonts w:hint="default"/>
                <w:color w:val="auto"/>
                <w:szCs w:val="24"/>
                <w:highlight w:val="none"/>
              </w:rPr>
              <w:t>/d，生活污水产生系数取0.8，则生活污水产生量为</w:t>
            </w:r>
            <w:r>
              <w:rPr>
                <w:rFonts w:hint="eastAsia"/>
                <w:color w:val="auto"/>
                <w:szCs w:val="24"/>
                <w:highlight w:val="none"/>
              </w:rPr>
              <w:t>0.8</w:t>
            </w:r>
            <w:r>
              <w:rPr>
                <w:rFonts w:hint="default"/>
                <w:color w:val="auto"/>
                <w:szCs w:val="24"/>
                <w:highlight w:val="none"/>
              </w:rPr>
              <w:t>m</w:t>
            </w:r>
            <w:r>
              <w:rPr>
                <w:rFonts w:hint="default"/>
                <w:color w:val="auto"/>
                <w:szCs w:val="24"/>
                <w:highlight w:val="none"/>
                <w:vertAlign w:val="superscript"/>
              </w:rPr>
              <w:t>3</w:t>
            </w:r>
            <w:r>
              <w:rPr>
                <w:rFonts w:hint="default"/>
                <w:color w:val="auto"/>
                <w:szCs w:val="24"/>
                <w:highlight w:val="none"/>
              </w:rPr>
              <w:t>/d，生活污水</w:t>
            </w:r>
            <w:r>
              <w:rPr>
                <w:rFonts w:hint="eastAsia"/>
                <w:color w:val="auto"/>
                <w:highlight w:val="none"/>
                <w:lang w:val="en-US" w:eastAsia="zh-CN"/>
              </w:rPr>
              <w:t>依托东岳收费站化粪池收集</w:t>
            </w:r>
            <w:r>
              <w:rPr>
                <w:rFonts w:hint="default"/>
                <w:color w:val="auto"/>
                <w:szCs w:val="24"/>
                <w:highlight w:val="none"/>
              </w:rPr>
              <w:t>后</w:t>
            </w:r>
            <w:r>
              <w:rPr>
                <w:rFonts w:hint="eastAsia"/>
                <w:color w:val="auto"/>
                <w:szCs w:val="24"/>
                <w:highlight w:val="none"/>
                <w:lang w:val="en-US" w:eastAsia="zh-CN"/>
              </w:rPr>
              <w:t>排入市政管网</w:t>
            </w:r>
            <w:r>
              <w:rPr>
                <w:rFonts w:hint="default"/>
                <w:color w:val="auto"/>
                <w:szCs w:val="24"/>
                <w:highlight w:val="none"/>
              </w:rPr>
              <w:t>。</w:t>
            </w:r>
          </w:p>
          <w:p w14:paraId="70C46DE8">
            <w:pPr>
              <w:keepNext w:val="0"/>
              <w:keepLines w:val="0"/>
              <w:suppressLineNumbers w:val="0"/>
              <w:spacing w:before="0" w:beforeAutospacing="0" w:after="0" w:afterAutospacing="0" w:line="360" w:lineRule="auto"/>
              <w:ind w:left="0" w:right="0" w:firstLine="361" w:firstLineChars="150"/>
              <w:rPr>
                <w:rFonts w:hint="default"/>
                <w:b/>
                <w:color w:val="auto"/>
                <w:szCs w:val="24"/>
                <w:highlight w:val="none"/>
              </w:rPr>
            </w:pPr>
            <w:r>
              <w:rPr>
                <w:rFonts w:hint="default"/>
                <w:b/>
                <w:color w:val="auto"/>
                <w:szCs w:val="24"/>
                <w:highlight w:val="none"/>
              </w:rPr>
              <w:t>（2）施工废水</w:t>
            </w:r>
          </w:p>
          <w:p w14:paraId="755A6A2A">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施工废水中的主要污染物为pH（一般大于7）、SS、COD、石油类，污水中COD浓度值最高约500m/L、BOD</w:t>
            </w:r>
            <w:r>
              <w:rPr>
                <w:rFonts w:hint="default"/>
                <w:color w:val="auto"/>
                <w:szCs w:val="24"/>
                <w:highlight w:val="none"/>
                <w:vertAlign w:val="subscript"/>
              </w:rPr>
              <w:t>5</w:t>
            </w:r>
            <w:r>
              <w:rPr>
                <w:rFonts w:hint="default"/>
                <w:color w:val="auto"/>
                <w:szCs w:val="24"/>
                <w:highlight w:val="none"/>
              </w:rPr>
              <w:t>约400mg/L、SS 约1000mg/L。经类比分析，项目施工期施工废水预计排放量为</w:t>
            </w:r>
            <w:r>
              <w:rPr>
                <w:rFonts w:hint="eastAsia"/>
                <w:color w:val="auto"/>
                <w:szCs w:val="24"/>
                <w:highlight w:val="none"/>
              </w:rPr>
              <w:t>5</w:t>
            </w:r>
            <w:r>
              <w:rPr>
                <w:rFonts w:hint="default"/>
                <w:color w:val="auto"/>
                <w:szCs w:val="24"/>
                <w:highlight w:val="none"/>
              </w:rPr>
              <w:t>m</w:t>
            </w:r>
            <w:r>
              <w:rPr>
                <w:rFonts w:hint="default"/>
                <w:color w:val="auto"/>
                <w:szCs w:val="24"/>
                <w:highlight w:val="none"/>
                <w:vertAlign w:val="superscript"/>
              </w:rPr>
              <w:t>3</w:t>
            </w:r>
            <w:r>
              <w:rPr>
                <w:rFonts w:hint="default"/>
                <w:color w:val="auto"/>
                <w:szCs w:val="24"/>
                <w:highlight w:val="none"/>
              </w:rPr>
              <w:t>/d，为防止施工废水对区域地表水环境造成影响，本环评要求建设单位应采取以下污染防治措施：</w:t>
            </w:r>
          </w:p>
          <w:p w14:paraId="6E476622">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①施工场地应建设沉淀池，施工废水经</w:t>
            </w:r>
            <w:r>
              <w:rPr>
                <w:rFonts w:hint="eastAsia"/>
                <w:color w:val="auto"/>
                <w:szCs w:val="24"/>
                <w:highlight w:val="none"/>
              </w:rPr>
              <w:t>隔油</w:t>
            </w:r>
            <w:r>
              <w:rPr>
                <w:rFonts w:hint="default"/>
                <w:color w:val="auto"/>
                <w:szCs w:val="24"/>
                <w:highlight w:val="none"/>
              </w:rPr>
              <w:t>沉淀后全部用于建筑工地洒水和车辆冲洗。</w:t>
            </w:r>
          </w:p>
          <w:p w14:paraId="19B52484">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②施工期机械和车辆冲洗废水含有少量</w:t>
            </w:r>
            <w:r>
              <w:rPr>
                <w:rFonts w:hint="eastAsia"/>
                <w:color w:val="auto"/>
                <w:szCs w:val="24"/>
                <w:highlight w:val="none"/>
                <w:lang w:val="en-US" w:eastAsia="zh-CN"/>
              </w:rPr>
              <w:t>泥沙</w:t>
            </w:r>
            <w:r>
              <w:rPr>
                <w:rFonts w:hint="default"/>
                <w:color w:val="auto"/>
                <w:szCs w:val="24"/>
                <w:highlight w:val="none"/>
              </w:rPr>
              <w:t>，应修建</w:t>
            </w:r>
            <w:r>
              <w:rPr>
                <w:rFonts w:hint="eastAsia"/>
                <w:color w:val="auto"/>
                <w:szCs w:val="24"/>
                <w:highlight w:val="none"/>
              </w:rPr>
              <w:t>沉淀</w:t>
            </w:r>
            <w:r>
              <w:rPr>
                <w:rFonts w:hint="default"/>
                <w:color w:val="auto"/>
                <w:szCs w:val="24"/>
                <w:highlight w:val="none"/>
              </w:rPr>
              <w:t>池及配套排水沟，污水经</w:t>
            </w:r>
            <w:r>
              <w:rPr>
                <w:rFonts w:hint="eastAsia"/>
                <w:color w:val="auto"/>
                <w:szCs w:val="24"/>
                <w:highlight w:val="none"/>
              </w:rPr>
              <w:t>沉淀</w:t>
            </w:r>
            <w:r>
              <w:rPr>
                <w:rFonts w:hint="default"/>
                <w:color w:val="auto"/>
                <w:szCs w:val="24"/>
                <w:highlight w:val="none"/>
              </w:rPr>
              <w:t>处理后全部回用。</w:t>
            </w:r>
          </w:p>
          <w:p w14:paraId="465CE75A">
            <w:pPr>
              <w:keepNext w:val="0"/>
              <w:keepLines w:val="0"/>
              <w:suppressLineNumbers w:val="0"/>
              <w:spacing w:before="0" w:beforeAutospacing="0" w:after="0" w:afterAutospacing="0" w:line="360" w:lineRule="auto"/>
              <w:ind w:left="0" w:right="0" w:firstLine="480"/>
              <w:rPr>
                <w:rFonts w:hint="default"/>
                <w:b/>
                <w:color w:val="auto"/>
                <w:szCs w:val="24"/>
                <w:highlight w:val="none"/>
              </w:rPr>
            </w:pPr>
            <w:r>
              <w:rPr>
                <w:rFonts w:hint="default"/>
                <w:b/>
                <w:color w:val="auto"/>
                <w:szCs w:val="24"/>
                <w:highlight w:val="none"/>
              </w:rPr>
              <w:t>3、噪声</w:t>
            </w:r>
          </w:p>
          <w:p w14:paraId="48CF207E">
            <w:pPr>
              <w:keepNext w:val="0"/>
              <w:keepLines w:val="0"/>
              <w:suppressLineNumbers w:val="0"/>
              <w:spacing w:before="0" w:beforeAutospacing="0" w:after="0" w:afterAutospacing="0" w:line="360" w:lineRule="auto"/>
              <w:ind w:left="0" w:right="0" w:firstLine="482" w:firstLineChars="200"/>
              <w:rPr>
                <w:rFonts w:hint="default"/>
                <w:b/>
                <w:color w:val="auto"/>
                <w:szCs w:val="24"/>
                <w:highlight w:val="none"/>
              </w:rPr>
            </w:pPr>
            <w:r>
              <w:rPr>
                <w:rFonts w:hint="eastAsia"/>
                <w:b/>
                <w:color w:val="auto"/>
                <w:szCs w:val="24"/>
                <w:highlight w:val="none"/>
              </w:rPr>
              <w:t>（1）噪声源强及治理措施</w:t>
            </w:r>
          </w:p>
          <w:p w14:paraId="55B48389">
            <w:pPr>
              <w:keepNext w:val="0"/>
              <w:keepLines w:val="0"/>
              <w:suppressLineNumbers w:val="0"/>
              <w:spacing w:before="0" w:beforeAutospacing="0" w:after="0" w:afterAutospacing="0" w:line="360" w:lineRule="auto"/>
              <w:ind w:left="0" w:right="0" w:firstLine="480"/>
              <w:rPr>
                <w:rFonts w:hint="default"/>
                <w:color w:val="auto"/>
                <w:szCs w:val="24"/>
                <w:highlight w:val="none"/>
              </w:rPr>
            </w:pPr>
            <w:r>
              <w:rPr>
                <w:rFonts w:hint="default"/>
                <w:color w:val="auto"/>
                <w:szCs w:val="24"/>
                <w:highlight w:val="none"/>
              </w:rPr>
              <w:t>施工期噪声主要来源于施工现场的各类机械设备噪声，不同施工阶段和不同施工机械发出的噪声水平是不同的，各机械设备的动力噪声源声级一般在85dB（A）以上，其在多台机械设备同时作业时，各台设备产生的噪声会产生叠加。根据工程所在区域环境现状，为实现施工场界噪声达标排放，降低施工噪声对周围环境的影响，施工单位需严格按照相关要求文明施工，采取以下噪声防治措施：</w:t>
            </w:r>
          </w:p>
          <w:p w14:paraId="193F30D7">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①选用符合国家标准的低噪声设备，定期加强对设备的维修保养，避免由于设备非正常工作而产生噪声污染。</w:t>
            </w:r>
          </w:p>
          <w:p w14:paraId="0734F235">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②合理安排施工时间，禁止夜间（22:00~6:00）施工，如夜间需进行施工工艺要求必须连续作业的强噪声施工，须事先征得周围居民同意，向当地管理部门申报。</w:t>
            </w:r>
          </w:p>
          <w:p w14:paraId="0CE809E7">
            <w:pPr>
              <w:keepNext w:val="0"/>
              <w:keepLines w:val="0"/>
              <w:suppressLineNumbers w:val="0"/>
              <w:spacing w:before="0" w:beforeAutospacing="0" w:after="0" w:afterAutospacing="0" w:line="360" w:lineRule="auto"/>
              <w:ind w:left="0" w:right="0" w:firstLine="480" w:firstLineChars="200"/>
              <w:rPr>
                <w:rFonts w:hint="default"/>
                <w:b/>
                <w:color w:val="auto"/>
                <w:szCs w:val="24"/>
                <w:highlight w:val="none"/>
              </w:rPr>
            </w:pPr>
            <w:r>
              <w:rPr>
                <w:rFonts w:hint="default"/>
                <w:color w:val="auto"/>
                <w:szCs w:val="24"/>
                <w:highlight w:val="none"/>
              </w:rPr>
              <w:t>③加强管理，文明施工。装卸、搬运木材、模具、钢材等严禁抛掷，材料运输车辆进场要专人指挥，厂内运输车辆实施限速、禁止鸣笛。施工监理单位应做好噪声控制措施，确保施工场界噪声达标排放。</w:t>
            </w:r>
          </w:p>
          <w:p w14:paraId="0D55B420">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default"/>
                <w:color w:val="auto"/>
                <w:szCs w:val="24"/>
                <w:highlight w:val="none"/>
              </w:rPr>
              <w:t>④施工运输车辆应按照有关部门同意的运输路线</w:t>
            </w:r>
            <w:r>
              <w:rPr>
                <w:rFonts w:hint="eastAsia"/>
                <w:color w:val="auto"/>
                <w:szCs w:val="24"/>
                <w:highlight w:val="none"/>
                <w:lang w:eastAsia="zh-CN"/>
              </w:rPr>
              <w:t>进行</w:t>
            </w:r>
            <w:r>
              <w:rPr>
                <w:rFonts w:hint="default"/>
                <w:color w:val="auto"/>
                <w:szCs w:val="24"/>
                <w:highlight w:val="none"/>
              </w:rPr>
              <w:t>，运输时间应避开居民进出高峰期，同时严格限速、限载管理，禁止鸣笛。</w:t>
            </w:r>
          </w:p>
          <w:p w14:paraId="20265D8A">
            <w:pPr>
              <w:keepNext w:val="0"/>
              <w:keepLines w:val="0"/>
              <w:suppressLineNumbers w:val="0"/>
              <w:spacing w:before="0" w:beforeAutospacing="0" w:after="0" w:afterAutospacing="0" w:line="360" w:lineRule="auto"/>
              <w:ind w:left="0" w:right="0" w:firstLine="480" w:firstLineChars="200"/>
              <w:rPr>
                <w:rFonts w:hint="default"/>
                <w:b/>
                <w:color w:val="auto"/>
                <w:szCs w:val="24"/>
                <w:highlight w:val="none"/>
              </w:rPr>
            </w:pPr>
            <w:r>
              <w:rPr>
                <w:rFonts w:hint="default"/>
                <w:color w:val="auto"/>
                <w:szCs w:val="24"/>
                <w:highlight w:val="none"/>
              </w:rPr>
              <w:t>⑤合理布置施工总平面。施工期高噪声尽量设备布置在场地中央，有效利用距离的衰减，确保</w:t>
            </w:r>
            <w:r>
              <w:rPr>
                <w:rFonts w:hint="eastAsia"/>
                <w:color w:val="auto"/>
                <w:szCs w:val="24"/>
                <w:highlight w:val="none"/>
              </w:rPr>
              <w:t>厂界</w:t>
            </w:r>
            <w:r>
              <w:rPr>
                <w:rFonts w:hint="default"/>
                <w:color w:val="auto"/>
                <w:szCs w:val="24"/>
                <w:highlight w:val="none"/>
              </w:rPr>
              <w:t>达标排放。</w:t>
            </w:r>
          </w:p>
          <w:p w14:paraId="39230B33">
            <w:pPr>
              <w:keepNext w:val="0"/>
              <w:keepLines w:val="0"/>
              <w:suppressLineNumbers w:val="0"/>
              <w:spacing w:before="0" w:beforeAutospacing="0" w:after="0" w:afterAutospacing="0" w:line="360" w:lineRule="auto"/>
              <w:ind w:left="0" w:right="0" w:firstLine="480"/>
              <w:rPr>
                <w:rFonts w:hint="default"/>
                <w:color w:val="auto"/>
                <w:szCs w:val="24"/>
                <w:highlight w:val="none"/>
              </w:rPr>
            </w:pPr>
            <w:r>
              <w:rPr>
                <w:rFonts w:hint="default"/>
                <w:color w:val="auto"/>
                <w:szCs w:val="24"/>
                <w:highlight w:val="none"/>
              </w:rPr>
              <w:t>⑥施工前应进行公示，施工单位应在现场张贴通告和投诉电话，建设单位在接到投诉电话后及时与当地环保部门联系，及时处理各种环境纠纷。</w:t>
            </w:r>
          </w:p>
          <w:p w14:paraId="10EFD397">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eastAsia"/>
                <w:color w:val="auto"/>
                <w:szCs w:val="24"/>
                <w:highlight w:val="none"/>
              </w:rPr>
              <w:t>本项目施工期噪声污染源源强核算结果及相关参数见下表：</w:t>
            </w:r>
          </w:p>
          <w:p w14:paraId="6E526389">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rPr>
            </w:pPr>
            <w:r>
              <w:rPr>
                <w:rFonts w:hint="eastAsia" w:ascii="Times New Roman" w:hAnsi="Times New Roman" w:eastAsia="黑体" w:cs="Times New Roman"/>
                <w:b/>
                <w:bCs/>
                <w:color w:val="auto"/>
                <w:kern w:val="0"/>
                <w:sz w:val="20"/>
                <w:szCs w:val="20"/>
                <w:highlight w:val="none"/>
              </w:rPr>
              <w:t>表4-1 工业企业噪声施工期源强调查清单（室外声源）</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07"/>
              <w:gridCol w:w="892"/>
              <w:gridCol w:w="549"/>
              <w:gridCol w:w="723"/>
              <w:gridCol w:w="750"/>
              <w:gridCol w:w="720"/>
              <w:gridCol w:w="1245"/>
              <w:gridCol w:w="990"/>
              <w:gridCol w:w="1155"/>
              <w:gridCol w:w="1130"/>
            </w:tblGrid>
            <w:tr w14:paraId="3B674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7" w:type="pct"/>
                  <w:vMerge w:val="restart"/>
                  <w:tcBorders>
                    <w:tl2br w:val="nil"/>
                    <w:tr2bl w:val="nil"/>
                  </w:tcBorders>
                  <w:vAlign w:val="center"/>
                </w:tcPr>
                <w:p w14:paraId="08D24226">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r>
                    <w:rPr>
                      <w:rFonts w:hint="eastAsia"/>
                      <w:b/>
                      <w:bCs/>
                      <w:color w:val="auto"/>
                      <w:sz w:val="21"/>
                      <w:highlight w:val="none"/>
                    </w:rPr>
                    <w:t>序号</w:t>
                  </w:r>
                </w:p>
              </w:tc>
              <w:tc>
                <w:tcPr>
                  <w:tcW w:w="520" w:type="pct"/>
                  <w:vMerge w:val="restart"/>
                  <w:tcBorders>
                    <w:tl2br w:val="nil"/>
                    <w:tr2bl w:val="nil"/>
                  </w:tcBorders>
                  <w:vAlign w:val="center"/>
                </w:tcPr>
                <w:p w14:paraId="62D40F89">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r>
                    <w:rPr>
                      <w:rFonts w:hint="default"/>
                      <w:b/>
                      <w:bCs/>
                      <w:color w:val="auto"/>
                      <w:sz w:val="21"/>
                      <w:highlight w:val="none"/>
                    </w:rPr>
                    <w:t>声源</w:t>
                  </w:r>
                  <w:r>
                    <w:rPr>
                      <w:rFonts w:hint="eastAsia"/>
                      <w:b/>
                      <w:bCs/>
                      <w:color w:val="auto"/>
                      <w:sz w:val="21"/>
                      <w:highlight w:val="none"/>
                    </w:rPr>
                    <w:t>名称</w:t>
                  </w:r>
                </w:p>
              </w:tc>
              <w:tc>
                <w:tcPr>
                  <w:tcW w:w="320" w:type="pct"/>
                  <w:vMerge w:val="restart"/>
                  <w:tcBorders>
                    <w:tl2br w:val="nil"/>
                    <w:tr2bl w:val="nil"/>
                  </w:tcBorders>
                  <w:vAlign w:val="center"/>
                </w:tcPr>
                <w:p w14:paraId="12F2B208">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r>
                    <w:rPr>
                      <w:rFonts w:hint="eastAsia"/>
                      <w:b/>
                      <w:bCs/>
                      <w:color w:val="auto"/>
                      <w:sz w:val="21"/>
                      <w:highlight w:val="none"/>
                    </w:rPr>
                    <w:t>型号</w:t>
                  </w:r>
                </w:p>
              </w:tc>
              <w:tc>
                <w:tcPr>
                  <w:tcW w:w="1280" w:type="pct"/>
                  <w:gridSpan w:val="3"/>
                  <w:tcBorders>
                    <w:tl2br w:val="nil"/>
                    <w:tr2bl w:val="nil"/>
                  </w:tcBorders>
                  <w:vAlign w:val="center"/>
                </w:tcPr>
                <w:p w14:paraId="5B681282">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r>
                    <w:rPr>
                      <w:rFonts w:hint="eastAsia"/>
                      <w:b/>
                      <w:bCs/>
                      <w:color w:val="auto"/>
                      <w:sz w:val="21"/>
                      <w:highlight w:val="none"/>
                    </w:rPr>
                    <w:t>空间相对位置</w:t>
                  </w:r>
                </w:p>
              </w:tc>
              <w:tc>
                <w:tcPr>
                  <w:tcW w:w="1305" w:type="pct"/>
                  <w:gridSpan w:val="2"/>
                  <w:tcBorders>
                    <w:tl2br w:val="nil"/>
                    <w:tr2bl w:val="nil"/>
                  </w:tcBorders>
                  <w:vAlign w:val="center"/>
                </w:tcPr>
                <w:p w14:paraId="3F56217E">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r>
                    <w:rPr>
                      <w:rFonts w:hint="default"/>
                      <w:b/>
                      <w:bCs/>
                      <w:color w:val="auto"/>
                      <w:sz w:val="21"/>
                      <w:highlight w:val="none"/>
                    </w:rPr>
                    <w:t>噪声源强</w:t>
                  </w:r>
                  <w:r>
                    <w:rPr>
                      <w:rFonts w:hint="eastAsia"/>
                      <w:b/>
                      <w:bCs/>
                      <w:color w:val="auto"/>
                      <w:sz w:val="21"/>
                      <w:highlight w:val="none"/>
                    </w:rPr>
                    <w:t>（任选一种）</w:t>
                  </w:r>
                </w:p>
              </w:tc>
              <w:tc>
                <w:tcPr>
                  <w:tcW w:w="674" w:type="pct"/>
                  <w:vMerge w:val="restart"/>
                  <w:tcBorders>
                    <w:tl2br w:val="nil"/>
                    <w:tr2bl w:val="nil"/>
                  </w:tcBorders>
                  <w:vAlign w:val="center"/>
                </w:tcPr>
                <w:p w14:paraId="3DFC39D9">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r>
                    <w:rPr>
                      <w:rFonts w:hint="eastAsia"/>
                      <w:b/>
                      <w:bCs/>
                      <w:color w:val="auto"/>
                      <w:sz w:val="21"/>
                      <w:highlight w:val="none"/>
                    </w:rPr>
                    <w:t>声源控制措施</w:t>
                  </w:r>
                </w:p>
              </w:tc>
              <w:tc>
                <w:tcPr>
                  <w:tcW w:w="659" w:type="pct"/>
                  <w:vMerge w:val="restart"/>
                  <w:tcBorders>
                    <w:tl2br w:val="nil"/>
                    <w:tr2bl w:val="nil"/>
                  </w:tcBorders>
                  <w:vAlign w:val="center"/>
                </w:tcPr>
                <w:p w14:paraId="1C9DC5E5">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r>
                    <w:rPr>
                      <w:rFonts w:hint="eastAsia"/>
                      <w:b/>
                      <w:bCs/>
                      <w:color w:val="auto"/>
                      <w:sz w:val="21"/>
                      <w:highlight w:val="none"/>
                    </w:rPr>
                    <w:t>运行时段</w:t>
                  </w:r>
                </w:p>
              </w:tc>
            </w:tr>
            <w:tr w14:paraId="15C65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7" w:type="pct"/>
                  <w:vMerge w:val="continue"/>
                  <w:tcBorders>
                    <w:tl2br w:val="nil"/>
                    <w:tr2bl w:val="nil"/>
                  </w:tcBorders>
                  <w:vAlign w:val="center"/>
                </w:tcPr>
                <w:p w14:paraId="481C1EC3">
                  <w:pPr>
                    <w:keepNext w:val="0"/>
                    <w:keepLines w:val="0"/>
                    <w:suppressLineNumbers w:val="0"/>
                    <w:spacing w:before="0" w:beforeAutospacing="0" w:after="0" w:afterAutospacing="0" w:line="360" w:lineRule="auto"/>
                    <w:ind w:left="0" w:right="0"/>
                    <w:jc w:val="center"/>
                    <w:rPr>
                      <w:rFonts w:hint="default"/>
                      <w:color w:val="auto"/>
                      <w:sz w:val="21"/>
                      <w:highlight w:val="none"/>
                    </w:rPr>
                  </w:pPr>
                </w:p>
              </w:tc>
              <w:tc>
                <w:tcPr>
                  <w:tcW w:w="520" w:type="pct"/>
                  <w:vMerge w:val="continue"/>
                  <w:tcBorders>
                    <w:tl2br w:val="nil"/>
                    <w:tr2bl w:val="nil"/>
                  </w:tcBorders>
                  <w:vAlign w:val="center"/>
                </w:tcPr>
                <w:p w14:paraId="61A87C46">
                  <w:pPr>
                    <w:keepNext w:val="0"/>
                    <w:keepLines w:val="0"/>
                    <w:suppressLineNumbers w:val="0"/>
                    <w:spacing w:before="0" w:beforeAutospacing="0" w:after="0" w:afterAutospacing="0" w:line="360" w:lineRule="auto"/>
                    <w:ind w:left="0" w:right="0"/>
                    <w:jc w:val="center"/>
                    <w:rPr>
                      <w:rFonts w:hint="default"/>
                      <w:color w:val="auto"/>
                      <w:sz w:val="21"/>
                      <w:highlight w:val="none"/>
                    </w:rPr>
                  </w:pPr>
                </w:p>
              </w:tc>
              <w:tc>
                <w:tcPr>
                  <w:tcW w:w="320" w:type="pct"/>
                  <w:vMerge w:val="continue"/>
                  <w:tcBorders>
                    <w:tl2br w:val="nil"/>
                    <w:tr2bl w:val="nil"/>
                  </w:tcBorders>
                  <w:vAlign w:val="center"/>
                </w:tcPr>
                <w:p w14:paraId="153E77FB">
                  <w:pPr>
                    <w:keepNext w:val="0"/>
                    <w:keepLines w:val="0"/>
                    <w:suppressLineNumbers w:val="0"/>
                    <w:spacing w:before="0" w:beforeAutospacing="0" w:after="0" w:afterAutospacing="0" w:line="360" w:lineRule="auto"/>
                    <w:ind w:left="0" w:right="0"/>
                    <w:jc w:val="center"/>
                    <w:rPr>
                      <w:rFonts w:hint="default"/>
                      <w:color w:val="auto"/>
                      <w:sz w:val="21"/>
                      <w:highlight w:val="none"/>
                    </w:rPr>
                  </w:pPr>
                </w:p>
              </w:tc>
              <w:tc>
                <w:tcPr>
                  <w:tcW w:w="422" w:type="pct"/>
                  <w:tcBorders>
                    <w:tl2br w:val="nil"/>
                    <w:tr2bl w:val="nil"/>
                  </w:tcBorders>
                  <w:vAlign w:val="center"/>
                </w:tcPr>
                <w:p w14:paraId="093B54B8">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r>
                    <w:rPr>
                      <w:rFonts w:hint="eastAsia"/>
                      <w:b/>
                      <w:bCs/>
                      <w:color w:val="auto"/>
                      <w:sz w:val="21"/>
                      <w:highlight w:val="none"/>
                    </w:rPr>
                    <w:t>X</w:t>
                  </w:r>
                </w:p>
              </w:tc>
              <w:tc>
                <w:tcPr>
                  <w:tcW w:w="438" w:type="pct"/>
                  <w:tcBorders>
                    <w:tl2br w:val="nil"/>
                    <w:tr2bl w:val="nil"/>
                  </w:tcBorders>
                  <w:vAlign w:val="center"/>
                </w:tcPr>
                <w:p w14:paraId="49F1941C">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r>
                    <w:rPr>
                      <w:rFonts w:hint="eastAsia"/>
                      <w:b/>
                      <w:bCs/>
                      <w:color w:val="auto"/>
                      <w:sz w:val="21"/>
                      <w:highlight w:val="none"/>
                    </w:rPr>
                    <w:t>Y</w:t>
                  </w:r>
                </w:p>
              </w:tc>
              <w:tc>
                <w:tcPr>
                  <w:tcW w:w="420" w:type="pct"/>
                  <w:tcBorders>
                    <w:tl2br w:val="nil"/>
                    <w:tr2bl w:val="nil"/>
                  </w:tcBorders>
                  <w:vAlign w:val="center"/>
                </w:tcPr>
                <w:p w14:paraId="2735F6C3">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r>
                    <w:rPr>
                      <w:rFonts w:hint="eastAsia"/>
                      <w:b/>
                      <w:bCs/>
                      <w:color w:val="auto"/>
                      <w:sz w:val="21"/>
                      <w:highlight w:val="none"/>
                    </w:rPr>
                    <w:t>Z</w:t>
                  </w:r>
                </w:p>
              </w:tc>
              <w:tc>
                <w:tcPr>
                  <w:tcW w:w="727" w:type="pct"/>
                  <w:tcBorders>
                    <w:tl2br w:val="nil"/>
                    <w:tr2bl w:val="nil"/>
                  </w:tcBorders>
                  <w:vAlign w:val="center"/>
                </w:tcPr>
                <w:p w14:paraId="00E1566C">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r>
                    <w:rPr>
                      <w:rFonts w:hint="default"/>
                      <w:b/>
                      <w:bCs/>
                      <w:color w:val="auto"/>
                      <w:sz w:val="21"/>
                      <w:highlight w:val="none"/>
                    </w:rPr>
                    <w:t>（声压级/距声源距离）/（dB（A）/m）</w:t>
                  </w:r>
                </w:p>
              </w:tc>
              <w:tc>
                <w:tcPr>
                  <w:tcW w:w="578" w:type="pct"/>
                  <w:tcBorders>
                    <w:tl2br w:val="nil"/>
                    <w:tr2bl w:val="nil"/>
                  </w:tcBorders>
                  <w:vAlign w:val="center"/>
                </w:tcPr>
                <w:p w14:paraId="3693099F">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r>
                    <w:rPr>
                      <w:rFonts w:hint="eastAsia"/>
                      <w:b/>
                      <w:bCs/>
                      <w:color w:val="auto"/>
                      <w:sz w:val="21"/>
                      <w:highlight w:val="none"/>
                    </w:rPr>
                    <w:t>声功率级/</w:t>
                  </w:r>
                  <w:r>
                    <w:rPr>
                      <w:rFonts w:hint="default"/>
                      <w:b/>
                      <w:bCs/>
                      <w:color w:val="auto"/>
                      <w:sz w:val="21"/>
                      <w:highlight w:val="none"/>
                    </w:rPr>
                    <w:t>dB（A）</w:t>
                  </w:r>
                </w:p>
              </w:tc>
              <w:tc>
                <w:tcPr>
                  <w:tcW w:w="674" w:type="pct"/>
                  <w:vMerge w:val="continue"/>
                  <w:tcBorders>
                    <w:tl2br w:val="nil"/>
                    <w:tr2bl w:val="nil"/>
                  </w:tcBorders>
                  <w:vAlign w:val="center"/>
                </w:tcPr>
                <w:p w14:paraId="6843D585">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p>
              </w:tc>
              <w:tc>
                <w:tcPr>
                  <w:tcW w:w="659" w:type="pct"/>
                  <w:vMerge w:val="continue"/>
                  <w:tcBorders>
                    <w:tl2br w:val="nil"/>
                    <w:tr2bl w:val="nil"/>
                  </w:tcBorders>
                  <w:vAlign w:val="center"/>
                </w:tcPr>
                <w:p w14:paraId="23FD85F8">
                  <w:pPr>
                    <w:keepNext w:val="0"/>
                    <w:keepLines w:val="0"/>
                    <w:suppressLineNumbers w:val="0"/>
                    <w:spacing w:before="0" w:beforeAutospacing="0" w:after="0" w:afterAutospacing="0" w:line="360" w:lineRule="auto"/>
                    <w:ind w:left="0" w:right="0"/>
                    <w:jc w:val="center"/>
                    <w:rPr>
                      <w:rFonts w:hint="default"/>
                      <w:b/>
                      <w:bCs/>
                      <w:color w:val="auto"/>
                      <w:sz w:val="21"/>
                      <w:highlight w:val="none"/>
                    </w:rPr>
                  </w:pPr>
                </w:p>
              </w:tc>
            </w:tr>
            <w:tr w14:paraId="5F186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14:paraId="3218DFB1">
                  <w:pPr>
                    <w:keepNext w:val="0"/>
                    <w:keepLines w:val="0"/>
                    <w:suppressLineNumbers w:val="0"/>
                    <w:spacing w:before="0" w:beforeAutospacing="0" w:after="0" w:afterAutospacing="0" w:line="360" w:lineRule="auto"/>
                    <w:ind w:left="0" w:right="0"/>
                    <w:jc w:val="center"/>
                    <w:textAlignment w:val="baseline"/>
                    <w:rPr>
                      <w:rFonts w:hint="default"/>
                      <w:color w:val="auto"/>
                      <w:sz w:val="21"/>
                      <w:highlight w:val="none"/>
                      <w:lang w:bidi="ar"/>
                    </w:rPr>
                  </w:pPr>
                  <w:r>
                    <w:rPr>
                      <w:rFonts w:hint="eastAsia"/>
                      <w:color w:val="auto"/>
                      <w:sz w:val="21"/>
                      <w:highlight w:val="none"/>
                    </w:rPr>
                    <w:t>1</w:t>
                  </w:r>
                </w:p>
              </w:tc>
              <w:tc>
                <w:tcPr>
                  <w:tcW w:w="520" w:type="pct"/>
                  <w:tcBorders>
                    <w:tl2br w:val="nil"/>
                    <w:tr2bl w:val="nil"/>
                  </w:tcBorders>
                  <w:vAlign w:val="center"/>
                </w:tcPr>
                <w:p w14:paraId="4DF0B6DE">
                  <w:pPr>
                    <w:keepNext w:val="0"/>
                    <w:keepLines w:val="0"/>
                    <w:suppressLineNumbers w:val="0"/>
                    <w:spacing w:before="0" w:beforeAutospacing="0" w:after="0" w:afterAutospacing="0" w:line="360" w:lineRule="auto"/>
                    <w:ind w:left="0" w:right="0"/>
                    <w:jc w:val="center"/>
                    <w:textAlignment w:val="baseline"/>
                    <w:rPr>
                      <w:rFonts w:hint="default"/>
                      <w:color w:val="auto"/>
                      <w:sz w:val="21"/>
                      <w:highlight w:val="none"/>
                    </w:rPr>
                  </w:pPr>
                  <w:r>
                    <w:rPr>
                      <w:rFonts w:hint="eastAsia"/>
                      <w:color w:val="auto"/>
                      <w:sz w:val="21"/>
                      <w:highlight w:val="none"/>
                    </w:rPr>
                    <w:t>电锯</w:t>
                  </w:r>
                </w:p>
              </w:tc>
              <w:tc>
                <w:tcPr>
                  <w:tcW w:w="320" w:type="pct"/>
                  <w:tcBorders>
                    <w:tl2br w:val="nil"/>
                    <w:tr2bl w:val="nil"/>
                  </w:tcBorders>
                  <w:vAlign w:val="center"/>
                </w:tcPr>
                <w:p w14:paraId="1CD7927B">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w:t>
                  </w:r>
                </w:p>
              </w:tc>
              <w:tc>
                <w:tcPr>
                  <w:tcW w:w="422" w:type="pct"/>
                  <w:tcBorders>
                    <w:tl2br w:val="nil"/>
                    <w:tr2bl w:val="nil"/>
                  </w:tcBorders>
                  <w:vAlign w:val="center"/>
                </w:tcPr>
                <w:p w14:paraId="578AF606">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23</w:t>
                  </w:r>
                </w:p>
              </w:tc>
              <w:tc>
                <w:tcPr>
                  <w:tcW w:w="438" w:type="pct"/>
                  <w:tcBorders>
                    <w:tl2br w:val="nil"/>
                    <w:tr2bl w:val="nil"/>
                  </w:tcBorders>
                  <w:vAlign w:val="center"/>
                </w:tcPr>
                <w:p w14:paraId="7353A86B">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93</w:t>
                  </w:r>
                </w:p>
              </w:tc>
              <w:tc>
                <w:tcPr>
                  <w:tcW w:w="420" w:type="pct"/>
                  <w:tcBorders>
                    <w:tl2br w:val="nil"/>
                    <w:tr2bl w:val="nil"/>
                  </w:tcBorders>
                  <w:vAlign w:val="center"/>
                </w:tcPr>
                <w:p w14:paraId="2368D71F">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0.8</w:t>
                  </w:r>
                </w:p>
              </w:tc>
              <w:tc>
                <w:tcPr>
                  <w:tcW w:w="727" w:type="pct"/>
                  <w:tcBorders>
                    <w:tl2br w:val="nil"/>
                    <w:tr2bl w:val="nil"/>
                  </w:tcBorders>
                  <w:vAlign w:val="center"/>
                </w:tcPr>
                <w:p w14:paraId="7C1FC862">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w:t>
                  </w:r>
                </w:p>
              </w:tc>
              <w:tc>
                <w:tcPr>
                  <w:tcW w:w="578" w:type="pct"/>
                  <w:tcBorders>
                    <w:tl2br w:val="nil"/>
                    <w:tr2bl w:val="nil"/>
                  </w:tcBorders>
                  <w:vAlign w:val="center"/>
                </w:tcPr>
                <w:p w14:paraId="19822219">
                  <w:pPr>
                    <w:keepNext w:val="0"/>
                    <w:keepLines w:val="0"/>
                    <w:suppressLineNumbers w:val="0"/>
                    <w:spacing w:before="0" w:beforeAutospacing="0" w:after="0" w:afterAutospacing="0" w:line="360" w:lineRule="auto"/>
                    <w:ind w:left="0" w:right="0"/>
                    <w:jc w:val="center"/>
                    <w:rPr>
                      <w:rFonts w:hint="default" w:eastAsia="宋体"/>
                      <w:color w:val="auto"/>
                      <w:sz w:val="21"/>
                      <w:highlight w:val="none"/>
                      <w:lang w:val="en-US" w:eastAsia="zh-CN"/>
                    </w:rPr>
                  </w:pPr>
                  <w:r>
                    <w:rPr>
                      <w:rFonts w:hint="eastAsia"/>
                      <w:color w:val="auto"/>
                      <w:sz w:val="21"/>
                      <w:highlight w:val="none"/>
                      <w:lang w:val="en-US" w:eastAsia="zh-CN"/>
                    </w:rPr>
                    <w:t>90</w:t>
                  </w:r>
                </w:p>
              </w:tc>
              <w:tc>
                <w:tcPr>
                  <w:tcW w:w="674" w:type="pct"/>
                  <w:vMerge w:val="restart"/>
                  <w:tcBorders>
                    <w:tl2br w:val="nil"/>
                    <w:tr2bl w:val="nil"/>
                  </w:tcBorders>
                  <w:vAlign w:val="center"/>
                </w:tcPr>
                <w:p w14:paraId="38F170FC">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选用低噪声设备，合理布置设备，加强管理</w:t>
                  </w:r>
                </w:p>
              </w:tc>
              <w:tc>
                <w:tcPr>
                  <w:tcW w:w="659" w:type="pct"/>
                  <w:vMerge w:val="restart"/>
                  <w:tcBorders>
                    <w:tl2br w:val="nil"/>
                    <w:tr2bl w:val="nil"/>
                  </w:tcBorders>
                  <w:vAlign w:val="center"/>
                </w:tcPr>
                <w:p w14:paraId="1389E0DC">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昼间</w:t>
                  </w:r>
                </w:p>
              </w:tc>
            </w:tr>
            <w:tr w14:paraId="05063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14:paraId="7FA3D248">
                  <w:pPr>
                    <w:keepNext w:val="0"/>
                    <w:keepLines w:val="0"/>
                    <w:suppressLineNumbers w:val="0"/>
                    <w:spacing w:before="0" w:beforeAutospacing="0" w:after="0" w:afterAutospacing="0" w:line="360" w:lineRule="auto"/>
                    <w:ind w:left="0" w:right="0"/>
                    <w:jc w:val="center"/>
                    <w:textAlignment w:val="baseline"/>
                    <w:rPr>
                      <w:rFonts w:hint="default"/>
                      <w:color w:val="auto"/>
                      <w:sz w:val="21"/>
                      <w:highlight w:val="none"/>
                      <w:lang w:bidi="ar"/>
                    </w:rPr>
                  </w:pPr>
                  <w:r>
                    <w:rPr>
                      <w:rFonts w:hint="eastAsia"/>
                      <w:color w:val="auto"/>
                      <w:sz w:val="21"/>
                      <w:highlight w:val="none"/>
                    </w:rPr>
                    <w:t>2</w:t>
                  </w:r>
                </w:p>
              </w:tc>
              <w:tc>
                <w:tcPr>
                  <w:tcW w:w="520" w:type="pct"/>
                  <w:tcBorders>
                    <w:tl2br w:val="nil"/>
                    <w:tr2bl w:val="nil"/>
                  </w:tcBorders>
                  <w:vAlign w:val="center"/>
                </w:tcPr>
                <w:p w14:paraId="04884D4A">
                  <w:pPr>
                    <w:keepNext w:val="0"/>
                    <w:keepLines w:val="0"/>
                    <w:suppressLineNumbers w:val="0"/>
                    <w:spacing w:before="0" w:beforeAutospacing="0" w:after="0" w:afterAutospacing="0" w:line="360" w:lineRule="auto"/>
                    <w:ind w:left="0" w:right="0"/>
                    <w:jc w:val="center"/>
                    <w:textAlignment w:val="baseline"/>
                    <w:rPr>
                      <w:rFonts w:hint="default"/>
                      <w:color w:val="auto"/>
                      <w:sz w:val="21"/>
                      <w:highlight w:val="none"/>
                    </w:rPr>
                  </w:pPr>
                  <w:r>
                    <w:rPr>
                      <w:rFonts w:hint="eastAsia"/>
                      <w:color w:val="auto"/>
                      <w:sz w:val="21"/>
                      <w:highlight w:val="none"/>
                    </w:rPr>
                    <w:t>挖土机</w:t>
                  </w:r>
                </w:p>
              </w:tc>
              <w:tc>
                <w:tcPr>
                  <w:tcW w:w="320" w:type="pct"/>
                  <w:tcBorders>
                    <w:tl2br w:val="nil"/>
                    <w:tr2bl w:val="nil"/>
                  </w:tcBorders>
                  <w:vAlign w:val="center"/>
                </w:tcPr>
                <w:p w14:paraId="230AFC4E">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w:t>
                  </w:r>
                </w:p>
              </w:tc>
              <w:tc>
                <w:tcPr>
                  <w:tcW w:w="422" w:type="pct"/>
                  <w:tcBorders>
                    <w:tl2br w:val="nil"/>
                    <w:tr2bl w:val="nil"/>
                  </w:tcBorders>
                  <w:vAlign w:val="center"/>
                </w:tcPr>
                <w:p w14:paraId="36287DAC">
                  <w:pPr>
                    <w:keepNext w:val="0"/>
                    <w:keepLines w:val="0"/>
                    <w:suppressLineNumbers w:val="0"/>
                    <w:spacing w:before="0" w:beforeAutospacing="0" w:after="0" w:afterAutospacing="0" w:line="360" w:lineRule="auto"/>
                    <w:ind w:left="0" w:right="0"/>
                    <w:jc w:val="center"/>
                    <w:rPr>
                      <w:rFonts w:hint="eastAsia" w:eastAsia="宋体"/>
                      <w:color w:val="auto"/>
                      <w:sz w:val="21"/>
                      <w:szCs w:val="21"/>
                      <w:highlight w:val="none"/>
                      <w:lang w:eastAsia="zh-CN"/>
                    </w:rPr>
                  </w:pPr>
                  <w:r>
                    <w:rPr>
                      <w:rFonts w:hint="eastAsia"/>
                      <w:color w:val="auto"/>
                      <w:sz w:val="21"/>
                      <w:szCs w:val="21"/>
                      <w:highlight w:val="none"/>
                    </w:rPr>
                    <w:t>1</w:t>
                  </w:r>
                  <w:r>
                    <w:rPr>
                      <w:rFonts w:hint="eastAsia"/>
                      <w:color w:val="auto"/>
                      <w:sz w:val="21"/>
                      <w:szCs w:val="21"/>
                      <w:highlight w:val="none"/>
                      <w:lang w:val="en-US" w:eastAsia="zh-CN"/>
                    </w:rPr>
                    <w:t>4</w:t>
                  </w:r>
                </w:p>
              </w:tc>
              <w:tc>
                <w:tcPr>
                  <w:tcW w:w="438" w:type="pct"/>
                  <w:tcBorders>
                    <w:tl2br w:val="nil"/>
                    <w:tr2bl w:val="nil"/>
                  </w:tcBorders>
                  <w:vAlign w:val="center"/>
                </w:tcPr>
                <w:p w14:paraId="441B6392">
                  <w:pPr>
                    <w:keepNext w:val="0"/>
                    <w:keepLines w:val="0"/>
                    <w:suppressLineNumbers w:val="0"/>
                    <w:spacing w:before="0" w:beforeAutospacing="0" w:after="0" w:afterAutospacing="0" w:line="360" w:lineRule="auto"/>
                    <w:ind w:left="0" w:right="0"/>
                    <w:jc w:val="center"/>
                    <w:rPr>
                      <w:rFonts w:hint="eastAsia" w:eastAsia="宋体"/>
                      <w:color w:val="auto"/>
                      <w:sz w:val="21"/>
                      <w:szCs w:val="21"/>
                      <w:highlight w:val="none"/>
                      <w:lang w:eastAsia="zh-CN"/>
                    </w:rPr>
                  </w:pPr>
                  <w:r>
                    <w:rPr>
                      <w:rFonts w:hint="eastAsia"/>
                      <w:color w:val="auto"/>
                      <w:sz w:val="21"/>
                      <w:szCs w:val="21"/>
                      <w:highlight w:val="none"/>
                    </w:rPr>
                    <w:t>4</w:t>
                  </w:r>
                  <w:r>
                    <w:rPr>
                      <w:rFonts w:hint="eastAsia"/>
                      <w:color w:val="auto"/>
                      <w:sz w:val="21"/>
                      <w:szCs w:val="21"/>
                      <w:highlight w:val="none"/>
                      <w:lang w:val="en-US" w:eastAsia="zh-CN"/>
                    </w:rPr>
                    <w:t>3</w:t>
                  </w:r>
                </w:p>
              </w:tc>
              <w:tc>
                <w:tcPr>
                  <w:tcW w:w="420" w:type="pct"/>
                  <w:tcBorders>
                    <w:tl2br w:val="nil"/>
                    <w:tr2bl w:val="nil"/>
                  </w:tcBorders>
                  <w:vAlign w:val="center"/>
                </w:tcPr>
                <w:p w14:paraId="61D1DF1D">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0.5</w:t>
                  </w:r>
                </w:p>
              </w:tc>
              <w:tc>
                <w:tcPr>
                  <w:tcW w:w="727" w:type="pct"/>
                  <w:tcBorders>
                    <w:tl2br w:val="nil"/>
                    <w:tr2bl w:val="nil"/>
                  </w:tcBorders>
                  <w:vAlign w:val="center"/>
                </w:tcPr>
                <w:p w14:paraId="1506D1E4">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w:t>
                  </w:r>
                </w:p>
              </w:tc>
              <w:tc>
                <w:tcPr>
                  <w:tcW w:w="578" w:type="pct"/>
                  <w:tcBorders>
                    <w:tl2br w:val="nil"/>
                    <w:tr2bl w:val="nil"/>
                  </w:tcBorders>
                  <w:vAlign w:val="center"/>
                </w:tcPr>
                <w:p w14:paraId="62F95C7B">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80</w:t>
                  </w:r>
                </w:p>
              </w:tc>
              <w:tc>
                <w:tcPr>
                  <w:tcW w:w="674" w:type="pct"/>
                  <w:vMerge w:val="continue"/>
                  <w:tcBorders>
                    <w:tl2br w:val="nil"/>
                    <w:tr2bl w:val="nil"/>
                  </w:tcBorders>
                  <w:vAlign w:val="center"/>
                </w:tcPr>
                <w:p w14:paraId="131AFA10">
                  <w:pPr>
                    <w:keepNext w:val="0"/>
                    <w:keepLines w:val="0"/>
                    <w:suppressLineNumbers w:val="0"/>
                    <w:spacing w:before="0" w:beforeAutospacing="0" w:after="0" w:afterAutospacing="0" w:line="360" w:lineRule="auto"/>
                    <w:ind w:left="0" w:right="0"/>
                    <w:jc w:val="center"/>
                    <w:rPr>
                      <w:rFonts w:hint="default"/>
                      <w:color w:val="auto"/>
                      <w:sz w:val="21"/>
                      <w:highlight w:val="none"/>
                    </w:rPr>
                  </w:pPr>
                </w:p>
              </w:tc>
              <w:tc>
                <w:tcPr>
                  <w:tcW w:w="659" w:type="pct"/>
                  <w:vMerge w:val="continue"/>
                  <w:tcBorders>
                    <w:tl2br w:val="nil"/>
                    <w:tr2bl w:val="nil"/>
                  </w:tcBorders>
                  <w:vAlign w:val="center"/>
                </w:tcPr>
                <w:p w14:paraId="4FC4C0DB">
                  <w:pPr>
                    <w:keepNext w:val="0"/>
                    <w:keepLines w:val="0"/>
                    <w:suppressLineNumbers w:val="0"/>
                    <w:spacing w:before="0" w:beforeAutospacing="0" w:after="0" w:afterAutospacing="0" w:line="360" w:lineRule="auto"/>
                    <w:ind w:left="0" w:right="0"/>
                    <w:jc w:val="center"/>
                    <w:rPr>
                      <w:rFonts w:hint="default"/>
                      <w:color w:val="auto"/>
                      <w:sz w:val="21"/>
                      <w:highlight w:val="none"/>
                    </w:rPr>
                  </w:pPr>
                </w:p>
              </w:tc>
            </w:tr>
            <w:tr w14:paraId="77E09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14:paraId="32AAA39C">
                  <w:pPr>
                    <w:keepNext w:val="0"/>
                    <w:keepLines w:val="0"/>
                    <w:suppressLineNumbers w:val="0"/>
                    <w:spacing w:before="0" w:beforeAutospacing="0" w:after="0" w:afterAutospacing="0" w:line="360" w:lineRule="auto"/>
                    <w:ind w:left="0" w:right="0"/>
                    <w:jc w:val="center"/>
                    <w:textAlignment w:val="baseline"/>
                    <w:rPr>
                      <w:rFonts w:hint="default"/>
                      <w:color w:val="auto"/>
                      <w:sz w:val="21"/>
                      <w:highlight w:val="none"/>
                    </w:rPr>
                  </w:pPr>
                  <w:r>
                    <w:rPr>
                      <w:rFonts w:hint="eastAsia"/>
                      <w:color w:val="auto"/>
                      <w:sz w:val="21"/>
                      <w:highlight w:val="none"/>
                    </w:rPr>
                    <w:t>3</w:t>
                  </w:r>
                </w:p>
              </w:tc>
              <w:tc>
                <w:tcPr>
                  <w:tcW w:w="520" w:type="pct"/>
                  <w:tcBorders>
                    <w:tl2br w:val="nil"/>
                    <w:tr2bl w:val="nil"/>
                  </w:tcBorders>
                  <w:vAlign w:val="center"/>
                </w:tcPr>
                <w:p w14:paraId="04459EF8">
                  <w:pPr>
                    <w:keepNext w:val="0"/>
                    <w:keepLines w:val="0"/>
                    <w:suppressLineNumbers w:val="0"/>
                    <w:spacing w:before="0" w:beforeAutospacing="0" w:after="0" w:afterAutospacing="0" w:line="360" w:lineRule="auto"/>
                    <w:ind w:left="0" w:right="0"/>
                    <w:jc w:val="center"/>
                    <w:textAlignment w:val="baseline"/>
                    <w:rPr>
                      <w:rFonts w:hint="default"/>
                      <w:color w:val="auto"/>
                      <w:sz w:val="21"/>
                      <w:highlight w:val="none"/>
                    </w:rPr>
                  </w:pPr>
                  <w:r>
                    <w:rPr>
                      <w:rFonts w:hint="eastAsia"/>
                      <w:color w:val="auto"/>
                      <w:sz w:val="21"/>
                      <w:highlight w:val="none"/>
                    </w:rPr>
                    <w:t>打桩机</w:t>
                  </w:r>
                </w:p>
              </w:tc>
              <w:tc>
                <w:tcPr>
                  <w:tcW w:w="320" w:type="pct"/>
                  <w:tcBorders>
                    <w:tl2br w:val="nil"/>
                    <w:tr2bl w:val="nil"/>
                  </w:tcBorders>
                  <w:vAlign w:val="center"/>
                </w:tcPr>
                <w:p w14:paraId="33C2F033">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w:t>
                  </w:r>
                </w:p>
              </w:tc>
              <w:tc>
                <w:tcPr>
                  <w:tcW w:w="422" w:type="pct"/>
                  <w:tcBorders>
                    <w:tl2br w:val="nil"/>
                    <w:tr2bl w:val="nil"/>
                  </w:tcBorders>
                  <w:vAlign w:val="center"/>
                </w:tcPr>
                <w:p w14:paraId="23EEDA41">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65</w:t>
                  </w:r>
                </w:p>
              </w:tc>
              <w:tc>
                <w:tcPr>
                  <w:tcW w:w="438" w:type="pct"/>
                  <w:tcBorders>
                    <w:tl2br w:val="nil"/>
                    <w:tr2bl w:val="nil"/>
                  </w:tcBorders>
                  <w:vAlign w:val="center"/>
                </w:tcPr>
                <w:p w14:paraId="5C7FA65E">
                  <w:pPr>
                    <w:keepNext w:val="0"/>
                    <w:keepLines w:val="0"/>
                    <w:suppressLineNumbers w:val="0"/>
                    <w:spacing w:before="0" w:beforeAutospacing="0" w:after="0" w:afterAutospacing="0" w:line="360" w:lineRule="auto"/>
                    <w:ind w:left="0" w:right="0"/>
                    <w:jc w:val="center"/>
                    <w:rPr>
                      <w:rFonts w:hint="eastAsia" w:eastAsia="宋体"/>
                      <w:color w:val="auto"/>
                      <w:sz w:val="21"/>
                      <w:szCs w:val="21"/>
                      <w:highlight w:val="none"/>
                      <w:lang w:eastAsia="zh-CN"/>
                    </w:rPr>
                  </w:pPr>
                  <w:r>
                    <w:rPr>
                      <w:rFonts w:hint="eastAsia"/>
                      <w:color w:val="auto"/>
                      <w:sz w:val="21"/>
                      <w:szCs w:val="21"/>
                      <w:highlight w:val="none"/>
                    </w:rPr>
                    <w:t>7</w:t>
                  </w:r>
                  <w:r>
                    <w:rPr>
                      <w:rFonts w:hint="eastAsia"/>
                      <w:color w:val="auto"/>
                      <w:sz w:val="21"/>
                      <w:szCs w:val="21"/>
                      <w:highlight w:val="none"/>
                      <w:lang w:val="en-US" w:eastAsia="zh-CN"/>
                    </w:rPr>
                    <w:t>1</w:t>
                  </w:r>
                </w:p>
              </w:tc>
              <w:tc>
                <w:tcPr>
                  <w:tcW w:w="420" w:type="pct"/>
                  <w:tcBorders>
                    <w:tl2br w:val="nil"/>
                    <w:tr2bl w:val="nil"/>
                  </w:tcBorders>
                  <w:vAlign w:val="center"/>
                </w:tcPr>
                <w:p w14:paraId="4F20DC21">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0.8</w:t>
                  </w:r>
                </w:p>
              </w:tc>
              <w:tc>
                <w:tcPr>
                  <w:tcW w:w="727" w:type="pct"/>
                  <w:tcBorders>
                    <w:tl2br w:val="nil"/>
                    <w:tr2bl w:val="nil"/>
                  </w:tcBorders>
                  <w:vAlign w:val="center"/>
                </w:tcPr>
                <w:p w14:paraId="065F5400">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w:t>
                  </w:r>
                </w:p>
              </w:tc>
              <w:tc>
                <w:tcPr>
                  <w:tcW w:w="578" w:type="pct"/>
                  <w:tcBorders>
                    <w:tl2br w:val="nil"/>
                    <w:tr2bl w:val="nil"/>
                  </w:tcBorders>
                  <w:vAlign w:val="center"/>
                </w:tcPr>
                <w:p w14:paraId="434921AA">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95</w:t>
                  </w:r>
                </w:p>
              </w:tc>
              <w:tc>
                <w:tcPr>
                  <w:tcW w:w="674" w:type="pct"/>
                  <w:vMerge w:val="continue"/>
                  <w:tcBorders>
                    <w:tl2br w:val="nil"/>
                    <w:tr2bl w:val="nil"/>
                  </w:tcBorders>
                  <w:vAlign w:val="center"/>
                </w:tcPr>
                <w:p w14:paraId="3869DEE0">
                  <w:pPr>
                    <w:keepNext w:val="0"/>
                    <w:keepLines w:val="0"/>
                    <w:suppressLineNumbers w:val="0"/>
                    <w:spacing w:before="0" w:beforeAutospacing="0" w:after="0" w:afterAutospacing="0" w:line="360" w:lineRule="auto"/>
                    <w:ind w:left="0" w:right="0"/>
                    <w:jc w:val="center"/>
                    <w:rPr>
                      <w:rFonts w:hint="default"/>
                      <w:color w:val="auto"/>
                      <w:sz w:val="21"/>
                      <w:highlight w:val="none"/>
                    </w:rPr>
                  </w:pPr>
                </w:p>
              </w:tc>
              <w:tc>
                <w:tcPr>
                  <w:tcW w:w="659" w:type="pct"/>
                  <w:vMerge w:val="continue"/>
                  <w:tcBorders>
                    <w:tl2br w:val="nil"/>
                    <w:tr2bl w:val="nil"/>
                  </w:tcBorders>
                  <w:vAlign w:val="center"/>
                </w:tcPr>
                <w:p w14:paraId="0346CD55">
                  <w:pPr>
                    <w:keepNext w:val="0"/>
                    <w:keepLines w:val="0"/>
                    <w:suppressLineNumbers w:val="0"/>
                    <w:spacing w:before="0" w:beforeAutospacing="0" w:after="0" w:afterAutospacing="0" w:line="360" w:lineRule="auto"/>
                    <w:ind w:left="0" w:right="0"/>
                    <w:jc w:val="center"/>
                    <w:rPr>
                      <w:rFonts w:hint="default"/>
                      <w:color w:val="auto"/>
                      <w:sz w:val="21"/>
                      <w:highlight w:val="none"/>
                    </w:rPr>
                  </w:pPr>
                </w:p>
              </w:tc>
            </w:tr>
            <w:tr w14:paraId="16306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14:paraId="1CB04D94">
                  <w:pPr>
                    <w:keepNext w:val="0"/>
                    <w:keepLines w:val="0"/>
                    <w:suppressLineNumbers w:val="0"/>
                    <w:spacing w:before="0" w:beforeAutospacing="0" w:after="0" w:afterAutospacing="0" w:line="360" w:lineRule="auto"/>
                    <w:ind w:left="0" w:right="0"/>
                    <w:jc w:val="center"/>
                    <w:textAlignment w:val="baseline"/>
                    <w:rPr>
                      <w:rFonts w:hint="default"/>
                      <w:color w:val="auto"/>
                      <w:sz w:val="21"/>
                      <w:highlight w:val="none"/>
                    </w:rPr>
                  </w:pPr>
                  <w:r>
                    <w:rPr>
                      <w:rFonts w:hint="eastAsia"/>
                      <w:color w:val="auto"/>
                      <w:sz w:val="21"/>
                      <w:highlight w:val="none"/>
                    </w:rPr>
                    <w:t>4</w:t>
                  </w:r>
                </w:p>
              </w:tc>
              <w:tc>
                <w:tcPr>
                  <w:tcW w:w="520" w:type="pct"/>
                  <w:tcBorders>
                    <w:tl2br w:val="nil"/>
                    <w:tr2bl w:val="nil"/>
                  </w:tcBorders>
                  <w:vAlign w:val="center"/>
                </w:tcPr>
                <w:p w14:paraId="08C37C95">
                  <w:pPr>
                    <w:keepNext w:val="0"/>
                    <w:keepLines w:val="0"/>
                    <w:suppressLineNumbers w:val="0"/>
                    <w:spacing w:before="0" w:beforeAutospacing="0" w:after="0" w:afterAutospacing="0" w:line="360" w:lineRule="auto"/>
                    <w:ind w:left="0" w:right="0"/>
                    <w:jc w:val="center"/>
                    <w:textAlignment w:val="baseline"/>
                    <w:rPr>
                      <w:rFonts w:hint="default" w:eastAsiaTheme="minorEastAsia"/>
                      <w:color w:val="auto"/>
                      <w:sz w:val="21"/>
                      <w:highlight w:val="none"/>
                    </w:rPr>
                  </w:pPr>
                  <w:r>
                    <w:rPr>
                      <w:rFonts w:hint="eastAsia"/>
                      <w:color w:val="auto"/>
                      <w:sz w:val="21"/>
                      <w:highlight w:val="none"/>
                    </w:rPr>
                    <w:t>振捣器</w:t>
                  </w:r>
                </w:p>
              </w:tc>
              <w:tc>
                <w:tcPr>
                  <w:tcW w:w="320" w:type="pct"/>
                  <w:tcBorders>
                    <w:tl2br w:val="nil"/>
                    <w:tr2bl w:val="nil"/>
                  </w:tcBorders>
                  <w:vAlign w:val="center"/>
                </w:tcPr>
                <w:p w14:paraId="0814048B">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w:t>
                  </w:r>
                </w:p>
              </w:tc>
              <w:tc>
                <w:tcPr>
                  <w:tcW w:w="422" w:type="pct"/>
                  <w:tcBorders>
                    <w:tl2br w:val="nil"/>
                    <w:tr2bl w:val="nil"/>
                  </w:tcBorders>
                  <w:vAlign w:val="center"/>
                </w:tcPr>
                <w:p w14:paraId="666F5095">
                  <w:pPr>
                    <w:keepNext w:val="0"/>
                    <w:keepLines w:val="0"/>
                    <w:suppressLineNumbers w:val="0"/>
                    <w:spacing w:before="0" w:beforeAutospacing="0" w:after="0" w:afterAutospacing="0" w:line="360" w:lineRule="auto"/>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80</w:t>
                  </w:r>
                </w:p>
              </w:tc>
              <w:tc>
                <w:tcPr>
                  <w:tcW w:w="438" w:type="pct"/>
                  <w:tcBorders>
                    <w:tl2br w:val="nil"/>
                    <w:tr2bl w:val="nil"/>
                  </w:tcBorders>
                  <w:vAlign w:val="center"/>
                </w:tcPr>
                <w:p w14:paraId="4ADDE4B0">
                  <w:pPr>
                    <w:keepNext w:val="0"/>
                    <w:keepLines w:val="0"/>
                    <w:suppressLineNumbers w:val="0"/>
                    <w:spacing w:before="0" w:beforeAutospacing="0" w:after="0" w:afterAutospacing="0" w:line="360" w:lineRule="auto"/>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90</w:t>
                  </w:r>
                </w:p>
              </w:tc>
              <w:tc>
                <w:tcPr>
                  <w:tcW w:w="420" w:type="pct"/>
                  <w:tcBorders>
                    <w:tl2br w:val="nil"/>
                    <w:tr2bl w:val="nil"/>
                  </w:tcBorders>
                  <w:vAlign w:val="center"/>
                </w:tcPr>
                <w:p w14:paraId="1C56E549">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0.8</w:t>
                  </w:r>
                </w:p>
              </w:tc>
              <w:tc>
                <w:tcPr>
                  <w:tcW w:w="727" w:type="pct"/>
                  <w:tcBorders>
                    <w:tl2br w:val="nil"/>
                    <w:tr2bl w:val="nil"/>
                  </w:tcBorders>
                  <w:vAlign w:val="center"/>
                </w:tcPr>
                <w:p w14:paraId="68C203B0">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w:t>
                  </w:r>
                </w:p>
              </w:tc>
              <w:tc>
                <w:tcPr>
                  <w:tcW w:w="578" w:type="pct"/>
                  <w:tcBorders>
                    <w:tl2br w:val="nil"/>
                    <w:tr2bl w:val="nil"/>
                  </w:tcBorders>
                  <w:vAlign w:val="center"/>
                </w:tcPr>
                <w:p w14:paraId="7B791BA4">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95</w:t>
                  </w:r>
                </w:p>
              </w:tc>
              <w:tc>
                <w:tcPr>
                  <w:tcW w:w="674" w:type="pct"/>
                  <w:vMerge w:val="continue"/>
                  <w:tcBorders>
                    <w:tl2br w:val="nil"/>
                    <w:tr2bl w:val="nil"/>
                  </w:tcBorders>
                  <w:vAlign w:val="center"/>
                </w:tcPr>
                <w:p w14:paraId="5404BC95">
                  <w:pPr>
                    <w:keepNext w:val="0"/>
                    <w:keepLines w:val="0"/>
                    <w:suppressLineNumbers w:val="0"/>
                    <w:spacing w:before="0" w:beforeAutospacing="0" w:after="0" w:afterAutospacing="0" w:line="360" w:lineRule="auto"/>
                    <w:ind w:left="0" w:right="0"/>
                    <w:jc w:val="center"/>
                    <w:rPr>
                      <w:rFonts w:hint="default"/>
                      <w:color w:val="auto"/>
                      <w:sz w:val="21"/>
                      <w:highlight w:val="none"/>
                    </w:rPr>
                  </w:pPr>
                </w:p>
              </w:tc>
              <w:tc>
                <w:tcPr>
                  <w:tcW w:w="659" w:type="pct"/>
                  <w:vMerge w:val="continue"/>
                  <w:tcBorders>
                    <w:tl2br w:val="nil"/>
                    <w:tr2bl w:val="nil"/>
                  </w:tcBorders>
                  <w:vAlign w:val="center"/>
                </w:tcPr>
                <w:p w14:paraId="2DFE8A1A">
                  <w:pPr>
                    <w:keepNext w:val="0"/>
                    <w:keepLines w:val="0"/>
                    <w:suppressLineNumbers w:val="0"/>
                    <w:spacing w:before="0" w:beforeAutospacing="0" w:after="0" w:afterAutospacing="0" w:line="360" w:lineRule="auto"/>
                    <w:ind w:left="0" w:right="0"/>
                    <w:jc w:val="center"/>
                    <w:rPr>
                      <w:rFonts w:hint="default"/>
                      <w:color w:val="auto"/>
                      <w:sz w:val="21"/>
                      <w:highlight w:val="none"/>
                    </w:rPr>
                  </w:pPr>
                </w:p>
              </w:tc>
            </w:tr>
            <w:tr w14:paraId="7E86E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7" w:type="pct"/>
                  <w:tcBorders>
                    <w:tl2br w:val="nil"/>
                    <w:tr2bl w:val="nil"/>
                  </w:tcBorders>
                  <w:vAlign w:val="center"/>
                </w:tcPr>
                <w:p w14:paraId="1477844C">
                  <w:pPr>
                    <w:keepNext w:val="0"/>
                    <w:keepLines w:val="0"/>
                    <w:suppressLineNumbers w:val="0"/>
                    <w:spacing w:before="0" w:beforeAutospacing="0" w:after="0" w:afterAutospacing="0" w:line="360" w:lineRule="auto"/>
                    <w:ind w:left="0" w:right="0"/>
                    <w:jc w:val="center"/>
                    <w:textAlignment w:val="baseline"/>
                    <w:rPr>
                      <w:rFonts w:hint="default"/>
                      <w:color w:val="auto"/>
                      <w:sz w:val="21"/>
                      <w:highlight w:val="none"/>
                    </w:rPr>
                  </w:pPr>
                  <w:r>
                    <w:rPr>
                      <w:rFonts w:hint="eastAsia"/>
                      <w:color w:val="auto"/>
                      <w:sz w:val="21"/>
                      <w:highlight w:val="none"/>
                    </w:rPr>
                    <w:t>5</w:t>
                  </w:r>
                </w:p>
              </w:tc>
              <w:tc>
                <w:tcPr>
                  <w:tcW w:w="520" w:type="pct"/>
                  <w:tcBorders>
                    <w:tl2br w:val="nil"/>
                    <w:tr2bl w:val="nil"/>
                  </w:tcBorders>
                  <w:vAlign w:val="center"/>
                </w:tcPr>
                <w:p w14:paraId="63C2833D">
                  <w:pPr>
                    <w:keepNext w:val="0"/>
                    <w:keepLines w:val="0"/>
                    <w:suppressLineNumbers w:val="0"/>
                    <w:spacing w:before="0" w:beforeAutospacing="0" w:after="0" w:afterAutospacing="0" w:line="360" w:lineRule="auto"/>
                    <w:ind w:left="0" w:right="0"/>
                    <w:jc w:val="center"/>
                    <w:textAlignment w:val="baseline"/>
                    <w:rPr>
                      <w:rFonts w:hint="default" w:eastAsiaTheme="minorEastAsia"/>
                      <w:color w:val="auto"/>
                      <w:sz w:val="21"/>
                      <w:highlight w:val="none"/>
                    </w:rPr>
                  </w:pPr>
                  <w:r>
                    <w:rPr>
                      <w:rFonts w:hint="eastAsia"/>
                      <w:color w:val="auto"/>
                      <w:sz w:val="21"/>
                      <w:highlight w:val="none"/>
                    </w:rPr>
                    <w:t>电钻、手工钻</w:t>
                  </w:r>
                </w:p>
              </w:tc>
              <w:tc>
                <w:tcPr>
                  <w:tcW w:w="320" w:type="pct"/>
                  <w:tcBorders>
                    <w:tl2br w:val="nil"/>
                    <w:tr2bl w:val="nil"/>
                  </w:tcBorders>
                  <w:vAlign w:val="center"/>
                </w:tcPr>
                <w:p w14:paraId="397CE4FB">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w:t>
                  </w:r>
                </w:p>
              </w:tc>
              <w:tc>
                <w:tcPr>
                  <w:tcW w:w="422" w:type="pct"/>
                  <w:tcBorders>
                    <w:tl2br w:val="nil"/>
                    <w:tr2bl w:val="nil"/>
                  </w:tcBorders>
                  <w:vAlign w:val="center"/>
                </w:tcPr>
                <w:p w14:paraId="4D516D75">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40</w:t>
                  </w:r>
                </w:p>
              </w:tc>
              <w:tc>
                <w:tcPr>
                  <w:tcW w:w="438" w:type="pct"/>
                  <w:tcBorders>
                    <w:tl2br w:val="nil"/>
                    <w:tr2bl w:val="nil"/>
                  </w:tcBorders>
                  <w:vAlign w:val="center"/>
                </w:tcPr>
                <w:p w14:paraId="18E45974">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101</w:t>
                  </w:r>
                </w:p>
              </w:tc>
              <w:tc>
                <w:tcPr>
                  <w:tcW w:w="420" w:type="pct"/>
                  <w:tcBorders>
                    <w:tl2br w:val="nil"/>
                    <w:tr2bl w:val="nil"/>
                  </w:tcBorders>
                  <w:vAlign w:val="center"/>
                </w:tcPr>
                <w:p w14:paraId="0296C429">
                  <w:pPr>
                    <w:keepNext w:val="0"/>
                    <w:keepLines w:val="0"/>
                    <w:suppressLineNumbers w:val="0"/>
                    <w:spacing w:before="0" w:beforeAutospacing="0" w:after="0" w:afterAutospacing="0" w:line="360" w:lineRule="auto"/>
                    <w:ind w:left="0" w:right="0"/>
                    <w:jc w:val="center"/>
                    <w:rPr>
                      <w:rFonts w:hint="default"/>
                      <w:color w:val="auto"/>
                      <w:sz w:val="21"/>
                      <w:szCs w:val="21"/>
                      <w:highlight w:val="none"/>
                    </w:rPr>
                  </w:pPr>
                  <w:r>
                    <w:rPr>
                      <w:rFonts w:hint="eastAsia"/>
                      <w:color w:val="auto"/>
                      <w:sz w:val="21"/>
                      <w:szCs w:val="21"/>
                      <w:highlight w:val="none"/>
                    </w:rPr>
                    <w:t>1</w:t>
                  </w:r>
                </w:p>
              </w:tc>
              <w:tc>
                <w:tcPr>
                  <w:tcW w:w="727" w:type="pct"/>
                  <w:tcBorders>
                    <w:tl2br w:val="nil"/>
                    <w:tr2bl w:val="nil"/>
                  </w:tcBorders>
                  <w:vAlign w:val="center"/>
                </w:tcPr>
                <w:p w14:paraId="16E0D209">
                  <w:pPr>
                    <w:keepNext w:val="0"/>
                    <w:keepLines w:val="0"/>
                    <w:suppressLineNumbers w:val="0"/>
                    <w:spacing w:before="0" w:beforeAutospacing="0" w:after="0" w:afterAutospacing="0" w:line="360" w:lineRule="auto"/>
                    <w:ind w:left="0" w:right="0"/>
                    <w:jc w:val="center"/>
                    <w:rPr>
                      <w:rFonts w:hint="default"/>
                      <w:color w:val="auto"/>
                      <w:sz w:val="21"/>
                      <w:highlight w:val="none"/>
                    </w:rPr>
                  </w:pPr>
                  <w:r>
                    <w:rPr>
                      <w:rFonts w:hint="eastAsia"/>
                      <w:color w:val="auto"/>
                      <w:sz w:val="21"/>
                      <w:highlight w:val="none"/>
                    </w:rPr>
                    <w:t>/</w:t>
                  </w:r>
                </w:p>
              </w:tc>
              <w:tc>
                <w:tcPr>
                  <w:tcW w:w="578" w:type="pct"/>
                  <w:tcBorders>
                    <w:tl2br w:val="nil"/>
                    <w:tr2bl w:val="nil"/>
                  </w:tcBorders>
                  <w:vAlign w:val="center"/>
                </w:tcPr>
                <w:p w14:paraId="7EA5856D">
                  <w:pPr>
                    <w:keepNext w:val="0"/>
                    <w:keepLines w:val="0"/>
                    <w:suppressLineNumbers w:val="0"/>
                    <w:spacing w:before="0" w:beforeAutospacing="0" w:after="0" w:afterAutospacing="0" w:line="360" w:lineRule="auto"/>
                    <w:ind w:left="0" w:right="0"/>
                    <w:jc w:val="center"/>
                    <w:rPr>
                      <w:rFonts w:hint="default" w:eastAsia="宋体"/>
                      <w:color w:val="auto"/>
                      <w:sz w:val="21"/>
                      <w:highlight w:val="none"/>
                      <w:lang w:val="en-US" w:eastAsia="zh-CN"/>
                    </w:rPr>
                  </w:pPr>
                  <w:r>
                    <w:rPr>
                      <w:rFonts w:hint="eastAsia"/>
                      <w:color w:val="auto"/>
                      <w:sz w:val="21"/>
                      <w:highlight w:val="none"/>
                      <w:lang w:val="en-US" w:eastAsia="zh-CN"/>
                    </w:rPr>
                    <w:t>85</w:t>
                  </w:r>
                </w:p>
              </w:tc>
              <w:tc>
                <w:tcPr>
                  <w:tcW w:w="674" w:type="pct"/>
                  <w:vMerge w:val="continue"/>
                  <w:tcBorders>
                    <w:tl2br w:val="nil"/>
                    <w:tr2bl w:val="nil"/>
                  </w:tcBorders>
                  <w:vAlign w:val="center"/>
                </w:tcPr>
                <w:p w14:paraId="683F6BD4">
                  <w:pPr>
                    <w:keepNext w:val="0"/>
                    <w:keepLines w:val="0"/>
                    <w:suppressLineNumbers w:val="0"/>
                    <w:spacing w:before="0" w:beforeAutospacing="0" w:after="0" w:afterAutospacing="0" w:line="360" w:lineRule="auto"/>
                    <w:ind w:left="0" w:right="0"/>
                    <w:jc w:val="center"/>
                    <w:rPr>
                      <w:rFonts w:hint="default"/>
                      <w:color w:val="auto"/>
                      <w:sz w:val="21"/>
                      <w:highlight w:val="none"/>
                    </w:rPr>
                  </w:pPr>
                </w:p>
              </w:tc>
              <w:tc>
                <w:tcPr>
                  <w:tcW w:w="659" w:type="pct"/>
                  <w:vMerge w:val="continue"/>
                  <w:tcBorders>
                    <w:tl2br w:val="nil"/>
                    <w:tr2bl w:val="nil"/>
                  </w:tcBorders>
                  <w:vAlign w:val="center"/>
                </w:tcPr>
                <w:p w14:paraId="3E786008">
                  <w:pPr>
                    <w:keepNext w:val="0"/>
                    <w:keepLines w:val="0"/>
                    <w:suppressLineNumbers w:val="0"/>
                    <w:spacing w:before="0" w:beforeAutospacing="0" w:after="0" w:afterAutospacing="0" w:line="360" w:lineRule="auto"/>
                    <w:ind w:left="0" w:right="0"/>
                    <w:jc w:val="center"/>
                    <w:rPr>
                      <w:rFonts w:hint="default"/>
                      <w:color w:val="auto"/>
                      <w:sz w:val="21"/>
                      <w:highlight w:val="none"/>
                    </w:rPr>
                  </w:pPr>
                </w:p>
              </w:tc>
            </w:tr>
          </w:tbl>
          <w:p w14:paraId="1685074D">
            <w:pPr>
              <w:keepNext w:val="0"/>
              <w:keepLines w:val="0"/>
              <w:suppressLineNumbers w:val="0"/>
              <w:spacing w:before="0" w:beforeAutospacing="0" w:after="0" w:afterAutospacing="0" w:line="360" w:lineRule="auto"/>
              <w:ind w:left="0" w:right="0" w:firstLine="482" w:firstLineChars="200"/>
              <w:rPr>
                <w:rFonts w:hint="default"/>
                <w:b/>
                <w:color w:val="auto"/>
                <w:szCs w:val="24"/>
                <w:highlight w:val="none"/>
              </w:rPr>
            </w:pPr>
            <w:r>
              <w:rPr>
                <w:rFonts w:hint="eastAsia"/>
                <w:b/>
                <w:color w:val="auto"/>
                <w:szCs w:val="24"/>
                <w:highlight w:val="none"/>
              </w:rPr>
              <w:t>（</w:t>
            </w:r>
            <w:r>
              <w:rPr>
                <w:rFonts w:hint="default"/>
                <w:b/>
                <w:color w:val="auto"/>
                <w:szCs w:val="24"/>
                <w:highlight w:val="none"/>
              </w:rPr>
              <w:t>2</w:t>
            </w:r>
            <w:r>
              <w:rPr>
                <w:rFonts w:hint="eastAsia"/>
                <w:b/>
                <w:color w:val="auto"/>
                <w:szCs w:val="24"/>
                <w:highlight w:val="none"/>
              </w:rPr>
              <w:t>）达标情况分析</w:t>
            </w:r>
          </w:p>
          <w:p w14:paraId="3F86758C">
            <w:pPr>
              <w:keepNext w:val="0"/>
              <w:keepLines w:val="0"/>
              <w:suppressLineNumbers w:val="0"/>
              <w:spacing w:before="0" w:beforeAutospacing="0" w:after="0" w:afterAutospacing="0" w:line="360" w:lineRule="auto"/>
              <w:ind w:left="0" w:right="0" w:firstLine="482" w:firstLineChars="200"/>
              <w:rPr>
                <w:rFonts w:hint="default"/>
                <w:b/>
                <w:color w:val="auto"/>
                <w:szCs w:val="24"/>
                <w:highlight w:val="none"/>
              </w:rPr>
            </w:pPr>
            <w:r>
              <w:rPr>
                <w:rFonts w:hint="eastAsia"/>
                <w:b/>
                <w:color w:val="auto"/>
                <w:szCs w:val="24"/>
                <w:highlight w:val="none"/>
              </w:rPr>
              <w:t>1）预测模式</w:t>
            </w:r>
          </w:p>
          <w:p w14:paraId="67B6F4F2">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eastAsia"/>
                <w:color w:val="auto"/>
                <w:szCs w:val="24"/>
                <w:highlight w:val="none"/>
              </w:rPr>
              <w:t>本次评价采用《环境影响评价技术导则一声环境》（HJ2.4-2021）中推荐模式进行预测，用A声级计算。具体模式见运营期噪声达标情况分析。</w:t>
            </w:r>
          </w:p>
          <w:p w14:paraId="4354806C">
            <w:pPr>
              <w:keepNext w:val="0"/>
              <w:keepLines w:val="0"/>
              <w:suppressLineNumbers w:val="0"/>
              <w:spacing w:before="0" w:beforeAutospacing="0" w:after="0" w:afterAutospacing="0" w:line="360" w:lineRule="auto"/>
              <w:ind w:left="0" w:right="0" w:firstLine="482" w:firstLineChars="200"/>
              <w:rPr>
                <w:rFonts w:hint="eastAsia" w:eastAsia="黑体"/>
                <w:b/>
                <w:bCs/>
                <w:color w:val="auto"/>
                <w:kern w:val="0"/>
                <w:sz w:val="20"/>
                <w:szCs w:val="20"/>
                <w:highlight w:val="none"/>
              </w:rPr>
            </w:pPr>
            <w:r>
              <w:rPr>
                <w:rFonts w:hint="eastAsia"/>
                <w:b/>
                <w:bCs/>
                <w:color w:val="auto"/>
                <w:szCs w:val="24"/>
                <w:highlight w:val="none"/>
              </w:rPr>
              <w:t>2）预测结果</w:t>
            </w:r>
          </w:p>
          <w:p w14:paraId="354261B6">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rPr>
            </w:pPr>
            <w:r>
              <w:rPr>
                <w:rFonts w:hint="eastAsia" w:ascii="Times New Roman" w:hAnsi="Times New Roman" w:eastAsia="黑体" w:cs="Times New Roman"/>
                <w:b/>
                <w:bCs/>
                <w:color w:val="auto"/>
                <w:kern w:val="0"/>
                <w:sz w:val="20"/>
                <w:szCs w:val="20"/>
                <w:highlight w:val="none"/>
              </w:rPr>
              <w:t>表4-2  施工期昼间噪声预测结果</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43"/>
              <w:gridCol w:w="1303"/>
              <w:gridCol w:w="1303"/>
              <w:gridCol w:w="1304"/>
              <w:gridCol w:w="1583"/>
              <w:gridCol w:w="739"/>
            </w:tblGrid>
            <w:tr w14:paraId="51453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1" w:type="pct"/>
                  <w:vMerge w:val="restart"/>
                  <w:tcBorders>
                    <w:tl2br w:val="nil"/>
                    <w:tr2bl w:val="nil"/>
                  </w:tcBorders>
                  <w:shd w:val="clear" w:color="000000" w:themeColor="text1" w:fill="auto"/>
                  <w:vAlign w:val="center"/>
                </w:tcPr>
                <w:p w14:paraId="2463BFEC">
                  <w:pPr>
                    <w:keepNext w:val="0"/>
                    <w:keepLines w:val="0"/>
                    <w:suppressLineNumbers w:val="0"/>
                    <w:spacing w:before="0" w:beforeAutospacing="0" w:after="0" w:afterAutospacing="0" w:line="240" w:lineRule="auto"/>
                    <w:ind w:left="0" w:right="0"/>
                    <w:jc w:val="center"/>
                    <w:rPr>
                      <w:rFonts w:hint="default"/>
                      <w:b/>
                      <w:bCs/>
                      <w:color w:val="auto"/>
                      <w:sz w:val="21"/>
                      <w:highlight w:val="none"/>
                    </w:rPr>
                  </w:pPr>
                  <w:r>
                    <w:rPr>
                      <w:rFonts w:hint="eastAsia"/>
                      <w:b/>
                      <w:bCs/>
                      <w:color w:val="auto"/>
                      <w:sz w:val="21"/>
                      <w:highlight w:val="none"/>
                    </w:rPr>
                    <w:t>编号</w:t>
                  </w:r>
                </w:p>
              </w:tc>
              <w:tc>
                <w:tcPr>
                  <w:tcW w:w="959" w:type="pct"/>
                  <w:vMerge w:val="restart"/>
                  <w:tcBorders>
                    <w:tl2br w:val="nil"/>
                    <w:tr2bl w:val="nil"/>
                  </w:tcBorders>
                  <w:shd w:val="clear" w:color="000000" w:themeColor="text1" w:fill="auto"/>
                  <w:vAlign w:val="center"/>
                </w:tcPr>
                <w:p w14:paraId="192988D4">
                  <w:pPr>
                    <w:keepNext w:val="0"/>
                    <w:keepLines w:val="0"/>
                    <w:suppressLineNumbers w:val="0"/>
                    <w:spacing w:before="0" w:beforeAutospacing="0" w:after="0" w:afterAutospacing="0" w:line="240" w:lineRule="auto"/>
                    <w:ind w:left="0" w:right="0"/>
                    <w:jc w:val="center"/>
                    <w:rPr>
                      <w:rFonts w:hint="default"/>
                      <w:b/>
                      <w:bCs/>
                      <w:color w:val="auto"/>
                      <w:sz w:val="21"/>
                      <w:highlight w:val="none"/>
                    </w:rPr>
                  </w:pPr>
                  <w:r>
                    <w:rPr>
                      <w:rFonts w:hint="eastAsia"/>
                      <w:b/>
                      <w:bCs/>
                      <w:color w:val="auto"/>
                      <w:sz w:val="21"/>
                      <w:highlight w:val="none"/>
                    </w:rPr>
                    <w:t>预测点位置</w:t>
                  </w:r>
                </w:p>
              </w:tc>
              <w:tc>
                <w:tcPr>
                  <w:tcW w:w="760" w:type="pct"/>
                  <w:tcBorders>
                    <w:tl2br w:val="nil"/>
                    <w:tr2bl w:val="nil"/>
                  </w:tcBorders>
                  <w:shd w:val="clear" w:color="000000" w:themeColor="text1" w:fill="auto"/>
                  <w:vAlign w:val="center"/>
                </w:tcPr>
                <w:p w14:paraId="164B8F1E">
                  <w:pPr>
                    <w:keepNext w:val="0"/>
                    <w:keepLines w:val="0"/>
                    <w:suppressLineNumbers w:val="0"/>
                    <w:spacing w:before="0" w:beforeAutospacing="0" w:after="0" w:afterAutospacing="0" w:line="240" w:lineRule="auto"/>
                    <w:ind w:left="0" w:right="0"/>
                    <w:jc w:val="center"/>
                    <w:rPr>
                      <w:rFonts w:hint="default"/>
                      <w:b/>
                      <w:bCs/>
                      <w:color w:val="auto"/>
                      <w:sz w:val="21"/>
                      <w:highlight w:val="none"/>
                    </w:rPr>
                  </w:pPr>
                  <w:r>
                    <w:rPr>
                      <w:rFonts w:hint="eastAsia"/>
                      <w:b/>
                      <w:bCs/>
                      <w:color w:val="auto"/>
                      <w:sz w:val="21"/>
                      <w:highlight w:val="none"/>
                    </w:rPr>
                    <w:t>贡献值</w:t>
                  </w:r>
                </w:p>
                <w:p w14:paraId="368E8976">
                  <w:pPr>
                    <w:keepNext w:val="0"/>
                    <w:keepLines w:val="0"/>
                    <w:suppressLineNumbers w:val="0"/>
                    <w:spacing w:before="0" w:beforeAutospacing="0" w:after="0" w:afterAutospacing="0" w:line="240" w:lineRule="auto"/>
                    <w:ind w:left="0" w:right="0"/>
                    <w:jc w:val="center"/>
                    <w:rPr>
                      <w:rFonts w:hint="default"/>
                      <w:b/>
                      <w:bCs/>
                      <w:color w:val="auto"/>
                      <w:sz w:val="21"/>
                      <w:highlight w:val="none"/>
                    </w:rPr>
                  </w:pPr>
                  <w:r>
                    <w:rPr>
                      <w:rFonts w:hint="eastAsia"/>
                      <w:b/>
                      <w:bCs/>
                      <w:color w:val="auto"/>
                      <w:sz w:val="21"/>
                      <w:highlight w:val="none"/>
                    </w:rPr>
                    <w:t>[dB（A）]</w:t>
                  </w:r>
                </w:p>
              </w:tc>
              <w:tc>
                <w:tcPr>
                  <w:tcW w:w="760" w:type="pct"/>
                  <w:tcBorders>
                    <w:tl2br w:val="nil"/>
                    <w:tr2bl w:val="nil"/>
                  </w:tcBorders>
                  <w:shd w:val="clear" w:color="000000" w:themeColor="text1" w:fill="auto"/>
                  <w:vAlign w:val="center"/>
                </w:tcPr>
                <w:p w14:paraId="687C2D69">
                  <w:pPr>
                    <w:keepNext w:val="0"/>
                    <w:keepLines w:val="0"/>
                    <w:suppressLineNumbers w:val="0"/>
                    <w:spacing w:before="0" w:beforeAutospacing="0" w:after="0" w:afterAutospacing="0" w:line="240" w:lineRule="auto"/>
                    <w:ind w:left="0" w:right="0"/>
                    <w:jc w:val="center"/>
                    <w:rPr>
                      <w:rFonts w:hint="default"/>
                      <w:b/>
                      <w:bCs/>
                      <w:color w:val="auto"/>
                      <w:sz w:val="21"/>
                      <w:highlight w:val="none"/>
                    </w:rPr>
                  </w:pPr>
                  <w:r>
                    <w:rPr>
                      <w:rFonts w:hint="eastAsia"/>
                      <w:b/>
                      <w:bCs/>
                      <w:color w:val="auto"/>
                      <w:sz w:val="21"/>
                      <w:highlight w:val="none"/>
                    </w:rPr>
                    <w:t>背景值</w:t>
                  </w:r>
                </w:p>
                <w:p w14:paraId="62018863">
                  <w:pPr>
                    <w:keepNext w:val="0"/>
                    <w:keepLines w:val="0"/>
                    <w:suppressLineNumbers w:val="0"/>
                    <w:spacing w:before="0" w:beforeAutospacing="0" w:after="0" w:afterAutospacing="0" w:line="240" w:lineRule="auto"/>
                    <w:ind w:left="0" w:right="0"/>
                    <w:jc w:val="center"/>
                    <w:rPr>
                      <w:rFonts w:hint="default"/>
                      <w:b/>
                      <w:bCs/>
                      <w:color w:val="auto"/>
                      <w:sz w:val="21"/>
                      <w:highlight w:val="none"/>
                    </w:rPr>
                  </w:pPr>
                  <w:r>
                    <w:rPr>
                      <w:rFonts w:hint="eastAsia"/>
                      <w:b/>
                      <w:bCs/>
                      <w:color w:val="auto"/>
                      <w:sz w:val="21"/>
                      <w:highlight w:val="none"/>
                    </w:rPr>
                    <w:t>[dB（A）]</w:t>
                  </w:r>
                </w:p>
              </w:tc>
              <w:tc>
                <w:tcPr>
                  <w:tcW w:w="761" w:type="pct"/>
                  <w:tcBorders>
                    <w:tl2br w:val="nil"/>
                    <w:tr2bl w:val="nil"/>
                  </w:tcBorders>
                  <w:shd w:val="clear" w:color="000000" w:themeColor="text1" w:fill="auto"/>
                  <w:vAlign w:val="center"/>
                </w:tcPr>
                <w:p w14:paraId="651B3C99">
                  <w:pPr>
                    <w:keepNext w:val="0"/>
                    <w:keepLines w:val="0"/>
                    <w:suppressLineNumbers w:val="0"/>
                    <w:spacing w:before="0" w:beforeAutospacing="0" w:after="0" w:afterAutospacing="0" w:line="240" w:lineRule="auto"/>
                    <w:ind w:left="0" w:right="0"/>
                    <w:jc w:val="center"/>
                    <w:rPr>
                      <w:rFonts w:hint="default"/>
                      <w:b/>
                      <w:bCs/>
                      <w:color w:val="auto"/>
                      <w:sz w:val="21"/>
                      <w:highlight w:val="none"/>
                    </w:rPr>
                  </w:pPr>
                  <w:r>
                    <w:rPr>
                      <w:rFonts w:hint="eastAsia"/>
                      <w:b/>
                      <w:bCs/>
                      <w:color w:val="auto"/>
                      <w:sz w:val="21"/>
                      <w:highlight w:val="none"/>
                    </w:rPr>
                    <w:t>预测值</w:t>
                  </w:r>
                </w:p>
                <w:p w14:paraId="00A138F7">
                  <w:pPr>
                    <w:keepNext w:val="0"/>
                    <w:keepLines w:val="0"/>
                    <w:suppressLineNumbers w:val="0"/>
                    <w:spacing w:before="0" w:beforeAutospacing="0" w:after="0" w:afterAutospacing="0" w:line="240" w:lineRule="auto"/>
                    <w:ind w:left="0" w:right="0"/>
                    <w:jc w:val="center"/>
                    <w:rPr>
                      <w:rFonts w:hint="default"/>
                      <w:b/>
                      <w:bCs/>
                      <w:color w:val="auto"/>
                      <w:sz w:val="21"/>
                      <w:highlight w:val="none"/>
                    </w:rPr>
                  </w:pPr>
                  <w:r>
                    <w:rPr>
                      <w:rFonts w:hint="eastAsia"/>
                      <w:b/>
                      <w:bCs/>
                      <w:color w:val="auto"/>
                      <w:sz w:val="21"/>
                      <w:highlight w:val="none"/>
                    </w:rPr>
                    <w:t>[dB（A）]</w:t>
                  </w:r>
                </w:p>
              </w:tc>
              <w:tc>
                <w:tcPr>
                  <w:tcW w:w="924" w:type="pct"/>
                  <w:tcBorders>
                    <w:tl2br w:val="nil"/>
                    <w:tr2bl w:val="nil"/>
                  </w:tcBorders>
                  <w:shd w:val="clear" w:color="000000" w:themeColor="text1" w:fill="auto"/>
                  <w:vAlign w:val="center"/>
                </w:tcPr>
                <w:p w14:paraId="3C3B88DC">
                  <w:pPr>
                    <w:keepNext w:val="0"/>
                    <w:keepLines w:val="0"/>
                    <w:suppressLineNumbers w:val="0"/>
                    <w:spacing w:before="0" w:beforeAutospacing="0" w:after="0" w:afterAutospacing="0" w:line="240" w:lineRule="auto"/>
                    <w:ind w:left="0" w:right="0"/>
                    <w:jc w:val="center"/>
                    <w:rPr>
                      <w:rFonts w:hint="default"/>
                      <w:b/>
                      <w:bCs/>
                      <w:color w:val="auto"/>
                      <w:sz w:val="21"/>
                      <w:highlight w:val="none"/>
                    </w:rPr>
                  </w:pPr>
                  <w:r>
                    <w:rPr>
                      <w:rFonts w:hint="eastAsia"/>
                      <w:b/>
                      <w:bCs/>
                      <w:color w:val="auto"/>
                      <w:sz w:val="21"/>
                      <w:highlight w:val="none"/>
                    </w:rPr>
                    <w:t>标准值</w:t>
                  </w:r>
                </w:p>
                <w:p w14:paraId="62781B4D">
                  <w:pPr>
                    <w:keepNext w:val="0"/>
                    <w:keepLines w:val="0"/>
                    <w:suppressLineNumbers w:val="0"/>
                    <w:spacing w:before="0" w:beforeAutospacing="0" w:after="0" w:afterAutospacing="0" w:line="240" w:lineRule="auto"/>
                    <w:ind w:left="0" w:right="0"/>
                    <w:jc w:val="center"/>
                    <w:rPr>
                      <w:rFonts w:hint="default"/>
                      <w:b/>
                      <w:bCs/>
                      <w:color w:val="auto"/>
                      <w:sz w:val="21"/>
                      <w:highlight w:val="none"/>
                    </w:rPr>
                  </w:pPr>
                  <w:r>
                    <w:rPr>
                      <w:rFonts w:hint="eastAsia" w:eastAsia="仿宋"/>
                      <w:b/>
                      <w:bCs/>
                      <w:color w:val="auto"/>
                      <w:sz w:val="21"/>
                      <w:highlight w:val="none"/>
                    </w:rPr>
                    <w:t>[</w:t>
                  </w:r>
                  <w:r>
                    <w:rPr>
                      <w:rFonts w:hint="default"/>
                      <w:b/>
                      <w:bCs/>
                      <w:color w:val="auto"/>
                      <w:sz w:val="21"/>
                      <w:highlight w:val="none"/>
                    </w:rPr>
                    <w:t>dB（A）</w:t>
                  </w:r>
                  <w:r>
                    <w:rPr>
                      <w:rFonts w:hint="eastAsia" w:eastAsia="仿宋"/>
                      <w:b/>
                      <w:bCs/>
                      <w:color w:val="auto"/>
                      <w:sz w:val="21"/>
                      <w:highlight w:val="none"/>
                    </w:rPr>
                    <w:t>]</w:t>
                  </w:r>
                </w:p>
              </w:tc>
              <w:tc>
                <w:tcPr>
                  <w:tcW w:w="431" w:type="pct"/>
                  <w:vMerge w:val="restart"/>
                  <w:tcBorders>
                    <w:tl2br w:val="nil"/>
                    <w:tr2bl w:val="nil"/>
                  </w:tcBorders>
                  <w:shd w:val="clear" w:color="000000" w:themeColor="text1" w:fill="auto"/>
                  <w:vAlign w:val="center"/>
                </w:tcPr>
                <w:p w14:paraId="5773427E">
                  <w:pPr>
                    <w:keepNext w:val="0"/>
                    <w:keepLines w:val="0"/>
                    <w:suppressLineNumbers w:val="0"/>
                    <w:spacing w:before="0" w:beforeAutospacing="0" w:after="0" w:afterAutospacing="0" w:line="240" w:lineRule="auto"/>
                    <w:ind w:left="0" w:right="0"/>
                    <w:jc w:val="center"/>
                    <w:rPr>
                      <w:rFonts w:hint="default"/>
                      <w:b/>
                      <w:bCs/>
                      <w:color w:val="auto"/>
                      <w:sz w:val="21"/>
                      <w:highlight w:val="none"/>
                    </w:rPr>
                  </w:pPr>
                  <w:r>
                    <w:rPr>
                      <w:rFonts w:hint="eastAsia"/>
                      <w:b/>
                      <w:bCs/>
                      <w:color w:val="auto"/>
                      <w:sz w:val="21"/>
                      <w:highlight w:val="none"/>
                    </w:rPr>
                    <w:t>预测</w:t>
                  </w:r>
                  <w:r>
                    <w:rPr>
                      <w:rFonts w:hint="default"/>
                      <w:b/>
                      <w:bCs/>
                      <w:color w:val="auto"/>
                      <w:sz w:val="21"/>
                      <w:highlight w:val="none"/>
                    </w:rPr>
                    <w:t>结果</w:t>
                  </w:r>
                </w:p>
              </w:tc>
            </w:tr>
            <w:tr w14:paraId="343D9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Merge w:val="continue"/>
                  <w:tcBorders>
                    <w:tl2br w:val="nil"/>
                    <w:tr2bl w:val="nil"/>
                  </w:tcBorders>
                  <w:vAlign w:val="center"/>
                </w:tcPr>
                <w:p w14:paraId="5CA5766C">
                  <w:pPr>
                    <w:keepNext w:val="0"/>
                    <w:keepLines w:val="0"/>
                    <w:suppressLineNumbers w:val="0"/>
                    <w:spacing w:before="0" w:beforeAutospacing="0" w:after="0" w:afterAutospacing="0" w:line="240" w:lineRule="auto"/>
                    <w:ind w:left="0" w:right="0"/>
                    <w:jc w:val="center"/>
                    <w:rPr>
                      <w:rFonts w:hint="default"/>
                      <w:color w:val="auto"/>
                      <w:sz w:val="21"/>
                      <w:highlight w:val="none"/>
                    </w:rPr>
                  </w:pPr>
                </w:p>
              </w:tc>
              <w:tc>
                <w:tcPr>
                  <w:tcW w:w="959" w:type="pct"/>
                  <w:vMerge w:val="continue"/>
                  <w:tcBorders>
                    <w:tl2br w:val="nil"/>
                    <w:tr2bl w:val="nil"/>
                  </w:tcBorders>
                  <w:vAlign w:val="center"/>
                </w:tcPr>
                <w:p w14:paraId="7FF2C42C">
                  <w:pPr>
                    <w:keepNext w:val="0"/>
                    <w:keepLines w:val="0"/>
                    <w:suppressLineNumbers w:val="0"/>
                    <w:spacing w:before="0" w:beforeAutospacing="0" w:after="0" w:afterAutospacing="0" w:line="240" w:lineRule="auto"/>
                    <w:ind w:left="0" w:right="0"/>
                    <w:jc w:val="center"/>
                    <w:rPr>
                      <w:rFonts w:hint="default"/>
                      <w:color w:val="auto"/>
                      <w:sz w:val="21"/>
                      <w:highlight w:val="none"/>
                    </w:rPr>
                  </w:pPr>
                </w:p>
              </w:tc>
              <w:tc>
                <w:tcPr>
                  <w:tcW w:w="760" w:type="pct"/>
                  <w:tcBorders>
                    <w:tl2br w:val="nil"/>
                    <w:tr2bl w:val="nil"/>
                  </w:tcBorders>
                  <w:shd w:val="clear" w:color="000000" w:themeColor="text1" w:fill="auto"/>
                  <w:vAlign w:val="center"/>
                </w:tcPr>
                <w:p w14:paraId="722F2716">
                  <w:pPr>
                    <w:pStyle w:val="40"/>
                    <w:keepNext w:val="0"/>
                    <w:keepLines w:val="0"/>
                    <w:suppressLineNumbers w:val="0"/>
                    <w:snapToGrid w:val="0"/>
                    <w:spacing w:before="0" w:beforeAutospacing="0" w:after="0" w:afterAutospacing="0" w:line="240" w:lineRule="auto"/>
                    <w:ind w:left="0" w:right="0"/>
                    <w:rPr>
                      <w:rFonts w:hint="default"/>
                      <w:b/>
                      <w:bCs/>
                      <w:color w:val="auto"/>
                      <w:sz w:val="21"/>
                      <w:szCs w:val="21"/>
                      <w:highlight w:val="none"/>
                    </w:rPr>
                  </w:pPr>
                  <w:r>
                    <w:rPr>
                      <w:rFonts w:hint="eastAsia"/>
                      <w:b/>
                      <w:bCs/>
                      <w:color w:val="auto"/>
                      <w:sz w:val="21"/>
                      <w:szCs w:val="21"/>
                      <w:highlight w:val="none"/>
                    </w:rPr>
                    <w:t>昼间</w:t>
                  </w:r>
                </w:p>
              </w:tc>
              <w:tc>
                <w:tcPr>
                  <w:tcW w:w="760" w:type="pct"/>
                  <w:tcBorders>
                    <w:tl2br w:val="nil"/>
                    <w:tr2bl w:val="nil"/>
                  </w:tcBorders>
                  <w:shd w:val="clear" w:color="000000" w:themeColor="text1" w:fill="auto"/>
                  <w:vAlign w:val="center"/>
                </w:tcPr>
                <w:p w14:paraId="6582953B">
                  <w:pPr>
                    <w:pStyle w:val="40"/>
                    <w:keepNext w:val="0"/>
                    <w:keepLines w:val="0"/>
                    <w:suppressLineNumbers w:val="0"/>
                    <w:snapToGrid w:val="0"/>
                    <w:spacing w:before="0" w:beforeAutospacing="0" w:after="0" w:afterAutospacing="0" w:line="240" w:lineRule="auto"/>
                    <w:ind w:left="0" w:right="0"/>
                    <w:rPr>
                      <w:rFonts w:hint="default"/>
                      <w:b/>
                      <w:bCs/>
                      <w:color w:val="auto"/>
                      <w:sz w:val="21"/>
                      <w:szCs w:val="21"/>
                      <w:highlight w:val="none"/>
                    </w:rPr>
                  </w:pPr>
                  <w:r>
                    <w:rPr>
                      <w:rFonts w:hint="eastAsia"/>
                      <w:b/>
                      <w:bCs/>
                      <w:color w:val="auto"/>
                      <w:sz w:val="21"/>
                      <w:szCs w:val="21"/>
                      <w:highlight w:val="none"/>
                    </w:rPr>
                    <w:t>昼间</w:t>
                  </w:r>
                </w:p>
              </w:tc>
              <w:tc>
                <w:tcPr>
                  <w:tcW w:w="761" w:type="pct"/>
                  <w:tcBorders>
                    <w:tl2br w:val="nil"/>
                    <w:tr2bl w:val="nil"/>
                  </w:tcBorders>
                  <w:shd w:val="clear" w:color="000000" w:themeColor="text1" w:fill="auto"/>
                  <w:vAlign w:val="center"/>
                </w:tcPr>
                <w:p w14:paraId="74FD2EC6">
                  <w:pPr>
                    <w:pStyle w:val="40"/>
                    <w:keepNext w:val="0"/>
                    <w:keepLines w:val="0"/>
                    <w:suppressLineNumbers w:val="0"/>
                    <w:snapToGrid w:val="0"/>
                    <w:spacing w:before="0" w:beforeAutospacing="0" w:after="0" w:afterAutospacing="0" w:line="240" w:lineRule="auto"/>
                    <w:ind w:left="0" w:right="0"/>
                    <w:rPr>
                      <w:rFonts w:hint="default"/>
                      <w:b/>
                      <w:bCs/>
                      <w:color w:val="auto"/>
                      <w:sz w:val="21"/>
                      <w:szCs w:val="21"/>
                      <w:highlight w:val="none"/>
                    </w:rPr>
                  </w:pPr>
                  <w:r>
                    <w:rPr>
                      <w:rFonts w:hint="eastAsia"/>
                      <w:b/>
                      <w:bCs/>
                      <w:color w:val="auto"/>
                      <w:sz w:val="21"/>
                      <w:szCs w:val="21"/>
                      <w:highlight w:val="none"/>
                    </w:rPr>
                    <w:t>昼间</w:t>
                  </w:r>
                </w:p>
              </w:tc>
              <w:tc>
                <w:tcPr>
                  <w:tcW w:w="924" w:type="pct"/>
                  <w:tcBorders>
                    <w:tl2br w:val="nil"/>
                    <w:tr2bl w:val="nil"/>
                  </w:tcBorders>
                  <w:shd w:val="clear" w:color="000000" w:themeColor="text1" w:fill="auto"/>
                  <w:vAlign w:val="center"/>
                </w:tcPr>
                <w:p w14:paraId="59901719">
                  <w:pPr>
                    <w:pStyle w:val="40"/>
                    <w:keepNext w:val="0"/>
                    <w:keepLines w:val="0"/>
                    <w:suppressLineNumbers w:val="0"/>
                    <w:snapToGrid w:val="0"/>
                    <w:spacing w:before="0" w:beforeAutospacing="0" w:after="0" w:afterAutospacing="0" w:line="240" w:lineRule="auto"/>
                    <w:ind w:left="0" w:right="0"/>
                    <w:rPr>
                      <w:rFonts w:hint="default"/>
                      <w:b/>
                      <w:bCs/>
                      <w:color w:val="auto"/>
                      <w:sz w:val="21"/>
                      <w:szCs w:val="21"/>
                      <w:highlight w:val="none"/>
                    </w:rPr>
                  </w:pPr>
                  <w:r>
                    <w:rPr>
                      <w:rFonts w:hint="eastAsia"/>
                      <w:b/>
                      <w:bCs/>
                      <w:color w:val="auto"/>
                      <w:sz w:val="21"/>
                      <w:szCs w:val="21"/>
                      <w:highlight w:val="none"/>
                    </w:rPr>
                    <w:t>昼间</w:t>
                  </w:r>
                </w:p>
              </w:tc>
              <w:tc>
                <w:tcPr>
                  <w:tcW w:w="431" w:type="pct"/>
                  <w:vMerge w:val="continue"/>
                  <w:tcBorders>
                    <w:tl2br w:val="nil"/>
                    <w:tr2bl w:val="nil"/>
                  </w:tcBorders>
                  <w:vAlign w:val="center"/>
                </w:tcPr>
                <w:p w14:paraId="0878CAF2">
                  <w:pPr>
                    <w:keepNext w:val="0"/>
                    <w:keepLines w:val="0"/>
                    <w:suppressLineNumbers w:val="0"/>
                    <w:spacing w:before="0" w:beforeAutospacing="0" w:after="0" w:afterAutospacing="0" w:line="240" w:lineRule="auto"/>
                    <w:ind w:left="0" w:right="0"/>
                    <w:jc w:val="center"/>
                    <w:rPr>
                      <w:rFonts w:hint="default"/>
                      <w:color w:val="auto"/>
                      <w:sz w:val="21"/>
                      <w:highlight w:val="none"/>
                    </w:rPr>
                  </w:pPr>
                </w:p>
              </w:tc>
            </w:tr>
            <w:tr w14:paraId="7EF22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14:paraId="5890638D">
                  <w:pPr>
                    <w:keepNext w:val="0"/>
                    <w:keepLines w:val="0"/>
                    <w:suppressLineNumbers w:val="0"/>
                    <w:spacing w:before="0" w:beforeAutospacing="0" w:after="0" w:afterAutospacing="0" w:line="240" w:lineRule="auto"/>
                    <w:ind w:left="0" w:right="0"/>
                    <w:jc w:val="center"/>
                    <w:rPr>
                      <w:rFonts w:hint="default"/>
                      <w:color w:val="auto"/>
                      <w:sz w:val="21"/>
                      <w:highlight w:val="none"/>
                    </w:rPr>
                  </w:pPr>
                  <w:r>
                    <w:rPr>
                      <w:rFonts w:hint="eastAsia"/>
                      <w:color w:val="auto"/>
                      <w:sz w:val="21"/>
                      <w:highlight w:val="none"/>
                    </w:rPr>
                    <w:t>1</w:t>
                  </w:r>
                  <w:r>
                    <w:rPr>
                      <w:rFonts w:hint="default"/>
                      <w:color w:val="auto"/>
                      <w:sz w:val="21"/>
                      <w:highlight w:val="none"/>
                    </w:rPr>
                    <w:t>#</w:t>
                  </w:r>
                </w:p>
              </w:tc>
              <w:tc>
                <w:tcPr>
                  <w:tcW w:w="959" w:type="pct"/>
                  <w:tcBorders>
                    <w:tl2br w:val="nil"/>
                    <w:tr2bl w:val="nil"/>
                  </w:tcBorders>
                  <w:vAlign w:val="center"/>
                </w:tcPr>
                <w:p w14:paraId="730AA0E3">
                  <w:pPr>
                    <w:keepNext w:val="0"/>
                    <w:keepLines w:val="0"/>
                    <w:suppressLineNumbers w:val="0"/>
                    <w:adjustRightInd w:val="0"/>
                    <w:spacing w:before="0" w:beforeAutospacing="0" w:after="0" w:afterAutospacing="0" w:line="240" w:lineRule="auto"/>
                    <w:ind w:left="0" w:right="0"/>
                    <w:jc w:val="center"/>
                    <w:rPr>
                      <w:rFonts w:hint="default"/>
                      <w:color w:val="auto"/>
                      <w:sz w:val="21"/>
                      <w:highlight w:val="none"/>
                    </w:rPr>
                  </w:pPr>
                  <w:r>
                    <w:rPr>
                      <w:rFonts w:hint="default"/>
                      <w:color w:val="auto"/>
                      <w:sz w:val="21"/>
                      <w:highlight w:val="none"/>
                    </w:rPr>
                    <w:t>项目</w:t>
                  </w:r>
                  <w:r>
                    <w:rPr>
                      <w:rFonts w:hint="eastAsia"/>
                      <w:color w:val="auto"/>
                      <w:sz w:val="21"/>
                      <w:highlight w:val="none"/>
                    </w:rPr>
                    <w:t>北面</w:t>
                  </w:r>
                  <w:r>
                    <w:rPr>
                      <w:rFonts w:hint="default"/>
                      <w:color w:val="auto"/>
                      <w:sz w:val="21"/>
                      <w:highlight w:val="none"/>
                    </w:rPr>
                    <w:t>厂界</w:t>
                  </w:r>
                  <w:r>
                    <w:rPr>
                      <w:rFonts w:hint="eastAsia"/>
                      <w:color w:val="auto"/>
                      <w:sz w:val="21"/>
                      <w:highlight w:val="none"/>
                    </w:rPr>
                    <w:t>外1m</w:t>
                  </w:r>
                </w:p>
              </w:tc>
              <w:tc>
                <w:tcPr>
                  <w:tcW w:w="760" w:type="pct"/>
                  <w:tcBorders>
                    <w:tl2br w:val="nil"/>
                    <w:tr2bl w:val="nil"/>
                  </w:tcBorders>
                  <w:vAlign w:val="center"/>
                </w:tcPr>
                <w:p w14:paraId="46544897">
                  <w:pPr>
                    <w:keepNext w:val="0"/>
                    <w:keepLines w:val="0"/>
                    <w:suppressLineNumbers w:val="0"/>
                    <w:adjustRightInd w:val="0"/>
                    <w:spacing w:before="0" w:beforeAutospacing="0" w:after="0" w:afterAutospacing="0" w:line="240" w:lineRule="auto"/>
                    <w:ind w:left="0" w:right="0"/>
                    <w:jc w:val="center"/>
                    <w:rPr>
                      <w:rFonts w:hint="eastAsia" w:eastAsia="宋体"/>
                      <w:color w:val="auto"/>
                      <w:sz w:val="21"/>
                      <w:szCs w:val="21"/>
                      <w:highlight w:val="none"/>
                      <w:lang w:val="en-US" w:eastAsia="zh-CN"/>
                    </w:rPr>
                  </w:pPr>
                  <w:r>
                    <w:rPr>
                      <w:rFonts w:hint="eastAsia"/>
                      <w:color w:val="auto"/>
                      <w:sz w:val="21"/>
                      <w:szCs w:val="21"/>
                      <w:highlight w:val="none"/>
                    </w:rPr>
                    <w:t>54.9</w:t>
                  </w:r>
                </w:p>
              </w:tc>
              <w:tc>
                <w:tcPr>
                  <w:tcW w:w="760" w:type="pct"/>
                  <w:tcBorders>
                    <w:tl2br w:val="nil"/>
                    <w:tr2bl w:val="nil"/>
                  </w:tcBorders>
                  <w:vAlign w:val="center"/>
                </w:tcPr>
                <w:p w14:paraId="21F8020F">
                  <w:pPr>
                    <w:keepNext w:val="0"/>
                    <w:keepLines w:val="0"/>
                    <w:widowControl/>
                    <w:suppressLineNumbers w:val="0"/>
                    <w:spacing w:before="0" w:beforeAutospacing="0" w:after="0" w:afterAutospacing="0" w:line="240" w:lineRule="auto"/>
                    <w:ind w:left="0" w:right="0"/>
                    <w:jc w:val="center"/>
                    <w:textAlignment w:val="center"/>
                    <w:rPr>
                      <w:rFonts w:hint="eastAsia" w:eastAsia="宋体" w:cs="Times New Roman"/>
                      <w:bCs/>
                      <w:color w:val="auto"/>
                      <w:sz w:val="21"/>
                      <w:szCs w:val="21"/>
                      <w:highlight w:val="none"/>
                      <w:lang w:eastAsia="zh-CN"/>
                    </w:rPr>
                  </w:pPr>
                  <w:r>
                    <w:rPr>
                      <w:rFonts w:hint="eastAsia"/>
                      <w:color w:val="auto"/>
                      <w:sz w:val="21"/>
                      <w:highlight w:val="none"/>
                      <w:lang w:val="en-US" w:eastAsia="zh-CN"/>
                    </w:rPr>
                    <w:t>/</w:t>
                  </w:r>
                </w:p>
              </w:tc>
              <w:tc>
                <w:tcPr>
                  <w:tcW w:w="1304" w:type="dxa"/>
                  <w:tcBorders>
                    <w:tl2br w:val="nil"/>
                    <w:tr2bl w:val="nil"/>
                  </w:tcBorders>
                  <w:vAlign w:val="center"/>
                </w:tcPr>
                <w:p w14:paraId="1F102242">
                  <w:pPr>
                    <w:keepNext w:val="0"/>
                    <w:keepLines w:val="0"/>
                    <w:suppressLineNumbers w:val="0"/>
                    <w:adjustRightInd w:val="0"/>
                    <w:spacing w:before="0" w:beforeAutospacing="0" w:after="0" w:afterAutospacing="0" w:line="240" w:lineRule="auto"/>
                    <w:ind w:left="0" w:leftChars="0" w:right="0" w:rightChars="0"/>
                    <w:jc w:val="center"/>
                    <w:rPr>
                      <w:rFonts w:hint="default" w:eastAsia="宋体"/>
                      <w:color w:val="auto"/>
                      <w:sz w:val="21"/>
                      <w:highlight w:val="none"/>
                      <w:lang w:val="en-US" w:eastAsia="zh-CN"/>
                    </w:rPr>
                  </w:pPr>
                  <w:r>
                    <w:rPr>
                      <w:rFonts w:hint="eastAsia"/>
                      <w:color w:val="auto"/>
                      <w:sz w:val="21"/>
                      <w:szCs w:val="21"/>
                      <w:highlight w:val="none"/>
                    </w:rPr>
                    <w:t>54.9</w:t>
                  </w:r>
                </w:p>
              </w:tc>
              <w:tc>
                <w:tcPr>
                  <w:tcW w:w="924" w:type="pct"/>
                  <w:tcBorders>
                    <w:tl2br w:val="nil"/>
                    <w:tr2bl w:val="nil"/>
                  </w:tcBorders>
                  <w:vAlign w:val="center"/>
                </w:tcPr>
                <w:p w14:paraId="5F3AE145">
                  <w:pPr>
                    <w:keepNext w:val="0"/>
                    <w:keepLines w:val="0"/>
                    <w:suppressLineNumbers w:val="0"/>
                    <w:spacing w:before="0" w:beforeAutospacing="0" w:after="0" w:afterAutospacing="0" w:line="240" w:lineRule="auto"/>
                    <w:ind w:left="0" w:right="0"/>
                    <w:jc w:val="center"/>
                    <w:rPr>
                      <w:rFonts w:hint="default"/>
                      <w:color w:val="auto"/>
                      <w:sz w:val="21"/>
                      <w:highlight w:val="none"/>
                    </w:rPr>
                  </w:pPr>
                  <w:r>
                    <w:rPr>
                      <w:rFonts w:hint="eastAsia"/>
                      <w:color w:val="auto"/>
                      <w:sz w:val="21"/>
                      <w:highlight w:val="none"/>
                    </w:rPr>
                    <w:t>70</w:t>
                  </w:r>
                </w:p>
              </w:tc>
              <w:tc>
                <w:tcPr>
                  <w:tcW w:w="431" w:type="pct"/>
                  <w:tcBorders>
                    <w:tl2br w:val="nil"/>
                    <w:tr2bl w:val="nil"/>
                  </w:tcBorders>
                  <w:vAlign w:val="center"/>
                </w:tcPr>
                <w:p w14:paraId="7CB6A190">
                  <w:pPr>
                    <w:keepNext w:val="0"/>
                    <w:keepLines w:val="0"/>
                    <w:suppressLineNumbers w:val="0"/>
                    <w:spacing w:before="0" w:beforeAutospacing="0" w:after="0" w:afterAutospacing="0" w:line="240" w:lineRule="auto"/>
                    <w:ind w:left="0" w:right="0"/>
                    <w:jc w:val="center"/>
                    <w:rPr>
                      <w:rFonts w:hint="default"/>
                      <w:color w:val="auto"/>
                      <w:sz w:val="21"/>
                      <w:highlight w:val="none"/>
                    </w:rPr>
                  </w:pPr>
                  <w:r>
                    <w:rPr>
                      <w:rFonts w:hint="eastAsia"/>
                      <w:color w:val="auto"/>
                      <w:sz w:val="21"/>
                      <w:highlight w:val="none"/>
                    </w:rPr>
                    <w:t>达标</w:t>
                  </w:r>
                </w:p>
              </w:tc>
            </w:tr>
            <w:tr w14:paraId="09C95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14:paraId="3C515117">
                  <w:pPr>
                    <w:keepNext w:val="0"/>
                    <w:keepLines w:val="0"/>
                    <w:suppressLineNumbers w:val="0"/>
                    <w:spacing w:before="0" w:beforeAutospacing="0" w:after="0" w:afterAutospacing="0" w:line="240" w:lineRule="auto"/>
                    <w:ind w:left="0" w:right="0"/>
                    <w:jc w:val="center"/>
                    <w:rPr>
                      <w:rFonts w:hint="default"/>
                      <w:color w:val="auto"/>
                      <w:sz w:val="21"/>
                      <w:highlight w:val="none"/>
                    </w:rPr>
                  </w:pPr>
                  <w:r>
                    <w:rPr>
                      <w:rFonts w:hint="eastAsia"/>
                      <w:color w:val="auto"/>
                      <w:sz w:val="21"/>
                      <w:highlight w:val="none"/>
                    </w:rPr>
                    <w:t>2</w:t>
                  </w:r>
                  <w:r>
                    <w:rPr>
                      <w:rFonts w:hint="default"/>
                      <w:color w:val="auto"/>
                      <w:sz w:val="21"/>
                      <w:highlight w:val="none"/>
                    </w:rPr>
                    <w:t>#</w:t>
                  </w:r>
                </w:p>
              </w:tc>
              <w:tc>
                <w:tcPr>
                  <w:tcW w:w="959" w:type="pct"/>
                  <w:tcBorders>
                    <w:tl2br w:val="nil"/>
                    <w:tr2bl w:val="nil"/>
                  </w:tcBorders>
                  <w:vAlign w:val="center"/>
                </w:tcPr>
                <w:p w14:paraId="0C0C704A">
                  <w:pPr>
                    <w:keepNext w:val="0"/>
                    <w:keepLines w:val="0"/>
                    <w:suppressLineNumbers w:val="0"/>
                    <w:adjustRightInd w:val="0"/>
                    <w:spacing w:before="0" w:beforeAutospacing="0" w:after="0" w:afterAutospacing="0" w:line="240" w:lineRule="auto"/>
                    <w:ind w:left="0" w:right="0"/>
                    <w:jc w:val="center"/>
                    <w:rPr>
                      <w:rFonts w:hint="default"/>
                      <w:color w:val="auto"/>
                      <w:sz w:val="21"/>
                      <w:highlight w:val="none"/>
                    </w:rPr>
                  </w:pPr>
                  <w:r>
                    <w:rPr>
                      <w:rFonts w:hint="default"/>
                      <w:color w:val="auto"/>
                      <w:sz w:val="21"/>
                      <w:highlight w:val="none"/>
                    </w:rPr>
                    <w:t>项目</w:t>
                  </w:r>
                  <w:r>
                    <w:rPr>
                      <w:rFonts w:hint="eastAsia"/>
                      <w:color w:val="auto"/>
                      <w:sz w:val="21"/>
                      <w:highlight w:val="none"/>
                    </w:rPr>
                    <w:t>东面</w:t>
                  </w:r>
                  <w:r>
                    <w:rPr>
                      <w:rFonts w:hint="default"/>
                      <w:color w:val="auto"/>
                      <w:sz w:val="21"/>
                      <w:highlight w:val="none"/>
                    </w:rPr>
                    <w:t>厂界</w:t>
                  </w:r>
                  <w:r>
                    <w:rPr>
                      <w:rFonts w:hint="eastAsia"/>
                      <w:color w:val="auto"/>
                      <w:sz w:val="21"/>
                      <w:highlight w:val="none"/>
                    </w:rPr>
                    <w:t>外1m</w:t>
                  </w:r>
                </w:p>
              </w:tc>
              <w:tc>
                <w:tcPr>
                  <w:tcW w:w="760" w:type="pct"/>
                  <w:tcBorders>
                    <w:tl2br w:val="nil"/>
                    <w:tr2bl w:val="nil"/>
                  </w:tcBorders>
                  <w:vAlign w:val="center"/>
                </w:tcPr>
                <w:p w14:paraId="5C25DF46">
                  <w:pPr>
                    <w:keepNext w:val="0"/>
                    <w:keepLines w:val="0"/>
                    <w:suppressLineNumbers w:val="0"/>
                    <w:adjustRightInd w:val="0"/>
                    <w:spacing w:before="0" w:beforeAutospacing="0" w:after="0" w:afterAutospacing="0" w:line="240" w:lineRule="auto"/>
                    <w:ind w:left="0" w:right="0"/>
                    <w:jc w:val="center"/>
                    <w:rPr>
                      <w:rFonts w:hint="default" w:eastAsia="宋体"/>
                      <w:color w:val="auto"/>
                      <w:sz w:val="21"/>
                      <w:szCs w:val="21"/>
                      <w:highlight w:val="none"/>
                      <w:lang w:val="en-US" w:eastAsia="zh-CN"/>
                    </w:rPr>
                  </w:pPr>
                  <w:r>
                    <w:rPr>
                      <w:rFonts w:hint="eastAsia"/>
                      <w:color w:val="auto"/>
                      <w:sz w:val="21"/>
                      <w:szCs w:val="21"/>
                      <w:highlight w:val="none"/>
                    </w:rPr>
                    <w:t>48.8</w:t>
                  </w:r>
                </w:p>
              </w:tc>
              <w:tc>
                <w:tcPr>
                  <w:tcW w:w="760" w:type="pct"/>
                  <w:tcBorders>
                    <w:tl2br w:val="nil"/>
                    <w:tr2bl w:val="nil"/>
                  </w:tcBorders>
                  <w:vAlign w:val="center"/>
                </w:tcPr>
                <w:p w14:paraId="32963EB7">
                  <w:pPr>
                    <w:keepNext w:val="0"/>
                    <w:keepLines w:val="0"/>
                    <w:widowControl/>
                    <w:suppressLineNumbers w:val="0"/>
                    <w:spacing w:before="0" w:beforeAutospacing="0" w:after="0" w:afterAutospacing="0" w:line="240" w:lineRule="auto"/>
                    <w:ind w:left="0" w:right="0"/>
                    <w:jc w:val="center"/>
                    <w:textAlignment w:val="center"/>
                    <w:rPr>
                      <w:rFonts w:hint="eastAsia" w:eastAsia="宋体"/>
                      <w:bCs/>
                      <w:color w:val="auto"/>
                      <w:sz w:val="21"/>
                      <w:highlight w:val="none"/>
                      <w:lang w:eastAsia="zh-CN"/>
                    </w:rPr>
                  </w:pPr>
                  <w:r>
                    <w:rPr>
                      <w:rFonts w:hint="eastAsia"/>
                      <w:color w:val="auto"/>
                      <w:sz w:val="21"/>
                      <w:highlight w:val="none"/>
                      <w:lang w:val="en-US" w:eastAsia="zh-CN"/>
                    </w:rPr>
                    <w:t>/</w:t>
                  </w:r>
                </w:p>
              </w:tc>
              <w:tc>
                <w:tcPr>
                  <w:tcW w:w="1304" w:type="dxa"/>
                  <w:tcBorders>
                    <w:tl2br w:val="nil"/>
                    <w:tr2bl w:val="nil"/>
                  </w:tcBorders>
                  <w:vAlign w:val="center"/>
                </w:tcPr>
                <w:p w14:paraId="6DE4504F">
                  <w:pPr>
                    <w:keepNext w:val="0"/>
                    <w:keepLines w:val="0"/>
                    <w:suppressLineNumbers w:val="0"/>
                    <w:adjustRightInd w:val="0"/>
                    <w:spacing w:before="0" w:beforeAutospacing="0" w:after="0" w:afterAutospacing="0" w:line="240" w:lineRule="auto"/>
                    <w:ind w:left="0" w:leftChars="0" w:right="0" w:rightChars="0"/>
                    <w:jc w:val="center"/>
                    <w:rPr>
                      <w:rFonts w:hint="default" w:eastAsia="宋体"/>
                      <w:color w:val="auto"/>
                      <w:sz w:val="21"/>
                      <w:highlight w:val="none"/>
                      <w:lang w:val="en-US" w:eastAsia="zh-CN"/>
                    </w:rPr>
                  </w:pPr>
                  <w:r>
                    <w:rPr>
                      <w:rFonts w:hint="eastAsia"/>
                      <w:color w:val="auto"/>
                      <w:sz w:val="21"/>
                      <w:szCs w:val="21"/>
                      <w:highlight w:val="none"/>
                    </w:rPr>
                    <w:t>48.8</w:t>
                  </w:r>
                </w:p>
              </w:tc>
              <w:tc>
                <w:tcPr>
                  <w:tcW w:w="924" w:type="pct"/>
                  <w:tcBorders>
                    <w:tl2br w:val="nil"/>
                    <w:tr2bl w:val="nil"/>
                  </w:tcBorders>
                  <w:vAlign w:val="center"/>
                </w:tcPr>
                <w:p w14:paraId="1A4CE8E2">
                  <w:pPr>
                    <w:keepNext w:val="0"/>
                    <w:keepLines w:val="0"/>
                    <w:suppressLineNumbers w:val="0"/>
                    <w:spacing w:before="0" w:beforeAutospacing="0" w:after="0" w:afterAutospacing="0" w:line="240" w:lineRule="auto"/>
                    <w:ind w:left="0" w:right="0"/>
                    <w:jc w:val="center"/>
                    <w:rPr>
                      <w:rFonts w:hint="default"/>
                      <w:color w:val="auto"/>
                      <w:sz w:val="21"/>
                      <w:highlight w:val="none"/>
                    </w:rPr>
                  </w:pPr>
                  <w:r>
                    <w:rPr>
                      <w:rFonts w:hint="eastAsia"/>
                      <w:color w:val="auto"/>
                      <w:sz w:val="21"/>
                      <w:highlight w:val="none"/>
                    </w:rPr>
                    <w:t>70</w:t>
                  </w:r>
                </w:p>
              </w:tc>
              <w:tc>
                <w:tcPr>
                  <w:tcW w:w="431" w:type="pct"/>
                  <w:tcBorders>
                    <w:tl2br w:val="nil"/>
                    <w:tr2bl w:val="nil"/>
                  </w:tcBorders>
                  <w:vAlign w:val="center"/>
                </w:tcPr>
                <w:p w14:paraId="7FBE7255">
                  <w:pPr>
                    <w:keepNext w:val="0"/>
                    <w:keepLines w:val="0"/>
                    <w:suppressLineNumbers w:val="0"/>
                    <w:spacing w:before="0" w:beforeAutospacing="0" w:after="0" w:afterAutospacing="0" w:line="240" w:lineRule="auto"/>
                    <w:ind w:left="0" w:right="0"/>
                    <w:jc w:val="center"/>
                    <w:rPr>
                      <w:rFonts w:hint="default"/>
                      <w:color w:val="auto"/>
                      <w:sz w:val="21"/>
                      <w:highlight w:val="none"/>
                    </w:rPr>
                  </w:pPr>
                  <w:r>
                    <w:rPr>
                      <w:rFonts w:hint="eastAsia"/>
                      <w:color w:val="auto"/>
                      <w:sz w:val="21"/>
                      <w:highlight w:val="none"/>
                    </w:rPr>
                    <w:t>达标</w:t>
                  </w:r>
                </w:p>
              </w:tc>
            </w:tr>
            <w:tr w14:paraId="1528E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14:paraId="7684F5A7">
                  <w:pPr>
                    <w:keepNext w:val="0"/>
                    <w:keepLines w:val="0"/>
                    <w:suppressLineNumbers w:val="0"/>
                    <w:spacing w:before="0" w:beforeAutospacing="0" w:after="0" w:afterAutospacing="0" w:line="240" w:lineRule="auto"/>
                    <w:ind w:left="0" w:right="0"/>
                    <w:jc w:val="center"/>
                    <w:rPr>
                      <w:rFonts w:hint="default"/>
                      <w:color w:val="auto"/>
                      <w:sz w:val="21"/>
                      <w:highlight w:val="none"/>
                    </w:rPr>
                  </w:pPr>
                  <w:r>
                    <w:rPr>
                      <w:rFonts w:hint="eastAsia"/>
                      <w:color w:val="auto"/>
                      <w:sz w:val="21"/>
                      <w:highlight w:val="none"/>
                    </w:rPr>
                    <w:t>3#</w:t>
                  </w:r>
                </w:p>
              </w:tc>
              <w:tc>
                <w:tcPr>
                  <w:tcW w:w="959" w:type="pct"/>
                  <w:tcBorders>
                    <w:tl2br w:val="nil"/>
                    <w:tr2bl w:val="nil"/>
                  </w:tcBorders>
                  <w:vAlign w:val="center"/>
                </w:tcPr>
                <w:p w14:paraId="265BD4B1">
                  <w:pPr>
                    <w:keepNext w:val="0"/>
                    <w:keepLines w:val="0"/>
                    <w:suppressLineNumbers w:val="0"/>
                    <w:adjustRightInd w:val="0"/>
                    <w:spacing w:before="0" w:beforeAutospacing="0" w:after="0" w:afterAutospacing="0" w:line="240" w:lineRule="auto"/>
                    <w:ind w:left="0" w:right="0"/>
                    <w:jc w:val="center"/>
                    <w:rPr>
                      <w:rFonts w:hint="default"/>
                      <w:color w:val="auto"/>
                      <w:sz w:val="21"/>
                      <w:highlight w:val="none"/>
                    </w:rPr>
                  </w:pPr>
                  <w:r>
                    <w:rPr>
                      <w:rFonts w:hint="default"/>
                      <w:color w:val="auto"/>
                      <w:sz w:val="21"/>
                      <w:highlight w:val="none"/>
                    </w:rPr>
                    <w:t>项目</w:t>
                  </w:r>
                  <w:r>
                    <w:rPr>
                      <w:rFonts w:hint="eastAsia"/>
                      <w:color w:val="auto"/>
                      <w:sz w:val="21"/>
                      <w:highlight w:val="none"/>
                    </w:rPr>
                    <w:t>南面</w:t>
                  </w:r>
                  <w:r>
                    <w:rPr>
                      <w:rFonts w:hint="default"/>
                      <w:color w:val="auto"/>
                      <w:sz w:val="21"/>
                      <w:highlight w:val="none"/>
                    </w:rPr>
                    <w:t>厂界</w:t>
                  </w:r>
                  <w:r>
                    <w:rPr>
                      <w:rFonts w:hint="eastAsia"/>
                      <w:color w:val="auto"/>
                      <w:sz w:val="21"/>
                      <w:highlight w:val="none"/>
                    </w:rPr>
                    <w:t>外1m</w:t>
                  </w:r>
                </w:p>
              </w:tc>
              <w:tc>
                <w:tcPr>
                  <w:tcW w:w="760" w:type="pct"/>
                  <w:tcBorders>
                    <w:tl2br w:val="nil"/>
                    <w:tr2bl w:val="nil"/>
                  </w:tcBorders>
                  <w:vAlign w:val="center"/>
                </w:tcPr>
                <w:p w14:paraId="368F1C81">
                  <w:pPr>
                    <w:keepNext w:val="0"/>
                    <w:keepLines w:val="0"/>
                    <w:suppressLineNumbers w:val="0"/>
                    <w:adjustRightInd w:val="0"/>
                    <w:spacing w:before="0" w:beforeAutospacing="0" w:after="0" w:afterAutospacing="0" w:line="240" w:lineRule="auto"/>
                    <w:ind w:left="0" w:right="0"/>
                    <w:jc w:val="center"/>
                    <w:rPr>
                      <w:rFonts w:hint="eastAsia" w:eastAsia="宋体"/>
                      <w:color w:val="auto"/>
                      <w:sz w:val="21"/>
                      <w:szCs w:val="21"/>
                      <w:highlight w:val="none"/>
                      <w:lang w:val="en-US" w:eastAsia="zh-CN"/>
                    </w:rPr>
                  </w:pPr>
                  <w:r>
                    <w:rPr>
                      <w:rFonts w:hint="eastAsia"/>
                      <w:color w:val="auto"/>
                      <w:sz w:val="21"/>
                      <w:szCs w:val="21"/>
                      <w:highlight w:val="none"/>
                    </w:rPr>
                    <w:t>56.5</w:t>
                  </w:r>
                </w:p>
              </w:tc>
              <w:tc>
                <w:tcPr>
                  <w:tcW w:w="760" w:type="pct"/>
                  <w:tcBorders>
                    <w:tl2br w:val="nil"/>
                    <w:tr2bl w:val="nil"/>
                  </w:tcBorders>
                  <w:vAlign w:val="center"/>
                </w:tcPr>
                <w:p w14:paraId="2F8B58FB">
                  <w:pPr>
                    <w:keepNext w:val="0"/>
                    <w:keepLines w:val="0"/>
                    <w:widowControl/>
                    <w:suppressLineNumbers w:val="0"/>
                    <w:spacing w:before="0" w:beforeAutospacing="0" w:after="0" w:afterAutospacing="0" w:line="240" w:lineRule="auto"/>
                    <w:ind w:left="0" w:right="0"/>
                    <w:jc w:val="center"/>
                    <w:textAlignment w:val="center"/>
                    <w:rPr>
                      <w:rFonts w:hint="eastAsia" w:eastAsia="宋体"/>
                      <w:bCs/>
                      <w:color w:val="auto"/>
                      <w:sz w:val="21"/>
                      <w:highlight w:val="none"/>
                      <w:lang w:eastAsia="zh-CN"/>
                    </w:rPr>
                  </w:pPr>
                  <w:r>
                    <w:rPr>
                      <w:rFonts w:hint="eastAsia"/>
                      <w:color w:val="auto"/>
                      <w:sz w:val="21"/>
                      <w:highlight w:val="none"/>
                      <w:lang w:val="en-US" w:eastAsia="zh-CN"/>
                    </w:rPr>
                    <w:t>/</w:t>
                  </w:r>
                </w:p>
              </w:tc>
              <w:tc>
                <w:tcPr>
                  <w:tcW w:w="1304" w:type="dxa"/>
                  <w:tcBorders>
                    <w:tl2br w:val="nil"/>
                    <w:tr2bl w:val="nil"/>
                  </w:tcBorders>
                  <w:vAlign w:val="center"/>
                </w:tcPr>
                <w:p w14:paraId="347C6BE6">
                  <w:pPr>
                    <w:keepNext w:val="0"/>
                    <w:keepLines w:val="0"/>
                    <w:suppressLineNumbers w:val="0"/>
                    <w:adjustRightInd w:val="0"/>
                    <w:spacing w:before="0" w:beforeAutospacing="0" w:after="0" w:afterAutospacing="0" w:line="240" w:lineRule="auto"/>
                    <w:ind w:left="0" w:leftChars="0" w:right="0" w:rightChars="0"/>
                    <w:jc w:val="center"/>
                    <w:rPr>
                      <w:rFonts w:hint="default" w:eastAsia="宋体"/>
                      <w:color w:val="auto"/>
                      <w:sz w:val="21"/>
                      <w:highlight w:val="none"/>
                      <w:lang w:val="en-US" w:eastAsia="zh-CN"/>
                    </w:rPr>
                  </w:pPr>
                  <w:r>
                    <w:rPr>
                      <w:rFonts w:hint="eastAsia"/>
                      <w:color w:val="auto"/>
                      <w:sz w:val="21"/>
                      <w:szCs w:val="21"/>
                      <w:highlight w:val="none"/>
                    </w:rPr>
                    <w:t>56.5</w:t>
                  </w:r>
                </w:p>
              </w:tc>
              <w:tc>
                <w:tcPr>
                  <w:tcW w:w="924" w:type="pct"/>
                  <w:tcBorders>
                    <w:tl2br w:val="nil"/>
                    <w:tr2bl w:val="nil"/>
                  </w:tcBorders>
                  <w:vAlign w:val="center"/>
                </w:tcPr>
                <w:p w14:paraId="70B7D4EA">
                  <w:pPr>
                    <w:keepNext w:val="0"/>
                    <w:keepLines w:val="0"/>
                    <w:suppressLineNumbers w:val="0"/>
                    <w:spacing w:before="0" w:beforeAutospacing="0" w:after="0" w:afterAutospacing="0" w:line="240" w:lineRule="auto"/>
                    <w:ind w:left="0" w:right="0"/>
                    <w:jc w:val="center"/>
                    <w:rPr>
                      <w:rFonts w:hint="default"/>
                      <w:color w:val="auto"/>
                      <w:sz w:val="21"/>
                      <w:highlight w:val="none"/>
                    </w:rPr>
                  </w:pPr>
                  <w:r>
                    <w:rPr>
                      <w:rFonts w:hint="eastAsia"/>
                      <w:color w:val="auto"/>
                      <w:sz w:val="21"/>
                      <w:highlight w:val="none"/>
                    </w:rPr>
                    <w:t>70</w:t>
                  </w:r>
                </w:p>
              </w:tc>
              <w:tc>
                <w:tcPr>
                  <w:tcW w:w="431" w:type="pct"/>
                  <w:tcBorders>
                    <w:tl2br w:val="nil"/>
                    <w:tr2bl w:val="nil"/>
                  </w:tcBorders>
                  <w:vAlign w:val="center"/>
                </w:tcPr>
                <w:p w14:paraId="6E828C42">
                  <w:pPr>
                    <w:keepNext w:val="0"/>
                    <w:keepLines w:val="0"/>
                    <w:suppressLineNumbers w:val="0"/>
                    <w:spacing w:before="0" w:beforeAutospacing="0" w:after="0" w:afterAutospacing="0" w:line="240" w:lineRule="auto"/>
                    <w:ind w:left="0" w:right="0"/>
                    <w:jc w:val="center"/>
                    <w:rPr>
                      <w:rFonts w:hint="default"/>
                      <w:color w:val="auto"/>
                      <w:sz w:val="21"/>
                      <w:highlight w:val="none"/>
                    </w:rPr>
                  </w:pPr>
                  <w:r>
                    <w:rPr>
                      <w:rFonts w:hint="eastAsia"/>
                      <w:color w:val="auto"/>
                      <w:sz w:val="21"/>
                      <w:highlight w:val="none"/>
                    </w:rPr>
                    <w:t>达标</w:t>
                  </w:r>
                </w:p>
              </w:tc>
            </w:tr>
            <w:tr w14:paraId="553D3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14:paraId="353D14B3">
                  <w:pPr>
                    <w:keepNext w:val="0"/>
                    <w:keepLines w:val="0"/>
                    <w:suppressLineNumbers w:val="0"/>
                    <w:spacing w:before="0" w:beforeAutospacing="0" w:after="0" w:afterAutospacing="0" w:line="240" w:lineRule="auto"/>
                    <w:ind w:left="0" w:right="0"/>
                    <w:jc w:val="center"/>
                    <w:rPr>
                      <w:rFonts w:hint="default"/>
                      <w:color w:val="auto"/>
                      <w:sz w:val="21"/>
                      <w:highlight w:val="none"/>
                    </w:rPr>
                  </w:pPr>
                  <w:r>
                    <w:rPr>
                      <w:rFonts w:hint="eastAsia"/>
                      <w:color w:val="auto"/>
                      <w:sz w:val="21"/>
                      <w:highlight w:val="none"/>
                    </w:rPr>
                    <w:t>4</w:t>
                  </w:r>
                  <w:r>
                    <w:rPr>
                      <w:rFonts w:hint="default"/>
                      <w:color w:val="auto"/>
                      <w:sz w:val="21"/>
                      <w:highlight w:val="none"/>
                    </w:rPr>
                    <w:t>#</w:t>
                  </w:r>
                </w:p>
              </w:tc>
              <w:tc>
                <w:tcPr>
                  <w:tcW w:w="959" w:type="pct"/>
                  <w:tcBorders>
                    <w:tl2br w:val="nil"/>
                    <w:tr2bl w:val="nil"/>
                  </w:tcBorders>
                  <w:vAlign w:val="center"/>
                </w:tcPr>
                <w:p w14:paraId="3366404E">
                  <w:pPr>
                    <w:keepNext w:val="0"/>
                    <w:keepLines w:val="0"/>
                    <w:suppressLineNumbers w:val="0"/>
                    <w:adjustRightInd w:val="0"/>
                    <w:spacing w:before="0" w:beforeAutospacing="0" w:after="0" w:afterAutospacing="0" w:line="240" w:lineRule="auto"/>
                    <w:ind w:left="0" w:right="0"/>
                    <w:jc w:val="center"/>
                    <w:rPr>
                      <w:rFonts w:hint="default"/>
                      <w:color w:val="auto"/>
                      <w:sz w:val="21"/>
                      <w:highlight w:val="none"/>
                    </w:rPr>
                  </w:pPr>
                  <w:r>
                    <w:rPr>
                      <w:rFonts w:hint="default"/>
                      <w:color w:val="auto"/>
                      <w:sz w:val="21"/>
                      <w:highlight w:val="none"/>
                    </w:rPr>
                    <w:t>项目</w:t>
                  </w:r>
                  <w:r>
                    <w:rPr>
                      <w:rFonts w:hint="eastAsia"/>
                      <w:color w:val="auto"/>
                      <w:sz w:val="21"/>
                      <w:highlight w:val="none"/>
                    </w:rPr>
                    <w:t>西面</w:t>
                  </w:r>
                  <w:r>
                    <w:rPr>
                      <w:rFonts w:hint="default"/>
                      <w:color w:val="auto"/>
                      <w:sz w:val="21"/>
                      <w:highlight w:val="none"/>
                    </w:rPr>
                    <w:t>厂界</w:t>
                  </w:r>
                  <w:r>
                    <w:rPr>
                      <w:rFonts w:hint="eastAsia"/>
                      <w:color w:val="auto"/>
                      <w:sz w:val="21"/>
                      <w:highlight w:val="none"/>
                    </w:rPr>
                    <w:t>外1m</w:t>
                  </w:r>
                </w:p>
              </w:tc>
              <w:tc>
                <w:tcPr>
                  <w:tcW w:w="760" w:type="pct"/>
                  <w:tcBorders>
                    <w:tl2br w:val="nil"/>
                    <w:tr2bl w:val="nil"/>
                  </w:tcBorders>
                  <w:vAlign w:val="center"/>
                </w:tcPr>
                <w:p w14:paraId="1F410E11">
                  <w:pPr>
                    <w:keepNext w:val="0"/>
                    <w:keepLines w:val="0"/>
                    <w:suppressLineNumbers w:val="0"/>
                    <w:adjustRightInd w:val="0"/>
                    <w:spacing w:before="0" w:beforeAutospacing="0" w:after="0" w:afterAutospacing="0" w:line="240" w:lineRule="auto"/>
                    <w:ind w:left="0" w:right="0"/>
                    <w:jc w:val="center"/>
                    <w:rPr>
                      <w:rFonts w:hint="eastAsia" w:eastAsia="宋体"/>
                      <w:color w:val="auto"/>
                      <w:sz w:val="21"/>
                      <w:szCs w:val="21"/>
                      <w:highlight w:val="none"/>
                      <w:lang w:val="en-US" w:eastAsia="zh-CN"/>
                    </w:rPr>
                  </w:pPr>
                  <w:r>
                    <w:rPr>
                      <w:rFonts w:hint="eastAsia"/>
                      <w:color w:val="auto"/>
                      <w:sz w:val="21"/>
                      <w:szCs w:val="21"/>
                      <w:highlight w:val="none"/>
                    </w:rPr>
                    <w:t>50.</w:t>
                  </w:r>
                  <w:r>
                    <w:rPr>
                      <w:rFonts w:hint="eastAsia"/>
                      <w:color w:val="auto"/>
                      <w:sz w:val="21"/>
                      <w:szCs w:val="21"/>
                      <w:highlight w:val="none"/>
                      <w:lang w:val="en-US" w:eastAsia="zh-CN"/>
                    </w:rPr>
                    <w:t>1</w:t>
                  </w:r>
                </w:p>
              </w:tc>
              <w:tc>
                <w:tcPr>
                  <w:tcW w:w="760" w:type="pct"/>
                  <w:tcBorders>
                    <w:tl2br w:val="nil"/>
                    <w:tr2bl w:val="nil"/>
                  </w:tcBorders>
                  <w:vAlign w:val="center"/>
                </w:tcPr>
                <w:p w14:paraId="3430E6BC">
                  <w:pPr>
                    <w:keepNext w:val="0"/>
                    <w:keepLines w:val="0"/>
                    <w:widowControl/>
                    <w:suppressLineNumbers w:val="0"/>
                    <w:spacing w:before="0" w:beforeAutospacing="0" w:after="0" w:afterAutospacing="0" w:line="240" w:lineRule="auto"/>
                    <w:ind w:left="0" w:right="0"/>
                    <w:jc w:val="center"/>
                    <w:textAlignment w:val="center"/>
                    <w:rPr>
                      <w:rFonts w:hint="eastAsia" w:eastAsia="宋体"/>
                      <w:bCs/>
                      <w:color w:val="auto"/>
                      <w:sz w:val="21"/>
                      <w:highlight w:val="none"/>
                      <w:lang w:eastAsia="zh-CN"/>
                    </w:rPr>
                  </w:pPr>
                  <w:r>
                    <w:rPr>
                      <w:rFonts w:hint="eastAsia"/>
                      <w:color w:val="auto"/>
                      <w:sz w:val="21"/>
                      <w:highlight w:val="none"/>
                      <w:lang w:val="en-US" w:eastAsia="zh-CN"/>
                    </w:rPr>
                    <w:t>/</w:t>
                  </w:r>
                </w:p>
              </w:tc>
              <w:tc>
                <w:tcPr>
                  <w:tcW w:w="1304" w:type="dxa"/>
                  <w:tcBorders>
                    <w:tl2br w:val="nil"/>
                    <w:tr2bl w:val="nil"/>
                  </w:tcBorders>
                  <w:vAlign w:val="center"/>
                </w:tcPr>
                <w:p w14:paraId="47EB69B5">
                  <w:pPr>
                    <w:keepNext w:val="0"/>
                    <w:keepLines w:val="0"/>
                    <w:suppressLineNumbers w:val="0"/>
                    <w:adjustRightInd w:val="0"/>
                    <w:spacing w:before="0" w:beforeAutospacing="0" w:after="0" w:afterAutospacing="0" w:line="240" w:lineRule="auto"/>
                    <w:ind w:left="0" w:leftChars="0" w:right="0" w:rightChars="0"/>
                    <w:jc w:val="center"/>
                    <w:rPr>
                      <w:rFonts w:hint="default" w:eastAsia="宋体"/>
                      <w:color w:val="auto"/>
                      <w:sz w:val="21"/>
                      <w:highlight w:val="none"/>
                      <w:lang w:val="en-US" w:eastAsia="zh-CN"/>
                    </w:rPr>
                  </w:pPr>
                  <w:r>
                    <w:rPr>
                      <w:rFonts w:hint="eastAsia"/>
                      <w:color w:val="auto"/>
                      <w:sz w:val="21"/>
                      <w:szCs w:val="21"/>
                      <w:highlight w:val="none"/>
                    </w:rPr>
                    <w:t>50.</w:t>
                  </w:r>
                  <w:r>
                    <w:rPr>
                      <w:rFonts w:hint="eastAsia"/>
                      <w:color w:val="auto"/>
                      <w:sz w:val="21"/>
                      <w:szCs w:val="21"/>
                      <w:highlight w:val="none"/>
                      <w:lang w:val="en-US" w:eastAsia="zh-CN"/>
                    </w:rPr>
                    <w:t>1</w:t>
                  </w:r>
                </w:p>
              </w:tc>
              <w:tc>
                <w:tcPr>
                  <w:tcW w:w="924" w:type="pct"/>
                  <w:tcBorders>
                    <w:tl2br w:val="nil"/>
                    <w:tr2bl w:val="nil"/>
                  </w:tcBorders>
                  <w:vAlign w:val="center"/>
                </w:tcPr>
                <w:p w14:paraId="60E9A910">
                  <w:pPr>
                    <w:keepNext w:val="0"/>
                    <w:keepLines w:val="0"/>
                    <w:suppressLineNumbers w:val="0"/>
                    <w:spacing w:before="0" w:beforeAutospacing="0" w:after="0" w:afterAutospacing="0" w:line="240" w:lineRule="auto"/>
                    <w:ind w:left="0" w:right="0"/>
                    <w:jc w:val="center"/>
                    <w:rPr>
                      <w:rFonts w:hint="default"/>
                      <w:color w:val="auto"/>
                      <w:sz w:val="21"/>
                      <w:highlight w:val="none"/>
                    </w:rPr>
                  </w:pPr>
                  <w:r>
                    <w:rPr>
                      <w:rFonts w:hint="eastAsia"/>
                      <w:color w:val="auto"/>
                      <w:sz w:val="21"/>
                      <w:highlight w:val="none"/>
                    </w:rPr>
                    <w:t>70</w:t>
                  </w:r>
                </w:p>
              </w:tc>
              <w:tc>
                <w:tcPr>
                  <w:tcW w:w="431" w:type="pct"/>
                  <w:tcBorders>
                    <w:tl2br w:val="nil"/>
                    <w:tr2bl w:val="nil"/>
                  </w:tcBorders>
                  <w:vAlign w:val="center"/>
                </w:tcPr>
                <w:p w14:paraId="0214144C">
                  <w:pPr>
                    <w:keepNext w:val="0"/>
                    <w:keepLines w:val="0"/>
                    <w:suppressLineNumbers w:val="0"/>
                    <w:spacing w:before="0" w:beforeAutospacing="0" w:after="0" w:afterAutospacing="0" w:line="240" w:lineRule="auto"/>
                    <w:ind w:left="0" w:right="0"/>
                    <w:jc w:val="center"/>
                    <w:rPr>
                      <w:rFonts w:hint="default"/>
                      <w:color w:val="auto"/>
                      <w:sz w:val="21"/>
                      <w:highlight w:val="none"/>
                    </w:rPr>
                  </w:pPr>
                  <w:r>
                    <w:rPr>
                      <w:rFonts w:hint="eastAsia"/>
                      <w:color w:val="auto"/>
                      <w:sz w:val="21"/>
                      <w:highlight w:val="none"/>
                    </w:rPr>
                    <w:t>达标</w:t>
                  </w:r>
                </w:p>
              </w:tc>
            </w:tr>
          </w:tbl>
          <w:p w14:paraId="7C06D8F1">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000000" w:themeColor="text1"/>
                <w:kern w:val="0"/>
                <w:sz w:val="20"/>
                <w:szCs w:val="20"/>
                <w14:textFill>
                  <w14:solidFill>
                    <w14:schemeClr w14:val="tx1"/>
                  </w14:solidFill>
                </w14:textFill>
              </w:rPr>
            </w:pPr>
            <w:r>
              <w:rPr>
                <w:rFonts w:hint="eastAsia" w:ascii="Times New Roman" w:hAnsi="Times New Roman" w:eastAsia="黑体" w:cs="Times New Roman"/>
                <w:b/>
                <w:bCs/>
                <w:color w:val="000000" w:themeColor="text1"/>
                <w:kern w:val="0"/>
                <w:sz w:val="20"/>
                <w:szCs w:val="20"/>
                <w14:textFill>
                  <w14:solidFill>
                    <w14:schemeClr w14:val="tx1"/>
                  </w14:solidFill>
                </w14:textFill>
              </w:rPr>
              <w:t>表4-</w:t>
            </w:r>
            <w:r>
              <w:rPr>
                <w:rFonts w:hint="eastAsia" w:ascii="Times New Roman" w:hAnsi="Times New Roman" w:eastAsia="黑体" w:cs="Times New Roman"/>
                <w:b/>
                <w:bCs/>
                <w:color w:val="000000" w:themeColor="text1"/>
                <w:kern w:val="0"/>
                <w:sz w:val="20"/>
                <w:szCs w:val="20"/>
                <w:lang w:val="en-US" w:eastAsia="zh-CN"/>
                <w14:textFill>
                  <w14:solidFill>
                    <w14:schemeClr w14:val="tx1"/>
                  </w14:solidFill>
                </w14:textFill>
              </w:rPr>
              <w:t>3</w:t>
            </w:r>
            <w:r>
              <w:rPr>
                <w:rFonts w:hint="eastAsia" w:ascii="Times New Roman" w:hAnsi="Times New Roman" w:eastAsia="黑体" w:cs="Times New Roman"/>
                <w:b/>
                <w:bCs/>
                <w:color w:val="000000" w:themeColor="text1"/>
                <w:kern w:val="0"/>
                <w:sz w:val="20"/>
                <w:szCs w:val="20"/>
                <w14:textFill>
                  <w14:solidFill>
                    <w14:schemeClr w14:val="tx1"/>
                  </w14:solidFill>
                </w14:textFill>
              </w:rPr>
              <w:t xml:space="preserve"> </w:t>
            </w:r>
            <w:r>
              <w:rPr>
                <w:rFonts w:hint="eastAsia" w:ascii="Times New Roman" w:hAnsi="Times New Roman" w:eastAsia="黑体" w:cs="Times New Roman"/>
                <w:b/>
                <w:bCs/>
                <w:color w:val="000000" w:themeColor="text1"/>
                <w:kern w:val="0"/>
                <w:sz w:val="20"/>
                <w:szCs w:val="20"/>
                <w:lang w:val="en-US" w:eastAsia="zh-CN"/>
                <w14:textFill>
                  <w14:solidFill>
                    <w14:schemeClr w14:val="tx1"/>
                  </w14:solidFill>
                </w14:textFill>
              </w:rPr>
              <w:t>施工期</w:t>
            </w:r>
            <w:r>
              <w:rPr>
                <w:rFonts w:hint="eastAsia" w:ascii="Times New Roman" w:hAnsi="Times New Roman" w:eastAsia="黑体" w:cs="Times New Roman"/>
                <w:b/>
                <w:bCs/>
                <w:color w:val="000000" w:themeColor="text1"/>
                <w:kern w:val="0"/>
                <w:sz w:val="20"/>
                <w:szCs w:val="20"/>
                <w14:textFill>
                  <w14:solidFill>
                    <w14:schemeClr w14:val="tx1"/>
                  </w14:solidFill>
                </w14:textFill>
              </w:rPr>
              <w:t>声环境保护目标噪声预测结果</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43"/>
              <w:gridCol w:w="1302"/>
              <w:gridCol w:w="1302"/>
              <w:gridCol w:w="1304"/>
              <w:gridCol w:w="1583"/>
              <w:gridCol w:w="739"/>
            </w:tblGrid>
            <w:tr w14:paraId="0673C4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1" w:type="pct"/>
                  <w:vMerge w:val="restart"/>
                  <w:tcBorders>
                    <w:tl2br w:val="nil"/>
                    <w:tr2bl w:val="nil"/>
                  </w:tcBorders>
                  <w:shd w:val="clear" w:color="000000" w:themeColor="text1" w:fill="auto"/>
                  <w:vAlign w:val="center"/>
                </w:tcPr>
                <w:p w14:paraId="2D811E5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编号</w:t>
                  </w:r>
                </w:p>
              </w:tc>
              <w:tc>
                <w:tcPr>
                  <w:tcW w:w="959" w:type="pct"/>
                  <w:vMerge w:val="restart"/>
                  <w:tcBorders>
                    <w:tl2br w:val="nil"/>
                    <w:tr2bl w:val="nil"/>
                  </w:tcBorders>
                  <w:shd w:val="clear" w:color="000000" w:themeColor="text1" w:fill="auto"/>
                  <w:vAlign w:val="center"/>
                </w:tcPr>
                <w:p w14:paraId="182FE9F2">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预测点位置</w:t>
                  </w:r>
                </w:p>
              </w:tc>
              <w:tc>
                <w:tcPr>
                  <w:tcW w:w="760" w:type="pct"/>
                  <w:tcBorders>
                    <w:tl2br w:val="nil"/>
                    <w:tr2bl w:val="nil"/>
                  </w:tcBorders>
                  <w:shd w:val="clear" w:color="000000" w:themeColor="text1" w:fill="auto"/>
                  <w:vAlign w:val="center"/>
                </w:tcPr>
                <w:p w14:paraId="1E1B436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贡献值</w:t>
                  </w:r>
                </w:p>
                <w:p w14:paraId="63199C6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[dB（A）]</w:t>
                  </w:r>
                </w:p>
              </w:tc>
              <w:tc>
                <w:tcPr>
                  <w:tcW w:w="760" w:type="pct"/>
                  <w:tcBorders>
                    <w:tl2br w:val="nil"/>
                    <w:tr2bl w:val="nil"/>
                  </w:tcBorders>
                  <w:shd w:val="clear" w:color="000000" w:themeColor="text1" w:fill="auto"/>
                  <w:vAlign w:val="center"/>
                </w:tcPr>
                <w:p w14:paraId="70233B3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背景值</w:t>
                  </w:r>
                </w:p>
                <w:p w14:paraId="720B1F1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[dB（A）]</w:t>
                  </w:r>
                </w:p>
              </w:tc>
              <w:tc>
                <w:tcPr>
                  <w:tcW w:w="761" w:type="pct"/>
                  <w:tcBorders>
                    <w:tl2br w:val="nil"/>
                    <w:tr2bl w:val="nil"/>
                  </w:tcBorders>
                  <w:shd w:val="clear" w:color="000000" w:themeColor="text1" w:fill="auto"/>
                  <w:vAlign w:val="center"/>
                </w:tcPr>
                <w:p w14:paraId="5C83417B">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预测值</w:t>
                  </w:r>
                </w:p>
                <w:p w14:paraId="7C6BD69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[dB（A）]</w:t>
                  </w:r>
                </w:p>
              </w:tc>
              <w:tc>
                <w:tcPr>
                  <w:tcW w:w="924" w:type="pct"/>
                  <w:tcBorders>
                    <w:tl2br w:val="nil"/>
                    <w:tr2bl w:val="nil"/>
                  </w:tcBorders>
                  <w:shd w:val="clear" w:color="000000" w:themeColor="text1" w:fill="auto"/>
                  <w:vAlign w:val="center"/>
                </w:tcPr>
                <w:p w14:paraId="5E4CDDEA">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标准值</w:t>
                  </w:r>
                </w:p>
                <w:p w14:paraId="412D65D2">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[dB（A）]</w:t>
                  </w:r>
                </w:p>
              </w:tc>
              <w:tc>
                <w:tcPr>
                  <w:tcW w:w="431" w:type="pct"/>
                  <w:vMerge w:val="restart"/>
                  <w:tcBorders>
                    <w:tl2br w:val="nil"/>
                    <w:tr2bl w:val="nil"/>
                  </w:tcBorders>
                  <w:shd w:val="clear" w:color="000000" w:themeColor="text1" w:fill="auto"/>
                  <w:vAlign w:val="center"/>
                </w:tcPr>
                <w:p w14:paraId="525E080C">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预测结果</w:t>
                  </w:r>
                </w:p>
              </w:tc>
            </w:tr>
            <w:tr w14:paraId="71DB1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Merge w:val="continue"/>
                  <w:tcBorders>
                    <w:tl2br w:val="nil"/>
                    <w:tr2bl w:val="nil"/>
                  </w:tcBorders>
                  <w:vAlign w:val="center"/>
                </w:tcPr>
                <w:p w14:paraId="5C12706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p>
              </w:tc>
              <w:tc>
                <w:tcPr>
                  <w:tcW w:w="959" w:type="pct"/>
                  <w:vMerge w:val="continue"/>
                  <w:tcBorders>
                    <w:tl2br w:val="nil"/>
                    <w:tr2bl w:val="nil"/>
                  </w:tcBorders>
                  <w:vAlign w:val="center"/>
                </w:tcPr>
                <w:p w14:paraId="0886567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p>
              </w:tc>
              <w:tc>
                <w:tcPr>
                  <w:tcW w:w="760" w:type="pct"/>
                  <w:tcBorders>
                    <w:tl2br w:val="nil"/>
                    <w:tr2bl w:val="nil"/>
                  </w:tcBorders>
                  <w:shd w:val="clear" w:color="000000" w:themeColor="text1" w:fill="auto"/>
                  <w:vAlign w:val="center"/>
                </w:tcPr>
                <w:p w14:paraId="167356D2">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昼间</w:t>
                  </w:r>
                </w:p>
              </w:tc>
              <w:tc>
                <w:tcPr>
                  <w:tcW w:w="760" w:type="pct"/>
                  <w:tcBorders>
                    <w:tl2br w:val="nil"/>
                    <w:tr2bl w:val="nil"/>
                  </w:tcBorders>
                  <w:shd w:val="clear" w:color="000000" w:themeColor="text1" w:fill="auto"/>
                  <w:vAlign w:val="center"/>
                </w:tcPr>
                <w:p w14:paraId="3671A5B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昼间</w:t>
                  </w:r>
                </w:p>
              </w:tc>
              <w:tc>
                <w:tcPr>
                  <w:tcW w:w="761" w:type="pct"/>
                  <w:tcBorders>
                    <w:tl2br w:val="nil"/>
                    <w:tr2bl w:val="nil"/>
                  </w:tcBorders>
                  <w:shd w:val="clear" w:color="000000" w:themeColor="text1" w:fill="auto"/>
                  <w:vAlign w:val="center"/>
                </w:tcPr>
                <w:p w14:paraId="74FAA88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昼间</w:t>
                  </w:r>
                </w:p>
              </w:tc>
              <w:tc>
                <w:tcPr>
                  <w:tcW w:w="924" w:type="pct"/>
                  <w:tcBorders>
                    <w:tl2br w:val="nil"/>
                    <w:tr2bl w:val="nil"/>
                  </w:tcBorders>
                  <w:shd w:val="clear" w:color="000000" w:themeColor="text1" w:fill="auto"/>
                  <w:vAlign w:val="center"/>
                </w:tcPr>
                <w:p w14:paraId="7984C8A4">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000000" w:themeColor="text1"/>
                      <w:sz w:val="21"/>
                      <w14:textFill>
                        <w14:solidFill>
                          <w14:schemeClr w14:val="tx1"/>
                        </w14:solidFill>
                      </w14:textFill>
                    </w:rPr>
                  </w:pPr>
                  <w:r>
                    <w:rPr>
                      <w:rFonts w:hint="eastAsia" w:ascii="Times New Roman" w:hAnsi="Times New Roman" w:eastAsia="宋体" w:cs="Times New Roman"/>
                      <w:b/>
                      <w:bCs/>
                      <w:color w:val="000000" w:themeColor="text1"/>
                      <w:sz w:val="21"/>
                      <w14:textFill>
                        <w14:solidFill>
                          <w14:schemeClr w14:val="tx1"/>
                        </w14:solidFill>
                      </w14:textFill>
                    </w:rPr>
                    <w:t>昼间</w:t>
                  </w:r>
                </w:p>
              </w:tc>
              <w:tc>
                <w:tcPr>
                  <w:tcW w:w="431" w:type="pct"/>
                  <w:vMerge w:val="continue"/>
                  <w:tcBorders>
                    <w:tl2br w:val="nil"/>
                    <w:tr2bl w:val="nil"/>
                  </w:tcBorders>
                  <w:vAlign w:val="center"/>
                </w:tcPr>
                <w:p w14:paraId="7AB30C8E">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Cs w:val="21"/>
                      <w:highlight w:val="none"/>
                      <w14:textFill>
                        <w14:solidFill>
                          <w14:schemeClr w14:val="tx1"/>
                        </w14:solidFill>
                      </w14:textFill>
                    </w:rPr>
                  </w:pPr>
                </w:p>
              </w:tc>
            </w:tr>
            <w:tr w14:paraId="40763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14:paraId="39335BD1">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5#</w:t>
                  </w:r>
                </w:p>
              </w:tc>
              <w:tc>
                <w:tcPr>
                  <w:tcW w:w="959" w:type="pct"/>
                  <w:tcBorders>
                    <w:tl2br w:val="nil"/>
                    <w:tr2bl w:val="nil"/>
                  </w:tcBorders>
                  <w:vAlign w:val="center"/>
                </w:tcPr>
                <w:p w14:paraId="4BC70F73">
                  <w:pPr>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color w:val="000000" w:themeColor="text1"/>
                      <w:sz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eastAsia" w:ascii="Times New Roman" w:hAnsi="Times New Roman" w:cs="Times New Roman"/>
                      <w:color w:val="000000" w:themeColor="text1"/>
                      <w:sz w:val="21"/>
                      <w:szCs w:val="21"/>
                      <w:lang w:val="en-US" w:eastAsia="zh-CN"/>
                      <w14:textFill>
                        <w14:solidFill>
                          <w14:schemeClr w14:val="tx1"/>
                        </w14:solidFill>
                      </w14:textFill>
                    </w:rPr>
                    <w:t>南</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侧</w:t>
                  </w:r>
                  <w:r>
                    <w:rPr>
                      <w:rFonts w:hint="eastAsia" w:ascii="Times New Roman" w:hAnsi="Times New Roman" w:cs="Times New Roman"/>
                      <w:color w:val="000000" w:themeColor="text1"/>
                      <w:sz w:val="21"/>
                      <w:szCs w:val="21"/>
                      <w:lang w:val="en-US" w:eastAsia="zh-CN"/>
                      <w14:textFill>
                        <w14:solidFill>
                          <w14:schemeClr w14:val="tx1"/>
                        </w14:solidFill>
                      </w14:textFill>
                    </w:rPr>
                    <w:t>紧邻东岳收费站处</w:t>
                  </w:r>
                </w:p>
              </w:tc>
              <w:tc>
                <w:tcPr>
                  <w:tcW w:w="1282" w:type="dxa"/>
                  <w:tcBorders>
                    <w:tl2br w:val="nil"/>
                    <w:tr2bl w:val="nil"/>
                  </w:tcBorders>
                  <w:vAlign w:val="center"/>
                </w:tcPr>
                <w:p w14:paraId="33642048">
                  <w:pPr>
                    <w:keepNext w:val="0"/>
                    <w:keepLines w:val="0"/>
                    <w:suppressLineNumbers w:val="0"/>
                    <w:adjustRightInd w:val="0"/>
                    <w:spacing w:before="0" w:beforeAutospacing="0" w:after="0" w:afterAutospacing="0" w:line="360" w:lineRule="auto"/>
                    <w:ind w:left="0" w:leftChars="0" w:right="0" w:rightChars="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49.5</w:t>
                  </w:r>
                </w:p>
              </w:tc>
              <w:tc>
                <w:tcPr>
                  <w:tcW w:w="1282" w:type="dxa"/>
                  <w:tcBorders>
                    <w:tl2br w:val="nil"/>
                    <w:tr2bl w:val="nil"/>
                  </w:tcBorders>
                  <w:vAlign w:val="center"/>
                </w:tcPr>
                <w:p w14:paraId="4CECB1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58.0</w:t>
                  </w:r>
                </w:p>
              </w:tc>
              <w:tc>
                <w:tcPr>
                  <w:tcW w:w="1284" w:type="dxa"/>
                  <w:tcBorders>
                    <w:tl2br w:val="nil"/>
                    <w:tr2bl w:val="nil"/>
                  </w:tcBorders>
                  <w:vAlign w:val="center"/>
                </w:tcPr>
                <w:p w14:paraId="62302BE4">
                  <w:pPr>
                    <w:keepNext w:val="0"/>
                    <w:keepLines w:val="0"/>
                    <w:suppressLineNumbers w:val="0"/>
                    <w:adjustRightInd w:val="0"/>
                    <w:spacing w:before="0" w:beforeAutospacing="0" w:after="0" w:afterAutospacing="0" w:line="360" w:lineRule="auto"/>
                    <w:ind w:left="0" w:leftChars="0" w:right="0" w:rightChars="0"/>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58.6</w:t>
                  </w:r>
                </w:p>
              </w:tc>
              <w:tc>
                <w:tcPr>
                  <w:tcW w:w="924" w:type="pct"/>
                  <w:tcBorders>
                    <w:tl2br w:val="nil"/>
                    <w:tr2bl w:val="nil"/>
                  </w:tcBorders>
                  <w:vAlign w:val="center"/>
                </w:tcPr>
                <w:p w14:paraId="506516B5">
                  <w:pPr>
                    <w:keepNext w:val="0"/>
                    <w:keepLines w:val="0"/>
                    <w:suppressLineNumbers w:val="0"/>
                    <w:adjustRightInd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60</w:t>
                  </w:r>
                </w:p>
              </w:tc>
              <w:tc>
                <w:tcPr>
                  <w:tcW w:w="431" w:type="pct"/>
                  <w:tcBorders>
                    <w:tl2br w:val="nil"/>
                    <w:tr2bl w:val="nil"/>
                  </w:tcBorders>
                  <w:vAlign w:val="center"/>
                </w:tcPr>
                <w:p w14:paraId="795A0EEA">
                  <w:pPr>
                    <w:keepNext w:val="0"/>
                    <w:keepLines w:val="0"/>
                    <w:suppressLineNumbers w:val="0"/>
                    <w:adjustRightInd w:val="0"/>
                    <w:spacing w:before="0" w:beforeAutospacing="0" w:after="0" w:afterAutospacing="0" w:line="240" w:lineRule="auto"/>
                    <w:ind w:left="0" w:right="0"/>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14:textFill>
                        <w14:solidFill>
                          <w14:schemeClr w14:val="tx1"/>
                        </w14:solidFill>
                      </w14:textFill>
                    </w:rPr>
                    <w:t>达标</w:t>
                  </w:r>
                </w:p>
              </w:tc>
            </w:tr>
          </w:tbl>
          <w:p w14:paraId="5BDFD711">
            <w:pPr>
              <w:keepNext w:val="0"/>
              <w:keepLines w:val="0"/>
              <w:suppressLineNumbers w:val="0"/>
              <w:spacing w:before="0" w:beforeAutospacing="0" w:after="0" w:afterAutospacing="0" w:line="360" w:lineRule="auto"/>
              <w:ind w:left="0" w:right="0" w:firstLine="480" w:firstLineChars="200"/>
              <w:rPr>
                <w:rFonts w:hint="default"/>
                <w:color w:val="auto"/>
                <w:szCs w:val="24"/>
                <w:highlight w:val="none"/>
              </w:rPr>
            </w:pPr>
            <w:r>
              <w:rPr>
                <w:rFonts w:hint="eastAsia"/>
                <w:color w:val="000000" w:themeColor="text1"/>
                <w:szCs w:val="24"/>
                <w14:textFill>
                  <w14:solidFill>
                    <w14:schemeClr w14:val="tx1"/>
                  </w14:solidFill>
                </w14:textFill>
              </w:rPr>
              <w:t>由预测结果可知，施工期昼间厂界四周预测点噪声排放值均满足</w:t>
            </w:r>
            <w:r>
              <w:rPr>
                <w:rFonts w:hint="default"/>
                <w:color w:val="000000" w:themeColor="text1"/>
                <w:szCs w:val="24"/>
                <w14:textFill>
                  <w14:solidFill>
                    <w14:schemeClr w14:val="tx1"/>
                  </w14:solidFill>
                </w14:textFill>
              </w:rPr>
              <w:t>《建筑施工场界环境噪声排放标准》（GB12523-2011）</w:t>
            </w:r>
            <w:r>
              <w:rPr>
                <w:rFonts w:hint="eastAsia"/>
                <w:color w:val="000000" w:themeColor="text1"/>
                <w:szCs w:val="24"/>
                <w:lang w:eastAsia="zh-CN"/>
                <w14:textFill>
                  <w14:solidFill>
                    <w14:schemeClr w14:val="tx1"/>
                  </w14:solidFill>
                </w14:textFill>
              </w:rPr>
              <w:t>；</w:t>
            </w:r>
            <w:r>
              <w:rPr>
                <w:rFonts w:hint="eastAsia"/>
                <w:color w:val="000000" w:themeColor="text1"/>
                <w:szCs w:val="24"/>
                <w:lang w:val="en-US" w:eastAsia="zh-CN"/>
                <w14:textFill>
                  <w14:solidFill>
                    <w14:schemeClr w14:val="tx1"/>
                  </w14:solidFill>
                </w14:textFill>
              </w:rPr>
              <w:t>东岳收费站</w:t>
            </w:r>
            <w:r>
              <w:rPr>
                <w:rFonts w:hint="eastAsia"/>
                <w:color w:val="auto"/>
                <w:szCs w:val="21"/>
                <w:highlight w:val="none"/>
              </w:rPr>
              <w:t>噪声</w:t>
            </w:r>
            <w:r>
              <w:rPr>
                <w:rFonts w:hint="eastAsia" w:ascii="Times New Roman" w:hAnsi="Times New Roman"/>
                <w:color w:val="auto"/>
                <w:highlight w:val="none"/>
              </w:rPr>
              <w:t>满足</w:t>
            </w:r>
            <w:r>
              <w:rPr>
                <w:rFonts w:hint="eastAsia"/>
                <w:color w:val="auto"/>
                <w:highlight w:val="none"/>
                <w:lang w:eastAsia="zh-CN"/>
              </w:rPr>
              <w:t>《</w:t>
            </w:r>
            <w:r>
              <w:rPr>
                <w:rFonts w:hint="eastAsia" w:ascii="Times New Roman" w:hAnsi="Times New Roman"/>
                <w:color w:val="auto"/>
                <w:highlight w:val="none"/>
              </w:rPr>
              <w:t>声环境质量标准</w:t>
            </w:r>
            <w:r>
              <w:rPr>
                <w:rFonts w:hint="eastAsia"/>
                <w:color w:val="auto"/>
                <w:highlight w:val="none"/>
                <w:lang w:eastAsia="zh-CN"/>
              </w:rPr>
              <w:t>》</w:t>
            </w:r>
            <w:r>
              <w:rPr>
                <w:rFonts w:hint="eastAsia" w:ascii="Times New Roman" w:hAnsi="Times New Roman"/>
                <w:color w:val="auto"/>
                <w:highlight w:val="none"/>
              </w:rPr>
              <w:t>（GB3096－2008）二级标准限值</w:t>
            </w:r>
            <w:r>
              <w:rPr>
                <w:rFonts w:hint="eastAsia"/>
                <w:color w:val="auto"/>
                <w:highlight w:val="none"/>
                <w:lang w:eastAsia="zh-CN"/>
              </w:rPr>
              <w:t>，</w:t>
            </w:r>
            <w:r>
              <w:rPr>
                <w:rFonts w:hint="eastAsia"/>
                <w:color w:val="000000" w:themeColor="text1"/>
                <w:szCs w:val="24"/>
                <w14:textFill>
                  <w14:solidFill>
                    <w14:schemeClr w14:val="tx1"/>
                  </w14:solidFill>
                </w14:textFill>
              </w:rPr>
              <w:t>因此本项目噪声不会对区域声环境造成影响。</w:t>
            </w:r>
          </w:p>
          <w:p w14:paraId="46AD5172">
            <w:pPr>
              <w:keepNext w:val="0"/>
              <w:keepLines w:val="0"/>
              <w:suppressLineNumbers w:val="0"/>
              <w:spacing w:before="0" w:beforeAutospacing="0" w:after="0" w:afterAutospacing="0" w:line="360" w:lineRule="auto"/>
              <w:ind w:left="0" w:right="0" w:firstLine="480"/>
              <w:rPr>
                <w:rFonts w:hint="default"/>
                <w:b/>
                <w:color w:val="auto"/>
                <w:szCs w:val="24"/>
                <w:highlight w:val="none"/>
              </w:rPr>
            </w:pPr>
            <w:r>
              <w:rPr>
                <w:rFonts w:hint="default"/>
                <w:b/>
                <w:color w:val="auto"/>
                <w:szCs w:val="24"/>
                <w:highlight w:val="none"/>
              </w:rPr>
              <w:t>4、固体废物</w:t>
            </w:r>
          </w:p>
          <w:p w14:paraId="2D588D3A">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本项目施工期固废主要包括废弃土石方、建筑垃圾、施工人员生活垃圾。</w:t>
            </w:r>
          </w:p>
          <w:p w14:paraId="21D5C634">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rPr>
              <w:t>（1）</w:t>
            </w:r>
            <w:r>
              <w:rPr>
                <w:rFonts w:hint="default"/>
                <w:b/>
                <w:bCs/>
                <w:color w:val="auto"/>
                <w:sz w:val="24"/>
                <w:highlight w:val="none"/>
              </w:rPr>
              <w:t>废弃土石方</w:t>
            </w:r>
          </w:p>
          <w:p w14:paraId="07D7619C">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由于项目</w:t>
            </w:r>
            <w:r>
              <w:rPr>
                <w:rFonts w:hint="eastAsia"/>
                <w:color w:val="auto"/>
                <w:sz w:val="24"/>
                <w:highlight w:val="none"/>
              </w:rPr>
              <w:t>所在地为原临时拌合站用地，地面已进行平整，</w:t>
            </w:r>
            <w:r>
              <w:rPr>
                <w:rFonts w:hint="default"/>
                <w:color w:val="auto"/>
                <w:sz w:val="24"/>
                <w:highlight w:val="none"/>
              </w:rPr>
              <w:t>因此，本项目施工期不存在大规模挖填方工程，仅基础施工过程中会产生极少量的挖方，但将全部回用于项目回填、调整场地标高和场区绿化，实现挖填平衡，无弃土产生。</w:t>
            </w:r>
          </w:p>
          <w:p w14:paraId="0E81FACC">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环评要求</w:t>
            </w:r>
            <w:r>
              <w:rPr>
                <w:rFonts w:hint="eastAsia"/>
                <w:color w:val="auto"/>
                <w:sz w:val="24"/>
                <w:highlight w:val="none"/>
              </w:rPr>
              <w:t>：</w:t>
            </w:r>
            <w:r>
              <w:rPr>
                <w:rFonts w:hint="default"/>
                <w:color w:val="auto"/>
                <w:sz w:val="24"/>
                <w:highlight w:val="none"/>
              </w:rPr>
              <w:t>施工单位在开挖地基时尽可能在短时间内完成开挖、排管、回填工作，尽量减少水土流失和扬尘对区域环境的污染影响。同时</w:t>
            </w:r>
            <w:r>
              <w:rPr>
                <w:rFonts w:hint="eastAsia"/>
                <w:color w:val="auto"/>
                <w:sz w:val="24"/>
                <w:highlight w:val="none"/>
              </w:rPr>
              <w:t>在施工过程中</w:t>
            </w:r>
            <w:r>
              <w:rPr>
                <w:rFonts w:hint="default"/>
                <w:color w:val="auto"/>
                <w:sz w:val="24"/>
                <w:highlight w:val="none"/>
              </w:rPr>
              <w:t>对用于回填、场地平整和绿化的土方覆盖塑料薄膜，并修建挡土墙、排水沟，有效防止土方被雨水冲刷造成水土流失。</w:t>
            </w:r>
          </w:p>
          <w:p w14:paraId="52E5D5C5">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rPr>
              <w:t>（2）</w:t>
            </w:r>
            <w:r>
              <w:rPr>
                <w:rFonts w:hint="default"/>
                <w:b/>
                <w:bCs/>
                <w:color w:val="auto"/>
                <w:sz w:val="24"/>
                <w:highlight w:val="none"/>
              </w:rPr>
              <w:t>建筑垃圾</w:t>
            </w:r>
          </w:p>
          <w:p w14:paraId="4886ADE2">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在进行主体工程和装饰工程施工过程中会产生</w:t>
            </w:r>
            <w:r>
              <w:rPr>
                <w:rFonts w:hint="eastAsia"/>
                <w:color w:val="auto"/>
                <w:sz w:val="24"/>
                <w:highlight w:val="none"/>
              </w:rPr>
              <w:t>混凝土废料、废砖瓦、</w:t>
            </w:r>
            <w:r>
              <w:rPr>
                <w:rFonts w:hint="default"/>
                <w:color w:val="auto"/>
                <w:sz w:val="24"/>
                <w:highlight w:val="none"/>
              </w:rPr>
              <w:t>废钢材和</w:t>
            </w:r>
            <w:r>
              <w:rPr>
                <w:rFonts w:hint="eastAsia"/>
                <w:color w:val="auto"/>
                <w:sz w:val="24"/>
                <w:highlight w:val="none"/>
              </w:rPr>
              <w:t>废包装袋</w:t>
            </w:r>
            <w:r>
              <w:rPr>
                <w:rFonts w:hint="default"/>
                <w:color w:val="auto"/>
                <w:sz w:val="24"/>
                <w:highlight w:val="none"/>
              </w:rPr>
              <w:t>等建筑垃圾，建筑垃圾产生量约</w:t>
            </w:r>
            <w:r>
              <w:rPr>
                <w:rFonts w:hint="eastAsia"/>
                <w:color w:val="auto"/>
                <w:sz w:val="24"/>
                <w:highlight w:val="none"/>
              </w:rPr>
              <w:t>5.0</w:t>
            </w:r>
            <w:r>
              <w:rPr>
                <w:rFonts w:hint="default"/>
                <w:color w:val="auto"/>
                <w:sz w:val="24"/>
                <w:highlight w:val="none"/>
              </w:rPr>
              <w:t>t。环评要求施工单位在施工现场设置建渣临时堆场</w:t>
            </w:r>
            <w:r>
              <w:rPr>
                <w:rFonts w:hint="eastAsia"/>
                <w:color w:val="auto"/>
                <w:sz w:val="24"/>
                <w:highlight w:val="none"/>
              </w:rPr>
              <w:t>（</w:t>
            </w:r>
            <w:r>
              <w:rPr>
                <w:rFonts w:hint="default"/>
                <w:color w:val="auto"/>
                <w:sz w:val="24"/>
                <w:highlight w:val="none"/>
              </w:rPr>
              <w:t>树立标示牌</w:t>
            </w:r>
            <w:r>
              <w:rPr>
                <w:rFonts w:hint="eastAsia"/>
                <w:color w:val="auto"/>
                <w:sz w:val="24"/>
                <w:highlight w:val="none"/>
              </w:rPr>
              <w:t>）</w:t>
            </w:r>
            <w:r>
              <w:rPr>
                <w:rFonts w:hint="default"/>
                <w:color w:val="auto"/>
                <w:sz w:val="24"/>
                <w:highlight w:val="none"/>
              </w:rPr>
              <w:t>并进行防雨、防泄漏处理。施工过程产生的废料首先应考虑回收利用，对钢筋、钢板、</w:t>
            </w:r>
            <w:r>
              <w:rPr>
                <w:rFonts w:hint="eastAsia"/>
                <w:color w:val="auto"/>
                <w:sz w:val="24"/>
                <w:highlight w:val="none"/>
              </w:rPr>
              <w:t>包装袋</w:t>
            </w:r>
            <w:r>
              <w:rPr>
                <w:rFonts w:hint="default"/>
                <w:color w:val="auto"/>
                <w:sz w:val="24"/>
                <w:highlight w:val="none"/>
              </w:rPr>
              <w:t>等</w:t>
            </w:r>
            <w:r>
              <w:rPr>
                <w:rFonts w:hint="eastAsia"/>
                <w:color w:val="auto"/>
                <w:sz w:val="24"/>
                <w:highlight w:val="none"/>
              </w:rPr>
              <w:t>可回收废物</w:t>
            </w:r>
            <w:r>
              <w:rPr>
                <w:rFonts w:hint="default"/>
                <w:color w:val="auto"/>
                <w:sz w:val="24"/>
                <w:highlight w:val="none"/>
              </w:rPr>
              <w:t>分类收集，交废物收购站回收处理；对不能回收的建筑垃圾，如混凝土废料、</w:t>
            </w:r>
            <w:r>
              <w:rPr>
                <w:rFonts w:hint="eastAsia"/>
                <w:color w:val="auto"/>
                <w:sz w:val="24"/>
                <w:highlight w:val="none"/>
              </w:rPr>
              <w:t>废砖瓦</w:t>
            </w:r>
            <w:r>
              <w:rPr>
                <w:rFonts w:hint="default"/>
                <w:color w:val="auto"/>
                <w:sz w:val="24"/>
                <w:highlight w:val="none"/>
              </w:rPr>
              <w:t>等应集中堆放，定时清运到</w:t>
            </w:r>
            <w:r>
              <w:rPr>
                <w:rFonts w:hint="eastAsia"/>
                <w:color w:val="auto"/>
                <w:sz w:val="24"/>
                <w:highlight w:val="none"/>
              </w:rPr>
              <w:t>市政部门</w:t>
            </w:r>
            <w:r>
              <w:rPr>
                <w:rFonts w:hint="default"/>
                <w:color w:val="auto"/>
                <w:sz w:val="24"/>
                <w:highlight w:val="none"/>
              </w:rPr>
              <w:t>指定</w:t>
            </w:r>
            <w:r>
              <w:rPr>
                <w:rFonts w:hint="eastAsia"/>
                <w:color w:val="auto"/>
                <w:sz w:val="24"/>
                <w:highlight w:val="none"/>
              </w:rPr>
              <w:t>的</w:t>
            </w:r>
            <w:r>
              <w:rPr>
                <w:rFonts w:hint="default"/>
                <w:color w:val="auto"/>
                <w:sz w:val="24"/>
                <w:highlight w:val="none"/>
              </w:rPr>
              <w:t>建筑垃圾</w:t>
            </w:r>
            <w:r>
              <w:rPr>
                <w:rFonts w:hint="eastAsia"/>
                <w:color w:val="auto"/>
                <w:sz w:val="24"/>
                <w:highlight w:val="none"/>
              </w:rPr>
              <w:t>堆放点进行集中处置</w:t>
            </w:r>
            <w:r>
              <w:rPr>
                <w:rFonts w:hint="default"/>
                <w:color w:val="auto"/>
                <w:sz w:val="24"/>
                <w:highlight w:val="none"/>
              </w:rPr>
              <w:t>。</w:t>
            </w:r>
          </w:p>
          <w:p w14:paraId="3C8131D3">
            <w:pPr>
              <w:keepNext w:val="0"/>
              <w:keepLines w:val="0"/>
              <w:suppressLineNumbers w:val="0"/>
              <w:spacing w:before="0" w:beforeAutospacing="0" w:after="0" w:afterAutospacing="0" w:line="360" w:lineRule="auto"/>
              <w:ind w:left="0" w:right="0" w:firstLine="482" w:firstLineChars="200"/>
              <w:rPr>
                <w:rFonts w:hint="default"/>
                <w:b/>
                <w:bCs/>
                <w:color w:val="auto"/>
                <w:sz w:val="24"/>
                <w:highlight w:val="none"/>
              </w:rPr>
            </w:pPr>
            <w:r>
              <w:rPr>
                <w:rFonts w:hint="eastAsia"/>
                <w:b/>
                <w:bCs/>
                <w:color w:val="auto"/>
                <w:sz w:val="24"/>
                <w:highlight w:val="none"/>
              </w:rPr>
              <w:t>（3）</w:t>
            </w:r>
            <w:r>
              <w:rPr>
                <w:rFonts w:hint="default"/>
                <w:b/>
                <w:bCs/>
                <w:color w:val="auto"/>
                <w:sz w:val="24"/>
                <w:highlight w:val="none"/>
              </w:rPr>
              <w:t>施工人员生活垃圾</w:t>
            </w:r>
          </w:p>
          <w:p w14:paraId="78F14603">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本项目施工期高峰期有施工人员约</w:t>
            </w:r>
            <w:r>
              <w:rPr>
                <w:rFonts w:hint="eastAsia"/>
                <w:color w:val="auto"/>
                <w:sz w:val="24"/>
                <w:highlight w:val="none"/>
              </w:rPr>
              <w:t>20</w:t>
            </w:r>
            <w:r>
              <w:rPr>
                <w:rFonts w:hint="default"/>
                <w:color w:val="auto"/>
                <w:sz w:val="24"/>
                <w:highlight w:val="none"/>
              </w:rPr>
              <w:t>人，生活垃圾产生量按 0.5kg/人·d计， 则施工人员生活垃圾产生量约</w:t>
            </w:r>
            <w:r>
              <w:rPr>
                <w:rFonts w:hint="eastAsia"/>
                <w:color w:val="auto"/>
                <w:sz w:val="24"/>
                <w:highlight w:val="none"/>
              </w:rPr>
              <w:t>10</w:t>
            </w:r>
            <w:r>
              <w:rPr>
                <w:rFonts w:hint="default"/>
                <w:color w:val="auto"/>
                <w:sz w:val="24"/>
                <w:highlight w:val="none"/>
              </w:rPr>
              <w:t>kg/d。环评要求施工单位袋装收集施工人员生活 垃圾，交</w:t>
            </w:r>
            <w:r>
              <w:rPr>
                <w:rFonts w:hint="eastAsia"/>
                <w:color w:val="auto"/>
                <w:sz w:val="24"/>
                <w:highlight w:val="none"/>
              </w:rPr>
              <w:t>由</w:t>
            </w:r>
            <w:r>
              <w:rPr>
                <w:rFonts w:hint="default"/>
                <w:color w:val="auto"/>
                <w:sz w:val="24"/>
                <w:highlight w:val="none"/>
              </w:rPr>
              <w:t>当地环卫部门统一清运处置，严禁就地填埋。</w:t>
            </w:r>
          </w:p>
          <w:p w14:paraId="7D7E9805">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通过严格采取以上措施后，工程施工期固体废物均得到了合理处置，不会对环境造成二次污染。</w:t>
            </w:r>
          </w:p>
          <w:p w14:paraId="667116DF">
            <w:pPr>
              <w:keepNext w:val="0"/>
              <w:keepLines w:val="0"/>
              <w:suppressLineNumbers w:val="0"/>
              <w:spacing w:before="0" w:beforeAutospacing="0" w:after="0" w:afterAutospacing="0" w:line="360" w:lineRule="auto"/>
              <w:ind w:left="0" w:right="0" w:firstLine="482" w:firstLineChars="200"/>
              <w:jc w:val="left"/>
              <w:rPr>
                <w:rFonts w:hint="default"/>
                <w:b/>
                <w:bCs/>
                <w:color w:val="auto"/>
                <w:sz w:val="24"/>
                <w:highlight w:val="none"/>
              </w:rPr>
            </w:pPr>
            <w:r>
              <w:rPr>
                <w:rFonts w:hint="eastAsia"/>
                <w:b/>
                <w:bCs/>
                <w:color w:val="auto"/>
                <w:sz w:val="24"/>
                <w:highlight w:val="none"/>
                <w:lang w:val="en-US" w:eastAsia="zh-CN"/>
              </w:rPr>
              <w:t>5</w:t>
            </w:r>
            <w:r>
              <w:rPr>
                <w:rFonts w:hint="default"/>
                <w:b/>
                <w:bCs/>
                <w:color w:val="auto"/>
                <w:sz w:val="24"/>
                <w:highlight w:val="none"/>
              </w:rPr>
              <w:t>、生态环境影响分析</w:t>
            </w:r>
          </w:p>
          <w:p w14:paraId="5A9CA794">
            <w:pPr>
              <w:keepNext w:val="0"/>
              <w:keepLines w:val="0"/>
              <w:suppressLineNumbers w:val="0"/>
              <w:spacing w:before="0" w:beforeAutospacing="0" w:after="0" w:afterAutospacing="0" w:line="360" w:lineRule="auto"/>
              <w:ind w:left="0" w:right="0" w:firstLine="480" w:firstLineChars="200"/>
              <w:rPr>
                <w:rFonts w:hint="default"/>
                <w:b/>
                <w:bCs/>
                <w:color w:val="auto"/>
                <w:sz w:val="24"/>
                <w:highlight w:val="none"/>
              </w:rPr>
            </w:pPr>
            <w:r>
              <w:rPr>
                <w:rFonts w:hint="eastAsia"/>
                <w:color w:val="auto"/>
                <w:sz w:val="24"/>
                <w:highlight w:val="none"/>
              </w:rPr>
              <w:t>本项目拟征地范围内</w:t>
            </w:r>
            <w:r>
              <w:rPr>
                <w:rFonts w:hint="eastAsia"/>
                <w:color w:val="auto"/>
                <w:sz w:val="24"/>
                <w:highlight w:val="none"/>
                <w:lang w:val="en-US" w:eastAsia="zh-CN"/>
              </w:rPr>
              <w:t>净地，</w:t>
            </w:r>
            <w:r>
              <w:rPr>
                <w:rFonts w:hint="eastAsia"/>
                <w:color w:val="auto"/>
                <w:kern w:val="0"/>
                <w:sz w:val="24"/>
                <w:highlight w:val="none"/>
              </w:rPr>
              <w:t>项目对生态环境的影响主要表现为</w:t>
            </w:r>
            <w:r>
              <w:rPr>
                <w:rFonts w:hint="default"/>
                <w:color w:val="auto"/>
                <w:kern w:val="0"/>
                <w:sz w:val="24"/>
                <w:highlight w:val="none"/>
              </w:rPr>
              <w:t>水土流失</w:t>
            </w:r>
            <w:r>
              <w:rPr>
                <w:rFonts w:hint="eastAsia"/>
                <w:color w:val="auto"/>
                <w:kern w:val="0"/>
                <w:sz w:val="24"/>
                <w:highlight w:val="none"/>
                <w:lang w:val="en-US" w:eastAsia="zh-CN"/>
              </w:rPr>
              <w:t>和植被破坏，因为原生植被为杂草，对生态影响较小，故主要表现为水土流失</w:t>
            </w:r>
            <w:r>
              <w:rPr>
                <w:rFonts w:hint="eastAsia"/>
                <w:color w:val="auto"/>
                <w:kern w:val="0"/>
                <w:sz w:val="24"/>
                <w:highlight w:val="none"/>
              </w:rPr>
              <w:t>。</w:t>
            </w:r>
          </w:p>
          <w:p w14:paraId="4C4EE80D">
            <w:pPr>
              <w:keepNext w:val="0"/>
              <w:keepLines w:val="0"/>
              <w:suppressLineNumbers w:val="0"/>
              <w:spacing w:before="0" w:beforeAutospacing="0" w:after="0" w:afterAutospacing="0" w:line="360" w:lineRule="auto"/>
              <w:ind w:left="31" w:leftChars="13" w:right="0" w:firstLine="480" w:firstLineChars="200"/>
              <w:rPr>
                <w:rFonts w:hint="default"/>
                <w:color w:val="auto"/>
                <w:kern w:val="0"/>
                <w:sz w:val="24"/>
                <w:highlight w:val="none"/>
              </w:rPr>
            </w:pPr>
            <w:r>
              <w:rPr>
                <w:rFonts w:hint="default"/>
                <w:color w:val="auto"/>
                <w:kern w:val="0"/>
                <w:sz w:val="24"/>
                <w:highlight w:val="none"/>
              </w:rPr>
              <w:t>本项目施工过程中因工程施工占地、开挖、土方堆放等造成一定的水土流失。通常因</w:t>
            </w:r>
            <w:r>
              <w:rPr>
                <w:rFonts w:hint="eastAsia"/>
                <w:color w:val="auto"/>
                <w:kern w:val="0"/>
                <w:sz w:val="24"/>
                <w:highlight w:val="none"/>
              </w:rPr>
              <w:t>开挖</w:t>
            </w:r>
            <w:r>
              <w:rPr>
                <w:rFonts w:hint="default"/>
                <w:color w:val="auto"/>
                <w:kern w:val="0"/>
                <w:sz w:val="24"/>
                <w:highlight w:val="none"/>
              </w:rPr>
              <w:t>改变表土结构，挖出的土石方因结构松散，如果开挖期间遭遇暴雨，水土流失量将增大。水土流失的危害主要表现为降低土地生产力和水土保持功能，破坏周边生态环境，危害工程安全，影响生态效益。</w:t>
            </w:r>
          </w:p>
          <w:p w14:paraId="112C027E">
            <w:pPr>
              <w:keepNext w:val="0"/>
              <w:keepLines w:val="0"/>
              <w:suppressLineNumbers w:val="0"/>
              <w:spacing w:before="0" w:beforeAutospacing="0" w:after="0" w:afterAutospacing="0" w:line="360" w:lineRule="auto"/>
              <w:ind w:left="31" w:leftChars="13" w:right="0" w:firstLine="480" w:firstLineChars="200"/>
              <w:rPr>
                <w:rFonts w:hint="default"/>
                <w:color w:val="auto"/>
                <w:kern w:val="0"/>
                <w:sz w:val="24"/>
                <w:highlight w:val="none"/>
              </w:rPr>
            </w:pPr>
            <w:r>
              <w:rPr>
                <w:rFonts w:hint="default"/>
                <w:color w:val="auto"/>
                <w:kern w:val="0"/>
                <w:sz w:val="24"/>
                <w:highlight w:val="none"/>
              </w:rPr>
              <w:t>本项目通过施工过程中合理安排工期，避开雨季施工，施工过程中做好开挖土石方的覆盖措施以及设置截排水沟等措施，可将工程建设对水土流失的影响降至最低。</w:t>
            </w:r>
          </w:p>
          <w:p w14:paraId="7CE238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color w:val="auto"/>
                <w:kern w:val="0"/>
                <w:sz w:val="24"/>
                <w:highlight w:val="none"/>
              </w:rPr>
              <w:t>综上所述，本项目施工会对项目区生态环境产生一定的影响，通过采取相应的生态保护措施后工程对生态环境的影响可以得到减轻，工程施工期短，项目建设对生态环境影响随着施工的结束而结束。</w:t>
            </w:r>
          </w:p>
        </w:tc>
      </w:tr>
      <w:tr w14:paraId="1CB9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81" w:type="dxa"/>
            <w:noWrap w:val="0"/>
            <w:vAlign w:val="center"/>
          </w:tcPr>
          <w:p w14:paraId="379BC6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w:t>
            </w:r>
          </w:p>
          <w:p w14:paraId="3D98C3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期环</w:t>
            </w:r>
          </w:p>
          <w:p w14:paraId="7101FD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境影</w:t>
            </w:r>
          </w:p>
          <w:p w14:paraId="218C36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响和</w:t>
            </w:r>
          </w:p>
          <w:p w14:paraId="44D58A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保护</w:t>
            </w:r>
          </w:p>
          <w:p w14:paraId="4C495B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措施</w:t>
            </w:r>
          </w:p>
        </w:tc>
        <w:tc>
          <w:tcPr>
            <w:tcW w:w="8779" w:type="dxa"/>
            <w:noWrap w:val="0"/>
            <w:vAlign w:val="center"/>
          </w:tcPr>
          <w:p w14:paraId="6DC4A0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1、废气</w:t>
            </w:r>
          </w:p>
          <w:p w14:paraId="60F746EC">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项目营运期废气主要为卸油、储存、加油等过程中可能逸漏少量有机气体</w:t>
            </w:r>
            <w:r>
              <w:rPr>
                <w:rFonts w:hint="eastAsia"/>
                <w:color w:val="auto"/>
                <w:kern w:val="0"/>
                <w:sz w:val="24"/>
                <w:highlight w:val="none"/>
                <w:lang w:bidi="ar"/>
              </w:rPr>
              <w:t>（</w:t>
            </w:r>
            <w:r>
              <w:rPr>
                <w:rFonts w:hint="default"/>
                <w:color w:val="auto"/>
                <w:kern w:val="0"/>
                <w:sz w:val="24"/>
                <w:highlight w:val="none"/>
                <w:lang w:bidi="ar"/>
              </w:rPr>
              <w:t>非 甲烷总烃</w:t>
            </w:r>
            <w:r>
              <w:rPr>
                <w:rFonts w:hint="eastAsia"/>
                <w:color w:val="auto"/>
                <w:kern w:val="0"/>
                <w:sz w:val="24"/>
                <w:highlight w:val="none"/>
                <w:lang w:bidi="ar"/>
              </w:rPr>
              <w:t>）</w:t>
            </w:r>
            <w:r>
              <w:rPr>
                <w:rFonts w:hint="default"/>
                <w:color w:val="auto"/>
                <w:kern w:val="0"/>
                <w:sz w:val="24"/>
                <w:highlight w:val="none"/>
                <w:lang w:bidi="ar"/>
              </w:rPr>
              <w:t>、LNG卸车和LNG储罐的闪蒸气（及BOG）、</w:t>
            </w:r>
            <w:r>
              <w:rPr>
                <w:rFonts w:hint="eastAsia"/>
                <w:color w:val="auto"/>
                <w:kern w:val="0"/>
                <w:sz w:val="24"/>
                <w:highlight w:val="none"/>
                <w:lang w:val="en-US" w:eastAsia="zh-CN" w:bidi="ar"/>
              </w:rPr>
              <w:t>撬装</w:t>
            </w:r>
            <w:r>
              <w:rPr>
                <w:rFonts w:hint="default"/>
                <w:color w:val="auto"/>
                <w:kern w:val="0"/>
                <w:sz w:val="24"/>
                <w:highlight w:val="none"/>
                <w:lang w:bidi="ar"/>
              </w:rPr>
              <w:t>柴油发电机废气</w:t>
            </w:r>
            <w:r>
              <w:rPr>
                <w:rFonts w:hint="eastAsia"/>
                <w:color w:val="auto"/>
                <w:kern w:val="0"/>
                <w:sz w:val="24"/>
                <w:highlight w:val="none"/>
                <w:lang w:bidi="ar"/>
              </w:rPr>
              <w:t>、</w:t>
            </w:r>
            <w:r>
              <w:rPr>
                <w:rFonts w:hint="default"/>
                <w:color w:val="auto"/>
                <w:kern w:val="0"/>
                <w:sz w:val="24"/>
                <w:highlight w:val="none"/>
                <w:lang w:bidi="ar"/>
              </w:rPr>
              <w:t>外来车辆产生的机动车尾气。</w:t>
            </w:r>
          </w:p>
          <w:p w14:paraId="668C3469">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eastAsia"/>
                <w:b/>
                <w:bCs/>
                <w:color w:val="auto"/>
                <w:kern w:val="0"/>
                <w:sz w:val="24"/>
                <w:highlight w:val="none"/>
                <w:lang w:eastAsia="zh-CN" w:bidi="ar"/>
              </w:rPr>
              <w:t>（</w:t>
            </w:r>
            <w:r>
              <w:rPr>
                <w:rFonts w:hint="eastAsia"/>
                <w:b/>
                <w:bCs/>
                <w:color w:val="auto"/>
                <w:kern w:val="0"/>
                <w:sz w:val="24"/>
                <w:highlight w:val="none"/>
                <w:lang w:val="en-US" w:eastAsia="zh-CN" w:bidi="ar"/>
              </w:rPr>
              <w:t>1</w:t>
            </w:r>
            <w:r>
              <w:rPr>
                <w:rFonts w:hint="eastAsia"/>
                <w:b/>
                <w:bCs/>
                <w:color w:val="auto"/>
                <w:kern w:val="0"/>
                <w:sz w:val="24"/>
                <w:highlight w:val="none"/>
                <w:lang w:eastAsia="zh-CN" w:bidi="ar"/>
              </w:rPr>
              <w:t>）</w:t>
            </w:r>
            <w:r>
              <w:rPr>
                <w:rFonts w:hint="eastAsia"/>
                <w:b/>
                <w:bCs/>
                <w:color w:val="auto"/>
                <w:kern w:val="0"/>
                <w:sz w:val="24"/>
                <w:highlight w:val="none"/>
                <w:lang w:bidi="ar"/>
              </w:rPr>
              <w:t>废气产生及治理措施</w:t>
            </w:r>
          </w:p>
          <w:p w14:paraId="4D1F58FD">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default"/>
                <w:b/>
                <w:bCs/>
                <w:color w:val="auto"/>
                <w:kern w:val="0"/>
                <w:sz w:val="24"/>
                <w:highlight w:val="none"/>
                <w:lang w:bidi="ar"/>
              </w:rPr>
              <w:t>1）有机废气（非甲烷总烃）</w:t>
            </w:r>
          </w:p>
          <w:p w14:paraId="0896F5A7">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eastAsia" w:ascii="宋体" w:hAnsi="宋体" w:cs="宋体"/>
                <w:b/>
                <w:bCs/>
                <w:color w:val="auto"/>
                <w:kern w:val="0"/>
                <w:sz w:val="24"/>
                <w:highlight w:val="none"/>
                <w:lang w:bidi="ar"/>
              </w:rPr>
              <w:t>①</w:t>
            </w:r>
            <w:r>
              <w:rPr>
                <w:rFonts w:hint="default"/>
                <w:b/>
                <w:bCs/>
                <w:color w:val="auto"/>
                <w:kern w:val="0"/>
                <w:sz w:val="24"/>
                <w:highlight w:val="none"/>
                <w:lang w:bidi="ar"/>
              </w:rPr>
              <w:t>产生情况</w:t>
            </w:r>
          </w:p>
          <w:p w14:paraId="2E80DA74">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本项目站内产生的废气主要来源于油品损耗挥发形成的油气，其主要成分以非甲烷总烃计。正常营运时，油品损耗主要有卸油灌注损失、储油损失、加油作业损失等。根据《散装液态石油产品损耗标准》(GB11085-89)，项目所在区域属于A类区，卸油过程中汽、柴油损耗率分别为0.23%、0.05%；加油过程中汽、柴油损耗率分别0.29%、0.08%。本项目采用卧式罐储存汽油和柴油，储油过程油气排放包括地下油罐“小呼吸”、卸油多余油气及加油多余油气。根据《散装液态石油产品损耗标准》，储油过程会产生0.01%的油气排放。</w:t>
            </w:r>
          </w:p>
          <w:p w14:paraId="67DF8D88">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bidi="ar"/>
              </w:rPr>
              <w:t>本项目</w:t>
            </w:r>
            <w:r>
              <w:rPr>
                <w:rFonts w:hint="default"/>
                <w:color w:val="auto"/>
                <w:kern w:val="0"/>
                <w:sz w:val="24"/>
                <w:highlight w:val="none"/>
                <w:lang w:bidi="ar"/>
              </w:rPr>
              <w:t>加油加气站内设有一、二</w:t>
            </w:r>
            <w:r>
              <w:rPr>
                <w:rFonts w:hint="eastAsia"/>
                <w:color w:val="auto"/>
                <w:kern w:val="0"/>
                <w:sz w:val="24"/>
                <w:highlight w:val="none"/>
                <w:lang w:bidi="ar"/>
              </w:rPr>
              <w:t>、三</w:t>
            </w:r>
            <w:r>
              <w:rPr>
                <w:rFonts w:hint="default"/>
                <w:color w:val="auto"/>
                <w:kern w:val="0"/>
                <w:sz w:val="24"/>
                <w:highlight w:val="none"/>
                <w:lang w:bidi="ar"/>
              </w:rPr>
              <w:t>次油气回收系统，其油气回收效率可达9</w:t>
            </w:r>
            <w:r>
              <w:rPr>
                <w:rFonts w:hint="eastAsia"/>
                <w:color w:val="auto"/>
                <w:kern w:val="0"/>
                <w:sz w:val="24"/>
                <w:highlight w:val="none"/>
                <w:lang w:bidi="ar"/>
              </w:rPr>
              <w:t>0</w:t>
            </w:r>
            <w:r>
              <w:rPr>
                <w:rFonts w:hint="default"/>
                <w:color w:val="auto"/>
                <w:kern w:val="0"/>
                <w:sz w:val="24"/>
                <w:highlight w:val="none"/>
                <w:lang w:bidi="ar"/>
              </w:rPr>
              <w:t>%以上。根据本项目年销售汽油</w:t>
            </w:r>
            <w:r>
              <w:rPr>
                <w:rFonts w:hint="eastAsia"/>
                <w:color w:val="auto"/>
                <w:kern w:val="0"/>
                <w:sz w:val="24"/>
                <w:highlight w:val="none"/>
                <w:lang w:val="en-US" w:eastAsia="zh-CN" w:bidi="ar"/>
              </w:rPr>
              <w:t>1652.08</w:t>
            </w:r>
            <w:r>
              <w:rPr>
                <w:rFonts w:hint="default"/>
                <w:color w:val="auto"/>
                <w:kern w:val="0"/>
                <w:sz w:val="24"/>
                <w:highlight w:val="none"/>
                <w:lang w:bidi="ar"/>
              </w:rPr>
              <w:t>t、柴油</w:t>
            </w:r>
            <w:r>
              <w:rPr>
                <w:rFonts w:hint="eastAsia"/>
                <w:color w:val="auto"/>
                <w:kern w:val="0"/>
                <w:sz w:val="24"/>
                <w:highlight w:val="none"/>
                <w:lang w:val="en-US" w:eastAsia="zh-CN" w:bidi="ar"/>
              </w:rPr>
              <w:t>1652.4</w:t>
            </w:r>
            <w:r>
              <w:rPr>
                <w:rFonts w:hint="default"/>
                <w:color w:val="auto"/>
                <w:kern w:val="0"/>
                <w:sz w:val="24"/>
                <w:highlight w:val="none"/>
                <w:lang w:bidi="ar"/>
              </w:rPr>
              <w:t>t计算，项目有机废气非甲烷总烃产生量及排放量见表4-</w:t>
            </w:r>
            <w:r>
              <w:rPr>
                <w:rFonts w:hint="eastAsia"/>
                <w:color w:val="auto"/>
                <w:kern w:val="0"/>
                <w:sz w:val="24"/>
                <w:highlight w:val="none"/>
                <w:lang w:val="en-US" w:eastAsia="zh-CN" w:bidi="ar"/>
              </w:rPr>
              <w:t>4</w:t>
            </w:r>
            <w:r>
              <w:rPr>
                <w:rFonts w:hint="default"/>
                <w:color w:val="auto"/>
                <w:kern w:val="0"/>
                <w:sz w:val="24"/>
                <w:highlight w:val="none"/>
                <w:lang w:bidi="ar"/>
              </w:rPr>
              <w:t>所示。</w:t>
            </w:r>
          </w:p>
          <w:p w14:paraId="2E90C6C0">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rPr>
            </w:pPr>
            <w:r>
              <w:rPr>
                <w:rFonts w:hint="eastAsia" w:ascii="Times New Roman" w:hAnsi="Times New Roman" w:eastAsia="黑体" w:cs="Times New Roman"/>
                <w:b/>
                <w:bCs/>
                <w:color w:val="auto"/>
                <w:kern w:val="0"/>
                <w:sz w:val="20"/>
                <w:szCs w:val="20"/>
                <w:highlight w:val="none"/>
                <w:lang w:val="en-US" w:eastAsia="zh-CN"/>
              </w:rPr>
              <w:t>表4-</w:t>
            </w:r>
            <w:r>
              <w:rPr>
                <w:rFonts w:hint="eastAsia" w:eastAsia="黑体" w:cs="Times New Roman"/>
                <w:b/>
                <w:bCs/>
                <w:color w:val="auto"/>
                <w:kern w:val="0"/>
                <w:sz w:val="20"/>
                <w:szCs w:val="20"/>
                <w:highlight w:val="none"/>
                <w:lang w:val="en-US" w:eastAsia="zh-CN"/>
              </w:rPr>
              <w:t>4</w:t>
            </w:r>
            <w:r>
              <w:rPr>
                <w:rFonts w:hint="default" w:ascii="Times New Roman" w:hAnsi="Times New Roman" w:eastAsia="黑体" w:cs="Times New Roman"/>
                <w:b/>
                <w:bCs/>
                <w:color w:val="auto"/>
                <w:kern w:val="0"/>
                <w:sz w:val="20"/>
                <w:szCs w:val="20"/>
                <w:highlight w:val="none"/>
                <w:lang w:val="en-US" w:eastAsia="zh-CN"/>
              </w:rPr>
              <w:t xml:space="preserve"> </w:t>
            </w:r>
            <w:r>
              <w:rPr>
                <w:rFonts w:hint="eastAsia" w:ascii="Times New Roman" w:hAnsi="Times New Roman" w:eastAsia="黑体" w:cs="Times New Roman"/>
                <w:b/>
                <w:bCs/>
                <w:color w:val="auto"/>
                <w:kern w:val="0"/>
                <w:sz w:val="20"/>
                <w:szCs w:val="20"/>
                <w:highlight w:val="none"/>
                <w:lang w:val="en-US" w:eastAsia="zh-CN"/>
              </w:rPr>
              <w:t>项目站内有机废气产生及排放情况一览表</w:t>
            </w:r>
          </w:p>
          <w:tbl>
            <w:tblPr>
              <w:tblStyle w:val="23"/>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101"/>
              <w:gridCol w:w="1209"/>
              <w:gridCol w:w="1036"/>
              <w:gridCol w:w="2576"/>
              <w:gridCol w:w="1200"/>
            </w:tblGrid>
            <w:tr w14:paraId="42518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3" w:type="pct"/>
                  <w:gridSpan w:val="2"/>
                  <w:tcBorders>
                    <w:tl2br w:val="nil"/>
                    <w:tr2bl w:val="nil"/>
                  </w:tcBorders>
                  <w:noWrap w:val="0"/>
                  <w:vAlign w:val="center"/>
                </w:tcPr>
                <w:p w14:paraId="6DC691CF">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污染源名称</w:t>
                  </w:r>
                </w:p>
              </w:tc>
              <w:tc>
                <w:tcPr>
                  <w:tcW w:w="706" w:type="pct"/>
                  <w:tcBorders>
                    <w:tl2br w:val="nil"/>
                    <w:tr2bl w:val="nil"/>
                  </w:tcBorders>
                  <w:noWrap w:val="0"/>
                  <w:vAlign w:val="center"/>
                </w:tcPr>
                <w:p w14:paraId="6F8D502F">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损耗率</w:t>
                  </w:r>
                </w:p>
              </w:tc>
              <w:tc>
                <w:tcPr>
                  <w:tcW w:w="604" w:type="pct"/>
                  <w:tcBorders>
                    <w:tl2br w:val="nil"/>
                    <w:tr2bl w:val="nil"/>
                  </w:tcBorders>
                  <w:noWrap w:val="0"/>
                  <w:vAlign w:val="center"/>
                </w:tcPr>
                <w:p w14:paraId="1F8BCB76">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产生量（t/a）</w:t>
                  </w:r>
                </w:p>
              </w:tc>
              <w:tc>
                <w:tcPr>
                  <w:tcW w:w="1504" w:type="pct"/>
                  <w:tcBorders>
                    <w:tl2br w:val="nil"/>
                    <w:tr2bl w:val="nil"/>
                  </w:tcBorders>
                  <w:noWrap w:val="0"/>
                  <w:vAlign w:val="center"/>
                </w:tcPr>
                <w:p w14:paraId="2E102D5D">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已采取的治理措施</w:t>
                  </w:r>
                </w:p>
              </w:tc>
              <w:tc>
                <w:tcPr>
                  <w:tcW w:w="700" w:type="pct"/>
                  <w:tcBorders>
                    <w:tl2br w:val="nil"/>
                    <w:tr2bl w:val="nil"/>
                  </w:tcBorders>
                  <w:noWrap w:val="0"/>
                  <w:vAlign w:val="center"/>
                </w:tcPr>
                <w:p w14:paraId="15D9234A">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排放量（t/a）</w:t>
                  </w:r>
                </w:p>
              </w:tc>
            </w:tr>
            <w:tr w14:paraId="53C8D9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pct"/>
                  <w:vMerge w:val="restart"/>
                  <w:tcBorders>
                    <w:tl2br w:val="nil"/>
                    <w:tr2bl w:val="nil"/>
                  </w:tcBorders>
                  <w:noWrap w:val="0"/>
                  <w:vAlign w:val="center"/>
                </w:tcPr>
                <w:p w14:paraId="689E1635">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油罐车卸油</w:t>
                  </w:r>
                </w:p>
              </w:tc>
              <w:tc>
                <w:tcPr>
                  <w:tcW w:w="642" w:type="pct"/>
                  <w:tcBorders>
                    <w:tl2br w:val="nil"/>
                    <w:tr2bl w:val="nil"/>
                  </w:tcBorders>
                  <w:noWrap w:val="0"/>
                  <w:vAlign w:val="center"/>
                </w:tcPr>
                <w:p w14:paraId="5FB911AE">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汽油</w:t>
                  </w:r>
                </w:p>
              </w:tc>
              <w:tc>
                <w:tcPr>
                  <w:tcW w:w="706" w:type="pct"/>
                  <w:tcBorders>
                    <w:tl2br w:val="nil"/>
                    <w:tr2bl w:val="nil"/>
                  </w:tcBorders>
                  <w:noWrap w:val="0"/>
                  <w:vAlign w:val="center"/>
                </w:tcPr>
                <w:p w14:paraId="01A0537D">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0.23%</w:t>
                  </w:r>
                </w:p>
              </w:tc>
              <w:tc>
                <w:tcPr>
                  <w:tcW w:w="604" w:type="pct"/>
                  <w:tcBorders>
                    <w:tl2br w:val="nil"/>
                    <w:tr2bl w:val="nil"/>
                  </w:tcBorders>
                  <w:noWrap w:val="0"/>
                  <w:vAlign w:val="center"/>
                </w:tcPr>
                <w:p w14:paraId="60C68483">
                  <w:pPr>
                    <w:keepNext w:val="0"/>
                    <w:keepLines w:val="0"/>
                    <w:widowControl/>
                    <w:suppressLineNumbers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3.800</w:t>
                  </w:r>
                </w:p>
              </w:tc>
              <w:tc>
                <w:tcPr>
                  <w:tcW w:w="1504" w:type="pct"/>
                  <w:vMerge w:val="restart"/>
                  <w:tcBorders>
                    <w:tl2br w:val="nil"/>
                    <w:tr2bl w:val="nil"/>
                  </w:tcBorders>
                  <w:noWrap w:val="0"/>
                  <w:vAlign w:val="center"/>
                </w:tcPr>
                <w:p w14:paraId="70AB704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设置油气回收系统（一次）(油气回收率＞90%)</w:t>
                  </w:r>
                </w:p>
              </w:tc>
              <w:tc>
                <w:tcPr>
                  <w:tcW w:w="700" w:type="pct"/>
                  <w:tcBorders>
                    <w:tl2br w:val="nil"/>
                    <w:tr2bl w:val="nil"/>
                  </w:tcBorders>
                  <w:noWrap w:val="0"/>
                  <w:vAlign w:val="center"/>
                </w:tcPr>
                <w:p w14:paraId="4B72CC04">
                  <w:pPr>
                    <w:keepNext w:val="0"/>
                    <w:keepLines w:val="0"/>
                    <w:widowControl/>
                    <w:suppressLineNumbers w:val="0"/>
                    <w:spacing w:before="0" w:beforeAutospacing="0" w:after="0" w:afterAutospacing="0"/>
                    <w:ind w:left="0" w:right="0"/>
                    <w:jc w:val="center"/>
                    <w:rPr>
                      <w:rFonts w:hint="default" w:eastAsia="宋体"/>
                      <w:color w:val="auto"/>
                      <w:kern w:val="0"/>
                      <w:sz w:val="21"/>
                      <w:szCs w:val="21"/>
                      <w:highlight w:val="none"/>
                      <w:lang w:val="en-US" w:eastAsia="zh-CN"/>
                    </w:rPr>
                  </w:pPr>
                  <w:r>
                    <w:rPr>
                      <w:rFonts w:hint="default"/>
                      <w:color w:val="auto"/>
                      <w:sz w:val="21"/>
                      <w:szCs w:val="21"/>
                      <w:highlight w:val="none"/>
                    </w:rPr>
                    <w:t>0.3</w:t>
                  </w:r>
                  <w:r>
                    <w:rPr>
                      <w:rFonts w:hint="eastAsia"/>
                      <w:color w:val="auto"/>
                      <w:sz w:val="21"/>
                      <w:szCs w:val="21"/>
                      <w:highlight w:val="none"/>
                      <w:lang w:val="en-US" w:eastAsia="zh-CN"/>
                    </w:rPr>
                    <w:t>80</w:t>
                  </w:r>
                </w:p>
              </w:tc>
            </w:tr>
            <w:tr w14:paraId="493CE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pct"/>
                  <w:vMerge w:val="continue"/>
                  <w:tcBorders>
                    <w:tl2br w:val="nil"/>
                    <w:tr2bl w:val="nil"/>
                  </w:tcBorders>
                  <w:noWrap w:val="0"/>
                  <w:vAlign w:val="center"/>
                </w:tcPr>
                <w:p w14:paraId="0472AC4F">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642" w:type="pct"/>
                  <w:tcBorders>
                    <w:tl2br w:val="nil"/>
                    <w:tr2bl w:val="nil"/>
                  </w:tcBorders>
                  <w:noWrap w:val="0"/>
                  <w:vAlign w:val="center"/>
                </w:tcPr>
                <w:p w14:paraId="2A0E5B4B">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柴油</w:t>
                  </w:r>
                </w:p>
              </w:tc>
              <w:tc>
                <w:tcPr>
                  <w:tcW w:w="706" w:type="pct"/>
                  <w:tcBorders>
                    <w:tl2br w:val="nil"/>
                    <w:tr2bl w:val="nil"/>
                  </w:tcBorders>
                  <w:noWrap w:val="0"/>
                  <w:vAlign w:val="center"/>
                </w:tcPr>
                <w:p w14:paraId="56A464CE">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0.05%</w:t>
                  </w:r>
                </w:p>
              </w:tc>
              <w:tc>
                <w:tcPr>
                  <w:tcW w:w="604" w:type="pct"/>
                  <w:tcBorders>
                    <w:tl2br w:val="nil"/>
                    <w:tr2bl w:val="nil"/>
                  </w:tcBorders>
                  <w:noWrap w:val="0"/>
                  <w:vAlign w:val="center"/>
                </w:tcPr>
                <w:p w14:paraId="0A747884">
                  <w:pPr>
                    <w:keepNext w:val="0"/>
                    <w:keepLines w:val="0"/>
                    <w:widowControl/>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val="en-US" w:eastAsia="zh-CN"/>
                    </w:rPr>
                    <w:t>0.826</w:t>
                  </w:r>
                </w:p>
              </w:tc>
              <w:tc>
                <w:tcPr>
                  <w:tcW w:w="1504" w:type="pct"/>
                  <w:vMerge w:val="continue"/>
                  <w:tcBorders>
                    <w:tl2br w:val="nil"/>
                    <w:tr2bl w:val="nil"/>
                  </w:tcBorders>
                  <w:noWrap w:val="0"/>
                  <w:vAlign w:val="center"/>
                </w:tcPr>
                <w:p w14:paraId="55A22FD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00" w:type="pct"/>
                  <w:tcBorders>
                    <w:tl2br w:val="nil"/>
                    <w:tr2bl w:val="nil"/>
                  </w:tcBorders>
                  <w:noWrap w:val="0"/>
                  <w:vAlign w:val="center"/>
                </w:tcPr>
                <w:p w14:paraId="40BC62F6">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default"/>
                      <w:color w:val="auto"/>
                      <w:sz w:val="21"/>
                      <w:szCs w:val="21"/>
                      <w:highlight w:val="none"/>
                    </w:rPr>
                    <w:t>0.0</w:t>
                  </w:r>
                  <w:r>
                    <w:rPr>
                      <w:rFonts w:hint="eastAsia"/>
                      <w:color w:val="auto"/>
                      <w:sz w:val="21"/>
                      <w:szCs w:val="21"/>
                      <w:highlight w:val="none"/>
                      <w:lang w:val="en-US" w:eastAsia="zh-CN"/>
                    </w:rPr>
                    <w:t>83</w:t>
                  </w:r>
                </w:p>
              </w:tc>
            </w:tr>
            <w:tr w14:paraId="657B3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pct"/>
                  <w:vMerge w:val="restart"/>
                  <w:tcBorders>
                    <w:tl2br w:val="nil"/>
                    <w:tr2bl w:val="nil"/>
                  </w:tcBorders>
                  <w:noWrap w:val="0"/>
                  <w:vAlign w:val="center"/>
                </w:tcPr>
                <w:p w14:paraId="5EC4348B">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卧式储罐储油</w:t>
                  </w:r>
                </w:p>
              </w:tc>
              <w:tc>
                <w:tcPr>
                  <w:tcW w:w="642" w:type="pct"/>
                  <w:tcBorders>
                    <w:tl2br w:val="nil"/>
                    <w:tr2bl w:val="nil"/>
                  </w:tcBorders>
                  <w:noWrap w:val="0"/>
                  <w:vAlign w:val="center"/>
                </w:tcPr>
                <w:p w14:paraId="6C27AC22">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汽油</w:t>
                  </w:r>
                </w:p>
              </w:tc>
              <w:tc>
                <w:tcPr>
                  <w:tcW w:w="706" w:type="pct"/>
                  <w:vMerge w:val="restart"/>
                  <w:tcBorders>
                    <w:tl2br w:val="nil"/>
                    <w:tr2bl w:val="nil"/>
                  </w:tcBorders>
                  <w:noWrap w:val="0"/>
                  <w:vAlign w:val="center"/>
                </w:tcPr>
                <w:p w14:paraId="31033997">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0.01%</w:t>
                  </w:r>
                </w:p>
              </w:tc>
              <w:tc>
                <w:tcPr>
                  <w:tcW w:w="604" w:type="pct"/>
                  <w:tcBorders>
                    <w:tl2br w:val="nil"/>
                    <w:tr2bl w:val="nil"/>
                  </w:tcBorders>
                  <w:noWrap w:val="0"/>
                  <w:vAlign w:val="center"/>
                </w:tcPr>
                <w:p w14:paraId="4457A797">
                  <w:pPr>
                    <w:keepNext w:val="0"/>
                    <w:keepLines w:val="0"/>
                    <w:widowControl/>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val="en-US" w:eastAsia="zh-CN"/>
                    </w:rPr>
                    <w:t>0.165</w:t>
                  </w:r>
                </w:p>
              </w:tc>
              <w:tc>
                <w:tcPr>
                  <w:tcW w:w="1504" w:type="pct"/>
                  <w:vMerge w:val="restart"/>
                  <w:tcBorders>
                    <w:tl2br w:val="nil"/>
                    <w:tr2bl w:val="nil"/>
                  </w:tcBorders>
                  <w:noWrap w:val="0"/>
                  <w:vAlign w:val="center"/>
                </w:tcPr>
                <w:p w14:paraId="66EB935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设置油气回收系统（三次）(油气回收率＞90%)，处理后通过</w:t>
                  </w:r>
                  <w:r>
                    <w:rPr>
                      <w:rFonts w:hint="eastAsia" w:cs="Times New Roman"/>
                      <w:color w:val="auto"/>
                      <w:sz w:val="21"/>
                      <w:szCs w:val="21"/>
                      <w:highlight w:val="none"/>
                      <w:shd w:val="clear" w:color="auto" w:fill="FFFFFF"/>
                      <w:lang w:val="en-US" w:eastAsia="zh-CN"/>
                    </w:rPr>
                    <w:t>离地高度9m以上</w:t>
                  </w:r>
                  <w:r>
                    <w:rPr>
                      <w:rFonts w:hint="eastAsia" w:cs="Times New Roman"/>
                      <w:color w:val="auto"/>
                      <w:sz w:val="21"/>
                      <w:szCs w:val="21"/>
                      <w:highlight w:val="none"/>
                      <w:shd w:val="clear" w:color="auto" w:fill="FFFFFF"/>
                      <w:lang w:eastAsia="zh-CN"/>
                    </w:rPr>
                    <w:t>的</w:t>
                  </w:r>
                  <w:r>
                    <w:rPr>
                      <w:rFonts w:hint="default" w:ascii="Times New Roman" w:hAnsi="Times New Roman" w:cs="Times New Roman"/>
                      <w:color w:val="auto"/>
                      <w:sz w:val="21"/>
                      <w:szCs w:val="21"/>
                      <w:highlight w:val="none"/>
                    </w:rPr>
                    <w:t>排气管无组织排放</w:t>
                  </w:r>
                </w:p>
              </w:tc>
              <w:tc>
                <w:tcPr>
                  <w:tcW w:w="700" w:type="pct"/>
                  <w:tcBorders>
                    <w:tl2br w:val="nil"/>
                    <w:tr2bl w:val="nil"/>
                  </w:tcBorders>
                  <w:noWrap w:val="0"/>
                  <w:vAlign w:val="center"/>
                </w:tcPr>
                <w:p w14:paraId="6B4FBE04">
                  <w:pPr>
                    <w:keepNext w:val="0"/>
                    <w:keepLines w:val="0"/>
                    <w:suppressLineNumbers w:val="0"/>
                    <w:spacing w:before="0" w:beforeAutospacing="0" w:after="0" w:afterAutospacing="0"/>
                    <w:ind w:left="0" w:right="0"/>
                    <w:jc w:val="center"/>
                    <w:rPr>
                      <w:rFonts w:hint="eastAsia" w:eastAsia="宋体"/>
                      <w:color w:val="auto"/>
                      <w:sz w:val="21"/>
                      <w:szCs w:val="21"/>
                      <w:highlight w:val="none"/>
                      <w:lang w:eastAsia="zh-CN"/>
                    </w:rPr>
                  </w:pPr>
                  <w:r>
                    <w:rPr>
                      <w:rFonts w:hint="default"/>
                      <w:color w:val="auto"/>
                      <w:sz w:val="21"/>
                      <w:szCs w:val="21"/>
                      <w:highlight w:val="none"/>
                    </w:rPr>
                    <w:t>0.01</w:t>
                  </w:r>
                  <w:r>
                    <w:rPr>
                      <w:rFonts w:hint="eastAsia"/>
                      <w:color w:val="auto"/>
                      <w:sz w:val="21"/>
                      <w:szCs w:val="21"/>
                      <w:highlight w:val="none"/>
                      <w:lang w:val="en-US" w:eastAsia="zh-CN"/>
                    </w:rPr>
                    <w:t>7</w:t>
                  </w:r>
                </w:p>
              </w:tc>
            </w:tr>
            <w:tr w14:paraId="7C0C9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pct"/>
                  <w:vMerge w:val="continue"/>
                  <w:tcBorders>
                    <w:tl2br w:val="nil"/>
                    <w:tr2bl w:val="nil"/>
                  </w:tcBorders>
                  <w:noWrap w:val="0"/>
                  <w:vAlign w:val="center"/>
                </w:tcPr>
                <w:p w14:paraId="6DC7107D">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642" w:type="pct"/>
                  <w:tcBorders>
                    <w:tl2br w:val="nil"/>
                    <w:tr2bl w:val="nil"/>
                  </w:tcBorders>
                  <w:noWrap w:val="0"/>
                  <w:vAlign w:val="center"/>
                </w:tcPr>
                <w:p w14:paraId="44CC127A">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柴油</w:t>
                  </w:r>
                </w:p>
              </w:tc>
              <w:tc>
                <w:tcPr>
                  <w:tcW w:w="706" w:type="pct"/>
                  <w:vMerge w:val="continue"/>
                  <w:tcBorders>
                    <w:tl2br w:val="nil"/>
                    <w:tr2bl w:val="nil"/>
                  </w:tcBorders>
                  <w:noWrap w:val="0"/>
                  <w:vAlign w:val="center"/>
                </w:tcPr>
                <w:p w14:paraId="0415A486">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604" w:type="pct"/>
                  <w:tcBorders>
                    <w:tl2br w:val="nil"/>
                    <w:tr2bl w:val="nil"/>
                  </w:tcBorders>
                  <w:noWrap w:val="0"/>
                  <w:vAlign w:val="center"/>
                </w:tcPr>
                <w:p w14:paraId="12980EED">
                  <w:pPr>
                    <w:keepNext w:val="0"/>
                    <w:keepLines w:val="0"/>
                    <w:widowControl/>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val="en-US" w:eastAsia="zh-CN"/>
                    </w:rPr>
                    <w:t>0.165</w:t>
                  </w:r>
                </w:p>
              </w:tc>
              <w:tc>
                <w:tcPr>
                  <w:tcW w:w="1504" w:type="pct"/>
                  <w:vMerge w:val="continue"/>
                  <w:tcBorders>
                    <w:tl2br w:val="nil"/>
                    <w:tr2bl w:val="nil"/>
                  </w:tcBorders>
                  <w:noWrap w:val="0"/>
                  <w:vAlign w:val="center"/>
                </w:tcPr>
                <w:p w14:paraId="5EB632B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00" w:type="pct"/>
                  <w:tcBorders>
                    <w:tl2br w:val="nil"/>
                    <w:tr2bl w:val="nil"/>
                  </w:tcBorders>
                  <w:noWrap w:val="0"/>
                  <w:vAlign w:val="center"/>
                </w:tcPr>
                <w:p w14:paraId="047B7E9B">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default"/>
                      <w:color w:val="auto"/>
                      <w:sz w:val="21"/>
                      <w:szCs w:val="21"/>
                      <w:highlight w:val="none"/>
                    </w:rPr>
                    <w:t>0.0</w:t>
                  </w:r>
                  <w:r>
                    <w:rPr>
                      <w:rFonts w:hint="eastAsia"/>
                      <w:color w:val="auto"/>
                      <w:sz w:val="21"/>
                      <w:szCs w:val="21"/>
                      <w:highlight w:val="none"/>
                      <w:lang w:val="en-US" w:eastAsia="zh-CN"/>
                    </w:rPr>
                    <w:t>17</w:t>
                  </w:r>
                </w:p>
              </w:tc>
            </w:tr>
            <w:tr w14:paraId="77D9F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pct"/>
                  <w:vMerge w:val="restart"/>
                  <w:tcBorders>
                    <w:tl2br w:val="nil"/>
                    <w:tr2bl w:val="nil"/>
                  </w:tcBorders>
                  <w:noWrap w:val="0"/>
                  <w:vAlign w:val="center"/>
                </w:tcPr>
                <w:p w14:paraId="5632AEED">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加油机加油</w:t>
                  </w:r>
                </w:p>
              </w:tc>
              <w:tc>
                <w:tcPr>
                  <w:tcW w:w="642" w:type="pct"/>
                  <w:tcBorders>
                    <w:tl2br w:val="nil"/>
                    <w:tr2bl w:val="nil"/>
                  </w:tcBorders>
                  <w:noWrap w:val="0"/>
                  <w:vAlign w:val="center"/>
                </w:tcPr>
                <w:p w14:paraId="75FF20F6">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汽油</w:t>
                  </w:r>
                </w:p>
              </w:tc>
              <w:tc>
                <w:tcPr>
                  <w:tcW w:w="706" w:type="pct"/>
                  <w:tcBorders>
                    <w:tl2br w:val="nil"/>
                    <w:tr2bl w:val="nil"/>
                  </w:tcBorders>
                  <w:noWrap w:val="0"/>
                  <w:vAlign w:val="center"/>
                </w:tcPr>
                <w:p w14:paraId="098376A4">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0.29%</w:t>
                  </w:r>
                </w:p>
              </w:tc>
              <w:tc>
                <w:tcPr>
                  <w:tcW w:w="604" w:type="pct"/>
                  <w:tcBorders>
                    <w:tl2br w:val="nil"/>
                    <w:tr2bl w:val="nil"/>
                  </w:tcBorders>
                  <w:noWrap w:val="0"/>
                  <w:vAlign w:val="center"/>
                </w:tcPr>
                <w:p w14:paraId="57296465">
                  <w:pPr>
                    <w:keepNext w:val="0"/>
                    <w:keepLines w:val="0"/>
                    <w:widowControl/>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val="en-US" w:eastAsia="zh-CN"/>
                    </w:rPr>
                    <w:t>4.791</w:t>
                  </w:r>
                </w:p>
              </w:tc>
              <w:tc>
                <w:tcPr>
                  <w:tcW w:w="1504" w:type="pct"/>
                  <w:vMerge w:val="restart"/>
                  <w:tcBorders>
                    <w:tl2br w:val="nil"/>
                    <w:tr2bl w:val="nil"/>
                  </w:tcBorders>
                  <w:noWrap w:val="0"/>
                  <w:vAlign w:val="center"/>
                </w:tcPr>
                <w:p w14:paraId="33C09D8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设置油气回收系统（二次）(油气回收率＞90%)</w:t>
                  </w:r>
                </w:p>
              </w:tc>
              <w:tc>
                <w:tcPr>
                  <w:tcW w:w="700" w:type="pct"/>
                  <w:tcBorders>
                    <w:tl2br w:val="nil"/>
                    <w:tr2bl w:val="nil"/>
                  </w:tcBorders>
                  <w:noWrap w:val="0"/>
                  <w:vAlign w:val="center"/>
                </w:tcPr>
                <w:p w14:paraId="12F66E29">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default"/>
                      <w:color w:val="auto"/>
                      <w:sz w:val="21"/>
                      <w:szCs w:val="21"/>
                      <w:highlight w:val="none"/>
                    </w:rPr>
                    <w:t>0.</w:t>
                  </w:r>
                  <w:r>
                    <w:rPr>
                      <w:rFonts w:hint="eastAsia"/>
                      <w:color w:val="auto"/>
                      <w:sz w:val="21"/>
                      <w:szCs w:val="21"/>
                      <w:highlight w:val="none"/>
                      <w:lang w:val="en-US" w:eastAsia="zh-CN"/>
                    </w:rPr>
                    <w:t>479</w:t>
                  </w:r>
                </w:p>
              </w:tc>
            </w:tr>
            <w:tr w14:paraId="5FEF8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0" w:type="pct"/>
                  <w:vMerge w:val="continue"/>
                  <w:tcBorders>
                    <w:tl2br w:val="nil"/>
                    <w:tr2bl w:val="nil"/>
                  </w:tcBorders>
                  <w:noWrap w:val="0"/>
                  <w:vAlign w:val="center"/>
                </w:tcPr>
                <w:p w14:paraId="0E038A08">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642" w:type="pct"/>
                  <w:tcBorders>
                    <w:tl2br w:val="nil"/>
                    <w:tr2bl w:val="nil"/>
                  </w:tcBorders>
                  <w:noWrap w:val="0"/>
                  <w:vAlign w:val="center"/>
                </w:tcPr>
                <w:p w14:paraId="77BE5BAD">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柴油</w:t>
                  </w:r>
                </w:p>
              </w:tc>
              <w:tc>
                <w:tcPr>
                  <w:tcW w:w="706" w:type="pct"/>
                  <w:tcBorders>
                    <w:tl2br w:val="nil"/>
                    <w:tr2bl w:val="nil"/>
                  </w:tcBorders>
                  <w:noWrap w:val="0"/>
                  <w:vAlign w:val="center"/>
                </w:tcPr>
                <w:p w14:paraId="052CC80A">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0.08%</w:t>
                  </w:r>
                </w:p>
              </w:tc>
              <w:tc>
                <w:tcPr>
                  <w:tcW w:w="604" w:type="pct"/>
                  <w:tcBorders>
                    <w:tl2br w:val="nil"/>
                    <w:tr2bl w:val="nil"/>
                  </w:tcBorders>
                  <w:noWrap w:val="0"/>
                  <w:vAlign w:val="center"/>
                </w:tcPr>
                <w:p w14:paraId="49005CE0">
                  <w:pPr>
                    <w:keepNext w:val="0"/>
                    <w:keepLines w:val="0"/>
                    <w:widowControl/>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val="en-US" w:eastAsia="zh-CN"/>
                    </w:rPr>
                    <w:t>1.322</w:t>
                  </w:r>
                </w:p>
              </w:tc>
              <w:tc>
                <w:tcPr>
                  <w:tcW w:w="1504" w:type="pct"/>
                  <w:vMerge w:val="continue"/>
                  <w:tcBorders>
                    <w:tl2br w:val="nil"/>
                    <w:tr2bl w:val="nil"/>
                  </w:tcBorders>
                  <w:noWrap w:val="0"/>
                  <w:vAlign w:val="center"/>
                </w:tcPr>
                <w:p w14:paraId="31578EC2">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00" w:type="pct"/>
                  <w:tcBorders>
                    <w:tl2br w:val="nil"/>
                    <w:tr2bl w:val="nil"/>
                  </w:tcBorders>
                  <w:noWrap w:val="0"/>
                  <w:vAlign w:val="center"/>
                </w:tcPr>
                <w:p w14:paraId="0B7CF35A">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default"/>
                      <w:color w:val="auto"/>
                      <w:sz w:val="21"/>
                      <w:szCs w:val="21"/>
                      <w:highlight w:val="none"/>
                    </w:rPr>
                    <w:t>0.</w:t>
                  </w:r>
                  <w:r>
                    <w:rPr>
                      <w:rFonts w:hint="eastAsia"/>
                      <w:color w:val="auto"/>
                      <w:sz w:val="21"/>
                      <w:szCs w:val="21"/>
                      <w:highlight w:val="none"/>
                      <w:lang w:val="en-US" w:eastAsia="zh-CN"/>
                    </w:rPr>
                    <w:t>132</w:t>
                  </w:r>
                </w:p>
              </w:tc>
            </w:tr>
            <w:tr w14:paraId="6555FD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83" w:type="pct"/>
                  <w:gridSpan w:val="2"/>
                  <w:tcBorders>
                    <w:tl2br w:val="nil"/>
                    <w:tr2bl w:val="nil"/>
                  </w:tcBorders>
                  <w:noWrap w:val="0"/>
                  <w:vAlign w:val="center"/>
                </w:tcPr>
                <w:p w14:paraId="0DB0165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合计</w:t>
                  </w:r>
                </w:p>
              </w:tc>
              <w:tc>
                <w:tcPr>
                  <w:tcW w:w="706" w:type="pct"/>
                  <w:tcBorders>
                    <w:tl2br w:val="nil"/>
                    <w:tr2bl w:val="nil"/>
                  </w:tcBorders>
                  <w:noWrap w:val="0"/>
                  <w:vAlign w:val="center"/>
                </w:tcPr>
                <w:p w14:paraId="10208F78">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w:t>
                  </w:r>
                </w:p>
              </w:tc>
              <w:tc>
                <w:tcPr>
                  <w:tcW w:w="604" w:type="pct"/>
                  <w:tcBorders>
                    <w:tl2br w:val="nil"/>
                    <w:tr2bl w:val="nil"/>
                  </w:tcBorders>
                  <w:shd w:val="clear" w:color="auto" w:fill="auto"/>
                  <w:noWrap w:val="0"/>
                  <w:vAlign w:val="center"/>
                </w:tcPr>
                <w:p w14:paraId="2835945A">
                  <w:pPr>
                    <w:keepNext w:val="0"/>
                    <w:keepLines w:val="0"/>
                    <w:widowControl/>
                    <w:suppressLineNumbers w:val="0"/>
                    <w:spacing w:before="0" w:beforeAutospacing="0" w:after="0" w:afterAutospacing="0"/>
                    <w:ind w:left="0" w:right="0"/>
                    <w:jc w:val="center"/>
                    <w:rPr>
                      <w:rFonts w:hint="default" w:ascii="宋体" w:hAnsi="宋体" w:eastAsia="宋体" w:cs="宋体"/>
                      <w:i w:val="0"/>
                      <w:iCs w:val="0"/>
                      <w:color w:val="auto"/>
                      <w:kern w:val="2"/>
                      <w:sz w:val="22"/>
                      <w:szCs w:val="22"/>
                      <w:highlight w:val="none"/>
                      <w:u w:val="none"/>
                      <w:lang w:val="en-US" w:eastAsia="zh-CN" w:bidi="ar-SA"/>
                    </w:rPr>
                  </w:pPr>
                  <w:r>
                    <w:rPr>
                      <w:rFonts w:hint="eastAsia"/>
                      <w:color w:val="auto"/>
                      <w:sz w:val="21"/>
                      <w:szCs w:val="21"/>
                      <w:highlight w:val="none"/>
                      <w:lang w:val="en-US" w:eastAsia="zh-CN"/>
                    </w:rPr>
                    <w:t>11.069</w:t>
                  </w:r>
                </w:p>
              </w:tc>
              <w:tc>
                <w:tcPr>
                  <w:tcW w:w="1504" w:type="pct"/>
                  <w:tcBorders>
                    <w:tl2br w:val="nil"/>
                    <w:tr2bl w:val="nil"/>
                  </w:tcBorders>
                  <w:noWrap w:val="0"/>
                  <w:vAlign w:val="center"/>
                </w:tcPr>
                <w:p w14:paraId="1C396FA5">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700" w:type="pct"/>
                  <w:tcBorders>
                    <w:tl2br w:val="nil"/>
                    <w:tr2bl w:val="nil"/>
                  </w:tcBorders>
                  <w:noWrap w:val="0"/>
                  <w:vAlign w:val="center"/>
                </w:tcPr>
                <w:p w14:paraId="3E572F47">
                  <w:pPr>
                    <w:keepNext w:val="0"/>
                    <w:keepLines w:val="0"/>
                    <w:suppressLineNumbers w:val="0"/>
                    <w:spacing w:before="0" w:beforeAutospacing="0" w:after="0" w:afterAutospacing="0"/>
                    <w:ind w:left="0" w:right="0"/>
                    <w:jc w:val="center"/>
                    <w:rPr>
                      <w:rFonts w:hint="default" w:eastAsia="宋体"/>
                      <w:color w:val="auto"/>
                      <w:sz w:val="21"/>
                      <w:szCs w:val="21"/>
                      <w:highlight w:val="none"/>
                      <w:lang w:val="en-US" w:eastAsia="zh-CN"/>
                    </w:rPr>
                  </w:pPr>
                  <w:r>
                    <w:rPr>
                      <w:rFonts w:hint="default"/>
                      <w:color w:val="auto"/>
                      <w:sz w:val="21"/>
                      <w:szCs w:val="21"/>
                      <w:highlight w:val="none"/>
                    </w:rPr>
                    <w:t>1.</w:t>
                  </w:r>
                  <w:r>
                    <w:rPr>
                      <w:rFonts w:hint="eastAsia"/>
                      <w:color w:val="auto"/>
                      <w:sz w:val="21"/>
                      <w:szCs w:val="21"/>
                      <w:highlight w:val="none"/>
                      <w:lang w:val="en-US" w:eastAsia="zh-CN"/>
                    </w:rPr>
                    <w:t>108</w:t>
                  </w:r>
                </w:p>
              </w:tc>
            </w:tr>
          </w:tbl>
          <w:p w14:paraId="0E15FAD0">
            <w:pPr>
              <w:keepNext w:val="0"/>
              <w:keepLines w:val="0"/>
              <w:widowControl/>
              <w:numPr>
                <w:ilvl w:val="0"/>
                <w:numId w:val="0"/>
              </w:numPr>
              <w:suppressLineNumbers w:val="0"/>
              <w:spacing w:before="0" w:beforeAutospacing="0" w:after="0" w:afterAutospacing="0" w:line="360" w:lineRule="auto"/>
              <w:ind w:left="480" w:leftChars="0" w:right="0"/>
              <w:jc w:val="left"/>
              <w:rPr>
                <w:rFonts w:hint="default"/>
                <w:b/>
                <w:bCs/>
                <w:color w:val="auto"/>
                <w:kern w:val="0"/>
                <w:sz w:val="24"/>
                <w:highlight w:val="none"/>
                <w:lang w:bidi="ar"/>
              </w:rPr>
            </w:pPr>
            <w:r>
              <w:rPr>
                <w:rFonts w:hint="default"/>
                <w:b/>
                <w:bCs/>
                <w:color w:val="auto"/>
                <w:kern w:val="0"/>
                <w:sz w:val="24"/>
                <w:highlight w:val="none"/>
                <w:lang w:bidi="ar"/>
              </w:rPr>
              <w:t>拟采取的防治措施及达标排放情况</w:t>
            </w:r>
          </w:p>
          <w:p w14:paraId="1C9E9538">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本项目拟设置密闭油气回收系统</w:t>
            </w:r>
            <w:r>
              <w:rPr>
                <w:rFonts w:hint="eastAsia"/>
                <w:color w:val="auto"/>
                <w:kern w:val="0"/>
                <w:sz w:val="24"/>
                <w:highlight w:val="none"/>
                <w:lang w:bidi="ar"/>
              </w:rPr>
              <w:t>（</w:t>
            </w:r>
            <w:r>
              <w:rPr>
                <w:rFonts w:hint="default"/>
                <w:color w:val="auto"/>
                <w:kern w:val="0"/>
                <w:sz w:val="24"/>
                <w:highlight w:val="none"/>
                <w:lang w:bidi="ar"/>
              </w:rPr>
              <w:t>一、二</w:t>
            </w:r>
            <w:r>
              <w:rPr>
                <w:rFonts w:hint="eastAsia"/>
                <w:color w:val="auto"/>
                <w:kern w:val="0"/>
                <w:sz w:val="24"/>
                <w:highlight w:val="none"/>
                <w:lang w:bidi="ar"/>
              </w:rPr>
              <w:t>、三</w:t>
            </w:r>
            <w:r>
              <w:rPr>
                <w:rFonts w:hint="default"/>
                <w:color w:val="auto"/>
                <w:kern w:val="0"/>
                <w:sz w:val="24"/>
                <w:highlight w:val="none"/>
                <w:lang w:bidi="ar"/>
              </w:rPr>
              <w:t>次油气回收系统</w:t>
            </w:r>
            <w:r>
              <w:rPr>
                <w:rFonts w:hint="eastAsia"/>
                <w:color w:val="auto"/>
                <w:kern w:val="0"/>
                <w:sz w:val="24"/>
                <w:highlight w:val="none"/>
                <w:lang w:bidi="ar"/>
              </w:rPr>
              <w:t>）</w:t>
            </w:r>
            <w:r>
              <w:rPr>
                <w:rFonts w:hint="default"/>
                <w:color w:val="auto"/>
                <w:kern w:val="0"/>
                <w:sz w:val="24"/>
                <w:highlight w:val="none"/>
                <w:lang w:bidi="ar"/>
              </w:rPr>
              <w:t>对加油加气站卸油、储油和加油时挥发的有机废气进行回收。每次油气回收气液比均可以达到一比一的交换，即为平衡式回收。</w:t>
            </w:r>
          </w:p>
          <w:p w14:paraId="54226B15">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结合《四川省加油站大气污染物排放标准》（DB51/2865-2021）的相关要求，项目有机废气防治拟采取以下措施：</w:t>
            </w:r>
          </w:p>
          <w:p w14:paraId="4F84D118">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default"/>
                <w:b/>
                <w:bCs/>
                <w:color w:val="auto"/>
                <w:kern w:val="0"/>
                <w:sz w:val="24"/>
                <w:highlight w:val="none"/>
                <w:lang w:bidi="ar"/>
              </w:rPr>
              <w:t>卸油油气排放控制：</w:t>
            </w:r>
          </w:p>
          <w:p w14:paraId="3FA696E4">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A.</w:t>
            </w:r>
            <w:r>
              <w:rPr>
                <w:rFonts w:hint="default"/>
                <w:color w:val="auto"/>
                <w:kern w:val="0"/>
                <w:sz w:val="24"/>
                <w:highlight w:val="none"/>
                <w:lang w:bidi="ar"/>
              </w:rPr>
              <w:t>采用浸没式卸油方式，卸油管出油口距罐底高度小于200mm。</w:t>
            </w:r>
          </w:p>
          <w:p w14:paraId="1E86B7F6">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B.</w:t>
            </w:r>
            <w:r>
              <w:rPr>
                <w:rFonts w:hint="default"/>
                <w:color w:val="auto"/>
                <w:kern w:val="0"/>
                <w:sz w:val="24"/>
                <w:highlight w:val="none"/>
                <w:lang w:bidi="ar"/>
              </w:rPr>
              <w:t>卸油和油气回收接口安装DN100的截流阀、密封式快速接头和帽盖。</w:t>
            </w:r>
          </w:p>
          <w:p w14:paraId="76DD54F9">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C.</w:t>
            </w:r>
            <w:r>
              <w:rPr>
                <w:rFonts w:hint="default"/>
                <w:color w:val="auto"/>
                <w:kern w:val="0"/>
                <w:sz w:val="24"/>
                <w:highlight w:val="none"/>
                <w:lang w:bidi="ar"/>
              </w:rPr>
              <w:t>连接软管应采用DN100的密封式快速接头与卸油车连接。</w:t>
            </w:r>
          </w:p>
          <w:p w14:paraId="7881D765">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D.</w:t>
            </w:r>
            <w:r>
              <w:rPr>
                <w:rFonts w:hint="default"/>
                <w:color w:val="auto"/>
                <w:kern w:val="0"/>
                <w:sz w:val="24"/>
                <w:highlight w:val="none"/>
                <w:lang w:bidi="ar"/>
              </w:rPr>
              <w:t>所有油气管线排放口按GB 50156的要求设置压力/真空阀。</w:t>
            </w:r>
          </w:p>
          <w:p w14:paraId="600B0373">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E.</w:t>
            </w:r>
            <w:r>
              <w:rPr>
                <w:rFonts w:hint="default"/>
                <w:color w:val="auto"/>
                <w:kern w:val="0"/>
                <w:sz w:val="24"/>
                <w:highlight w:val="none"/>
                <w:lang w:bidi="ar"/>
              </w:rPr>
              <w:t>连接排气管的地下管线坡向油罐，坡度大于1% ，管线直径大于DN50。</w:t>
            </w:r>
          </w:p>
          <w:p w14:paraId="7913E13B">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F.</w:t>
            </w:r>
            <w:r>
              <w:rPr>
                <w:rFonts w:hint="default"/>
                <w:color w:val="auto"/>
                <w:kern w:val="0"/>
                <w:sz w:val="24"/>
                <w:highlight w:val="none"/>
                <w:lang w:bidi="ar"/>
              </w:rPr>
              <w:t>卸油时应保证卸油油气回收系统密闭。卸油前卸油软管和油气回收软管应与油品运输汽车罐车和埋地油罐紧密连接，然后开启油气回收管路阀门，再开启卸油管路阀门进行卸油作业。</w:t>
            </w:r>
          </w:p>
          <w:p w14:paraId="34859595">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G.</w:t>
            </w:r>
            <w:r>
              <w:rPr>
                <w:rFonts w:hint="default"/>
                <w:color w:val="auto"/>
                <w:kern w:val="0"/>
                <w:sz w:val="24"/>
                <w:highlight w:val="none"/>
                <w:lang w:bidi="ar"/>
              </w:rPr>
              <w:t>卸油后应先关闭与卸油软管及油气回收软管相关的阀门，再断开卸油软管和油气回收软管。</w:t>
            </w:r>
          </w:p>
          <w:p w14:paraId="6B9317BB">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default"/>
                <w:b/>
                <w:bCs/>
                <w:color w:val="auto"/>
                <w:kern w:val="0"/>
                <w:sz w:val="24"/>
                <w:highlight w:val="none"/>
                <w:lang w:bidi="ar"/>
              </w:rPr>
              <w:t>储油油气排放控制：</w:t>
            </w:r>
          </w:p>
          <w:p w14:paraId="079B270E">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A.</w:t>
            </w:r>
            <w:r>
              <w:rPr>
                <w:rFonts w:hint="default"/>
                <w:color w:val="auto"/>
                <w:kern w:val="0"/>
                <w:sz w:val="24"/>
                <w:highlight w:val="none"/>
                <w:lang w:bidi="ar"/>
              </w:rPr>
              <w:t>所有影响储油油气密闭性的部件，包括油气管线和所连接的法兰、阀门、快接头以及其他相关部件在正常工作状况下应保持密闭，油气</w:t>
            </w:r>
            <w:r>
              <w:rPr>
                <w:rFonts w:hint="eastAsia"/>
                <w:color w:val="auto"/>
                <w:kern w:val="0"/>
                <w:sz w:val="24"/>
                <w:highlight w:val="none"/>
                <w:lang w:eastAsia="zh-CN" w:bidi="ar"/>
              </w:rPr>
              <w:t>泄漏</w:t>
            </w:r>
            <w:r>
              <w:rPr>
                <w:rFonts w:hint="default"/>
                <w:color w:val="auto"/>
                <w:kern w:val="0"/>
                <w:sz w:val="24"/>
                <w:highlight w:val="none"/>
                <w:lang w:bidi="ar"/>
              </w:rPr>
              <w:t>浓度满足油气回收系统密闭点位限值要求。</w:t>
            </w:r>
          </w:p>
          <w:p w14:paraId="6BE21D22">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B.</w:t>
            </w:r>
            <w:r>
              <w:rPr>
                <w:rFonts w:hint="default"/>
                <w:color w:val="auto"/>
                <w:kern w:val="0"/>
                <w:sz w:val="24"/>
                <w:highlight w:val="none"/>
                <w:lang w:bidi="ar"/>
              </w:rPr>
              <w:t>埋地油罐采用电子式液位计进行汽油密闭测量。</w:t>
            </w:r>
          </w:p>
          <w:p w14:paraId="29388574">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C.</w:t>
            </w:r>
            <w:r>
              <w:rPr>
                <w:rFonts w:hint="default"/>
                <w:color w:val="auto"/>
                <w:kern w:val="0"/>
                <w:sz w:val="24"/>
                <w:highlight w:val="none"/>
                <w:lang w:bidi="ar"/>
              </w:rPr>
              <w:t>采用符合相关规定的溢油控制措施。</w:t>
            </w:r>
          </w:p>
          <w:p w14:paraId="120CA64B">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default"/>
                <w:b/>
                <w:bCs/>
                <w:color w:val="auto"/>
                <w:kern w:val="0"/>
                <w:sz w:val="24"/>
                <w:highlight w:val="none"/>
                <w:lang w:bidi="ar"/>
              </w:rPr>
              <w:t>加油油气排放控制：</w:t>
            </w:r>
          </w:p>
          <w:p w14:paraId="2B52C4B0">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A.</w:t>
            </w:r>
            <w:r>
              <w:rPr>
                <w:rFonts w:hint="default"/>
                <w:color w:val="auto"/>
                <w:kern w:val="0"/>
                <w:sz w:val="24"/>
                <w:highlight w:val="none"/>
                <w:lang w:bidi="ar"/>
              </w:rPr>
              <w:t>加油产生的油气采用真空辅助方式密闭收集</w:t>
            </w:r>
            <w:r>
              <w:rPr>
                <w:rFonts w:hint="eastAsia" w:ascii="宋体" w:hAnsi="宋体" w:eastAsia="宋体" w:cs="宋体"/>
                <w:color w:val="auto"/>
                <w:kern w:val="0"/>
                <w:sz w:val="24"/>
                <w:highlight w:val="none"/>
                <w:lang w:bidi="ar"/>
              </w:rPr>
              <w:t>(二次油气回收系统)</w:t>
            </w:r>
            <w:r>
              <w:rPr>
                <w:rFonts w:hint="default"/>
                <w:color w:val="auto"/>
                <w:kern w:val="0"/>
                <w:sz w:val="24"/>
                <w:highlight w:val="none"/>
                <w:lang w:bidi="ar"/>
              </w:rPr>
              <w:t>。</w:t>
            </w:r>
          </w:p>
          <w:p w14:paraId="255CDB9F">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B.</w:t>
            </w:r>
            <w:r>
              <w:rPr>
                <w:rFonts w:hint="default"/>
                <w:color w:val="auto"/>
                <w:kern w:val="0"/>
                <w:sz w:val="24"/>
                <w:highlight w:val="none"/>
                <w:lang w:bidi="ar"/>
              </w:rPr>
              <w:t>油气回收管线应坡向油罐，坡度不应小于1%。</w:t>
            </w:r>
          </w:p>
          <w:p w14:paraId="1F922485">
            <w:pPr>
              <w:keepNext w:val="0"/>
              <w:keepLines w:val="0"/>
              <w:widowControl/>
              <w:suppressLineNumbers w:val="0"/>
              <w:spacing w:before="0" w:beforeAutospacing="0" w:after="0" w:afterAutospacing="0" w:line="360" w:lineRule="auto"/>
              <w:ind w:left="0" w:right="0" w:firstLine="480" w:firstLineChars="200"/>
              <w:jc w:val="left"/>
              <w:rPr>
                <w:rFonts w:hint="eastAsia"/>
                <w:color w:val="auto"/>
                <w:kern w:val="0"/>
                <w:sz w:val="24"/>
                <w:highlight w:val="none"/>
                <w:lang w:bidi="ar"/>
              </w:rPr>
            </w:pPr>
            <w:r>
              <w:rPr>
                <w:rFonts w:hint="eastAsia"/>
                <w:color w:val="auto"/>
                <w:kern w:val="0"/>
                <w:sz w:val="24"/>
                <w:highlight w:val="none"/>
                <w:lang w:val="en-US" w:eastAsia="zh-CN" w:bidi="ar"/>
              </w:rPr>
              <w:t>C.</w:t>
            </w:r>
            <w:r>
              <w:rPr>
                <w:rFonts w:hint="default"/>
                <w:color w:val="auto"/>
                <w:kern w:val="0"/>
                <w:sz w:val="24"/>
                <w:highlight w:val="none"/>
                <w:lang w:bidi="ar"/>
              </w:rPr>
              <w:t>加油软管配备拉断截止阀，加油时防止溢油和滴油。</w:t>
            </w:r>
          </w:p>
          <w:p w14:paraId="3C37E97F">
            <w:pPr>
              <w:keepNext w:val="0"/>
              <w:keepLines w:val="0"/>
              <w:widowControl/>
              <w:suppressLineNumbers w:val="0"/>
              <w:spacing w:before="0" w:beforeAutospacing="0" w:after="0" w:afterAutospacing="0" w:line="360" w:lineRule="auto"/>
              <w:ind w:left="0" w:right="0" w:firstLine="482" w:firstLineChars="200"/>
              <w:jc w:val="left"/>
              <w:rPr>
                <w:rFonts w:hint="eastAsia"/>
                <w:b/>
                <w:bCs/>
                <w:color w:val="auto"/>
                <w:kern w:val="0"/>
                <w:sz w:val="24"/>
                <w:highlight w:val="none"/>
                <w:lang w:bidi="ar"/>
              </w:rPr>
            </w:pPr>
            <w:r>
              <w:rPr>
                <w:rFonts w:hint="default"/>
                <w:b/>
                <w:bCs/>
                <w:color w:val="auto"/>
                <w:kern w:val="0"/>
                <w:sz w:val="24"/>
                <w:highlight w:val="none"/>
                <w:lang w:bidi="ar"/>
              </w:rPr>
              <w:t>油气处理装置</w:t>
            </w:r>
            <w:r>
              <w:rPr>
                <w:rFonts w:hint="eastAsia"/>
                <w:b/>
                <w:bCs/>
                <w:color w:val="auto"/>
                <w:kern w:val="0"/>
                <w:sz w:val="24"/>
                <w:highlight w:val="none"/>
                <w:lang w:bidi="ar"/>
              </w:rPr>
              <w:t>控制：</w:t>
            </w:r>
          </w:p>
          <w:p w14:paraId="1852E905">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A.</w:t>
            </w:r>
            <w:r>
              <w:rPr>
                <w:rFonts w:hint="default"/>
                <w:color w:val="auto"/>
                <w:kern w:val="0"/>
                <w:sz w:val="24"/>
                <w:highlight w:val="none"/>
                <w:lang w:bidi="ar"/>
              </w:rPr>
              <w:t xml:space="preserve">油气处理装置应有实时显示埋地油罐油气空间压力、运行时间、运行情况和自身故障诊断的功能。 </w:t>
            </w:r>
          </w:p>
          <w:p w14:paraId="3FA211E4">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B.</w:t>
            </w:r>
            <w:r>
              <w:rPr>
                <w:rFonts w:hint="default"/>
                <w:color w:val="auto"/>
                <w:kern w:val="0"/>
                <w:sz w:val="24"/>
                <w:highlight w:val="none"/>
                <w:lang w:bidi="ar"/>
              </w:rPr>
              <w:t>油气处理装置应能根据埋地油罐油气空间压力</w:t>
            </w:r>
            <w:r>
              <w:rPr>
                <w:rFonts w:hint="eastAsia"/>
                <w:color w:val="auto"/>
                <w:kern w:val="0"/>
                <w:sz w:val="24"/>
                <w:highlight w:val="none"/>
                <w:lang w:eastAsia="zh-CN" w:bidi="ar"/>
              </w:rPr>
              <w:t>实时</w:t>
            </w:r>
            <w:r>
              <w:rPr>
                <w:rFonts w:hint="default"/>
                <w:color w:val="auto"/>
                <w:kern w:val="0"/>
                <w:sz w:val="24"/>
                <w:highlight w:val="none"/>
                <w:lang w:bidi="ar"/>
              </w:rPr>
              <w:t xml:space="preserve">自动开启或停机，处理装置压力感应值宜设定在+150Pa，停止运行的压力感应值宜设在0～50Pa。 </w:t>
            </w:r>
          </w:p>
          <w:p w14:paraId="008994D1">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C.</w:t>
            </w:r>
            <w:r>
              <w:rPr>
                <w:rFonts w:hint="default"/>
                <w:color w:val="auto"/>
                <w:kern w:val="0"/>
                <w:sz w:val="24"/>
                <w:highlight w:val="none"/>
                <w:lang w:bidi="ar"/>
              </w:rPr>
              <w:t>油气处理装置在停机时应与加油站油气回收系统保持密闭。</w:t>
            </w:r>
          </w:p>
          <w:p w14:paraId="16506ED8">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D.</w:t>
            </w:r>
            <w:r>
              <w:rPr>
                <w:rFonts w:hint="default"/>
                <w:color w:val="auto"/>
                <w:kern w:val="0"/>
                <w:sz w:val="24"/>
                <w:highlight w:val="none"/>
                <w:lang w:bidi="ar"/>
              </w:rPr>
              <w:t xml:space="preserve">油气处理装置在卸油期间应保持正常运行状态。 </w:t>
            </w:r>
          </w:p>
          <w:p w14:paraId="1A6BD577">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E.</w:t>
            </w:r>
            <w:r>
              <w:rPr>
                <w:rFonts w:hint="default"/>
                <w:color w:val="auto"/>
                <w:kern w:val="0"/>
                <w:sz w:val="24"/>
                <w:highlight w:val="none"/>
                <w:lang w:bidi="ar"/>
              </w:rPr>
              <w:t>油气处理装置不得稀释排放油气，排气口距地平面高度不应小于4 m，排气口应设阻火器。</w:t>
            </w:r>
          </w:p>
          <w:p w14:paraId="410CC9CF">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F.</w:t>
            </w:r>
            <w:r>
              <w:rPr>
                <w:rFonts w:hint="default"/>
                <w:color w:val="auto"/>
                <w:kern w:val="0"/>
                <w:sz w:val="24"/>
                <w:highlight w:val="none"/>
                <w:lang w:bidi="ar"/>
              </w:rPr>
              <w:t>与油气处理装置连接的管线公称直径不应小于50 mm，油气处理装置回油管横向地下油罐的坡度不应小于1%。</w:t>
            </w:r>
          </w:p>
          <w:p w14:paraId="266CABE2">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结合《汽车加油加气加氢站技术标准（GB50156-2021）》中6.3.1~6.3.6之规定，项目有机废气治理已采取了以下措施：</w:t>
            </w:r>
          </w:p>
          <w:p w14:paraId="3FF8B579">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A.</w:t>
            </w:r>
            <w:r>
              <w:rPr>
                <w:rFonts w:hint="default"/>
                <w:color w:val="auto"/>
                <w:kern w:val="0"/>
                <w:sz w:val="24"/>
                <w:highlight w:val="none"/>
                <w:lang w:bidi="ar"/>
              </w:rPr>
              <w:t>油罐车卸油采用密闭卸油方式，采用平衡密闭油气回收系统</w:t>
            </w:r>
            <w:r>
              <w:rPr>
                <w:rFonts w:hint="default" w:ascii="Times New Roman" w:hAnsi="Times New Roman" w:cs="Times New Roman"/>
                <w:color w:val="auto"/>
                <w:kern w:val="0"/>
                <w:sz w:val="24"/>
                <w:highlight w:val="none"/>
                <w:lang w:bidi="ar"/>
              </w:rPr>
              <w:t>(一次油气回收系统)</w:t>
            </w:r>
            <w:r>
              <w:rPr>
                <w:rFonts w:hint="default"/>
                <w:color w:val="auto"/>
                <w:kern w:val="0"/>
                <w:sz w:val="24"/>
                <w:highlight w:val="none"/>
                <w:lang w:bidi="ar"/>
              </w:rPr>
              <w:t>。</w:t>
            </w:r>
          </w:p>
          <w:p w14:paraId="1A942109">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B.</w:t>
            </w:r>
            <w:r>
              <w:rPr>
                <w:rFonts w:hint="default"/>
                <w:color w:val="auto"/>
                <w:kern w:val="0"/>
                <w:sz w:val="24"/>
                <w:highlight w:val="none"/>
                <w:lang w:bidi="ar"/>
              </w:rPr>
              <w:t>每个油罐各自设置卸油管道和卸油接口，各卸油接口及油气回收接口有明显</w:t>
            </w:r>
            <w:r>
              <w:rPr>
                <w:rFonts w:hint="eastAsia"/>
                <w:color w:val="auto"/>
                <w:kern w:val="0"/>
                <w:sz w:val="24"/>
                <w:highlight w:val="none"/>
                <w:lang w:eastAsia="zh-CN" w:bidi="ar"/>
              </w:rPr>
              <w:t>标识</w:t>
            </w:r>
            <w:r>
              <w:rPr>
                <w:rFonts w:hint="default"/>
                <w:color w:val="auto"/>
                <w:kern w:val="0"/>
                <w:sz w:val="24"/>
                <w:highlight w:val="none"/>
                <w:lang w:bidi="ar"/>
              </w:rPr>
              <w:t>；卸油接口装设快速接头及密封盖；</w:t>
            </w:r>
          </w:p>
          <w:p w14:paraId="11C8F41C">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color w:val="auto"/>
                <w:kern w:val="0"/>
                <w:sz w:val="24"/>
                <w:highlight w:val="none"/>
                <w:lang w:val="en-US" w:eastAsia="zh-CN" w:bidi="ar"/>
              </w:rPr>
              <w:t>C.</w:t>
            </w:r>
            <w:r>
              <w:rPr>
                <w:rFonts w:hint="default"/>
                <w:color w:val="auto"/>
                <w:kern w:val="0"/>
                <w:sz w:val="24"/>
                <w:highlight w:val="none"/>
                <w:lang w:bidi="ar"/>
              </w:rPr>
              <w:t>卸油油气回收管道的接口采用自闭式快速接头；</w:t>
            </w:r>
            <w:r>
              <w:rPr>
                <w:rFonts w:hint="eastAsia"/>
                <w:color w:val="auto"/>
                <w:kern w:val="0"/>
                <w:sz w:val="24"/>
                <w:highlight w:val="none"/>
                <w:lang w:eastAsia="zh-CN" w:bidi="ar"/>
              </w:rPr>
              <w:t>卸油油气回收系统</w:t>
            </w:r>
            <w:r>
              <w:rPr>
                <w:rFonts w:hint="default"/>
                <w:color w:val="auto"/>
                <w:kern w:val="0"/>
                <w:sz w:val="24"/>
                <w:highlight w:val="none"/>
                <w:lang w:bidi="ar"/>
              </w:rPr>
              <w:t>采用真空辅助式油气回收系统。</w:t>
            </w:r>
          </w:p>
          <w:p w14:paraId="1A6580C8">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按照《挥发性有机物污染防治技术政策》和《四川省灰霾污染防治办法》的相关规定，项目拟铺设油气回收管线，采用油气回收性的加油枪，设置一次、二次油气回收处理装置系统。输油管道设置为埋地双层复合材料管。</w:t>
            </w:r>
          </w:p>
          <w:p w14:paraId="4EB394C2">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综上所述，本项目拟采取的有机废气控制措施符合《四川省加油站大气污染物排放标准》（DB51/2865-2021）、《汽车加油加气加氢站技术标准》（GB50156-2021）和《挥发性有机物污染防治技术政策》的相关要求。通过油气回收系统，加油加气站的油气回收率可达到90%以上，大大减少了油气的排放。同时，建设单位加强管理及工作人员的操作培训，以减少跑冒滴漏的损失。通过设置油气回收系统后，本项目回收的非甲烷总烃量约为</w:t>
            </w:r>
            <w:r>
              <w:rPr>
                <w:rFonts w:hint="eastAsia"/>
                <w:color w:val="auto"/>
                <w:kern w:val="0"/>
                <w:sz w:val="24"/>
                <w:highlight w:val="none"/>
                <w:lang w:val="en-US" w:eastAsia="zh-CN" w:bidi="ar"/>
              </w:rPr>
              <w:t>9.961</w:t>
            </w:r>
            <w:r>
              <w:rPr>
                <w:rFonts w:hint="default"/>
                <w:color w:val="auto"/>
                <w:kern w:val="0"/>
                <w:sz w:val="24"/>
                <w:highlight w:val="none"/>
                <w:lang w:bidi="ar"/>
              </w:rPr>
              <w:t>t/a；无组织形式排入大气环境的非甲烷总烃量约1.</w:t>
            </w:r>
            <w:r>
              <w:rPr>
                <w:rFonts w:hint="eastAsia"/>
                <w:color w:val="auto"/>
                <w:kern w:val="0"/>
                <w:sz w:val="24"/>
                <w:highlight w:val="none"/>
                <w:lang w:val="en-US" w:eastAsia="zh-CN" w:bidi="ar"/>
              </w:rPr>
              <w:t>108</w:t>
            </w:r>
            <w:r>
              <w:rPr>
                <w:rFonts w:hint="default"/>
                <w:color w:val="auto"/>
                <w:kern w:val="0"/>
                <w:sz w:val="24"/>
                <w:highlight w:val="none"/>
                <w:lang w:bidi="ar"/>
              </w:rPr>
              <w:t>t/a。</w:t>
            </w:r>
          </w:p>
          <w:p w14:paraId="61E2724D">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本项目拟设置通气立管</w:t>
            </w:r>
            <w:r>
              <w:rPr>
                <w:rFonts w:hint="eastAsia"/>
                <w:color w:val="auto"/>
                <w:kern w:val="0"/>
                <w:sz w:val="24"/>
                <w:highlight w:val="none"/>
                <w:lang w:bidi="ar"/>
              </w:rPr>
              <w:t>，离地高度9m以上</w:t>
            </w:r>
            <w:r>
              <w:rPr>
                <w:rFonts w:hint="default"/>
                <w:color w:val="auto"/>
                <w:kern w:val="0"/>
                <w:sz w:val="24"/>
                <w:highlight w:val="none"/>
                <w:lang w:bidi="ar"/>
              </w:rPr>
              <w:t>，管口设置阻火器和呼吸阀。通气管位于地埋罐区中部，远离周边敏感点，各距离能够满足《汽车加油加气加氢站技术标准》（GB50156-2021）相关要求；非甲烷总烃无组织排放浓度＜4.0mg/m</w:t>
            </w:r>
            <w:r>
              <w:rPr>
                <w:rFonts w:hint="default"/>
                <w:color w:val="auto"/>
                <w:kern w:val="0"/>
                <w:sz w:val="24"/>
                <w:highlight w:val="none"/>
                <w:vertAlign w:val="superscript"/>
                <w:lang w:bidi="ar"/>
              </w:rPr>
              <w:t>3</w:t>
            </w:r>
            <w:r>
              <w:rPr>
                <w:rFonts w:hint="default"/>
                <w:color w:val="auto"/>
                <w:kern w:val="0"/>
                <w:sz w:val="24"/>
                <w:highlight w:val="none"/>
                <w:lang w:bidi="ar"/>
              </w:rPr>
              <w:t>，符合《四川省加油站大气污染物排放标准》（DB51/2865-2021）中限值要求，能够实现达标排放。</w:t>
            </w:r>
          </w:p>
          <w:p w14:paraId="3FDD9086">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本环评建议项目加强油气处理措施，对油罐储油过程油气排放安装智能油气处理装置。同时，为减少加油机作业时由于跑冒滴漏造成的TVOC损失，本评价要求，项目建设单位应加强操作人员的业务培训和学习，严格按照行业操作规程作业，从管理和作业上减少排污量。</w:t>
            </w:r>
          </w:p>
          <w:p w14:paraId="3F162220">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eastAsia"/>
                <w:b/>
                <w:bCs/>
                <w:color w:val="auto"/>
                <w:kern w:val="0"/>
                <w:sz w:val="24"/>
                <w:highlight w:val="none"/>
                <w:lang w:bidi="ar"/>
              </w:rPr>
              <w:t>2）</w:t>
            </w:r>
            <w:r>
              <w:rPr>
                <w:rFonts w:hint="default"/>
                <w:b/>
                <w:bCs/>
                <w:color w:val="auto"/>
                <w:kern w:val="0"/>
                <w:sz w:val="24"/>
                <w:highlight w:val="none"/>
                <w:lang w:bidi="ar"/>
              </w:rPr>
              <w:t>加气设备泄漏、放散天然气</w:t>
            </w:r>
          </w:p>
          <w:p w14:paraId="58648B1E">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eastAsia"/>
                <w:b/>
                <w:bCs/>
                <w:color w:val="auto"/>
                <w:kern w:val="0"/>
                <w:sz w:val="24"/>
                <w:highlight w:val="none"/>
                <w:lang w:val="en-US" w:eastAsia="zh-CN" w:bidi="ar"/>
              </w:rPr>
              <w:t>①</w:t>
            </w:r>
            <w:r>
              <w:rPr>
                <w:rFonts w:hint="default"/>
                <w:b/>
                <w:bCs/>
                <w:color w:val="auto"/>
                <w:kern w:val="0"/>
                <w:sz w:val="24"/>
                <w:highlight w:val="none"/>
                <w:lang w:bidi="ar"/>
              </w:rPr>
              <w:t>放散天然气</w:t>
            </w:r>
          </w:p>
          <w:p w14:paraId="0C9329C4">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default"/>
                <w:b/>
                <w:bCs/>
                <w:color w:val="auto"/>
                <w:kern w:val="0"/>
                <w:sz w:val="24"/>
                <w:highlight w:val="none"/>
                <w:lang w:bidi="ar"/>
              </w:rPr>
              <w:t>产生情况：</w:t>
            </w:r>
          </w:p>
          <w:p w14:paraId="5C9FAF3F">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放散泄压废气主要为高压气化时需要安全放散的高压天然气</w:t>
            </w:r>
            <w:r>
              <w:rPr>
                <w:rFonts w:hint="eastAsia"/>
                <w:color w:val="auto"/>
                <w:kern w:val="0"/>
                <w:sz w:val="24"/>
                <w:highlight w:val="none"/>
                <w:lang w:bidi="ar"/>
              </w:rPr>
              <w:t>（</w:t>
            </w:r>
            <w:r>
              <w:rPr>
                <w:rFonts w:hint="default"/>
                <w:color w:val="auto"/>
                <w:kern w:val="0"/>
                <w:sz w:val="24"/>
                <w:highlight w:val="none"/>
                <w:lang w:bidi="ar"/>
              </w:rPr>
              <w:t>即EAG气体</w:t>
            </w:r>
            <w:r>
              <w:rPr>
                <w:rFonts w:hint="eastAsia"/>
                <w:color w:val="auto"/>
                <w:kern w:val="0"/>
                <w:sz w:val="24"/>
                <w:highlight w:val="none"/>
                <w:lang w:bidi="ar"/>
              </w:rPr>
              <w:t>），</w:t>
            </w:r>
            <w:r>
              <w:rPr>
                <w:rFonts w:hint="default"/>
                <w:color w:val="auto"/>
                <w:kern w:val="0"/>
                <w:sz w:val="24"/>
                <w:highlight w:val="none"/>
                <w:lang w:bidi="ar"/>
              </w:rPr>
              <w:t>此类排放量较小，且为间歇式排放</w:t>
            </w:r>
            <w:r>
              <w:rPr>
                <w:rFonts w:hint="eastAsia"/>
                <w:color w:val="auto"/>
                <w:kern w:val="0"/>
                <w:sz w:val="24"/>
                <w:highlight w:val="none"/>
                <w:lang w:bidi="ar"/>
              </w:rPr>
              <w:t>。</w:t>
            </w:r>
            <w:r>
              <w:rPr>
                <w:rFonts w:hint="default"/>
                <w:color w:val="auto"/>
                <w:kern w:val="0"/>
                <w:sz w:val="24"/>
                <w:highlight w:val="none"/>
                <w:lang w:bidi="ar"/>
              </w:rPr>
              <w:t>类比同类项目，最大不超过供气量的</w:t>
            </w:r>
            <w:r>
              <w:rPr>
                <w:rFonts w:hint="eastAsia"/>
                <w:color w:val="auto"/>
                <w:kern w:val="0"/>
                <w:sz w:val="24"/>
                <w:highlight w:val="none"/>
                <w:lang w:bidi="ar"/>
              </w:rPr>
              <w:t>0.1</w:t>
            </w:r>
            <w:r>
              <w:rPr>
                <w:rFonts w:hint="default"/>
                <w:color w:val="auto"/>
                <w:kern w:val="0"/>
                <w:sz w:val="24"/>
                <w:highlight w:val="none"/>
                <w:lang w:bidi="ar"/>
              </w:rPr>
              <w:t>‰，</w:t>
            </w:r>
            <w:r>
              <w:rPr>
                <w:rFonts w:hint="eastAsia"/>
                <w:color w:val="auto"/>
                <w:kern w:val="0"/>
                <w:sz w:val="24"/>
                <w:highlight w:val="none"/>
                <w:lang w:val="en-US" w:eastAsia="zh-CN" w:bidi="ar"/>
              </w:rPr>
              <w:t>本项目年售907.26</w:t>
            </w:r>
            <w:r>
              <w:rPr>
                <w:rFonts w:hint="default"/>
                <w:color w:val="auto"/>
                <w:kern w:val="0"/>
                <w:sz w:val="24"/>
                <w:highlight w:val="none"/>
                <w:lang w:bidi="ar"/>
              </w:rPr>
              <w:t>t/a</w:t>
            </w:r>
            <w:r>
              <w:rPr>
                <w:rFonts w:hint="eastAsia"/>
                <w:color w:val="auto"/>
                <w:kern w:val="0"/>
                <w:sz w:val="24"/>
                <w:highlight w:val="none"/>
                <w:lang w:eastAsia="zh-CN" w:bidi="ar"/>
              </w:rPr>
              <w:t>的</w:t>
            </w:r>
            <w:r>
              <w:rPr>
                <w:rFonts w:hint="eastAsia"/>
                <w:color w:val="auto"/>
                <w:kern w:val="0"/>
                <w:sz w:val="24"/>
                <w:highlight w:val="none"/>
                <w:lang w:val="en-US" w:eastAsia="zh-CN" w:bidi="ar"/>
              </w:rPr>
              <w:t>天然气，则放散的天然气</w:t>
            </w:r>
            <w:r>
              <w:rPr>
                <w:rFonts w:hint="default"/>
                <w:color w:val="auto"/>
                <w:kern w:val="0"/>
                <w:sz w:val="24"/>
                <w:highlight w:val="none"/>
                <w:lang w:bidi="ar"/>
              </w:rPr>
              <w:t>约</w:t>
            </w:r>
            <w:r>
              <w:rPr>
                <w:rFonts w:hint="eastAsia"/>
                <w:color w:val="auto"/>
                <w:kern w:val="0"/>
                <w:sz w:val="24"/>
                <w:highlight w:val="none"/>
                <w:lang w:val="en-US" w:eastAsia="zh-CN" w:bidi="ar"/>
              </w:rPr>
              <w:t>为</w:t>
            </w:r>
            <w:r>
              <w:rPr>
                <w:rFonts w:hint="eastAsia"/>
                <w:color w:val="auto"/>
                <w:kern w:val="0"/>
                <w:sz w:val="24"/>
                <w:highlight w:val="none"/>
                <w:lang w:bidi="ar"/>
              </w:rPr>
              <w:t>0.</w:t>
            </w:r>
            <w:r>
              <w:rPr>
                <w:rFonts w:hint="eastAsia"/>
                <w:color w:val="auto"/>
                <w:kern w:val="0"/>
                <w:sz w:val="24"/>
                <w:highlight w:val="none"/>
                <w:lang w:val="en-US" w:eastAsia="zh-CN" w:bidi="ar"/>
              </w:rPr>
              <w:t>091</w:t>
            </w:r>
            <w:r>
              <w:rPr>
                <w:rFonts w:hint="default"/>
                <w:color w:val="auto"/>
                <w:kern w:val="0"/>
                <w:sz w:val="24"/>
                <w:highlight w:val="none"/>
                <w:lang w:bidi="ar"/>
              </w:rPr>
              <w:t>t/a，</w:t>
            </w:r>
            <w:r>
              <w:rPr>
                <w:rFonts w:hint="eastAsia"/>
                <w:color w:val="auto"/>
                <w:kern w:val="0"/>
                <w:sz w:val="24"/>
                <w:highlight w:val="none"/>
                <w:lang w:bidi="ar"/>
              </w:rPr>
              <w:t>根据LNG</w:t>
            </w:r>
            <w:r>
              <w:rPr>
                <w:rFonts w:hint="eastAsia"/>
                <w:color w:val="auto"/>
                <w:kern w:val="0"/>
                <w:sz w:val="24"/>
                <w:highlight w:val="none"/>
                <w:lang w:eastAsia="zh-CN" w:bidi="ar"/>
              </w:rPr>
              <w:t>成分</w:t>
            </w:r>
            <w:r>
              <w:rPr>
                <w:rFonts w:hint="eastAsia"/>
                <w:color w:val="auto"/>
                <w:kern w:val="0"/>
                <w:sz w:val="24"/>
                <w:highlight w:val="none"/>
                <w:lang w:bidi="ar"/>
              </w:rPr>
              <w:t>可知，其非甲烷总烃含量约为1.83%，则非甲烷总烃排放量为0.00</w:t>
            </w:r>
            <w:r>
              <w:rPr>
                <w:rFonts w:hint="eastAsia"/>
                <w:color w:val="auto"/>
                <w:kern w:val="0"/>
                <w:sz w:val="24"/>
                <w:highlight w:val="none"/>
                <w:lang w:val="en-US" w:eastAsia="zh-CN" w:bidi="ar"/>
              </w:rPr>
              <w:t>2</w:t>
            </w:r>
            <w:r>
              <w:rPr>
                <w:rFonts w:hint="default"/>
                <w:color w:val="auto"/>
                <w:kern w:val="0"/>
                <w:sz w:val="24"/>
                <w:highlight w:val="none"/>
                <w:lang w:bidi="ar"/>
              </w:rPr>
              <w:t>t/a。</w:t>
            </w:r>
          </w:p>
          <w:p w14:paraId="7C92B019">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default"/>
                <w:b/>
                <w:bCs/>
                <w:color w:val="auto"/>
                <w:kern w:val="0"/>
                <w:sz w:val="24"/>
                <w:highlight w:val="none"/>
                <w:lang w:bidi="ar"/>
              </w:rPr>
              <w:t xml:space="preserve">处理措施及排放情况： </w:t>
            </w:r>
          </w:p>
          <w:p w14:paraId="2D6773AC">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LNG储罐放散的天然气，经过EAG加热器加热气化后</w:t>
            </w:r>
            <w:r>
              <w:rPr>
                <w:rFonts w:hint="eastAsia"/>
                <w:color w:val="auto"/>
                <w:kern w:val="0"/>
                <w:sz w:val="24"/>
                <w:highlight w:val="none"/>
                <w:lang w:bidi="ar"/>
              </w:rPr>
              <w:t>（</w:t>
            </w:r>
            <w:r>
              <w:rPr>
                <w:rFonts w:hint="default"/>
                <w:color w:val="auto"/>
                <w:kern w:val="0"/>
                <w:sz w:val="24"/>
                <w:highlight w:val="none"/>
                <w:lang w:bidi="ar"/>
              </w:rPr>
              <w:t>以避免放散时出现冰堵</w:t>
            </w:r>
            <w:r>
              <w:rPr>
                <w:rFonts w:hint="eastAsia"/>
                <w:color w:val="auto"/>
                <w:kern w:val="0"/>
                <w:sz w:val="24"/>
                <w:highlight w:val="none"/>
                <w:lang w:bidi="ar"/>
              </w:rPr>
              <w:t>）</w:t>
            </w:r>
            <w:r>
              <w:rPr>
                <w:rFonts w:hint="default"/>
                <w:color w:val="auto"/>
                <w:kern w:val="0"/>
                <w:sz w:val="24"/>
                <w:highlight w:val="none"/>
                <w:lang w:bidi="ar"/>
              </w:rPr>
              <w:t>，经站内</w:t>
            </w:r>
            <w:r>
              <w:rPr>
                <w:rFonts w:hint="eastAsia"/>
                <w:color w:val="auto"/>
                <w:kern w:val="0"/>
                <w:sz w:val="24"/>
                <w:highlight w:val="none"/>
                <w:lang w:val="en-US" w:eastAsia="zh-CN" w:bidi="ar"/>
              </w:rPr>
              <w:t>10</w:t>
            </w:r>
            <w:r>
              <w:rPr>
                <w:rFonts w:hint="default"/>
                <w:color w:val="auto"/>
                <w:kern w:val="0"/>
                <w:sz w:val="24"/>
                <w:highlight w:val="none"/>
                <w:lang w:bidi="ar"/>
              </w:rPr>
              <w:t>m高的放散管直接排入大气。放散管位于储气罐区附近绿化带内，放散管的设置满足《液化天然气</w:t>
            </w:r>
            <w:r>
              <w:rPr>
                <w:rFonts w:hint="eastAsia"/>
                <w:color w:val="auto"/>
                <w:kern w:val="0"/>
                <w:sz w:val="24"/>
                <w:highlight w:val="none"/>
                <w:lang w:bidi="ar"/>
              </w:rPr>
              <w:t>（</w:t>
            </w:r>
            <w:r>
              <w:rPr>
                <w:rFonts w:hint="default"/>
                <w:color w:val="auto"/>
                <w:kern w:val="0"/>
                <w:sz w:val="24"/>
                <w:highlight w:val="none"/>
                <w:lang w:bidi="ar"/>
              </w:rPr>
              <w:t>LNG</w:t>
            </w:r>
            <w:r>
              <w:rPr>
                <w:rFonts w:hint="eastAsia"/>
                <w:color w:val="auto"/>
                <w:kern w:val="0"/>
                <w:sz w:val="24"/>
                <w:highlight w:val="none"/>
                <w:lang w:bidi="ar"/>
              </w:rPr>
              <w:t>）</w:t>
            </w:r>
            <w:r>
              <w:rPr>
                <w:rFonts w:hint="default"/>
                <w:color w:val="auto"/>
                <w:kern w:val="0"/>
                <w:sz w:val="24"/>
                <w:highlight w:val="none"/>
                <w:lang w:bidi="ar"/>
              </w:rPr>
              <w:t>汽车加气站设计与施工规范》</w:t>
            </w:r>
            <w:r>
              <w:rPr>
                <w:rFonts w:hint="eastAsia"/>
                <w:color w:val="auto"/>
                <w:kern w:val="0"/>
                <w:sz w:val="24"/>
                <w:highlight w:val="none"/>
                <w:lang w:bidi="ar"/>
              </w:rPr>
              <w:t>（</w:t>
            </w:r>
            <w:r>
              <w:rPr>
                <w:rFonts w:hint="default"/>
                <w:color w:val="auto"/>
                <w:kern w:val="0"/>
                <w:sz w:val="24"/>
                <w:highlight w:val="none"/>
                <w:lang w:bidi="ar"/>
              </w:rPr>
              <w:t>NB/ 1001-2011</w:t>
            </w:r>
            <w:r>
              <w:rPr>
                <w:rFonts w:hint="eastAsia"/>
                <w:color w:val="auto"/>
                <w:kern w:val="0"/>
                <w:sz w:val="24"/>
                <w:highlight w:val="none"/>
                <w:lang w:bidi="ar"/>
              </w:rPr>
              <w:t>）</w:t>
            </w:r>
            <w:r>
              <w:rPr>
                <w:rFonts w:hint="default"/>
                <w:color w:val="auto"/>
                <w:kern w:val="0"/>
                <w:sz w:val="24"/>
                <w:highlight w:val="none"/>
                <w:lang w:bidi="ar"/>
              </w:rPr>
              <w:t>6.6.6规定</w:t>
            </w:r>
            <w:r>
              <w:rPr>
                <w:rFonts w:hint="eastAsia"/>
                <w:color w:val="auto"/>
                <w:kern w:val="0"/>
                <w:sz w:val="24"/>
                <w:highlight w:val="none"/>
                <w:lang w:bidi="ar"/>
              </w:rPr>
              <w:t>（</w:t>
            </w:r>
            <w:r>
              <w:rPr>
                <w:rFonts w:hint="default"/>
                <w:color w:val="auto"/>
                <w:kern w:val="0"/>
                <w:sz w:val="24"/>
                <w:highlight w:val="none"/>
                <w:lang w:bidi="ar"/>
              </w:rPr>
              <w:t>放散塔高于LNG储罐及12.0m范围内的建、构筑物2.0m以上，且距地面不应小于5.0m。放散塔不得设雨罩等改变放散管气流垂直向上的装置</w:t>
            </w:r>
            <w:r>
              <w:rPr>
                <w:rFonts w:hint="eastAsia"/>
                <w:color w:val="auto"/>
                <w:kern w:val="0"/>
                <w:sz w:val="24"/>
                <w:highlight w:val="none"/>
                <w:lang w:bidi="ar"/>
              </w:rPr>
              <w:t>）</w:t>
            </w:r>
            <w:r>
              <w:rPr>
                <w:rFonts w:hint="default"/>
                <w:color w:val="auto"/>
                <w:kern w:val="0"/>
                <w:sz w:val="24"/>
                <w:highlight w:val="none"/>
                <w:lang w:bidi="ar"/>
              </w:rPr>
              <w:t>。放散管附近无环境敏感点，放散天然气经高空排放对外环境产生的环境影响很小。</w:t>
            </w:r>
          </w:p>
          <w:p w14:paraId="00D21A0E">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eastAsia"/>
                <w:b/>
                <w:bCs/>
                <w:color w:val="auto"/>
                <w:kern w:val="0"/>
                <w:sz w:val="24"/>
                <w:highlight w:val="none"/>
                <w:lang w:val="en-US" w:eastAsia="zh-CN" w:bidi="ar"/>
              </w:rPr>
              <w:t>②</w:t>
            </w:r>
            <w:r>
              <w:rPr>
                <w:rFonts w:hint="default"/>
                <w:b/>
                <w:bCs/>
                <w:color w:val="auto"/>
                <w:kern w:val="0"/>
                <w:sz w:val="24"/>
                <w:highlight w:val="none"/>
                <w:lang w:bidi="ar"/>
              </w:rPr>
              <w:t>闪蒸气</w:t>
            </w:r>
          </w:p>
          <w:p w14:paraId="5ACF850C">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default"/>
                <w:b/>
                <w:bCs/>
                <w:color w:val="auto"/>
                <w:kern w:val="0"/>
                <w:sz w:val="24"/>
                <w:highlight w:val="none"/>
                <w:lang w:bidi="ar"/>
              </w:rPr>
              <w:t>产生情况：</w:t>
            </w:r>
          </w:p>
          <w:p w14:paraId="41D83E35">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加气站闪蒸气</w:t>
            </w:r>
            <w:r>
              <w:rPr>
                <w:rFonts w:hint="eastAsia"/>
                <w:color w:val="auto"/>
                <w:kern w:val="0"/>
                <w:sz w:val="24"/>
                <w:highlight w:val="none"/>
                <w:lang w:bidi="ar"/>
              </w:rPr>
              <w:t>（</w:t>
            </w:r>
            <w:r>
              <w:rPr>
                <w:rFonts w:hint="default"/>
                <w:color w:val="auto"/>
                <w:kern w:val="0"/>
                <w:sz w:val="24"/>
                <w:highlight w:val="none"/>
                <w:lang w:bidi="ar"/>
              </w:rPr>
              <w:t>BOG</w:t>
            </w:r>
            <w:r>
              <w:rPr>
                <w:rFonts w:hint="eastAsia"/>
                <w:color w:val="auto"/>
                <w:kern w:val="0"/>
                <w:sz w:val="24"/>
                <w:highlight w:val="none"/>
                <w:lang w:bidi="ar"/>
              </w:rPr>
              <w:t>）</w:t>
            </w:r>
            <w:r>
              <w:rPr>
                <w:rFonts w:hint="default"/>
                <w:color w:val="auto"/>
                <w:kern w:val="0"/>
                <w:sz w:val="24"/>
                <w:highlight w:val="none"/>
                <w:lang w:bidi="ar"/>
              </w:rPr>
              <w:t>包括LNG卸车及LNG低温储罐的蒸发气，以LNG低温储罐闪蒸气为主。据同类型加气站有关资料和类比调查，加气站内低温真空储罐的日蒸发率一般为0.2%，据此，年供气量</w:t>
            </w:r>
            <w:r>
              <w:rPr>
                <w:rFonts w:hint="eastAsia"/>
                <w:color w:val="auto"/>
                <w:kern w:val="0"/>
                <w:sz w:val="24"/>
                <w:highlight w:val="none"/>
                <w:lang w:val="en-US" w:eastAsia="zh-CN" w:bidi="ar"/>
              </w:rPr>
              <w:t>907.26</w:t>
            </w:r>
            <w:r>
              <w:rPr>
                <w:rFonts w:hint="default"/>
                <w:color w:val="auto"/>
                <w:kern w:val="0"/>
                <w:sz w:val="24"/>
                <w:highlight w:val="none"/>
                <w:lang w:bidi="ar"/>
              </w:rPr>
              <w:t>吨的泄漏量约为</w:t>
            </w:r>
            <w:r>
              <w:rPr>
                <w:rFonts w:hint="eastAsia"/>
                <w:color w:val="auto"/>
                <w:kern w:val="0"/>
                <w:sz w:val="24"/>
                <w:highlight w:val="none"/>
                <w:lang w:val="en-US" w:eastAsia="zh-CN" w:bidi="ar"/>
              </w:rPr>
              <w:t>1.815</w:t>
            </w:r>
            <w:r>
              <w:rPr>
                <w:rFonts w:hint="default"/>
                <w:color w:val="auto"/>
                <w:kern w:val="0"/>
                <w:sz w:val="24"/>
                <w:highlight w:val="none"/>
                <w:lang w:bidi="ar"/>
              </w:rPr>
              <w:t>t/a，</w:t>
            </w:r>
            <w:r>
              <w:rPr>
                <w:rFonts w:hint="eastAsia"/>
                <w:color w:val="auto"/>
                <w:kern w:val="0"/>
                <w:sz w:val="24"/>
                <w:highlight w:val="none"/>
                <w:lang w:bidi="ar"/>
              </w:rPr>
              <w:t>根据LNG</w:t>
            </w:r>
            <w:r>
              <w:rPr>
                <w:rFonts w:hint="eastAsia"/>
                <w:color w:val="auto"/>
                <w:kern w:val="0"/>
                <w:sz w:val="24"/>
                <w:highlight w:val="none"/>
                <w:lang w:eastAsia="zh-CN" w:bidi="ar"/>
              </w:rPr>
              <w:t>成分</w:t>
            </w:r>
            <w:r>
              <w:rPr>
                <w:rFonts w:hint="eastAsia"/>
                <w:color w:val="auto"/>
                <w:kern w:val="0"/>
                <w:sz w:val="24"/>
                <w:highlight w:val="none"/>
                <w:lang w:bidi="ar"/>
              </w:rPr>
              <w:t>可知，其非甲烷总烃含量约为1.83%，则非甲烷总烃排放量为0.0</w:t>
            </w:r>
            <w:r>
              <w:rPr>
                <w:rFonts w:hint="eastAsia"/>
                <w:color w:val="auto"/>
                <w:kern w:val="0"/>
                <w:sz w:val="24"/>
                <w:highlight w:val="none"/>
                <w:lang w:val="en-US" w:eastAsia="zh-CN" w:bidi="ar"/>
              </w:rPr>
              <w:t>33</w:t>
            </w:r>
            <w:r>
              <w:rPr>
                <w:rFonts w:hint="default"/>
                <w:color w:val="auto"/>
                <w:kern w:val="0"/>
                <w:sz w:val="24"/>
                <w:highlight w:val="none"/>
                <w:lang w:bidi="ar"/>
              </w:rPr>
              <w:t>t/a。</w:t>
            </w:r>
          </w:p>
          <w:p w14:paraId="4503625E">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default"/>
                <w:b/>
                <w:bCs/>
                <w:color w:val="auto"/>
                <w:kern w:val="0"/>
                <w:sz w:val="24"/>
                <w:highlight w:val="none"/>
                <w:lang w:bidi="ar"/>
              </w:rPr>
              <w:t>处理措施及排放情况：</w:t>
            </w:r>
          </w:p>
          <w:p w14:paraId="3084F3E0">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bCs w:val="0"/>
                <w:color w:val="auto"/>
                <w:kern w:val="0"/>
                <w:sz w:val="24"/>
                <w:highlight w:val="none"/>
                <w:lang w:bidi="ar"/>
              </w:rPr>
            </w:pPr>
            <w:r>
              <w:rPr>
                <w:rFonts w:hint="eastAsia" w:ascii="Times New Roman" w:hAnsi="Times New Roman" w:cs="Times New Roman"/>
                <w:b w:val="0"/>
                <w:bCs w:val="0"/>
                <w:color w:val="auto"/>
                <w:kern w:val="0"/>
                <w:sz w:val="24"/>
                <w:highlight w:val="none"/>
                <w:lang w:val="en-US" w:eastAsia="zh-CN" w:bidi="ar"/>
              </w:rPr>
              <w:t>A</w:t>
            </w:r>
            <w:r>
              <w:rPr>
                <w:rFonts w:hint="eastAsia" w:cs="Times New Roman"/>
                <w:b w:val="0"/>
                <w:bCs w:val="0"/>
                <w:color w:val="auto"/>
                <w:kern w:val="0"/>
                <w:sz w:val="24"/>
                <w:highlight w:val="none"/>
                <w:lang w:val="en-US" w:eastAsia="zh-CN" w:bidi="ar"/>
              </w:rPr>
              <w:t>.</w:t>
            </w:r>
            <w:r>
              <w:rPr>
                <w:rFonts w:hint="default" w:ascii="Times New Roman" w:hAnsi="Times New Roman" w:cs="Times New Roman"/>
                <w:b w:val="0"/>
                <w:bCs w:val="0"/>
                <w:color w:val="auto"/>
                <w:kern w:val="0"/>
                <w:sz w:val="24"/>
                <w:highlight w:val="none"/>
                <w:lang w:bidi="ar"/>
              </w:rPr>
              <w:t>LNG卸车时产生闪蒸气（BOG）由气相管线返回LNG槽车。</w:t>
            </w:r>
          </w:p>
          <w:p w14:paraId="69579DB4">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eastAsia" w:ascii="Times New Roman" w:hAnsi="Times New Roman" w:cs="Times New Roman"/>
                <w:b w:val="0"/>
                <w:bCs w:val="0"/>
                <w:color w:val="auto"/>
                <w:kern w:val="0"/>
                <w:sz w:val="24"/>
                <w:highlight w:val="none"/>
                <w:lang w:val="en-US" w:eastAsia="zh-CN" w:bidi="ar"/>
              </w:rPr>
              <w:t>B</w:t>
            </w:r>
            <w:r>
              <w:rPr>
                <w:rFonts w:hint="eastAsia" w:cs="Times New Roman"/>
                <w:b w:val="0"/>
                <w:bCs w:val="0"/>
                <w:color w:val="auto"/>
                <w:kern w:val="0"/>
                <w:sz w:val="24"/>
                <w:highlight w:val="none"/>
                <w:lang w:val="en-US" w:eastAsia="zh-CN" w:bidi="ar"/>
              </w:rPr>
              <w:t>.</w:t>
            </w:r>
            <w:r>
              <w:rPr>
                <w:rFonts w:hint="default"/>
                <w:color w:val="auto"/>
                <w:kern w:val="0"/>
                <w:sz w:val="24"/>
                <w:highlight w:val="none"/>
                <w:lang w:bidi="ar"/>
              </w:rPr>
              <w:t>为保证LNG储罐的安全，在设计中设置了储罐安全减压阀</w:t>
            </w:r>
            <w:r>
              <w:rPr>
                <w:rFonts w:hint="eastAsia"/>
                <w:color w:val="auto"/>
                <w:kern w:val="0"/>
                <w:sz w:val="24"/>
                <w:highlight w:val="none"/>
                <w:lang w:bidi="ar"/>
              </w:rPr>
              <w:t>（</w:t>
            </w:r>
            <w:r>
              <w:rPr>
                <w:rFonts w:hint="default"/>
                <w:color w:val="auto"/>
                <w:kern w:val="0"/>
                <w:sz w:val="24"/>
                <w:highlight w:val="none"/>
                <w:lang w:bidi="ar"/>
              </w:rPr>
              <w:t>可自动和手动开启，根据储罐储存期间压力自动排除BOG</w:t>
            </w:r>
            <w:r>
              <w:rPr>
                <w:rFonts w:hint="eastAsia"/>
                <w:color w:val="auto"/>
                <w:kern w:val="0"/>
                <w:sz w:val="24"/>
                <w:highlight w:val="none"/>
                <w:lang w:bidi="ar"/>
              </w:rPr>
              <w:t>）</w:t>
            </w:r>
            <w:r>
              <w:rPr>
                <w:rFonts w:hint="default"/>
                <w:color w:val="auto"/>
                <w:kern w:val="0"/>
                <w:sz w:val="24"/>
                <w:highlight w:val="none"/>
                <w:lang w:bidi="ar"/>
              </w:rPr>
              <w:t>，产生的BOG气体通过放空阀至低温EAG加热器加热后，经站内</w:t>
            </w:r>
            <w:r>
              <w:rPr>
                <w:rFonts w:hint="eastAsia"/>
                <w:color w:val="auto"/>
                <w:kern w:val="0"/>
                <w:sz w:val="24"/>
                <w:highlight w:val="none"/>
                <w:lang w:val="en-US" w:eastAsia="zh-CN" w:bidi="ar"/>
              </w:rPr>
              <w:t>10</w:t>
            </w:r>
            <w:r>
              <w:rPr>
                <w:rFonts w:hint="default"/>
                <w:color w:val="auto"/>
                <w:kern w:val="0"/>
                <w:sz w:val="24"/>
                <w:highlight w:val="none"/>
                <w:lang w:bidi="ar"/>
              </w:rPr>
              <w:t>m高的放散管直接排入大气。同时可通过选用性能优质的设备、阀门、材料，减少天然气的泄漏。</w:t>
            </w:r>
          </w:p>
          <w:p w14:paraId="3236F1C7">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eastAsia"/>
                <w:b/>
                <w:bCs/>
                <w:color w:val="auto"/>
                <w:kern w:val="0"/>
                <w:sz w:val="24"/>
                <w:highlight w:val="none"/>
                <w:lang w:val="en-US" w:eastAsia="zh-CN" w:bidi="ar"/>
              </w:rPr>
              <w:t>③</w:t>
            </w:r>
            <w:r>
              <w:rPr>
                <w:rFonts w:hint="default"/>
                <w:b/>
                <w:bCs/>
                <w:color w:val="auto"/>
                <w:kern w:val="0"/>
                <w:sz w:val="24"/>
                <w:highlight w:val="none"/>
                <w:lang w:bidi="ar"/>
              </w:rPr>
              <w:t>逸漏气体</w:t>
            </w:r>
          </w:p>
          <w:p w14:paraId="703AA6A5">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本项目储罐、传输及加气过程由管道进行连接，连接处或阀门处可能有微量气体逸漏，逸漏的天然气均未达到可燃气体报警系统检出限值，同时由于天然气基本不含有毒物质，比重轻，且属间断、无规律性排放，其泄漏的少量天然气很快扩散，对环境空气质量影响甚微。</w:t>
            </w:r>
          </w:p>
          <w:p w14:paraId="7FEEBC32">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default"/>
                <w:b/>
                <w:bCs/>
                <w:color w:val="auto"/>
                <w:kern w:val="0"/>
                <w:sz w:val="24"/>
                <w:highlight w:val="none"/>
                <w:lang w:bidi="ar"/>
              </w:rPr>
              <w:t>3</w:t>
            </w:r>
            <w:r>
              <w:rPr>
                <w:rFonts w:hint="eastAsia"/>
                <w:b/>
                <w:bCs/>
                <w:color w:val="auto"/>
                <w:kern w:val="0"/>
                <w:sz w:val="24"/>
                <w:highlight w:val="none"/>
                <w:lang w:bidi="ar"/>
              </w:rPr>
              <w:t>）</w:t>
            </w:r>
            <w:r>
              <w:rPr>
                <w:rFonts w:hint="eastAsia"/>
                <w:b/>
                <w:bCs/>
                <w:color w:val="auto"/>
                <w:kern w:val="0"/>
                <w:sz w:val="24"/>
                <w:highlight w:val="none"/>
                <w:lang w:val="en-US" w:eastAsia="zh-CN" w:bidi="ar"/>
              </w:rPr>
              <w:t>撬装</w:t>
            </w:r>
            <w:r>
              <w:rPr>
                <w:rFonts w:hint="default"/>
                <w:b/>
                <w:bCs/>
                <w:color w:val="auto"/>
                <w:kern w:val="0"/>
                <w:sz w:val="24"/>
                <w:highlight w:val="none"/>
                <w:lang w:bidi="ar"/>
              </w:rPr>
              <w:t>柴油发电机废气</w:t>
            </w:r>
          </w:p>
          <w:p w14:paraId="67840703">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项目建成后拟配备</w:t>
            </w:r>
            <w:r>
              <w:rPr>
                <w:rFonts w:hint="eastAsia"/>
                <w:color w:val="auto"/>
                <w:kern w:val="0"/>
                <w:sz w:val="24"/>
                <w:highlight w:val="none"/>
                <w:lang w:val="en-US" w:eastAsia="zh-CN" w:bidi="ar"/>
              </w:rPr>
              <w:t>撬装柴油</w:t>
            </w:r>
            <w:r>
              <w:rPr>
                <w:rFonts w:hint="default"/>
                <w:color w:val="auto"/>
                <w:kern w:val="0"/>
                <w:sz w:val="24"/>
                <w:highlight w:val="none"/>
                <w:lang w:bidi="ar"/>
              </w:rPr>
              <w:t>发电机组1台，仅临时使用，采用0#柴油作为燃料，主要污染物为烟尘、SO</w:t>
            </w:r>
            <w:r>
              <w:rPr>
                <w:rFonts w:hint="default"/>
                <w:color w:val="auto"/>
                <w:kern w:val="0"/>
                <w:sz w:val="24"/>
                <w:highlight w:val="none"/>
                <w:vertAlign w:val="subscript"/>
                <w:lang w:bidi="ar"/>
              </w:rPr>
              <w:t>2</w:t>
            </w:r>
            <w:r>
              <w:rPr>
                <w:rFonts w:hint="default"/>
                <w:color w:val="auto"/>
                <w:kern w:val="0"/>
                <w:sz w:val="24"/>
                <w:highlight w:val="none"/>
                <w:lang w:bidi="ar"/>
              </w:rPr>
              <w:t>、NOx、HC等。0#柴油属清洁能源，其燃油产生的废气污染物量较少，使用时只要严格按要求操作，控制好燃烧状况，发电机废气经发电机自带的烟气净化装置处理后，可做到达标排放，且本项目站址较开阔，空气流动性好，发电机废气对周围大气环境影响较小。</w:t>
            </w:r>
          </w:p>
          <w:p w14:paraId="31AA2095">
            <w:pPr>
              <w:keepNext w:val="0"/>
              <w:keepLines w:val="0"/>
              <w:widowControl/>
              <w:suppressLineNumbers w:val="0"/>
              <w:spacing w:before="0" w:beforeAutospacing="0" w:after="0" w:afterAutospacing="0" w:line="360" w:lineRule="auto"/>
              <w:ind w:left="0" w:right="0" w:firstLine="482" w:firstLineChars="200"/>
              <w:jc w:val="left"/>
              <w:rPr>
                <w:rFonts w:hint="default"/>
                <w:b/>
                <w:bCs/>
                <w:color w:val="auto"/>
                <w:kern w:val="0"/>
                <w:sz w:val="24"/>
                <w:highlight w:val="none"/>
                <w:lang w:bidi="ar"/>
              </w:rPr>
            </w:pPr>
            <w:r>
              <w:rPr>
                <w:rFonts w:hint="default"/>
                <w:b/>
                <w:bCs/>
                <w:color w:val="auto"/>
                <w:kern w:val="0"/>
                <w:sz w:val="24"/>
                <w:highlight w:val="none"/>
                <w:lang w:bidi="ar"/>
              </w:rPr>
              <w:t>4）机动车尾气</w:t>
            </w:r>
          </w:p>
          <w:p w14:paraId="579186CA">
            <w:pPr>
              <w:keepNext w:val="0"/>
              <w:keepLines w:val="0"/>
              <w:widowControl/>
              <w:suppressLineNumbers w:val="0"/>
              <w:spacing w:before="0" w:beforeAutospacing="0" w:after="0" w:afterAutospacing="0" w:line="360" w:lineRule="auto"/>
              <w:ind w:left="0" w:right="0" w:firstLine="480" w:firstLineChars="200"/>
              <w:jc w:val="left"/>
              <w:rPr>
                <w:rFonts w:hint="default"/>
                <w:color w:val="auto"/>
                <w:kern w:val="0"/>
                <w:sz w:val="24"/>
                <w:highlight w:val="none"/>
                <w:lang w:bidi="ar"/>
              </w:rPr>
            </w:pPr>
            <w:r>
              <w:rPr>
                <w:rFonts w:hint="default"/>
                <w:color w:val="auto"/>
                <w:kern w:val="0"/>
                <w:sz w:val="24"/>
                <w:highlight w:val="none"/>
                <w:lang w:bidi="ar"/>
              </w:rPr>
              <w:t>项目营运期加油加气站进出车辆较多，会排放一定量的机动车尾气，主要污染物为 CO、NO</w:t>
            </w:r>
            <w:r>
              <w:rPr>
                <w:rFonts w:hint="default"/>
                <w:color w:val="auto"/>
                <w:kern w:val="0"/>
                <w:sz w:val="24"/>
                <w:highlight w:val="none"/>
                <w:vertAlign w:val="subscript"/>
                <w:lang w:bidi="ar"/>
              </w:rPr>
              <w:t>X</w:t>
            </w:r>
            <w:r>
              <w:rPr>
                <w:rFonts w:hint="default"/>
                <w:color w:val="auto"/>
                <w:kern w:val="0"/>
                <w:sz w:val="24"/>
                <w:highlight w:val="none"/>
                <w:lang w:bidi="ar"/>
              </w:rPr>
              <w:t>、SO</w:t>
            </w:r>
            <w:r>
              <w:rPr>
                <w:rFonts w:hint="default"/>
                <w:color w:val="auto"/>
                <w:kern w:val="0"/>
                <w:sz w:val="24"/>
                <w:highlight w:val="none"/>
                <w:vertAlign w:val="subscript"/>
                <w:lang w:bidi="ar"/>
              </w:rPr>
              <w:t>2</w:t>
            </w:r>
            <w:r>
              <w:rPr>
                <w:rFonts w:hint="default"/>
                <w:color w:val="auto"/>
                <w:kern w:val="0"/>
                <w:sz w:val="24"/>
                <w:highlight w:val="none"/>
                <w:lang w:bidi="ar"/>
              </w:rPr>
              <w:t>、HC。由于车辆在站内行程较短，排放量较小，</w:t>
            </w:r>
            <w:r>
              <w:rPr>
                <w:rFonts w:hint="eastAsia"/>
                <w:color w:val="auto"/>
                <w:kern w:val="0"/>
                <w:sz w:val="24"/>
                <w:highlight w:val="none"/>
                <w:lang w:bidi="ar"/>
              </w:rPr>
              <w:t>加油加气站内</w:t>
            </w:r>
            <w:r>
              <w:rPr>
                <w:rFonts w:hint="default"/>
                <w:color w:val="auto"/>
                <w:kern w:val="0"/>
                <w:sz w:val="24"/>
                <w:highlight w:val="none"/>
                <w:lang w:bidi="ar"/>
              </w:rPr>
              <w:t>通风良好，场地较开阔，机动车尾气经自然扩散后能够实现达标排放，对周围大气环境影响不大。</w:t>
            </w:r>
          </w:p>
          <w:p w14:paraId="2B881371">
            <w:pPr>
              <w:keepNext w:val="0"/>
              <w:keepLines w:val="0"/>
              <w:widowControl/>
              <w:suppressLineNumbers w:val="0"/>
              <w:spacing w:before="0" w:beforeAutospacing="0" w:after="0" w:afterAutospacing="0" w:line="360" w:lineRule="auto"/>
              <w:ind w:left="0" w:right="0" w:firstLine="480" w:firstLineChars="200"/>
              <w:jc w:val="left"/>
              <w:rPr>
                <w:rFonts w:hint="eastAsia"/>
                <w:color w:val="auto"/>
                <w:kern w:val="0"/>
                <w:sz w:val="24"/>
                <w:highlight w:val="none"/>
                <w:lang w:bidi="ar"/>
              </w:rPr>
            </w:pPr>
            <w:r>
              <w:rPr>
                <w:rFonts w:hint="default"/>
                <w:color w:val="auto"/>
                <w:kern w:val="0"/>
                <w:sz w:val="24"/>
                <w:highlight w:val="none"/>
                <w:lang w:bidi="ar"/>
              </w:rPr>
              <w:t>采取上述措施后，营运期各环节产生的废气对周围环境影响均较小。采取的措施经济合理、技术可行。</w:t>
            </w:r>
          </w:p>
          <w:p w14:paraId="4EDBC443">
            <w:pPr>
              <w:pStyle w:val="20"/>
              <w:keepNext w:val="0"/>
              <w:keepLines w:val="0"/>
              <w:suppressLineNumbers w:val="0"/>
              <w:spacing w:before="0" w:beforeAutospacing="0" w:after="0" w:afterAutospacing="0"/>
              <w:ind w:left="902" w:right="0" w:hanging="482"/>
              <w:rPr>
                <w:rFonts w:hint="default"/>
                <w:b/>
                <w:color w:val="auto"/>
                <w:spacing w:val="-2"/>
                <w:szCs w:val="21"/>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废气排放情况</w:t>
            </w:r>
          </w:p>
          <w:p w14:paraId="766F92CD">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rPr>
            </w:pPr>
            <w:r>
              <w:rPr>
                <w:rFonts w:hint="eastAsia" w:ascii="Times New Roman" w:hAnsi="Times New Roman" w:eastAsia="黑体" w:cs="Times New Roman"/>
                <w:b/>
                <w:bCs/>
                <w:color w:val="auto"/>
                <w:kern w:val="0"/>
                <w:sz w:val="20"/>
                <w:szCs w:val="20"/>
                <w:highlight w:val="none"/>
                <w:lang w:val="en-US" w:eastAsia="zh-CN"/>
              </w:rPr>
              <w:t>表4-</w:t>
            </w:r>
            <w:r>
              <w:rPr>
                <w:rFonts w:hint="eastAsia" w:eastAsia="黑体" w:cs="Times New Roman"/>
                <w:b/>
                <w:bCs/>
                <w:color w:val="auto"/>
                <w:kern w:val="0"/>
                <w:sz w:val="20"/>
                <w:szCs w:val="20"/>
                <w:highlight w:val="none"/>
                <w:lang w:val="en-US" w:eastAsia="zh-CN"/>
              </w:rPr>
              <w:t>5</w:t>
            </w:r>
            <w:r>
              <w:rPr>
                <w:rFonts w:hint="eastAsia" w:ascii="Times New Roman" w:hAnsi="Times New Roman" w:eastAsia="黑体" w:cs="Times New Roman"/>
                <w:b/>
                <w:bCs/>
                <w:color w:val="auto"/>
                <w:kern w:val="0"/>
                <w:sz w:val="20"/>
                <w:szCs w:val="20"/>
                <w:highlight w:val="none"/>
                <w:lang w:val="en-US" w:eastAsia="zh-CN"/>
              </w:rPr>
              <w:t xml:space="preserve"> 废气产排污节点、污染物及治理设施信息表</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589"/>
              <w:gridCol w:w="1156"/>
              <w:gridCol w:w="1156"/>
              <w:gridCol w:w="1733"/>
              <w:gridCol w:w="1156"/>
              <w:gridCol w:w="1014"/>
            </w:tblGrid>
            <w:tr w14:paraId="36DD4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tl2br w:val="nil"/>
                    <w:tr2bl w:val="nil"/>
                  </w:tcBorders>
                  <w:noWrap w:val="0"/>
                  <w:vAlign w:val="center"/>
                </w:tcPr>
                <w:p w14:paraId="78DF90EE">
                  <w:pPr>
                    <w:keepNext w:val="0"/>
                    <w:keepLines w:val="0"/>
                    <w:suppressLineNumbers w:val="0"/>
                    <w:spacing w:before="0" w:beforeAutospacing="0" w:after="0" w:afterAutospacing="0"/>
                    <w:ind w:left="0" w:right="0"/>
                    <w:jc w:val="center"/>
                    <w:rPr>
                      <w:rFonts w:hint="eastAsia"/>
                      <w:b/>
                      <w:bCs/>
                      <w:color w:val="auto"/>
                      <w:sz w:val="21"/>
                      <w:szCs w:val="21"/>
                      <w:highlight w:val="none"/>
                    </w:rPr>
                  </w:pPr>
                  <w:r>
                    <w:rPr>
                      <w:rFonts w:hint="eastAsia"/>
                      <w:b/>
                      <w:bCs/>
                      <w:color w:val="auto"/>
                      <w:sz w:val="21"/>
                      <w:szCs w:val="21"/>
                      <w:highlight w:val="none"/>
                    </w:rPr>
                    <w:t>序号</w:t>
                  </w:r>
                </w:p>
              </w:tc>
              <w:tc>
                <w:tcPr>
                  <w:tcW w:w="928" w:type="pct"/>
                  <w:tcBorders>
                    <w:tl2br w:val="nil"/>
                    <w:tr2bl w:val="nil"/>
                  </w:tcBorders>
                  <w:noWrap w:val="0"/>
                  <w:vAlign w:val="center"/>
                </w:tcPr>
                <w:p w14:paraId="0343F941">
                  <w:pPr>
                    <w:keepNext w:val="0"/>
                    <w:keepLines w:val="0"/>
                    <w:suppressLineNumbers w:val="0"/>
                    <w:spacing w:before="0" w:beforeAutospacing="0" w:after="0" w:afterAutospacing="0"/>
                    <w:ind w:left="0" w:right="0"/>
                    <w:jc w:val="center"/>
                    <w:rPr>
                      <w:rFonts w:hint="eastAsia"/>
                      <w:b/>
                      <w:bCs/>
                      <w:color w:val="auto"/>
                      <w:sz w:val="21"/>
                      <w:szCs w:val="21"/>
                      <w:highlight w:val="none"/>
                    </w:rPr>
                  </w:pPr>
                  <w:r>
                    <w:rPr>
                      <w:rFonts w:hint="eastAsia"/>
                      <w:b/>
                      <w:bCs/>
                      <w:color w:val="auto"/>
                      <w:sz w:val="21"/>
                      <w:szCs w:val="21"/>
                      <w:highlight w:val="none"/>
                    </w:rPr>
                    <w:t>产污设施</w:t>
                  </w:r>
                </w:p>
              </w:tc>
              <w:tc>
                <w:tcPr>
                  <w:tcW w:w="675" w:type="pct"/>
                  <w:tcBorders>
                    <w:tl2br w:val="nil"/>
                    <w:tr2bl w:val="nil"/>
                  </w:tcBorders>
                  <w:noWrap w:val="0"/>
                  <w:vAlign w:val="center"/>
                </w:tcPr>
                <w:p w14:paraId="25DCD4B9">
                  <w:pPr>
                    <w:keepNext w:val="0"/>
                    <w:keepLines w:val="0"/>
                    <w:suppressLineNumbers w:val="0"/>
                    <w:spacing w:before="0" w:beforeAutospacing="0" w:after="0" w:afterAutospacing="0"/>
                    <w:ind w:left="0" w:right="0"/>
                    <w:jc w:val="center"/>
                    <w:rPr>
                      <w:rFonts w:hint="eastAsia"/>
                      <w:b/>
                      <w:bCs/>
                      <w:color w:val="auto"/>
                      <w:sz w:val="21"/>
                      <w:szCs w:val="21"/>
                      <w:highlight w:val="none"/>
                    </w:rPr>
                  </w:pPr>
                  <w:r>
                    <w:rPr>
                      <w:rFonts w:hint="eastAsia"/>
                      <w:b/>
                      <w:bCs/>
                      <w:color w:val="auto"/>
                      <w:sz w:val="21"/>
                      <w:szCs w:val="21"/>
                      <w:highlight w:val="none"/>
                    </w:rPr>
                    <w:t>产污设施编号</w:t>
                  </w:r>
                </w:p>
              </w:tc>
              <w:tc>
                <w:tcPr>
                  <w:tcW w:w="675" w:type="pct"/>
                  <w:tcBorders>
                    <w:tl2br w:val="nil"/>
                    <w:tr2bl w:val="nil"/>
                  </w:tcBorders>
                  <w:noWrap w:val="0"/>
                  <w:vAlign w:val="center"/>
                </w:tcPr>
                <w:p w14:paraId="246E384A">
                  <w:pPr>
                    <w:keepNext w:val="0"/>
                    <w:keepLines w:val="0"/>
                    <w:suppressLineNumbers w:val="0"/>
                    <w:spacing w:before="0" w:beforeAutospacing="0" w:after="0" w:afterAutospacing="0"/>
                    <w:ind w:left="0" w:right="0"/>
                    <w:jc w:val="center"/>
                    <w:rPr>
                      <w:rFonts w:hint="eastAsia"/>
                      <w:b/>
                      <w:bCs/>
                      <w:color w:val="auto"/>
                      <w:sz w:val="21"/>
                      <w:szCs w:val="21"/>
                      <w:highlight w:val="none"/>
                    </w:rPr>
                  </w:pPr>
                  <w:r>
                    <w:rPr>
                      <w:rFonts w:hint="eastAsia"/>
                      <w:b/>
                      <w:bCs/>
                      <w:color w:val="auto"/>
                      <w:sz w:val="21"/>
                      <w:szCs w:val="21"/>
                      <w:highlight w:val="none"/>
                    </w:rPr>
                    <w:t>产污环节</w:t>
                  </w:r>
                </w:p>
              </w:tc>
              <w:tc>
                <w:tcPr>
                  <w:tcW w:w="1012" w:type="pct"/>
                  <w:tcBorders>
                    <w:tl2br w:val="nil"/>
                    <w:tr2bl w:val="nil"/>
                  </w:tcBorders>
                  <w:noWrap w:val="0"/>
                  <w:vAlign w:val="center"/>
                </w:tcPr>
                <w:p w14:paraId="66F092C8">
                  <w:pPr>
                    <w:keepNext w:val="0"/>
                    <w:keepLines w:val="0"/>
                    <w:suppressLineNumbers w:val="0"/>
                    <w:spacing w:before="0" w:beforeAutospacing="0" w:after="0" w:afterAutospacing="0"/>
                    <w:ind w:left="0" w:right="0"/>
                    <w:jc w:val="center"/>
                    <w:rPr>
                      <w:rFonts w:hint="eastAsia"/>
                      <w:b/>
                      <w:bCs/>
                      <w:color w:val="auto"/>
                      <w:sz w:val="21"/>
                      <w:szCs w:val="21"/>
                      <w:highlight w:val="none"/>
                    </w:rPr>
                  </w:pPr>
                  <w:r>
                    <w:rPr>
                      <w:rFonts w:hint="eastAsia"/>
                      <w:b/>
                      <w:bCs/>
                      <w:color w:val="auto"/>
                      <w:sz w:val="21"/>
                      <w:szCs w:val="21"/>
                      <w:highlight w:val="none"/>
                    </w:rPr>
                    <w:t>污染物种类</w:t>
                  </w:r>
                </w:p>
              </w:tc>
              <w:tc>
                <w:tcPr>
                  <w:tcW w:w="675" w:type="pct"/>
                  <w:tcBorders>
                    <w:tl2br w:val="nil"/>
                    <w:tr2bl w:val="nil"/>
                  </w:tcBorders>
                  <w:noWrap w:val="0"/>
                  <w:vAlign w:val="center"/>
                </w:tcPr>
                <w:p w14:paraId="2E142A97">
                  <w:pPr>
                    <w:keepNext w:val="0"/>
                    <w:keepLines w:val="0"/>
                    <w:suppressLineNumbers w:val="0"/>
                    <w:spacing w:before="0" w:beforeAutospacing="0" w:after="0" w:afterAutospacing="0"/>
                    <w:ind w:left="0" w:right="0"/>
                    <w:jc w:val="center"/>
                    <w:rPr>
                      <w:rFonts w:hint="eastAsia"/>
                      <w:b/>
                      <w:bCs/>
                      <w:color w:val="auto"/>
                      <w:sz w:val="21"/>
                      <w:szCs w:val="21"/>
                      <w:highlight w:val="none"/>
                    </w:rPr>
                  </w:pPr>
                  <w:r>
                    <w:rPr>
                      <w:rFonts w:hint="eastAsia"/>
                      <w:b/>
                      <w:bCs/>
                      <w:color w:val="auto"/>
                      <w:sz w:val="21"/>
                      <w:szCs w:val="21"/>
                      <w:highlight w:val="none"/>
                    </w:rPr>
                    <w:t>排放形式</w:t>
                  </w:r>
                </w:p>
              </w:tc>
              <w:tc>
                <w:tcPr>
                  <w:tcW w:w="593" w:type="pct"/>
                  <w:tcBorders>
                    <w:tl2br w:val="nil"/>
                    <w:tr2bl w:val="nil"/>
                  </w:tcBorders>
                  <w:noWrap w:val="0"/>
                  <w:vAlign w:val="center"/>
                </w:tcPr>
                <w:p w14:paraId="7CEB8AC6">
                  <w:pPr>
                    <w:keepNext w:val="0"/>
                    <w:keepLines w:val="0"/>
                    <w:suppressLineNumbers w:val="0"/>
                    <w:spacing w:before="0" w:beforeAutospacing="0" w:after="0" w:afterAutospacing="0"/>
                    <w:ind w:left="0" w:right="0"/>
                    <w:jc w:val="center"/>
                    <w:rPr>
                      <w:rFonts w:hint="default"/>
                      <w:b/>
                      <w:bCs/>
                      <w:color w:val="auto"/>
                      <w:sz w:val="21"/>
                      <w:szCs w:val="21"/>
                      <w:highlight w:val="none"/>
                    </w:rPr>
                  </w:pPr>
                  <w:r>
                    <w:rPr>
                      <w:rFonts w:hint="eastAsia"/>
                      <w:b/>
                      <w:bCs/>
                      <w:color w:val="auto"/>
                      <w:sz w:val="21"/>
                      <w:szCs w:val="21"/>
                      <w:highlight w:val="none"/>
                    </w:rPr>
                    <w:t>其他</w:t>
                  </w:r>
                </w:p>
                <w:p w14:paraId="40FC91F3">
                  <w:pPr>
                    <w:keepNext w:val="0"/>
                    <w:keepLines w:val="0"/>
                    <w:suppressLineNumbers w:val="0"/>
                    <w:spacing w:before="0" w:beforeAutospacing="0" w:after="0" w:afterAutospacing="0"/>
                    <w:ind w:left="0" w:right="0"/>
                    <w:jc w:val="center"/>
                    <w:rPr>
                      <w:rFonts w:hint="eastAsia"/>
                      <w:b/>
                      <w:bCs/>
                      <w:color w:val="auto"/>
                      <w:sz w:val="21"/>
                      <w:szCs w:val="21"/>
                      <w:highlight w:val="none"/>
                    </w:rPr>
                  </w:pPr>
                  <w:r>
                    <w:rPr>
                      <w:rFonts w:hint="eastAsia"/>
                      <w:b/>
                      <w:bCs/>
                      <w:color w:val="auto"/>
                      <w:sz w:val="21"/>
                      <w:szCs w:val="21"/>
                      <w:highlight w:val="none"/>
                    </w:rPr>
                    <w:t>信息</w:t>
                  </w:r>
                </w:p>
              </w:tc>
            </w:tr>
            <w:tr w14:paraId="6D719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tl2br w:val="nil"/>
                    <w:tr2bl w:val="nil"/>
                  </w:tcBorders>
                  <w:noWrap w:val="0"/>
                  <w:vAlign w:val="center"/>
                </w:tcPr>
                <w:p w14:paraId="66DAD163">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1</w:t>
                  </w:r>
                </w:p>
              </w:tc>
              <w:tc>
                <w:tcPr>
                  <w:tcW w:w="928" w:type="pct"/>
                  <w:tcBorders>
                    <w:tl2br w:val="nil"/>
                    <w:tr2bl w:val="nil"/>
                  </w:tcBorders>
                  <w:noWrap w:val="0"/>
                  <w:vAlign w:val="center"/>
                </w:tcPr>
                <w:p w14:paraId="6A09862A">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卸油区</w:t>
                  </w:r>
                </w:p>
              </w:tc>
              <w:tc>
                <w:tcPr>
                  <w:tcW w:w="675" w:type="pct"/>
                  <w:tcBorders>
                    <w:tl2br w:val="nil"/>
                    <w:tr2bl w:val="nil"/>
                  </w:tcBorders>
                  <w:noWrap w:val="0"/>
                  <w:vAlign w:val="center"/>
                </w:tcPr>
                <w:p w14:paraId="2B6ADC16">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0001</w:t>
                  </w:r>
                </w:p>
              </w:tc>
              <w:tc>
                <w:tcPr>
                  <w:tcW w:w="675" w:type="pct"/>
                  <w:tcBorders>
                    <w:tl2br w:val="nil"/>
                    <w:tr2bl w:val="nil"/>
                  </w:tcBorders>
                  <w:noWrap w:val="0"/>
                  <w:vAlign w:val="center"/>
                </w:tcPr>
                <w:p w14:paraId="61DF0D0F">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卸油</w:t>
                  </w:r>
                </w:p>
              </w:tc>
              <w:tc>
                <w:tcPr>
                  <w:tcW w:w="1012" w:type="pct"/>
                  <w:tcBorders>
                    <w:tl2br w:val="nil"/>
                    <w:tr2bl w:val="nil"/>
                  </w:tcBorders>
                  <w:noWrap w:val="0"/>
                  <w:vAlign w:val="center"/>
                </w:tcPr>
                <w:p w14:paraId="57376973">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非甲烷总烃</w:t>
                  </w:r>
                </w:p>
              </w:tc>
              <w:tc>
                <w:tcPr>
                  <w:tcW w:w="675" w:type="pct"/>
                  <w:tcBorders>
                    <w:tl2br w:val="nil"/>
                    <w:tr2bl w:val="nil"/>
                  </w:tcBorders>
                  <w:noWrap w:val="0"/>
                  <w:vAlign w:val="center"/>
                </w:tcPr>
                <w:p w14:paraId="16AE0FC0">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无组织</w:t>
                  </w:r>
                </w:p>
              </w:tc>
              <w:tc>
                <w:tcPr>
                  <w:tcW w:w="593" w:type="pct"/>
                  <w:tcBorders>
                    <w:tl2br w:val="nil"/>
                    <w:tr2bl w:val="nil"/>
                  </w:tcBorders>
                  <w:noWrap w:val="0"/>
                  <w:vAlign w:val="center"/>
                </w:tcPr>
                <w:p w14:paraId="7B1C65DD">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w:t>
                  </w:r>
                </w:p>
              </w:tc>
            </w:tr>
            <w:tr w14:paraId="58D81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tl2br w:val="nil"/>
                    <w:tr2bl w:val="nil"/>
                  </w:tcBorders>
                  <w:noWrap w:val="0"/>
                  <w:vAlign w:val="center"/>
                </w:tcPr>
                <w:p w14:paraId="2C24AB73">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2</w:t>
                  </w:r>
                </w:p>
              </w:tc>
              <w:tc>
                <w:tcPr>
                  <w:tcW w:w="928" w:type="pct"/>
                  <w:tcBorders>
                    <w:tl2br w:val="nil"/>
                    <w:tr2bl w:val="nil"/>
                  </w:tcBorders>
                  <w:noWrap w:val="0"/>
                  <w:vAlign w:val="center"/>
                </w:tcPr>
                <w:p w14:paraId="0114ADBA">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油罐区</w:t>
                  </w:r>
                </w:p>
              </w:tc>
              <w:tc>
                <w:tcPr>
                  <w:tcW w:w="675" w:type="pct"/>
                  <w:tcBorders>
                    <w:tl2br w:val="nil"/>
                    <w:tr2bl w:val="nil"/>
                  </w:tcBorders>
                  <w:noWrap w:val="0"/>
                  <w:vAlign w:val="center"/>
                </w:tcPr>
                <w:p w14:paraId="3115A240">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w:t>
                  </w:r>
                  <w:r>
                    <w:rPr>
                      <w:rFonts w:hint="eastAsia"/>
                      <w:color w:val="auto"/>
                      <w:sz w:val="21"/>
                      <w:szCs w:val="21"/>
                      <w:highlight w:val="none"/>
                    </w:rPr>
                    <w:t>2</w:t>
                  </w:r>
                </w:p>
              </w:tc>
              <w:tc>
                <w:tcPr>
                  <w:tcW w:w="675" w:type="pct"/>
                  <w:tcBorders>
                    <w:tl2br w:val="nil"/>
                    <w:tr2bl w:val="nil"/>
                  </w:tcBorders>
                  <w:noWrap w:val="0"/>
                  <w:vAlign w:val="center"/>
                </w:tcPr>
                <w:p w14:paraId="00EC2BE6">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储油</w:t>
                  </w:r>
                </w:p>
              </w:tc>
              <w:tc>
                <w:tcPr>
                  <w:tcW w:w="1012" w:type="pct"/>
                  <w:tcBorders>
                    <w:tl2br w:val="nil"/>
                    <w:tr2bl w:val="nil"/>
                  </w:tcBorders>
                  <w:noWrap w:val="0"/>
                  <w:vAlign w:val="center"/>
                </w:tcPr>
                <w:p w14:paraId="37690EB7">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非甲烷总烃</w:t>
                  </w:r>
                </w:p>
              </w:tc>
              <w:tc>
                <w:tcPr>
                  <w:tcW w:w="675" w:type="pct"/>
                  <w:tcBorders>
                    <w:tl2br w:val="nil"/>
                    <w:tr2bl w:val="nil"/>
                  </w:tcBorders>
                  <w:noWrap w:val="0"/>
                  <w:vAlign w:val="center"/>
                </w:tcPr>
                <w:p w14:paraId="3CB482DE">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无组织</w:t>
                  </w:r>
                </w:p>
              </w:tc>
              <w:tc>
                <w:tcPr>
                  <w:tcW w:w="593" w:type="pct"/>
                  <w:tcBorders>
                    <w:tl2br w:val="nil"/>
                    <w:tr2bl w:val="nil"/>
                  </w:tcBorders>
                  <w:noWrap w:val="0"/>
                  <w:vAlign w:val="center"/>
                </w:tcPr>
                <w:p w14:paraId="07896739">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w:t>
                  </w:r>
                </w:p>
              </w:tc>
            </w:tr>
            <w:tr w14:paraId="3C24F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tl2br w:val="nil"/>
                    <w:tr2bl w:val="nil"/>
                  </w:tcBorders>
                  <w:noWrap w:val="0"/>
                  <w:vAlign w:val="center"/>
                </w:tcPr>
                <w:p w14:paraId="2284BC8E">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3</w:t>
                  </w:r>
                </w:p>
              </w:tc>
              <w:tc>
                <w:tcPr>
                  <w:tcW w:w="928" w:type="pct"/>
                  <w:tcBorders>
                    <w:tl2br w:val="nil"/>
                    <w:tr2bl w:val="nil"/>
                  </w:tcBorders>
                  <w:noWrap w:val="0"/>
                  <w:vAlign w:val="center"/>
                </w:tcPr>
                <w:p w14:paraId="7C55C5C1">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加油机</w:t>
                  </w:r>
                </w:p>
              </w:tc>
              <w:tc>
                <w:tcPr>
                  <w:tcW w:w="675" w:type="pct"/>
                  <w:tcBorders>
                    <w:tl2br w:val="nil"/>
                    <w:tr2bl w:val="nil"/>
                  </w:tcBorders>
                  <w:noWrap w:val="0"/>
                  <w:vAlign w:val="center"/>
                </w:tcPr>
                <w:p w14:paraId="3F5DF584">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w:t>
                  </w:r>
                  <w:r>
                    <w:rPr>
                      <w:rFonts w:hint="eastAsia"/>
                      <w:color w:val="auto"/>
                      <w:sz w:val="21"/>
                      <w:szCs w:val="21"/>
                      <w:highlight w:val="none"/>
                    </w:rPr>
                    <w:t>3</w:t>
                  </w:r>
                </w:p>
              </w:tc>
              <w:tc>
                <w:tcPr>
                  <w:tcW w:w="675" w:type="pct"/>
                  <w:tcBorders>
                    <w:tl2br w:val="nil"/>
                    <w:tr2bl w:val="nil"/>
                  </w:tcBorders>
                  <w:noWrap w:val="0"/>
                  <w:vAlign w:val="center"/>
                </w:tcPr>
                <w:p w14:paraId="3F8EAEFD">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加油</w:t>
                  </w:r>
                </w:p>
              </w:tc>
              <w:tc>
                <w:tcPr>
                  <w:tcW w:w="1012" w:type="pct"/>
                  <w:tcBorders>
                    <w:tl2br w:val="nil"/>
                    <w:tr2bl w:val="nil"/>
                  </w:tcBorders>
                  <w:noWrap w:val="0"/>
                  <w:vAlign w:val="center"/>
                </w:tcPr>
                <w:p w14:paraId="1C20E44D">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非甲烷总烃</w:t>
                  </w:r>
                </w:p>
              </w:tc>
              <w:tc>
                <w:tcPr>
                  <w:tcW w:w="675" w:type="pct"/>
                  <w:tcBorders>
                    <w:tl2br w:val="nil"/>
                    <w:tr2bl w:val="nil"/>
                  </w:tcBorders>
                  <w:noWrap w:val="0"/>
                  <w:vAlign w:val="center"/>
                </w:tcPr>
                <w:p w14:paraId="2B3CA96D">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无组织</w:t>
                  </w:r>
                </w:p>
              </w:tc>
              <w:tc>
                <w:tcPr>
                  <w:tcW w:w="593" w:type="pct"/>
                  <w:tcBorders>
                    <w:tl2br w:val="nil"/>
                    <w:tr2bl w:val="nil"/>
                  </w:tcBorders>
                  <w:noWrap w:val="0"/>
                  <w:vAlign w:val="center"/>
                </w:tcPr>
                <w:p w14:paraId="7A46D751">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w:t>
                  </w:r>
                </w:p>
              </w:tc>
            </w:tr>
            <w:tr w14:paraId="19E1A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tl2br w:val="nil"/>
                    <w:tr2bl w:val="nil"/>
                  </w:tcBorders>
                  <w:noWrap w:val="0"/>
                  <w:vAlign w:val="center"/>
                </w:tcPr>
                <w:p w14:paraId="4600C001">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4</w:t>
                  </w:r>
                </w:p>
              </w:tc>
              <w:tc>
                <w:tcPr>
                  <w:tcW w:w="928" w:type="pct"/>
                  <w:tcBorders>
                    <w:tl2br w:val="nil"/>
                    <w:tr2bl w:val="nil"/>
                  </w:tcBorders>
                  <w:noWrap w:val="0"/>
                  <w:vAlign w:val="center"/>
                </w:tcPr>
                <w:p w14:paraId="7C45829C">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LNG卸车区</w:t>
                  </w:r>
                </w:p>
              </w:tc>
              <w:tc>
                <w:tcPr>
                  <w:tcW w:w="675" w:type="pct"/>
                  <w:tcBorders>
                    <w:tl2br w:val="nil"/>
                    <w:tr2bl w:val="nil"/>
                  </w:tcBorders>
                  <w:noWrap w:val="0"/>
                  <w:vAlign w:val="center"/>
                </w:tcPr>
                <w:p w14:paraId="49AB4951">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w:t>
                  </w:r>
                  <w:r>
                    <w:rPr>
                      <w:rFonts w:hint="eastAsia"/>
                      <w:color w:val="auto"/>
                      <w:sz w:val="21"/>
                      <w:szCs w:val="21"/>
                      <w:highlight w:val="none"/>
                    </w:rPr>
                    <w:t>4</w:t>
                  </w:r>
                </w:p>
              </w:tc>
              <w:tc>
                <w:tcPr>
                  <w:tcW w:w="675" w:type="pct"/>
                  <w:tcBorders>
                    <w:tl2br w:val="nil"/>
                    <w:tr2bl w:val="nil"/>
                  </w:tcBorders>
                  <w:noWrap w:val="0"/>
                  <w:vAlign w:val="center"/>
                </w:tcPr>
                <w:p w14:paraId="131774F5">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LNG卸气</w:t>
                  </w:r>
                </w:p>
              </w:tc>
              <w:tc>
                <w:tcPr>
                  <w:tcW w:w="1012" w:type="pct"/>
                  <w:tcBorders>
                    <w:tl2br w:val="nil"/>
                    <w:tr2bl w:val="nil"/>
                  </w:tcBorders>
                  <w:noWrap w:val="0"/>
                  <w:vAlign w:val="center"/>
                </w:tcPr>
                <w:p w14:paraId="1EAC0B1C">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非甲烷总烃</w:t>
                  </w:r>
                </w:p>
              </w:tc>
              <w:tc>
                <w:tcPr>
                  <w:tcW w:w="675" w:type="pct"/>
                  <w:tcBorders>
                    <w:tl2br w:val="nil"/>
                    <w:tr2bl w:val="nil"/>
                  </w:tcBorders>
                  <w:noWrap w:val="0"/>
                  <w:vAlign w:val="center"/>
                </w:tcPr>
                <w:p w14:paraId="7AD95A3F">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无组织</w:t>
                  </w:r>
                </w:p>
              </w:tc>
              <w:tc>
                <w:tcPr>
                  <w:tcW w:w="593" w:type="pct"/>
                  <w:tcBorders>
                    <w:tl2br w:val="nil"/>
                    <w:tr2bl w:val="nil"/>
                  </w:tcBorders>
                  <w:noWrap w:val="0"/>
                  <w:vAlign w:val="center"/>
                </w:tcPr>
                <w:p w14:paraId="075CB7B7">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w:t>
                  </w:r>
                </w:p>
              </w:tc>
            </w:tr>
            <w:tr w14:paraId="6BA22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tl2br w:val="nil"/>
                    <w:tr2bl w:val="nil"/>
                  </w:tcBorders>
                  <w:noWrap w:val="0"/>
                  <w:vAlign w:val="center"/>
                </w:tcPr>
                <w:p w14:paraId="4A941134">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5</w:t>
                  </w:r>
                </w:p>
              </w:tc>
              <w:tc>
                <w:tcPr>
                  <w:tcW w:w="928" w:type="pct"/>
                  <w:tcBorders>
                    <w:tl2br w:val="nil"/>
                    <w:tr2bl w:val="nil"/>
                  </w:tcBorders>
                  <w:noWrap w:val="0"/>
                  <w:vAlign w:val="center"/>
                </w:tcPr>
                <w:p w14:paraId="1CE0324E">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LNG储罐区</w:t>
                  </w:r>
                </w:p>
              </w:tc>
              <w:tc>
                <w:tcPr>
                  <w:tcW w:w="675" w:type="pct"/>
                  <w:tcBorders>
                    <w:tl2br w:val="nil"/>
                    <w:tr2bl w:val="nil"/>
                  </w:tcBorders>
                  <w:noWrap w:val="0"/>
                  <w:vAlign w:val="center"/>
                </w:tcPr>
                <w:p w14:paraId="629F715F">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w:t>
                  </w:r>
                  <w:r>
                    <w:rPr>
                      <w:rFonts w:hint="eastAsia"/>
                      <w:color w:val="auto"/>
                      <w:sz w:val="21"/>
                      <w:szCs w:val="21"/>
                      <w:highlight w:val="none"/>
                    </w:rPr>
                    <w:t>5</w:t>
                  </w:r>
                </w:p>
              </w:tc>
              <w:tc>
                <w:tcPr>
                  <w:tcW w:w="675" w:type="pct"/>
                  <w:tcBorders>
                    <w:tl2br w:val="nil"/>
                    <w:tr2bl w:val="nil"/>
                  </w:tcBorders>
                  <w:noWrap w:val="0"/>
                  <w:vAlign w:val="center"/>
                </w:tcPr>
                <w:p w14:paraId="69E5B454">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储气</w:t>
                  </w:r>
                </w:p>
              </w:tc>
              <w:tc>
                <w:tcPr>
                  <w:tcW w:w="1012" w:type="pct"/>
                  <w:tcBorders>
                    <w:tl2br w:val="nil"/>
                    <w:tr2bl w:val="nil"/>
                  </w:tcBorders>
                  <w:noWrap w:val="0"/>
                  <w:vAlign w:val="center"/>
                </w:tcPr>
                <w:p w14:paraId="3B12C9B9">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非甲烷总烃</w:t>
                  </w:r>
                </w:p>
              </w:tc>
              <w:tc>
                <w:tcPr>
                  <w:tcW w:w="675" w:type="pct"/>
                  <w:tcBorders>
                    <w:tl2br w:val="nil"/>
                    <w:tr2bl w:val="nil"/>
                  </w:tcBorders>
                  <w:noWrap w:val="0"/>
                  <w:vAlign w:val="center"/>
                </w:tcPr>
                <w:p w14:paraId="5AF646F4">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无组织</w:t>
                  </w:r>
                </w:p>
              </w:tc>
              <w:tc>
                <w:tcPr>
                  <w:tcW w:w="593" w:type="pct"/>
                  <w:tcBorders>
                    <w:tl2br w:val="nil"/>
                    <w:tr2bl w:val="nil"/>
                  </w:tcBorders>
                  <w:noWrap w:val="0"/>
                  <w:vAlign w:val="center"/>
                </w:tcPr>
                <w:p w14:paraId="558CE9D0">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w:t>
                  </w:r>
                </w:p>
              </w:tc>
            </w:tr>
            <w:tr w14:paraId="2C942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tl2br w:val="nil"/>
                    <w:tr2bl w:val="nil"/>
                  </w:tcBorders>
                  <w:noWrap w:val="0"/>
                  <w:vAlign w:val="center"/>
                </w:tcPr>
                <w:p w14:paraId="1EEDC9A0">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6</w:t>
                  </w:r>
                </w:p>
              </w:tc>
              <w:tc>
                <w:tcPr>
                  <w:tcW w:w="928" w:type="pct"/>
                  <w:tcBorders>
                    <w:tl2br w:val="nil"/>
                    <w:tr2bl w:val="nil"/>
                  </w:tcBorders>
                  <w:noWrap w:val="0"/>
                  <w:vAlign w:val="center"/>
                </w:tcPr>
                <w:p w14:paraId="5EE125CB">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加气机</w:t>
                  </w:r>
                </w:p>
              </w:tc>
              <w:tc>
                <w:tcPr>
                  <w:tcW w:w="675" w:type="pct"/>
                  <w:tcBorders>
                    <w:tl2br w:val="nil"/>
                    <w:tr2bl w:val="nil"/>
                  </w:tcBorders>
                  <w:noWrap w:val="0"/>
                  <w:vAlign w:val="center"/>
                </w:tcPr>
                <w:p w14:paraId="640C1148">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w:t>
                  </w:r>
                  <w:r>
                    <w:rPr>
                      <w:rFonts w:hint="eastAsia"/>
                      <w:color w:val="auto"/>
                      <w:sz w:val="21"/>
                      <w:szCs w:val="21"/>
                      <w:highlight w:val="none"/>
                    </w:rPr>
                    <w:t>6</w:t>
                  </w:r>
                </w:p>
              </w:tc>
              <w:tc>
                <w:tcPr>
                  <w:tcW w:w="675" w:type="pct"/>
                  <w:tcBorders>
                    <w:tl2br w:val="nil"/>
                    <w:tr2bl w:val="nil"/>
                  </w:tcBorders>
                  <w:noWrap w:val="0"/>
                  <w:vAlign w:val="center"/>
                </w:tcPr>
                <w:p w14:paraId="3B865B31">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加气</w:t>
                  </w:r>
                </w:p>
              </w:tc>
              <w:tc>
                <w:tcPr>
                  <w:tcW w:w="1012" w:type="pct"/>
                  <w:tcBorders>
                    <w:tl2br w:val="nil"/>
                    <w:tr2bl w:val="nil"/>
                  </w:tcBorders>
                  <w:noWrap w:val="0"/>
                  <w:vAlign w:val="center"/>
                </w:tcPr>
                <w:p w14:paraId="0D6065F5">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非甲烷总烃</w:t>
                  </w:r>
                </w:p>
              </w:tc>
              <w:tc>
                <w:tcPr>
                  <w:tcW w:w="675" w:type="pct"/>
                  <w:tcBorders>
                    <w:tl2br w:val="nil"/>
                    <w:tr2bl w:val="nil"/>
                  </w:tcBorders>
                  <w:noWrap w:val="0"/>
                  <w:vAlign w:val="center"/>
                </w:tcPr>
                <w:p w14:paraId="208F147C">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无组织</w:t>
                  </w:r>
                </w:p>
              </w:tc>
              <w:tc>
                <w:tcPr>
                  <w:tcW w:w="593" w:type="pct"/>
                  <w:tcBorders>
                    <w:tl2br w:val="nil"/>
                    <w:tr2bl w:val="nil"/>
                  </w:tcBorders>
                  <w:noWrap w:val="0"/>
                  <w:vAlign w:val="center"/>
                </w:tcPr>
                <w:p w14:paraId="0843F099">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w:t>
                  </w:r>
                </w:p>
              </w:tc>
            </w:tr>
            <w:tr w14:paraId="3B9CD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tl2br w:val="nil"/>
                    <w:tr2bl w:val="nil"/>
                  </w:tcBorders>
                  <w:noWrap w:val="0"/>
                  <w:vAlign w:val="center"/>
                </w:tcPr>
                <w:p w14:paraId="6E051D46">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7</w:t>
                  </w:r>
                </w:p>
              </w:tc>
              <w:tc>
                <w:tcPr>
                  <w:tcW w:w="928" w:type="pct"/>
                  <w:tcBorders>
                    <w:tl2br w:val="nil"/>
                    <w:tr2bl w:val="nil"/>
                  </w:tcBorders>
                  <w:noWrap w:val="0"/>
                  <w:vAlign w:val="center"/>
                </w:tcPr>
                <w:p w14:paraId="5A767EF7">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lang w:val="en-US" w:eastAsia="zh-CN"/>
                    </w:rPr>
                    <w:t>撬装柴油</w:t>
                  </w:r>
                  <w:r>
                    <w:rPr>
                      <w:rFonts w:hint="eastAsia"/>
                      <w:color w:val="auto"/>
                      <w:sz w:val="21"/>
                      <w:szCs w:val="21"/>
                      <w:highlight w:val="none"/>
                    </w:rPr>
                    <w:t>发电机</w:t>
                  </w:r>
                </w:p>
              </w:tc>
              <w:tc>
                <w:tcPr>
                  <w:tcW w:w="675" w:type="pct"/>
                  <w:tcBorders>
                    <w:tl2br w:val="nil"/>
                    <w:tr2bl w:val="nil"/>
                  </w:tcBorders>
                  <w:noWrap w:val="0"/>
                  <w:vAlign w:val="center"/>
                </w:tcPr>
                <w:p w14:paraId="48399B75">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w:t>
                  </w:r>
                  <w:r>
                    <w:rPr>
                      <w:rFonts w:hint="eastAsia"/>
                      <w:color w:val="auto"/>
                      <w:sz w:val="21"/>
                      <w:szCs w:val="21"/>
                      <w:highlight w:val="none"/>
                    </w:rPr>
                    <w:t>7</w:t>
                  </w:r>
                </w:p>
              </w:tc>
              <w:tc>
                <w:tcPr>
                  <w:tcW w:w="675" w:type="pct"/>
                  <w:tcBorders>
                    <w:tl2br w:val="nil"/>
                    <w:tr2bl w:val="nil"/>
                  </w:tcBorders>
                  <w:noWrap w:val="0"/>
                  <w:vAlign w:val="center"/>
                </w:tcPr>
                <w:p w14:paraId="7C241D1A">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柴油发电</w:t>
                  </w:r>
                </w:p>
              </w:tc>
              <w:tc>
                <w:tcPr>
                  <w:tcW w:w="1012" w:type="pct"/>
                  <w:tcBorders>
                    <w:tl2br w:val="nil"/>
                    <w:tr2bl w:val="nil"/>
                  </w:tcBorders>
                  <w:noWrap w:val="0"/>
                  <w:vAlign w:val="center"/>
                </w:tcPr>
                <w:p w14:paraId="407F10CA">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S</w:t>
                  </w:r>
                  <w:r>
                    <w:rPr>
                      <w:rFonts w:hint="default"/>
                      <w:color w:val="auto"/>
                      <w:sz w:val="21"/>
                      <w:szCs w:val="21"/>
                      <w:highlight w:val="none"/>
                    </w:rPr>
                    <w:t>O</w:t>
                  </w:r>
                  <w:r>
                    <w:rPr>
                      <w:rFonts w:hint="eastAsia"/>
                      <w:color w:val="auto"/>
                      <w:sz w:val="21"/>
                      <w:szCs w:val="21"/>
                      <w:highlight w:val="none"/>
                      <w:vertAlign w:val="subscript"/>
                    </w:rPr>
                    <w:t>2</w:t>
                  </w:r>
                  <w:r>
                    <w:rPr>
                      <w:rFonts w:hint="eastAsia"/>
                      <w:color w:val="auto"/>
                      <w:sz w:val="21"/>
                      <w:szCs w:val="21"/>
                      <w:highlight w:val="none"/>
                    </w:rPr>
                    <w:t>、NO</w:t>
                  </w:r>
                  <w:r>
                    <w:rPr>
                      <w:rFonts w:hint="default"/>
                      <w:color w:val="auto"/>
                      <w:sz w:val="21"/>
                      <w:szCs w:val="21"/>
                      <w:highlight w:val="none"/>
                    </w:rPr>
                    <w:t>x</w:t>
                  </w:r>
                  <w:r>
                    <w:rPr>
                      <w:rFonts w:hint="eastAsia"/>
                      <w:color w:val="auto"/>
                      <w:sz w:val="21"/>
                      <w:szCs w:val="21"/>
                      <w:highlight w:val="none"/>
                    </w:rPr>
                    <w:t>、烟尘</w:t>
                  </w:r>
                </w:p>
              </w:tc>
              <w:tc>
                <w:tcPr>
                  <w:tcW w:w="675" w:type="pct"/>
                  <w:tcBorders>
                    <w:tl2br w:val="nil"/>
                    <w:tr2bl w:val="nil"/>
                  </w:tcBorders>
                  <w:noWrap w:val="0"/>
                  <w:vAlign w:val="center"/>
                </w:tcPr>
                <w:p w14:paraId="1D4C8375">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无组织</w:t>
                  </w:r>
                </w:p>
              </w:tc>
              <w:tc>
                <w:tcPr>
                  <w:tcW w:w="593" w:type="pct"/>
                  <w:tcBorders>
                    <w:tl2br w:val="nil"/>
                    <w:tr2bl w:val="nil"/>
                  </w:tcBorders>
                  <w:noWrap w:val="0"/>
                  <w:vAlign w:val="center"/>
                </w:tcPr>
                <w:p w14:paraId="23804A65">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停电时使用</w:t>
                  </w:r>
                </w:p>
              </w:tc>
            </w:tr>
            <w:tr w14:paraId="11EAC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tcBorders>
                    <w:tl2br w:val="nil"/>
                    <w:tr2bl w:val="nil"/>
                  </w:tcBorders>
                  <w:noWrap w:val="0"/>
                  <w:vAlign w:val="center"/>
                </w:tcPr>
                <w:p w14:paraId="5D78EC8C">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8</w:t>
                  </w:r>
                </w:p>
              </w:tc>
              <w:tc>
                <w:tcPr>
                  <w:tcW w:w="928" w:type="pct"/>
                  <w:tcBorders>
                    <w:tl2br w:val="nil"/>
                    <w:tr2bl w:val="nil"/>
                  </w:tcBorders>
                  <w:noWrap w:val="0"/>
                  <w:vAlign w:val="center"/>
                </w:tcPr>
                <w:p w14:paraId="0002AA0C">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加油加气站内</w:t>
                  </w:r>
                </w:p>
              </w:tc>
              <w:tc>
                <w:tcPr>
                  <w:tcW w:w="675" w:type="pct"/>
                  <w:tcBorders>
                    <w:tl2br w:val="nil"/>
                    <w:tr2bl w:val="nil"/>
                  </w:tcBorders>
                  <w:noWrap w:val="0"/>
                  <w:vAlign w:val="center"/>
                </w:tcPr>
                <w:p w14:paraId="3AB37D49">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w:t>
                  </w:r>
                </w:p>
              </w:tc>
              <w:tc>
                <w:tcPr>
                  <w:tcW w:w="675" w:type="pct"/>
                  <w:tcBorders>
                    <w:tl2br w:val="nil"/>
                    <w:tr2bl w:val="nil"/>
                  </w:tcBorders>
                  <w:noWrap w:val="0"/>
                  <w:vAlign w:val="center"/>
                </w:tcPr>
                <w:p w14:paraId="5F352B2B">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进出车辆</w:t>
                  </w:r>
                </w:p>
              </w:tc>
              <w:tc>
                <w:tcPr>
                  <w:tcW w:w="1012" w:type="pct"/>
                  <w:tcBorders>
                    <w:tl2br w:val="nil"/>
                    <w:tr2bl w:val="nil"/>
                  </w:tcBorders>
                  <w:noWrap w:val="0"/>
                  <w:vAlign w:val="center"/>
                </w:tcPr>
                <w:p w14:paraId="7C405D0A">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S</w:t>
                  </w:r>
                  <w:r>
                    <w:rPr>
                      <w:rFonts w:hint="default"/>
                      <w:color w:val="auto"/>
                      <w:sz w:val="21"/>
                      <w:szCs w:val="21"/>
                      <w:highlight w:val="none"/>
                    </w:rPr>
                    <w:t>O</w:t>
                  </w:r>
                  <w:r>
                    <w:rPr>
                      <w:rFonts w:hint="eastAsia"/>
                      <w:color w:val="auto"/>
                      <w:sz w:val="21"/>
                      <w:szCs w:val="21"/>
                      <w:highlight w:val="none"/>
                      <w:vertAlign w:val="subscript"/>
                    </w:rPr>
                    <w:t>2</w:t>
                  </w:r>
                  <w:r>
                    <w:rPr>
                      <w:rFonts w:hint="eastAsia"/>
                      <w:color w:val="auto"/>
                      <w:sz w:val="21"/>
                      <w:szCs w:val="21"/>
                      <w:highlight w:val="none"/>
                    </w:rPr>
                    <w:t>、NO</w:t>
                  </w:r>
                  <w:r>
                    <w:rPr>
                      <w:rFonts w:hint="default"/>
                      <w:color w:val="auto"/>
                      <w:sz w:val="21"/>
                      <w:szCs w:val="21"/>
                      <w:highlight w:val="none"/>
                    </w:rPr>
                    <w:t>x</w:t>
                  </w:r>
                  <w:r>
                    <w:rPr>
                      <w:rFonts w:hint="eastAsia"/>
                      <w:color w:val="auto"/>
                      <w:sz w:val="21"/>
                      <w:szCs w:val="21"/>
                      <w:highlight w:val="none"/>
                    </w:rPr>
                    <w:t>、</w:t>
                  </w:r>
                  <w:r>
                    <w:rPr>
                      <w:rFonts w:hint="default"/>
                      <w:color w:val="auto"/>
                      <w:sz w:val="21"/>
                      <w:szCs w:val="21"/>
                      <w:highlight w:val="none"/>
                    </w:rPr>
                    <w:t>HC</w:t>
                  </w:r>
                </w:p>
              </w:tc>
              <w:tc>
                <w:tcPr>
                  <w:tcW w:w="675" w:type="pct"/>
                  <w:tcBorders>
                    <w:tl2br w:val="nil"/>
                    <w:tr2bl w:val="nil"/>
                  </w:tcBorders>
                  <w:noWrap w:val="0"/>
                  <w:vAlign w:val="center"/>
                </w:tcPr>
                <w:p w14:paraId="0821E0C7">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无组织</w:t>
                  </w:r>
                </w:p>
              </w:tc>
              <w:tc>
                <w:tcPr>
                  <w:tcW w:w="593" w:type="pct"/>
                  <w:tcBorders>
                    <w:tl2br w:val="nil"/>
                    <w:tr2bl w:val="nil"/>
                  </w:tcBorders>
                  <w:noWrap w:val="0"/>
                  <w:vAlign w:val="center"/>
                </w:tcPr>
                <w:p w14:paraId="711ED2E1">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w:t>
                  </w:r>
                </w:p>
              </w:tc>
            </w:tr>
          </w:tbl>
          <w:p w14:paraId="4460D6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361" w:firstLineChars="15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eastAsia="zh-CN"/>
              </w:rPr>
              <w:t>（</w:t>
            </w:r>
            <w:r>
              <w:rPr>
                <w:rFonts w:hint="default" w:ascii="Times New Roman" w:hAnsi="Times New Roman" w:cs="Times New Roman"/>
                <w:b/>
                <w:color w:val="auto"/>
                <w:sz w:val="24"/>
                <w:szCs w:val="24"/>
                <w:highlight w:val="none"/>
              </w:rPr>
              <w:t>3</w:t>
            </w:r>
            <w:r>
              <w:rPr>
                <w:rFonts w:hint="default" w:ascii="Times New Roman" w:hAnsi="Times New Roman" w:cs="Times New Roman"/>
                <w:b/>
                <w:color w:val="auto"/>
                <w:sz w:val="24"/>
                <w:szCs w:val="24"/>
                <w:highlight w:val="none"/>
                <w:lang w:eastAsia="zh-CN"/>
              </w:rPr>
              <w:t>）</w:t>
            </w:r>
            <w:r>
              <w:rPr>
                <w:rFonts w:hint="default" w:ascii="Times New Roman" w:hAnsi="Times New Roman" w:cs="Times New Roman"/>
                <w:b/>
                <w:color w:val="auto"/>
                <w:sz w:val="24"/>
                <w:szCs w:val="24"/>
                <w:highlight w:val="none"/>
              </w:rPr>
              <w:t>污染物排放信息</w:t>
            </w:r>
          </w:p>
          <w:p w14:paraId="47769E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本项目废气污染物排放信息见下表：</w:t>
            </w:r>
          </w:p>
        </w:tc>
      </w:tr>
    </w:tbl>
    <w:p w14:paraId="30ECC77F">
      <w:pPr>
        <w:spacing w:line="360" w:lineRule="auto"/>
        <w:rPr>
          <w:rFonts w:hint="default" w:ascii="Times New Roman" w:hAnsi="Times New Roman" w:cs="Times New Roman"/>
          <w:b/>
          <w:color w:val="auto"/>
          <w:sz w:val="28"/>
          <w:szCs w:val="28"/>
          <w:highlight w:val="none"/>
        </w:rPr>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pPr>
    </w:p>
    <w:tbl>
      <w:tblPr>
        <w:tblStyle w:val="24"/>
        <w:tblW w:w="14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3976"/>
      </w:tblGrid>
      <w:tr w14:paraId="00FA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4" w:type="dxa"/>
            <w:noWrap w:val="0"/>
            <w:vAlign w:val="center"/>
          </w:tcPr>
          <w:p w14:paraId="27A0570C">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运营</w:t>
            </w:r>
          </w:p>
          <w:p w14:paraId="7F9DBE16">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期环</w:t>
            </w:r>
          </w:p>
          <w:p w14:paraId="52695A05">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境影</w:t>
            </w:r>
          </w:p>
          <w:p w14:paraId="54B7E22F">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响和</w:t>
            </w:r>
          </w:p>
          <w:p w14:paraId="656C69ED">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保护</w:t>
            </w:r>
          </w:p>
          <w:p w14:paraId="0A516581">
            <w:pPr>
              <w:keepNext w:val="0"/>
              <w:keepLines w:val="0"/>
              <w:suppressLineNumbers w:val="0"/>
              <w:tabs>
                <w:tab w:val="left" w:pos="1005"/>
              </w:tabs>
              <w:spacing w:before="0" w:beforeAutospacing="0" w:after="0" w:afterAutospacing="0" w:line="360" w:lineRule="auto"/>
              <w:ind w:left="0" w:right="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措施</w:t>
            </w:r>
          </w:p>
        </w:tc>
        <w:tc>
          <w:tcPr>
            <w:tcW w:w="13976" w:type="dxa"/>
            <w:noWrap w:val="0"/>
            <w:vAlign w:val="top"/>
          </w:tcPr>
          <w:p w14:paraId="5DADCA29">
            <w:pPr>
              <w:keepNext w:val="0"/>
              <w:keepLines w:val="0"/>
              <w:suppressLineNumbers w:val="0"/>
              <w:spacing w:before="0" w:beforeAutospacing="0" w:after="0" w:afterAutospacing="0" w:line="360" w:lineRule="auto"/>
              <w:ind w:left="0" w:right="0" w:firstLine="422" w:firstLineChars="200"/>
              <w:jc w:val="center"/>
              <w:rPr>
                <w:rFonts w:hint="eastAsia" w:ascii="Times New Roman" w:hAnsi="Times New Roman" w:eastAsia="黑体" w:cs="Times New Roman"/>
                <w:b/>
                <w:bCs/>
                <w:color w:val="auto"/>
                <w:kern w:val="0"/>
                <w:sz w:val="21"/>
                <w:szCs w:val="21"/>
                <w:highlight w:val="none"/>
                <w:lang w:val="en-US" w:eastAsia="zh-CN"/>
              </w:rPr>
            </w:pPr>
            <w:r>
              <w:rPr>
                <w:rFonts w:hint="eastAsia" w:ascii="Times New Roman" w:hAnsi="Times New Roman" w:eastAsia="黑体" w:cs="Times New Roman"/>
                <w:b/>
                <w:bCs/>
                <w:color w:val="auto"/>
                <w:kern w:val="0"/>
                <w:sz w:val="21"/>
                <w:szCs w:val="21"/>
                <w:highlight w:val="none"/>
                <w:lang w:val="en-US" w:eastAsia="zh-CN"/>
              </w:rPr>
              <w:t>表4-</w:t>
            </w:r>
            <w:r>
              <w:rPr>
                <w:rFonts w:hint="eastAsia" w:eastAsia="黑体" w:cs="Times New Roman"/>
                <w:b/>
                <w:bCs/>
                <w:color w:val="auto"/>
                <w:kern w:val="0"/>
                <w:sz w:val="21"/>
                <w:szCs w:val="21"/>
                <w:highlight w:val="none"/>
                <w:lang w:val="en-US" w:eastAsia="zh-CN"/>
              </w:rPr>
              <w:t xml:space="preserve">6 </w:t>
            </w:r>
            <w:r>
              <w:rPr>
                <w:rFonts w:hint="eastAsia" w:ascii="Times New Roman" w:hAnsi="Times New Roman" w:eastAsia="黑体" w:cs="Times New Roman"/>
                <w:b/>
                <w:bCs/>
                <w:color w:val="auto"/>
                <w:kern w:val="0"/>
                <w:sz w:val="21"/>
                <w:szCs w:val="21"/>
                <w:highlight w:val="none"/>
                <w:lang w:val="en-US" w:eastAsia="zh-CN"/>
              </w:rPr>
              <w:t>大气污染物无组织排放表</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542"/>
              <w:gridCol w:w="1063"/>
              <w:gridCol w:w="1368"/>
              <w:gridCol w:w="4232"/>
              <w:gridCol w:w="2153"/>
              <w:gridCol w:w="2004"/>
              <w:gridCol w:w="699"/>
            </w:tblGrid>
            <w:tr w14:paraId="223CB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vMerge w:val="restart"/>
                  <w:tcBorders>
                    <w:tl2br w:val="nil"/>
                    <w:tr2bl w:val="nil"/>
                  </w:tcBorders>
                  <w:noWrap w:val="0"/>
                  <w:vAlign w:val="center"/>
                </w:tcPr>
                <w:p w14:paraId="28B6B43A">
                  <w:pPr>
                    <w:keepNext w:val="0"/>
                    <w:keepLines w:val="0"/>
                    <w:suppressLineNumbers w:val="0"/>
                    <w:spacing w:before="0" w:beforeAutospacing="0" w:after="0" w:afterAutospacing="0" w:line="240" w:lineRule="auto"/>
                    <w:ind w:left="0" w:right="0"/>
                    <w:jc w:val="center"/>
                    <w:rPr>
                      <w:rFonts w:hint="eastAsia"/>
                      <w:b/>
                      <w:bCs/>
                      <w:color w:val="auto"/>
                      <w:sz w:val="21"/>
                      <w:szCs w:val="21"/>
                      <w:highlight w:val="none"/>
                    </w:rPr>
                  </w:pPr>
                  <w:r>
                    <w:rPr>
                      <w:rFonts w:hint="eastAsia"/>
                      <w:b/>
                      <w:bCs/>
                      <w:color w:val="auto"/>
                      <w:sz w:val="21"/>
                      <w:szCs w:val="21"/>
                      <w:highlight w:val="none"/>
                    </w:rPr>
                    <w:t>序号</w:t>
                  </w:r>
                </w:p>
              </w:tc>
              <w:tc>
                <w:tcPr>
                  <w:tcW w:w="560" w:type="pct"/>
                  <w:vMerge w:val="restart"/>
                  <w:tcBorders>
                    <w:tl2br w:val="nil"/>
                    <w:tr2bl w:val="nil"/>
                  </w:tcBorders>
                  <w:noWrap w:val="0"/>
                  <w:vAlign w:val="center"/>
                </w:tcPr>
                <w:p w14:paraId="2A61B15C">
                  <w:pPr>
                    <w:keepNext w:val="0"/>
                    <w:keepLines w:val="0"/>
                    <w:suppressLineNumbers w:val="0"/>
                    <w:spacing w:before="0" w:beforeAutospacing="0" w:after="0" w:afterAutospacing="0" w:line="240" w:lineRule="auto"/>
                    <w:ind w:left="0" w:right="0"/>
                    <w:jc w:val="center"/>
                    <w:rPr>
                      <w:rFonts w:hint="eastAsia"/>
                      <w:b/>
                      <w:bCs/>
                      <w:color w:val="auto"/>
                      <w:sz w:val="21"/>
                      <w:szCs w:val="21"/>
                      <w:highlight w:val="none"/>
                    </w:rPr>
                  </w:pPr>
                  <w:r>
                    <w:rPr>
                      <w:rFonts w:hint="eastAsia"/>
                      <w:b/>
                      <w:bCs/>
                      <w:color w:val="auto"/>
                      <w:sz w:val="21"/>
                      <w:szCs w:val="21"/>
                      <w:highlight w:val="none"/>
                    </w:rPr>
                    <w:t>产污设施编号</w:t>
                  </w:r>
                </w:p>
              </w:tc>
              <w:tc>
                <w:tcPr>
                  <w:tcW w:w="386" w:type="pct"/>
                  <w:vMerge w:val="restart"/>
                  <w:tcBorders>
                    <w:tl2br w:val="nil"/>
                    <w:tr2bl w:val="nil"/>
                  </w:tcBorders>
                  <w:noWrap w:val="0"/>
                  <w:vAlign w:val="center"/>
                </w:tcPr>
                <w:p w14:paraId="2EC47BDE">
                  <w:pPr>
                    <w:keepNext w:val="0"/>
                    <w:keepLines w:val="0"/>
                    <w:suppressLineNumbers w:val="0"/>
                    <w:spacing w:before="0" w:beforeAutospacing="0" w:after="0" w:afterAutospacing="0" w:line="240" w:lineRule="auto"/>
                    <w:ind w:left="0" w:right="0"/>
                    <w:jc w:val="center"/>
                    <w:rPr>
                      <w:rFonts w:hint="eastAsia"/>
                      <w:b/>
                      <w:bCs/>
                      <w:color w:val="auto"/>
                      <w:sz w:val="21"/>
                      <w:szCs w:val="21"/>
                      <w:highlight w:val="none"/>
                    </w:rPr>
                  </w:pPr>
                  <w:r>
                    <w:rPr>
                      <w:rFonts w:hint="eastAsia"/>
                      <w:b/>
                      <w:bCs/>
                      <w:color w:val="auto"/>
                      <w:sz w:val="21"/>
                      <w:szCs w:val="21"/>
                      <w:highlight w:val="none"/>
                    </w:rPr>
                    <w:t>产污环节</w:t>
                  </w:r>
                </w:p>
              </w:tc>
              <w:tc>
                <w:tcPr>
                  <w:tcW w:w="497" w:type="pct"/>
                  <w:vMerge w:val="restart"/>
                  <w:tcBorders>
                    <w:tl2br w:val="nil"/>
                    <w:tr2bl w:val="nil"/>
                  </w:tcBorders>
                  <w:noWrap w:val="0"/>
                  <w:vAlign w:val="center"/>
                </w:tcPr>
                <w:p w14:paraId="61689AFE">
                  <w:pPr>
                    <w:keepNext w:val="0"/>
                    <w:keepLines w:val="0"/>
                    <w:suppressLineNumbers w:val="0"/>
                    <w:spacing w:before="0" w:beforeAutospacing="0" w:after="0" w:afterAutospacing="0" w:line="240" w:lineRule="auto"/>
                    <w:ind w:left="0" w:right="0"/>
                    <w:jc w:val="center"/>
                    <w:rPr>
                      <w:rFonts w:hint="eastAsia"/>
                      <w:b/>
                      <w:bCs/>
                      <w:color w:val="auto"/>
                      <w:sz w:val="21"/>
                      <w:szCs w:val="21"/>
                      <w:highlight w:val="none"/>
                    </w:rPr>
                  </w:pPr>
                  <w:r>
                    <w:rPr>
                      <w:rFonts w:hint="eastAsia"/>
                      <w:b/>
                      <w:bCs/>
                      <w:color w:val="auto"/>
                      <w:sz w:val="21"/>
                      <w:szCs w:val="21"/>
                      <w:highlight w:val="none"/>
                    </w:rPr>
                    <w:t>污染物种类</w:t>
                  </w:r>
                </w:p>
              </w:tc>
              <w:tc>
                <w:tcPr>
                  <w:tcW w:w="1537" w:type="pct"/>
                  <w:vMerge w:val="restart"/>
                  <w:tcBorders>
                    <w:tl2br w:val="nil"/>
                    <w:tr2bl w:val="nil"/>
                  </w:tcBorders>
                  <w:noWrap w:val="0"/>
                  <w:vAlign w:val="center"/>
                </w:tcPr>
                <w:p w14:paraId="06A0C7D9">
                  <w:pPr>
                    <w:keepNext w:val="0"/>
                    <w:keepLines w:val="0"/>
                    <w:suppressLineNumbers w:val="0"/>
                    <w:spacing w:before="0" w:beforeAutospacing="0" w:after="0" w:afterAutospacing="0" w:line="240" w:lineRule="auto"/>
                    <w:ind w:left="0" w:right="0"/>
                    <w:jc w:val="center"/>
                    <w:rPr>
                      <w:rFonts w:hint="eastAsia"/>
                      <w:b/>
                      <w:bCs/>
                      <w:color w:val="auto"/>
                      <w:sz w:val="21"/>
                      <w:szCs w:val="21"/>
                      <w:highlight w:val="none"/>
                    </w:rPr>
                  </w:pPr>
                  <w:r>
                    <w:rPr>
                      <w:rFonts w:hint="eastAsia"/>
                      <w:b/>
                      <w:bCs/>
                      <w:color w:val="auto"/>
                      <w:sz w:val="21"/>
                      <w:szCs w:val="21"/>
                      <w:highlight w:val="none"/>
                    </w:rPr>
                    <w:t>主要污染防治措施</w:t>
                  </w:r>
                </w:p>
              </w:tc>
              <w:tc>
                <w:tcPr>
                  <w:tcW w:w="1510" w:type="pct"/>
                  <w:gridSpan w:val="2"/>
                  <w:tcBorders>
                    <w:tl2br w:val="nil"/>
                    <w:tr2bl w:val="nil"/>
                  </w:tcBorders>
                  <w:noWrap w:val="0"/>
                  <w:vAlign w:val="center"/>
                </w:tcPr>
                <w:p w14:paraId="32D6B2B8">
                  <w:pPr>
                    <w:keepNext w:val="0"/>
                    <w:keepLines w:val="0"/>
                    <w:suppressLineNumbers w:val="0"/>
                    <w:spacing w:before="0" w:beforeAutospacing="0" w:after="0" w:afterAutospacing="0" w:line="240" w:lineRule="auto"/>
                    <w:ind w:left="0" w:right="0"/>
                    <w:jc w:val="center"/>
                    <w:rPr>
                      <w:rFonts w:hint="eastAsia"/>
                      <w:b/>
                      <w:bCs/>
                      <w:color w:val="auto"/>
                      <w:sz w:val="21"/>
                      <w:szCs w:val="21"/>
                      <w:highlight w:val="none"/>
                    </w:rPr>
                  </w:pPr>
                  <w:r>
                    <w:rPr>
                      <w:rFonts w:hint="eastAsia"/>
                      <w:b/>
                      <w:bCs/>
                      <w:color w:val="auto"/>
                      <w:sz w:val="21"/>
                      <w:szCs w:val="21"/>
                      <w:highlight w:val="none"/>
                    </w:rPr>
                    <w:t>排放标准</w:t>
                  </w:r>
                </w:p>
              </w:tc>
              <w:tc>
                <w:tcPr>
                  <w:tcW w:w="254" w:type="pct"/>
                  <w:vMerge w:val="restart"/>
                  <w:tcBorders>
                    <w:tl2br w:val="nil"/>
                    <w:tr2bl w:val="nil"/>
                  </w:tcBorders>
                  <w:noWrap w:val="0"/>
                  <w:vAlign w:val="center"/>
                </w:tcPr>
                <w:p w14:paraId="37A4977B">
                  <w:pPr>
                    <w:keepNext w:val="0"/>
                    <w:keepLines w:val="0"/>
                    <w:suppressLineNumbers w:val="0"/>
                    <w:spacing w:before="0" w:beforeAutospacing="0" w:after="0" w:afterAutospacing="0" w:line="240" w:lineRule="auto"/>
                    <w:ind w:left="0" w:right="0"/>
                    <w:jc w:val="center"/>
                    <w:rPr>
                      <w:rFonts w:hint="default"/>
                      <w:b/>
                      <w:bCs/>
                      <w:color w:val="auto"/>
                      <w:sz w:val="21"/>
                      <w:szCs w:val="21"/>
                      <w:highlight w:val="none"/>
                    </w:rPr>
                  </w:pPr>
                  <w:r>
                    <w:rPr>
                      <w:rFonts w:hint="eastAsia"/>
                      <w:b/>
                      <w:bCs/>
                      <w:color w:val="auto"/>
                      <w:sz w:val="21"/>
                      <w:szCs w:val="21"/>
                      <w:highlight w:val="none"/>
                    </w:rPr>
                    <w:t>其他</w:t>
                  </w:r>
                </w:p>
                <w:p w14:paraId="6F17BD57">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b/>
                      <w:bCs/>
                      <w:color w:val="auto"/>
                      <w:sz w:val="21"/>
                      <w:szCs w:val="21"/>
                      <w:highlight w:val="none"/>
                    </w:rPr>
                    <w:t>信息</w:t>
                  </w:r>
                </w:p>
              </w:tc>
            </w:tr>
            <w:tr w14:paraId="0F523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vMerge w:val="continue"/>
                  <w:tcBorders>
                    <w:tl2br w:val="nil"/>
                    <w:tr2bl w:val="nil"/>
                  </w:tcBorders>
                  <w:noWrap w:val="0"/>
                  <w:vAlign w:val="center"/>
                </w:tcPr>
                <w:p w14:paraId="0BA22159">
                  <w:pPr>
                    <w:keepNext w:val="0"/>
                    <w:keepLines w:val="0"/>
                    <w:suppressLineNumbers w:val="0"/>
                    <w:spacing w:before="0" w:beforeAutospacing="0" w:after="0" w:afterAutospacing="0" w:line="240" w:lineRule="auto"/>
                    <w:ind w:left="0" w:right="0"/>
                    <w:jc w:val="center"/>
                    <w:rPr>
                      <w:rFonts w:hint="eastAsia"/>
                      <w:b/>
                      <w:bCs/>
                      <w:color w:val="auto"/>
                      <w:sz w:val="21"/>
                      <w:szCs w:val="21"/>
                      <w:highlight w:val="none"/>
                    </w:rPr>
                  </w:pPr>
                </w:p>
              </w:tc>
              <w:tc>
                <w:tcPr>
                  <w:tcW w:w="560" w:type="pct"/>
                  <w:vMerge w:val="continue"/>
                  <w:tcBorders>
                    <w:tl2br w:val="nil"/>
                    <w:tr2bl w:val="nil"/>
                  </w:tcBorders>
                  <w:noWrap w:val="0"/>
                  <w:vAlign w:val="center"/>
                </w:tcPr>
                <w:p w14:paraId="631969B9">
                  <w:pPr>
                    <w:keepNext w:val="0"/>
                    <w:keepLines w:val="0"/>
                    <w:suppressLineNumbers w:val="0"/>
                    <w:spacing w:before="0" w:beforeAutospacing="0" w:after="0" w:afterAutospacing="0" w:line="240" w:lineRule="auto"/>
                    <w:ind w:left="0" w:right="0"/>
                    <w:jc w:val="center"/>
                    <w:rPr>
                      <w:rFonts w:hint="eastAsia"/>
                      <w:b/>
                      <w:bCs/>
                      <w:color w:val="auto"/>
                      <w:sz w:val="21"/>
                      <w:szCs w:val="21"/>
                      <w:highlight w:val="none"/>
                    </w:rPr>
                  </w:pPr>
                </w:p>
              </w:tc>
              <w:tc>
                <w:tcPr>
                  <w:tcW w:w="386" w:type="pct"/>
                  <w:vMerge w:val="continue"/>
                  <w:tcBorders>
                    <w:tl2br w:val="nil"/>
                    <w:tr2bl w:val="nil"/>
                  </w:tcBorders>
                  <w:noWrap w:val="0"/>
                  <w:vAlign w:val="center"/>
                </w:tcPr>
                <w:p w14:paraId="7E14765F">
                  <w:pPr>
                    <w:keepNext w:val="0"/>
                    <w:keepLines w:val="0"/>
                    <w:suppressLineNumbers w:val="0"/>
                    <w:spacing w:before="0" w:beforeAutospacing="0" w:after="0" w:afterAutospacing="0" w:line="240" w:lineRule="auto"/>
                    <w:ind w:left="0" w:right="0"/>
                    <w:jc w:val="center"/>
                    <w:rPr>
                      <w:rFonts w:hint="eastAsia"/>
                      <w:b/>
                      <w:bCs/>
                      <w:color w:val="auto"/>
                      <w:sz w:val="21"/>
                      <w:szCs w:val="21"/>
                      <w:highlight w:val="none"/>
                    </w:rPr>
                  </w:pPr>
                </w:p>
              </w:tc>
              <w:tc>
                <w:tcPr>
                  <w:tcW w:w="497" w:type="pct"/>
                  <w:vMerge w:val="continue"/>
                  <w:tcBorders>
                    <w:tl2br w:val="nil"/>
                    <w:tr2bl w:val="nil"/>
                  </w:tcBorders>
                  <w:noWrap w:val="0"/>
                  <w:vAlign w:val="center"/>
                </w:tcPr>
                <w:p w14:paraId="0C1BB195">
                  <w:pPr>
                    <w:keepNext w:val="0"/>
                    <w:keepLines w:val="0"/>
                    <w:suppressLineNumbers w:val="0"/>
                    <w:spacing w:before="0" w:beforeAutospacing="0" w:after="0" w:afterAutospacing="0" w:line="240" w:lineRule="auto"/>
                    <w:ind w:left="0" w:right="0"/>
                    <w:jc w:val="center"/>
                    <w:rPr>
                      <w:rFonts w:hint="eastAsia"/>
                      <w:b/>
                      <w:bCs/>
                      <w:color w:val="auto"/>
                      <w:sz w:val="21"/>
                      <w:szCs w:val="21"/>
                      <w:highlight w:val="none"/>
                    </w:rPr>
                  </w:pPr>
                </w:p>
              </w:tc>
              <w:tc>
                <w:tcPr>
                  <w:tcW w:w="1537" w:type="pct"/>
                  <w:vMerge w:val="continue"/>
                  <w:tcBorders>
                    <w:tl2br w:val="nil"/>
                    <w:tr2bl w:val="nil"/>
                  </w:tcBorders>
                  <w:noWrap w:val="0"/>
                  <w:vAlign w:val="center"/>
                </w:tcPr>
                <w:p w14:paraId="371BE303">
                  <w:pPr>
                    <w:keepNext w:val="0"/>
                    <w:keepLines w:val="0"/>
                    <w:suppressLineNumbers w:val="0"/>
                    <w:spacing w:before="0" w:beforeAutospacing="0" w:after="0" w:afterAutospacing="0" w:line="240" w:lineRule="auto"/>
                    <w:ind w:left="0" w:right="0"/>
                    <w:jc w:val="center"/>
                    <w:rPr>
                      <w:rFonts w:hint="eastAsia"/>
                      <w:b/>
                      <w:bCs/>
                      <w:color w:val="auto"/>
                      <w:sz w:val="21"/>
                      <w:szCs w:val="21"/>
                      <w:highlight w:val="none"/>
                    </w:rPr>
                  </w:pPr>
                </w:p>
              </w:tc>
              <w:tc>
                <w:tcPr>
                  <w:tcW w:w="782" w:type="pct"/>
                  <w:tcBorders>
                    <w:tl2br w:val="nil"/>
                    <w:tr2bl w:val="nil"/>
                  </w:tcBorders>
                  <w:noWrap w:val="0"/>
                  <w:vAlign w:val="center"/>
                </w:tcPr>
                <w:p w14:paraId="7EF6AA76">
                  <w:pPr>
                    <w:keepNext w:val="0"/>
                    <w:keepLines w:val="0"/>
                    <w:suppressLineNumbers w:val="0"/>
                    <w:spacing w:before="0" w:beforeAutospacing="0" w:after="0" w:afterAutospacing="0" w:line="240" w:lineRule="auto"/>
                    <w:ind w:left="0" w:right="0"/>
                    <w:jc w:val="center"/>
                    <w:rPr>
                      <w:rFonts w:hint="eastAsia"/>
                      <w:b/>
                      <w:bCs/>
                      <w:color w:val="auto"/>
                      <w:sz w:val="21"/>
                      <w:szCs w:val="21"/>
                      <w:highlight w:val="none"/>
                    </w:rPr>
                  </w:pPr>
                  <w:r>
                    <w:rPr>
                      <w:rFonts w:hint="eastAsia"/>
                      <w:b/>
                      <w:bCs/>
                      <w:color w:val="auto"/>
                      <w:sz w:val="21"/>
                      <w:szCs w:val="21"/>
                      <w:highlight w:val="none"/>
                    </w:rPr>
                    <w:t>名称</w:t>
                  </w:r>
                </w:p>
              </w:tc>
              <w:tc>
                <w:tcPr>
                  <w:tcW w:w="728" w:type="pct"/>
                  <w:tcBorders>
                    <w:tl2br w:val="nil"/>
                    <w:tr2bl w:val="nil"/>
                  </w:tcBorders>
                  <w:noWrap w:val="0"/>
                  <w:vAlign w:val="center"/>
                </w:tcPr>
                <w:p w14:paraId="1A6A6FCE">
                  <w:pPr>
                    <w:keepNext w:val="0"/>
                    <w:keepLines w:val="0"/>
                    <w:suppressLineNumbers w:val="0"/>
                    <w:spacing w:before="0" w:beforeAutospacing="0" w:after="0" w:afterAutospacing="0" w:line="240" w:lineRule="auto"/>
                    <w:ind w:left="0" w:right="0"/>
                    <w:jc w:val="center"/>
                    <w:rPr>
                      <w:rFonts w:hint="eastAsia"/>
                      <w:b/>
                      <w:bCs/>
                      <w:color w:val="auto"/>
                      <w:sz w:val="21"/>
                      <w:szCs w:val="21"/>
                      <w:highlight w:val="none"/>
                    </w:rPr>
                  </w:pPr>
                  <w:r>
                    <w:rPr>
                      <w:rFonts w:hint="eastAsia"/>
                      <w:b/>
                      <w:bCs/>
                      <w:color w:val="auto"/>
                      <w:sz w:val="21"/>
                      <w:szCs w:val="21"/>
                      <w:highlight w:val="none"/>
                    </w:rPr>
                    <w:t>浓度限值（mg/</w:t>
                  </w:r>
                  <w:r>
                    <w:rPr>
                      <w:rFonts w:hint="default"/>
                      <w:b/>
                      <w:bCs/>
                      <w:color w:val="auto"/>
                      <w:sz w:val="21"/>
                      <w:szCs w:val="21"/>
                      <w:highlight w:val="none"/>
                    </w:rPr>
                    <w:t>m</w:t>
                  </w:r>
                  <w:r>
                    <w:rPr>
                      <w:rFonts w:hint="eastAsia"/>
                      <w:b/>
                      <w:bCs/>
                      <w:color w:val="auto"/>
                      <w:sz w:val="21"/>
                      <w:szCs w:val="21"/>
                      <w:highlight w:val="none"/>
                      <w:vertAlign w:val="superscript"/>
                    </w:rPr>
                    <w:t>3</w:t>
                  </w:r>
                  <w:r>
                    <w:rPr>
                      <w:rFonts w:hint="eastAsia"/>
                      <w:b/>
                      <w:bCs/>
                      <w:color w:val="auto"/>
                      <w:sz w:val="21"/>
                      <w:szCs w:val="21"/>
                      <w:highlight w:val="none"/>
                    </w:rPr>
                    <w:t>）</w:t>
                  </w:r>
                </w:p>
              </w:tc>
              <w:tc>
                <w:tcPr>
                  <w:tcW w:w="254" w:type="pct"/>
                  <w:vMerge w:val="continue"/>
                  <w:tcBorders>
                    <w:tl2br w:val="nil"/>
                    <w:tr2bl w:val="nil"/>
                  </w:tcBorders>
                  <w:noWrap w:val="0"/>
                  <w:vAlign w:val="center"/>
                </w:tcPr>
                <w:p w14:paraId="7ECF89FC">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r>
            <w:tr w14:paraId="1197F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tcBorders>
                    <w:tl2br w:val="nil"/>
                    <w:tr2bl w:val="nil"/>
                  </w:tcBorders>
                  <w:noWrap w:val="0"/>
                  <w:vAlign w:val="center"/>
                </w:tcPr>
                <w:p w14:paraId="5CD66122">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1</w:t>
                  </w:r>
                </w:p>
              </w:tc>
              <w:tc>
                <w:tcPr>
                  <w:tcW w:w="560" w:type="pct"/>
                  <w:tcBorders>
                    <w:tl2br w:val="nil"/>
                    <w:tr2bl w:val="nil"/>
                  </w:tcBorders>
                  <w:noWrap w:val="0"/>
                  <w:vAlign w:val="center"/>
                </w:tcPr>
                <w:p w14:paraId="5E288526">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0001</w:t>
                  </w:r>
                </w:p>
              </w:tc>
              <w:tc>
                <w:tcPr>
                  <w:tcW w:w="386" w:type="pct"/>
                  <w:tcBorders>
                    <w:tl2br w:val="nil"/>
                    <w:tr2bl w:val="nil"/>
                  </w:tcBorders>
                  <w:noWrap w:val="0"/>
                  <w:vAlign w:val="center"/>
                </w:tcPr>
                <w:p w14:paraId="5F5147DF">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卸油</w:t>
                  </w:r>
                </w:p>
              </w:tc>
              <w:tc>
                <w:tcPr>
                  <w:tcW w:w="497" w:type="pct"/>
                  <w:vMerge w:val="restart"/>
                  <w:tcBorders>
                    <w:tl2br w:val="nil"/>
                    <w:tr2bl w:val="nil"/>
                  </w:tcBorders>
                  <w:noWrap w:val="0"/>
                  <w:vAlign w:val="center"/>
                </w:tcPr>
                <w:p w14:paraId="7CA785D6">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非甲烷总烃</w:t>
                  </w:r>
                </w:p>
              </w:tc>
              <w:tc>
                <w:tcPr>
                  <w:tcW w:w="1537" w:type="pct"/>
                  <w:vMerge w:val="restart"/>
                  <w:tcBorders>
                    <w:tl2br w:val="nil"/>
                    <w:tr2bl w:val="nil"/>
                  </w:tcBorders>
                  <w:noWrap w:val="0"/>
                  <w:vAlign w:val="center"/>
                </w:tcPr>
                <w:p w14:paraId="0AC4D19C">
                  <w:pPr>
                    <w:keepNext w:val="0"/>
                    <w:keepLines w:val="0"/>
                    <w:suppressLineNumbers w:val="0"/>
                    <w:spacing w:before="0" w:beforeAutospacing="0" w:after="0" w:afterAutospacing="0" w:line="240" w:lineRule="auto"/>
                    <w:ind w:left="0" w:right="0"/>
                    <w:jc w:val="center"/>
                    <w:rPr>
                      <w:rFonts w:hint="eastAsia"/>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设置一</w:t>
                  </w:r>
                  <w:r>
                    <w:rPr>
                      <w:rFonts w:hint="eastAsia"/>
                      <w:color w:val="000000" w:themeColor="text1"/>
                      <w:sz w:val="21"/>
                      <w:szCs w:val="21"/>
                      <w:highlight w:val="none"/>
                      <w14:textFill>
                        <w14:solidFill>
                          <w14:schemeClr w14:val="tx1"/>
                        </w14:solidFill>
                      </w14:textFill>
                    </w:rPr>
                    <w:t>、二、三</w:t>
                  </w:r>
                  <w:r>
                    <w:rPr>
                      <w:rFonts w:hint="default"/>
                      <w:color w:val="000000" w:themeColor="text1"/>
                      <w:sz w:val="21"/>
                      <w:szCs w:val="21"/>
                      <w:highlight w:val="none"/>
                      <w14:textFill>
                        <w14:solidFill>
                          <w14:schemeClr w14:val="tx1"/>
                        </w14:solidFill>
                      </w14:textFill>
                    </w:rPr>
                    <w:t>次油气回收系统，收集到的油气直接由气相转化为液相，经管道排入储油罐，其余未能收集的</w:t>
                  </w:r>
                  <w:r>
                    <w:rPr>
                      <w:rFonts w:hint="eastAsia"/>
                      <w:color w:val="000000" w:themeColor="text1"/>
                      <w:sz w:val="21"/>
                      <w:szCs w:val="21"/>
                      <w:highlight w:val="none"/>
                      <w14:textFill>
                        <w14:solidFill>
                          <w14:schemeClr w14:val="tx1"/>
                        </w14:solidFill>
                      </w14:textFill>
                    </w:rPr>
                    <w:t>油气经油气处理装置处理后通过</w:t>
                  </w:r>
                  <w:r>
                    <w:rPr>
                      <w:rFonts w:hint="eastAsia" w:cs="Times New Roman"/>
                      <w:color w:val="000000" w:themeColor="text1"/>
                      <w:sz w:val="21"/>
                      <w:szCs w:val="21"/>
                      <w:highlight w:val="none"/>
                      <w:shd w:val="clear" w:color="auto" w:fill="FFFFFF"/>
                      <w:lang w:val="en-US" w:eastAsia="zh-CN"/>
                      <w14:textFill>
                        <w14:solidFill>
                          <w14:schemeClr w14:val="tx1"/>
                        </w14:solidFill>
                      </w14:textFill>
                    </w:rPr>
                    <w:t>离地高度9m以上</w:t>
                  </w:r>
                  <w:r>
                    <w:rPr>
                      <w:rFonts w:hint="eastAsia" w:cs="Times New Roman"/>
                      <w:color w:val="000000" w:themeColor="text1"/>
                      <w:sz w:val="21"/>
                      <w:szCs w:val="21"/>
                      <w:highlight w:val="none"/>
                      <w:shd w:val="clear" w:color="auto" w:fill="FFFFFF"/>
                      <w:lang w:eastAsia="zh-CN"/>
                      <w14:textFill>
                        <w14:solidFill>
                          <w14:schemeClr w14:val="tx1"/>
                        </w14:solidFill>
                      </w14:textFill>
                    </w:rPr>
                    <w:t>的</w:t>
                  </w:r>
                  <w:r>
                    <w:rPr>
                      <w:rFonts w:hint="eastAsia" w:cs="Times New Roman"/>
                      <w:color w:val="000000" w:themeColor="text1"/>
                      <w:sz w:val="21"/>
                      <w:szCs w:val="21"/>
                      <w:highlight w:val="none"/>
                      <w:shd w:val="clear" w:color="auto" w:fill="FFFFFF"/>
                      <w:lang w:val="en-US" w:eastAsia="zh-CN"/>
                      <w14:textFill>
                        <w14:solidFill>
                          <w14:schemeClr w14:val="tx1"/>
                        </w14:solidFill>
                      </w14:textFill>
                    </w:rPr>
                    <w:t>通气管</w:t>
                  </w:r>
                  <w:r>
                    <w:rPr>
                      <w:rFonts w:hint="eastAsia"/>
                      <w:color w:val="000000" w:themeColor="text1"/>
                      <w:sz w:val="21"/>
                      <w:szCs w:val="21"/>
                      <w:highlight w:val="none"/>
                      <w14:textFill>
                        <w14:solidFill>
                          <w14:schemeClr w14:val="tx1"/>
                        </w14:solidFill>
                      </w14:textFill>
                    </w:rPr>
                    <w:t>排放</w:t>
                  </w:r>
                </w:p>
              </w:tc>
              <w:tc>
                <w:tcPr>
                  <w:tcW w:w="782" w:type="pct"/>
                  <w:vMerge w:val="restart"/>
                  <w:tcBorders>
                    <w:tl2br w:val="nil"/>
                    <w:tr2bl w:val="nil"/>
                  </w:tcBorders>
                  <w:noWrap w:val="0"/>
                  <w:vAlign w:val="center"/>
                </w:tcPr>
                <w:p w14:paraId="5F3E350D">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default"/>
                      <w:color w:val="auto"/>
                      <w:sz w:val="21"/>
                      <w:szCs w:val="21"/>
                      <w:highlight w:val="none"/>
                    </w:rPr>
                    <w:t>《四川省加油站大气污染物排放标准》</w:t>
                  </w:r>
                </w:p>
              </w:tc>
              <w:tc>
                <w:tcPr>
                  <w:tcW w:w="728" w:type="pct"/>
                  <w:vMerge w:val="restart"/>
                  <w:tcBorders>
                    <w:tl2br w:val="nil"/>
                    <w:tr2bl w:val="nil"/>
                  </w:tcBorders>
                  <w:noWrap w:val="0"/>
                  <w:vAlign w:val="center"/>
                </w:tcPr>
                <w:p w14:paraId="20083B60">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4</w:t>
                  </w:r>
                </w:p>
              </w:tc>
              <w:tc>
                <w:tcPr>
                  <w:tcW w:w="254" w:type="pct"/>
                  <w:vMerge w:val="restart"/>
                  <w:tcBorders>
                    <w:tl2br w:val="nil"/>
                    <w:tr2bl w:val="nil"/>
                  </w:tcBorders>
                  <w:noWrap w:val="0"/>
                  <w:vAlign w:val="center"/>
                </w:tcPr>
                <w:p w14:paraId="1212BAE3">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w:t>
                  </w:r>
                </w:p>
              </w:tc>
            </w:tr>
            <w:tr w14:paraId="2ADB7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tcBorders>
                    <w:tl2br w:val="nil"/>
                    <w:tr2bl w:val="nil"/>
                  </w:tcBorders>
                  <w:noWrap w:val="0"/>
                  <w:vAlign w:val="center"/>
                </w:tcPr>
                <w:p w14:paraId="1EA24131">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2</w:t>
                  </w:r>
                </w:p>
              </w:tc>
              <w:tc>
                <w:tcPr>
                  <w:tcW w:w="560" w:type="pct"/>
                  <w:tcBorders>
                    <w:tl2br w:val="nil"/>
                    <w:tr2bl w:val="nil"/>
                  </w:tcBorders>
                  <w:noWrap w:val="0"/>
                  <w:vAlign w:val="center"/>
                </w:tcPr>
                <w:p w14:paraId="4DE6F22B">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w:t>
                  </w:r>
                  <w:r>
                    <w:rPr>
                      <w:rFonts w:hint="eastAsia"/>
                      <w:color w:val="auto"/>
                      <w:sz w:val="21"/>
                      <w:szCs w:val="21"/>
                      <w:highlight w:val="none"/>
                    </w:rPr>
                    <w:t>2</w:t>
                  </w:r>
                </w:p>
              </w:tc>
              <w:tc>
                <w:tcPr>
                  <w:tcW w:w="386" w:type="pct"/>
                  <w:tcBorders>
                    <w:tl2br w:val="nil"/>
                    <w:tr2bl w:val="nil"/>
                  </w:tcBorders>
                  <w:noWrap w:val="0"/>
                  <w:vAlign w:val="center"/>
                </w:tcPr>
                <w:p w14:paraId="37B59F5E">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储油</w:t>
                  </w:r>
                </w:p>
              </w:tc>
              <w:tc>
                <w:tcPr>
                  <w:tcW w:w="497" w:type="pct"/>
                  <w:vMerge w:val="continue"/>
                  <w:tcBorders>
                    <w:tl2br w:val="nil"/>
                    <w:tr2bl w:val="nil"/>
                  </w:tcBorders>
                  <w:noWrap w:val="0"/>
                  <w:vAlign w:val="center"/>
                </w:tcPr>
                <w:p w14:paraId="779EDB6A">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1537" w:type="pct"/>
                  <w:vMerge w:val="continue"/>
                  <w:tcBorders>
                    <w:tl2br w:val="nil"/>
                    <w:tr2bl w:val="nil"/>
                  </w:tcBorders>
                  <w:noWrap w:val="0"/>
                  <w:vAlign w:val="center"/>
                </w:tcPr>
                <w:p w14:paraId="3315E0AD">
                  <w:pPr>
                    <w:keepNext w:val="0"/>
                    <w:keepLines w:val="0"/>
                    <w:suppressLineNumbers w:val="0"/>
                    <w:spacing w:before="0" w:beforeAutospacing="0" w:after="0" w:afterAutospacing="0" w:line="240" w:lineRule="auto"/>
                    <w:ind w:left="0" w:right="0"/>
                    <w:jc w:val="center"/>
                    <w:rPr>
                      <w:rFonts w:hint="eastAsia"/>
                      <w:color w:val="000000" w:themeColor="text1"/>
                      <w:sz w:val="21"/>
                      <w:szCs w:val="21"/>
                      <w:highlight w:val="none"/>
                      <w14:textFill>
                        <w14:solidFill>
                          <w14:schemeClr w14:val="tx1"/>
                        </w14:solidFill>
                      </w14:textFill>
                    </w:rPr>
                  </w:pPr>
                </w:p>
              </w:tc>
              <w:tc>
                <w:tcPr>
                  <w:tcW w:w="782" w:type="pct"/>
                  <w:vMerge w:val="continue"/>
                  <w:tcBorders>
                    <w:tl2br w:val="nil"/>
                    <w:tr2bl w:val="nil"/>
                  </w:tcBorders>
                  <w:noWrap w:val="0"/>
                  <w:vAlign w:val="center"/>
                </w:tcPr>
                <w:p w14:paraId="188DF051">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728" w:type="pct"/>
                  <w:vMerge w:val="continue"/>
                  <w:tcBorders>
                    <w:tl2br w:val="nil"/>
                    <w:tr2bl w:val="nil"/>
                  </w:tcBorders>
                  <w:noWrap w:val="0"/>
                  <w:vAlign w:val="center"/>
                </w:tcPr>
                <w:p w14:paraId="486C8BC7">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254" w:type="pct"/>
                  <w:vMerge w:val="continue"/>
                  <w:tcBorders>
                    <w:tl2br w:val="nil"/>
                    <w:tr2bl w:val="nil"/>
                  </w:tcBorders>
                  <w:noWrap w:val="0"/>
                  <w:vAlign w:val="center"/>
                </w:tcPr>
                <w:p w14:paraId="159BC8B5">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r>
            <w:tr w14:paraId="66E3AA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tcBorders>
                    <w:tl2br w:val="nil"/>
                    <w:tr2bl w:val="nil"/>
                  </w:tcBorders>
                  <w:noWrap w:val="0"/>
                  <w:vAlign w:val="center"/>
                </w:tcPr>
                <w:p w14:paraId="10E58731">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3</w:t>
                  </w:r>
                </w:p>
              </w:tc>
              <w:tc>
                <w:tcPr>
                  <w:tcW w:w="560" w:type="pct"/>
                  <w:tcBorders>
                    <w:tl2br w:val="nil"/>
                    <w:tr2bl w:val="nil"/>
                  </w:tcBorders>
                  <w:noWrap w:val="0"/>
                  <w:vAlign w:val="center"/>
                </w:tcPr>
                <w:p w14:paraId="79729861">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w:t>
                  </w:r>
                  <w:r>
                    <w:rPr>
                      <w:rFonts w:hint="eastAsia"/>
                      <w:color w:val="auto"/>
                      <w:sz w:val="21"/>
                      <w:szCs w:val="21"/>
                      <w:highlight w:val="none"/>
                    </w:rPr>
                    <w:t>3</w:t>
                  </w:r>
                </w:p>
              </w:tc>
              <w:tc>
                <w:tcPr>
                  <w:tcW w:w="386" w:type="pct"/>
                  <w:tcBorders>
                    <w:tl2br w:val="nil"/>
                    <w:tr2bl w:val="nil"/>
                  </w:tcBorders>
                  <w:noWrap w:val="0"/>
                  <w:vAlign w:val="center"/>
                </w:tcPr>
                <w:p w14:paraId="2558A714">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加油</w:t>
                  </w:r>
                </w:p>
              </w:tc>
              <w:tc>
                <w:tcPr>
                  <w:tcW w:w="497" w:type="pct"/>
                  <w:vMerge w:val="continue"/>
                  <w:tcBorders>
                    <w:tl2br w:val="nil"/>
                    <w:tr2bl w:val="nil"/>
                  </w:tcBorders>
                  <w:noWrap w:val="0"/>
                  <w:vAlign w:val="center"/>
                </w:tcPr>
                <w:p w14:paraId="59F4E69A">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1537" w:type="pct"/>
                  <w:vMerge w:val="continue"/>
                  <w:tcBorders>
                    <w:tl2br w:val="nil"/>
                    <w:tr2bl w:val="nil"/>
                  </w:tcBorders>
                  <w:noWrap w:val="0"/>
                  <w:vAlign w:val="center"/>
                </w:tcPr>
                <w:p w14:paraId="57F8194D">
                  <w:pPr>
                    <w:keepNext w:val="0"/>
                    <w:keepLines w:val="0"/>
                    <w:suppressLineNumbers w:val="0"/>
                    <w:spacing w:before="0" w:beforeAutospacing="0" w:after="0" w:afterAutospacing="0" w:line="240" w:lineRule="auto"/>
                    <w:ind w:left="0" w:right="0"/>
                    <w:jc w:val="center"/>
                    <w:rPr>
                      <w:rFonts w:hint="eastAsia"/>
                      <w:color w:val="000000" w:themeColor="text1"/>
                      <w:sz w:val="21"/>
                      <w:szCs w:val="21"/>
                      <w:highlight w:val="none"/>
                      <w14:textFill>
                        <w14:solidFill>
                          <w14:schemeClr w14:val="tx1"/>
                        </w14:solidFill>
                      </w14:textFill>
                    </w:rPr>
                  </w:pPr>
                </w:p>
              </w:tc>
              <w:tc>
                <w:tcPr>
                  <w:tcW w:w="782" w:type="pct"/>
                  <w:vMerge w:val="continue"/>
                  <w:tcBorders>
                    <w:tl2br w:val="nil"/>
                    <w:tr2bl w:val="nil"/>
                  </w:tcBorders>
                  <w:noWrap w:val="0"/>
                  <w:vAlign w:val="center"/>
                </w:tcPr>
                <w:p w14:paraId="6126E248">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728" w:type="pct"/>
                  <w:vMerge w:val="continue"/>
                  <w:tcBorders>
                    <w:tl2br w:val="nil"/>
                    <w:tr2bl w:val="nil"/>
                  </w:tcBorders>
                  <w:noWrap w:val="0"/>
                  <w:vAlign w:val="center"/>
                </w:tcPr>
                <w:p w14:paraId="5DA204E3">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254" w:type="pct"/>
                  <w:vMerge w:val="continue"/>
                  <w:tcBorders>
                    <w:tl2br w:val="nil"/>
                    <w:tr2bl w:val="nil"/>
                  </w:tcBorders>
                  <w:noWrap w:val="0"/>
                  <w:vAlign w:val="center"/>
                </w:tcPr>
                <w:p w14:paraId="7B2CF169">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r>
            <w:tr w14:paraId="1F9C3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tcBorders>
                    <w:tl2br w:val="nil"/>
                    <w:tr2bl w:val="nil"/>
                  </w:tcBorders>
                  <w:noWrap w:val="0"/>
                  <w:vAlign w:val="center"/>
                </w:tcPr>
                <w:p w14:paraId="7C06BADC">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4</w:t>
                  </w:r>
                </w:p>
              </w:tc>
              <w:tc>
                <w:tcPr>
                  <w:tcW w:w="560" w:type="pct"/>
                  <w:tcBorders>
                    <w:tl2br w:val="nil"/>
                    <w:tr2bl w:val="nil"/>
                  </w:tcBorders>
                  <w:noWrap w:val="0"/>
                  <w:vAlign w:val="center"/>
                </w:tcPr>
                <w:p w14:paraId="6DEA9048">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w:t>
                  </w:r>
                  <w:r>
                    <w:rPr>
                      <w:rFonts w:hint="eastAsia"/>
                      <w:color w:val="auto"/>
                      <w:sz w:val="21"/>
                      <w:szCs w:val="21"/>
                      <w:highlight w:val="none"/>
                    </w:rPr>
                    <w:t>4</w:t>
                  </w:r>
                </w:p>
              </w:tc>
              <w:tc>
                <w:tcPr>
                  <w:tcW w:w="386" w:type="pct"/>
                  <w:tcBorders>
                    <w:tl2br w:val="nil"/>
                    <w:tr2bl w:val="nil"/>
                  </w:tcBorders>
                  <w:noWrap w:val="0"/>
                  <w:vAlign w:val="center"/>
                </w:tcPr>
                <w:p w14:paraId="48C4DF01">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LNG卸气</w:t>
                  </w:r>
                </w:p>
              </w:tc>
              <w:tc>
                <w:tcPr>
                  <w:tcW w:w="497" w:type="pct"/>
                  <w:vMerge w:val="restart"/>
                  <w:tcBorders>
                    <w:tl2br w:val="nil"/>
                    <w:tr2bl w:val="nil"/>
                  </w:tcBorders>
                  <w:noWrap w:val="0"/>
                  <w:vAlign w:val="center"/>
                </w:tcPr>
                <w:p w14:paraId="0FFF013F">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非甲烷总烃</w:t>
                  </w:r>
                </w:p>
              </w:tc>
              <w:tc>
                <w:tcPr>
                  <w:tcW w:w="1537" w:type="pct"/>
                  <w:tcBorders>
                    <w:tl2br w:val="nil"/>
                    <w:tr2bl w:val="nil"/>
                  </w:tcBorders>
                  <w:noWrap w:val="0"/>
                  <w:vAlign w:val="center"/>
                </w:tcPr>
                <w:p w14:paraId="734F726E">
                  <w:pPr>
                    <w:keepNext w:val="0"/>
                    <w:keepLines w:val="0"/>
                    <w:suppressLineNumbers w:val="0"/>
                    <w:spacing w:before="0" w:beforeAutospacing="0" w:after="0" w:afterAutospacing="0" w:line="240" w:lineRule="auto"/>
                    <w:ind w:left="0" w:right="0"/>
                    <w:jc w:val="center"/>
                    <w:rPr>
                      <w:rFonts w:hint="eastAsia"/>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由气相管线返回LNG槽车</w:t>
                  </w:r>
                  <w:r>
                    <w:rPr>
                      <w:rFonts w:hint="eastAsia"/>
                      <w:color w:val="000000" w:themeColor="text1"/>
                      <w:sz w:val="21"/>
                      <w:szCs w:val="21"/>
                      <w:highlight w:val="none"/>
                      <w14:textFill>
                        <w14:solidFill>
                          <w14:schemeClr w14:val="tx1"/>
                        </w14:solidFill>
                      </w14:textFill>
                    </w:rPr>
                    <w:t>，少量逸散气无组织排放</w:t>
                  </w:r>
                </w:p>
              </w:tc>
              <w:tc>
                <w:tcPr>
                  <w:tcW w:w="782" w:type="pct"/>
                  <w:vMerge w:val="restart"/>
                  <w:tcBorders>
                    <w:tl2br w:val="nil"/>
                    <w:tr2bl w:val="nil"/>
                  </w:tcBorders>
                  <w:noWrap w:val="0"/>
                  <w:vAlign w:val="center"/>
                </w:tcPr>
                <w:p w14:paraId="287F6428">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default"/>
                      <w:color w:val="auto"/>
                      <w:sz w:val="21"/>
                      <w:szCs w:val="21"/>
                      <w:highlight w:val="none"/>
                    </w:rPr>
                    <w:t xml:space="preserve">《大气污染物综合排放标准》 </w:t>
                  </w:r>
                  <w:r>
                    <w:rPr>
                      <w:rFonts w:hint="eastAsia"/>
                      <w:color w:val="auto"/>
                      <w:sz w:val="21"/>
                      <w:szCs w:val="21"/>
                      <w:highlight w:val="none"/>
                    </w:rPr>
                    <w:t>（</w:t>
                  </w:r>
                  <w:r>
                    <w:rPr>
                      <w:rFonts w:hint="default"/>
                      <w:color w:val="auto"/>
                      <w:sz w:val="21"/>
                      <w:szCs w:val="21"/>
                      <w:highlight w:val="none"/>
                    </w:rPr>
                    <w:t>GB16297- 199</w:t>
                  </w:r>
                  <w:r>
                    <w:rPr>
                      <w:rFonts w:hint="eastAsia"/>
                      <w:color w:val="auto"/>
                      <w:sz w:val="21"/>
                      <w:szCs w:val="21"/>
                      <w:highlight w:val="none"/>
                    </w:rPr>
                    <w:t>6）</w:t>
                  </w:r>
                </w:p>
              </w:tc>
              <w:tc>
                <w:tcPr>
                  <w:tcW w:w="728" w:type="pct"/>
                  <w:vMerge w:val="restart"/>
                  <w:tcBorders>
                    <w:tl2br w:val="nil"/>
                    <w:tr2bl w:val="nil"/>
                  </w:tcBorders>
                  <w:noWrap w:val="0"/>
                  <w:vAlign w:val="center"/>
                </w:tcPr>
                <w:p w14:paraId="04093DA2">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4.0</w:t>
                  </w:r>
                </w:p>
              </w:tc>
              <w:tc>
                <w:tcPr>
                  <w:tcW w:w="254" w:type="pct"/>
                  <w:vMerge w:val="restart"/>
                  <w:tcBorders>
                    <w:tl2br w:val="nil"/>
                    <w:tr2bl w:val="nil"/>
                  </w:tcBorders>
                  <w:noWrap w:val="0"/>
                  <w:vAlign w:val="center"/>
                </w:tcPr>
                <w:p w14:paraId="09299A06">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w:t>
                  </w:r>
                </w:p>
              </w:tc>
            </w:tr>
            <w:tr w14:paraId="4695A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tcBorders>
                    <w:tl2br w:val="nil"/>
                    <w:tr2bl w:val="nil"/>
                  </w:tcBorders>
                  <w:noWrap w:val="0"/>
                  <w:vAlign w:val="center"/>
                </w:tcPr>
                <w:p w14:paraId="48A3BB98">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5</w:t>
                  </w:r>
                </w:p>
              </w:tc>
              <w:tc>
                <w:tcPr>
                  <w:tcW w:w="560" w:type="pct"/>
                  <w:tcBorders>
                    <w:tl2br w:val="nil"/>
                    <w:tr2bl w:val="nil"/>
                  </w:tcBorders>
                  <w:noWrap w:val="0"/>
                  <w:vAlign w:val="center"/>
                </w:tcPr>
                <w:p w14:paraId="358F1F33">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w:t>
                  </w:r>
                  <w:r>
                    <w:rPr>
                      <w:rFonts w:hint="eastAsia"/>
                      <w:color w:val="auto"/>
                      <w:sz w:val="21"/>
                      <w:szCs w:val="21"/>
                      <w:highlight w:val="none"/>
                    </w:rPr>
                    <w:t>5</w:t>
                  </w:r>
                </w:p>
              </w:tc>
              <w:tc>
                <w:tcPr>
                  <w:tcW w:w="386" w:type="pct"/>
                  <w:tcBorders>
                    <w:tl2br w:val="nil"/>
                    <w:tr2bl w:val="nil"/>
                  </w:tcBorders>
                  <w:noWrap w:val="0"/>
                  <w:vAlign w:val="center"/>
                </w:tcPr>
                <w:p w14:paraId="0363DC9D">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储气</w:t>
                  </w:r>
                </w:p>
              </w:tc>
              <w:tc>
                <w:tcPr>
                  <w:tcW w:w="497" w:type="pct"/>
                  <w:vMerge w:val="continue"/>
                  <w:tcBorders>
                    <w:tl2br w:val="nil"/>
                    <w:tr2bl w:val="nil"/>
                  </w:tcBorders>
                  <w:noWrap w:val="0"/>
                  <w:vAlign w:val="center"/>
                </w:tcPr>
                <w:p w14:paraId="3F0A9561">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1537" w:type="pct"/>
                  <w:tcBorders>
                    <w:tl2br w:val="nil"/>
                    <w:tr2bl w:val="nil"/>
                  </w:tcBorders>
                  <w:noWrap w:val="0"/>
                  <w:vAlign w:val="center"/>
                </w:tcPr>
                <w:p w14:paraId="0E191780">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default"/>
                      <w:color w:val="auto"/>
                      <w:sz w:val="21"/>
                      <w:szCs w:val="21"/>
                      <w:highlight w:val="none"/>
                    </w:rPr>
                    <w:t>经过EAG加热器加热气化</w:t>
                  </w:r>
                  <w:r>
                    <w:rPr>
                      <w:rFonts w:hint="eastAsia"/>
                      <w:color w:val="auto"/>
                      <w:sz w:val="21"/>
                      <w:szCs w:val="21"/>
                      <w:highlight w:val="none"/>
                    </w:rPr>
                    <w:t>后</w:t>
                  </w:r>
                  <w:r>
                    <w:rPr>
                      <w:rFonts w:hint="default"/>
                      <w:color w:val="auto"/>
                      <w:sz w:val="21"/>
                      <w:szCs w:val="21"/>
                      <w:highlight w:val="none"/>
                    </w:rPr>
                    <w:t>经站内</w:t>
                  </w:r>
                  <w:r>
                    <w:rPr>
                      <w:rFonts w:hint="eastAsia"/>
                      <w:color w:val="auto"/>
                      <w:sz w:val="21"/>
                      <w:szCs w:val="21"/>
                      <w:highlight w:val="none"/>
                      <w:lang w:val="en-US" w:eastAsia="zh-CN"/>
                    </w:rPr>
                    <w:t>10</w:t>
                  </w:r>
                  <w:r>
                    <w:rPr>
                      <w:rFonts w:hint="default"/>
                      <w:color w:val="auto"/>
                      <w:sz w:val="21"/>
                      <w:szCs w:val="21"/>
                      <w:highlight w:val="none"/>
                    </w:rPr>
                    <w:t>m高放散管</w:t>
                  </w:r>
                  <w:r>
                    <w:rPr>
                      <w:rFonts w:hint="eastAsia"/>
                      <w:color w:val="auto"/>
                      <w:sz w:val="21"/>
                      <w:szCs w:val="21"/>
                      <w:highlight w:val="none"/>
                    </w:rPr>
                    <w:t>排放</w:t>
                  </w:r>
                </w:p>
              </w:tc>
              <w:tc>
                <w:tcPr>
                  <w:tcW w:w="782" w:type="pct"/>
                  <w:vMerge w:val="continue"/>
                  <w:tcBorders>
                    <w:tl2br w:val="nil"/>
                    <w:tr2bl w:val="nil"/>
                  </w:tcBorders>
                  <w:noWrap w:val="0"/>
                  <w:vAlign w:val="center"/>
                </w:tcPr>
                <w:p w14:paraId="013183DB">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728" w:type="pct"/>
                  <w:vMerge w:val="continue"/>
                  <w:tcBorders>
                    <w:tl2br w:val="nil"/>
                    <w:tr2bl w:val="nil"/>
                  </w:tcBorders>
                  <w:noWrap w:val="0"/>
                  <w:vAlign w:val="center"/>
                </w:tcPr>
                <w:p w14:paraId="7D78C01C">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254" w:type="pct"/>
                  <w:vMerge w:val="continue"/>
                  <w:tcBorders>
                    <w:tl2br w:val="nil"/>
                    <w:tr2bl w:val="nil"/>
                  </w:tcBorders>
                  <w:noWrap w:val="0"/>
                  <w:vAlign w:val="center"/>
                </w:tcPr>
                <w:p w14:paraId="04092CA5">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r>
            <w:tr w14:paraId="72D67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tcBorders>
                    <w:tl2br w:val="nil"/>
                    <w:tr2bl w:val="nil"/>
                  </w:tcBorders>
                  <w:noWrap w:val="0"/>
                  <w:vAlign w:val="center"/>
                </w:tcPr>
                <w:p w14:paraId="5906457C">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6</w:t>
                  </w:r>
                </w:p>
              </w:tc>
              <w:tc>
                <w:tcPr>
                  <w:tcW w:w="560" w:type="pct"/>
                  <w:tcBorders>
                    <w:tl2br w:val="nil"/>
                    <w:tr2bl w:val="nil"/>
                  </w:tcBorders>
                  <w:noWrap w:val="0"/>
                  <w:vAlign w:val="center"/>
                </w:tcPr>
                <w:p w14:paraId="2E14A43F">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w:t>
                  </w:r>
                  <w:r>
                    <w:rPr>
                      <w:rFonts w:hint="eastAsia"/>
                      <w:color w:val="auto"/>
                      <w:sz w:val="21"/>
                      <w:szCs w:val="21"/>
                      <w:highlight w:val="none"/>
                    </w:rPr>
                    <w:t>6</w:t>
                  </w:r>
                </w:p>
              </w:tc>
              <w:tc>
                <w:tcPr>
                  <w:tcW w:w="386" w:type="pct"/>
                  <w:tcBorders>
                    <w:tl2br w:val="nil"/>
                    <w:tr2bl w:val="nil"/>
                  </w:tcBorders>
                  <w:noWrap w:val="0"/>
                  <w:vAlign w:val="center"/>
                </w:tcPr>
                <w:p w14:paraId="62EC19EE">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加气</w:t>
                  </w:r>
                </w:p>
              </w:tc>
              <w:tc>
                <w:tcPr>
                  <w:tcW w:w="497" w:type="pct"/>
                  <w:vMerge w:val="continue"/>
                  <w:tcBorders>
                    <w:tl2br w:val="nil"/>
                    <w:tr2bl w:val="nil"/>
                  </w:tcBorders>
                  <w:noWrap w:val="0"/>
                  <w:vAlign w:val="center"/>
                </w:tcPr>
                <w:p w14:paraId="4B0BC989">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1537" w:type="pct"/>
                  <w:tcBorders>
                    <w:tl2br w:val="nil"/>
                    <w:tr2bl w:val="nil"/>
                  </w:tcBorders>
                  <w:noWrap w:val="0"/>
                  <w:vAlign w:val="center"/>
                </w:tcPr>
                <w:p w14:paraId="0A8463D2">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少量逸散气无组织排放</w:t>
                  </w:r>
                </w:p>
              </w:tc>
              <w:tc>
                <w:tcPr>
                  <w:tcW w:w="782" w:type="pct"/>
                  <w:vMerge w:val="continue"/>
                  <w:tcBorders>
                    <w:tl2br w:val="nil"/>
                    <w:tr2bl w:val="nil"/>
                  </w:tcBorders>
                  <w:noWrap w:val="0"/>
                  <w:vAlign w:val="center"/>
                </w:tcPr>
                <w:p w14:paraId="6097AFBC">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728" w:type="pct"/>
                  <w:vMerge w:val="continue"/>
                  <w:tcBorders>
                    <w:tl2br w:val="nil"/>
                    <w:tr2bl w:val="nil"/>
                  </w:tcBorders>
                  <w:noWrap w:val="0"/>
                  <w:vAlign w:val="center"/>
                </w:tcPr>
                <w:p w14:paraId="4B7F4374">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254" w:type="pct"/>
                  <w:vMerge w:val="continue"/>
                  <w:tcBorders>
                    <w:tl2br w:val="nil"/>
                    <w:tr2bl w:val="nil"/>
                  </w:tcBorders>
                  <w:noWrap w:val="0"/>
                  <w:vAlign w:val="center"/>
                </w:tcPr>
                <w:p w14:paraId="5B9AFB73">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r>
            <w:tr w14:paraId="71546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tcBorders>
                    <w:tl2br w:val="nil"/>
                    <w:tr2bl w:val="nil"/>
                  </w:tcBorders>
                  <w:noWrap w:val="0"/>
                  <w:vAlign w:val="center"/>
                </w:tcPr>
                <w:p w14:paraId="38FB06C9">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7</w:t>
                  </w:r>
                </w:p>
              </w:tc>
              <w:tc>
                <w:tcPr>
                  <w:tcW w:w="560" w:type="pct"/>
                  <w:tcBorders>
                    <w:tl2br w:val="nil"/>
                    <w:tr2bl w:val="nil"/>
                  </w:tcBorders>
                  <w:noWrap w:val="0"/>
                  <w:vAlign w:val="center"/>
                </w:tcPr>
                <w:p w14:paraId="76B5B7D6">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MF</w:t>
                  </w:r>
                  <w:r>
                    <w:rPr>
                      <w:rFonts w:hint="default"/>
                      <w:color w:val="auto"/>
                      <w:sz w:val="21"/>
                      <w:szCs w:val="21"/>
                      <w:highlight w:val="none"/>
                    </w:rPr>
                    <w:t>000</w:t>
                  </w:r>
                  <w:r>
                    <w:rPr>
                      <w:rFonts w:hint="eastAsia"/>
                      <w:color w:val="auto"/>
                      <w:sz w:val="21"/>
                      <w:szCs w:val="21"/>
                      <w:highlight w:val="none"/>
                    </w:rPr>
                    <w:t>7</w:t>
                  </w:r>
                </w:p>
              </w:tc>
              <w:tc>
                <w:tcPr>
                  <w:tcW w:w="386" w:type="pct"/>
                  <w:tcBorders>
                    <w:tl2br w:val="nil"/>
                    <w:tr2bl w:val="nil"/>
                  </w:tcBorders>
                  <w:noWrap w:val="0"/>
                  <w:vAlign w:val="center"/>
                </w:tcPr>
                <w:p w14:paraId="7B4CCFFD">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柴油发电</w:t>
                  </w:r>
                </w:p>
              </w:tc>
              <w:tc>
                <w:tcPr>
                  <w:tcW w:w="497" w:type="pct"/>
                  <w:tcBorders>
                    <w:tl2br w:val="nil"/>
                    <w:tr2bl w:val="nil"/>
                  </w:tcBorders>
                  <w:noWrap w:val="0"/>
                  <w:vAlign w:val="center"/>
                </w:tcPr>
                <w:p w14:paraId="12843FCC">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S</w:t>
                  </w:r>
                  <w:r>
                    <w:rPr>
                      <w:rFonts w:hint="default"/>
                      <w:color w:val="auto"/>
                      <w:sz w:val="21"/>
                      <w:szCs w:val="21"/>
                      <w:highlight w:val="none"/>
                    </w:rPr>
                    <w:t>O</w:t>
                  </w:r>
                  <w:r>
                    <w:rPr>
                      <w:rFonts w:hint="eastAsia"/>
                      <w:color w:val="auto"/>
                      <w:sz w:val="21"/>
                      <w:szCs w:val="21"/>
                      <w:highlight w:val="none"/>
                      <w:vertAlign w:val="subscript"/>
                    </w:rPr>
                    <w:t>2</w:t>
                  </w:r>
                  <w:r>
                    <w:rPr>
                      <w:rFonts w:hint="eastAsia"/>
                      <w:color w:val="auto"/>
                      <w:sz w:val="21"/>
                      <w:szCs w:val="21"/>
                      <w:highlight w:val="none"/>
                    </w:rPr>
                    <w:t>、NO</w:t>
                  </w:r>
                  <w:r>
                    <w:rPr>
                      <w:rFonts w:hint="default"/>
                      <w:color w:val="auto"/>
                      <w:sz w:val="21"/>
                      <w:szCs w:val="21"/>
                      <w:highlight w:val="none"/>
                    </w:rPr>
                    <w:t>x</w:t>
                  </w:r>
                  <w:r>
                    <w:rPr>
                      <w:rFonts w:hint="eastAsia"/>
                      <w:color w:val="auto"/>
                      <w:sz w:val="21"/>
                      <w:szCs w:val="21"/>
                      <w:highlight w:val="none"/>
                    </w:rPr>
                    <w:t>、烟尘</w:t>
                  </w:r>
                </w:p>
              </w:tc>
              <w:tc>
                <w:tcPr>
                  <w:tcW w:w="1537" w:type="pct"/>
                  <w:tcBorders>
                    <w:tl2br w:val="nil"/>
                    <w:tr2bl w:val="nil"/>
                  </w:tcBorders>
                  <w:noWrap w:val="0"/>
                  <w:vAlign w:val="center"/>
                </w:tcPr>
                <w:p w14:paraId="020CCD43">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lang w:val="en-US" w:eastAsia="zh-CN"/>
                    </w:rPr>
                    <w:t>撬装</w:t>
                  </w:r>
                  <w:r>
                    <w:rPr>
                      <w:rFonts w:hint="default"/>
                      <w:color w:val="auto"/>
                      <w:sz w:val="21"/>
                      <w:szCs w:val="21"/>
                      <w:highlight w:val="none"/>
                    </w:rPr>
                    <w:t>柴油发电机自带消烟除尘装置处理后，引至室外排放</w:t>
                  </w:r>
                </w:p>
              </w:tc>
              <w:tc>
                <w:tcPr>
                  <w:tcW w:w="782" w:type="pct"/>
                  <w:tcBorders>
                    <w:tl2br w:val="nil"/>
                    <w:tr2bl w:val="nil"/>
                  </w:tcBorders>
                  <w:noWrap w:val="0"/>
                  <w:vAlign w:val="center"/>
                </w:tcPr>
                <w:p w14:paraId="0C305EB5">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default"/>
                      <w:color w:val="auto"/>
                      <w:sz w:val="21"/>
                      <w:szCs w:val="21"/>
                      <w:highlight w:val="none"/>
                    </w:rPr>
                    <w:t xml:space="preserve">《大气污染物综合排放标准》 </w:t>
                  </w:r>
                  <w:r>
                    <w:rPr>
                      <w:rFonts w:hint="eastAsia"/>
                      <w:color w:val="auto"/>
                      <w:sz w:val="21"/>
                      <w:szCs w:val="21"/>
                      <w:highlight w:val="none"/>
                    </w:rPr>
                    <w:t>（</w:t>
                  </w:r>
                  <w:r>
                    <w:rPr>
                      <w:rFonts w:hint="default"/>
                      <w:color w:val="auto"/>
                      <w:sz w:val="21"/>
                      <w:szCs w:val="21"/>
                      <w:highlight w:val="none"/>
                    </w:rPr>
                    <w:t>GB16297- 199</w:t>
                  </w:r>
                  <w:r>
                    <w:rPr>
                      <w:rFonts w:hint="eastAsia"/>
                      <w:color w:val="auto"/>
                      <w:sz w:val="21"/>
                      <w:szCs w:val="21"/>
                      <w:highlight w:val="none"/>
                    </w:rPr>
                    <w:t>6）</w:t>
                  </w:r>
                </w:p>
              </w:tc>
              <w:tc>
                <w:tcPr>
                  <w:tcW w:w="728" w:type="pct"/>
                  <w:tcBorders>
                    <w:tl2br w:val="nil"/>
                    <w:tr2bl w:val="nil"/>
                  </w:tcBorders>
                  <w:noWrap w:val="0"/>
                  <w:vAlign w:val="center"/>
                </w:tcPr>
                <w:p w14:paraId="2B27A729">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SO</w:t>
                  </w:r>
                  <w:r>
                    <w:rPr>
                      <w:rFonts w:hint="default"/>
                      <w:color w:val="auto"/>
                      <w:sz w:val="21"/>
                      <w:szCs w:val="21"/>
                      <w:highlight w:val="none"/>
                      <w:vertAlign w:val="subscript"/>
                    </w:rPr>
                    <w:t>2</w:t>
                  </w:r>
                  <w:r>
                    <w:rPr>
                      <w:rFonts w:hint="eastAsia"/>
                      <w:color w:val="auto"/>
                      <w:sz w:val="21"/>
                      <w:szCs w:val="21"/>
                      <w:highlight w:val="none"/>
                    </w:rPr>
                    <w:t>：0.4</w:t>
                  </w:r>
                </w:p>
                <w:p w14:paraId="5C002D65">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r>
                    <w:rPr>
                      <w:rFonts w:hint="eastAsia"/>
                      <w:color w:val="auto"/>
                      <w:sz w:val="21"/>
                      <w:szCs w:val="21"/>
                      <w:highlight w:val="none"/>
                    </w:rPr>
                    <w:t>NO</w:t>
                  </w:r>
                  <w:r>
                    <w:rPr>
                      <w:rFonts w:hint="default"/>
                      <w:color w:val="auto"/>
                      <w:sz w:val="21"/>
                      <w:szCs w:val="21"/>
                      <w:highlight w:val="none"/>
                    </w:rPr>
                    <w:t>x</w:t>
                  </w:r>
                  <w:r>
                    <w:rPr>
                      <w:rFonts w:hint="eastAsia"/>
                      <w:color w:val="auto"/>
                      <w:sz w:val="21"/>
                      <w:szCs w:val="21"/>
                      <w:highlight w:val="none"/>
                    </w:rPr>
                    <w:t>：0.12</w:t>
                  </w:r>
                </w:p>
                <w:p w14:paraId="27BD7AC0">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烟尘：1.0</w:t>
                  </w:r>
                </w:p>
              </w:tc>
              <w:tc>
                <w:tcPr>
                  <w:tcW w:w="254" w:type="pct"/>
                  <w:tcBorders>
                    <w:tl2br w:val="nil"/>
                    <w:tr2bl w:val="nil"/>
                  </w:tcBorders>
                  <w:noWrap w:val="0"/>
                  <w:vAlign w:val="center"/>
                </w:tcPr>
                <w:p w14:paraId="396C3E49">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r>
                    <w:rPr>
                      <w:rFonts w:hint="eastAsia"/>
                      <w:color w:val="auto"/>
                      <w:sz w:val="21"/>
                      <w:szCs w:val="21"/>
                      <w:highlight w:val="none"/>
                    </w:rPr>
                    <w:t>/</w:t>
                  </w:r>
                </w:p>
              </w:tc>
            </w:tr>
          </w:tbl>
          <w:p w14:paraId="4678EA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本项目废气污染物排放统计表如下：</w:t>
            </w:r>
          </w:p>
          <w:p w14:paraId="39451F83">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highlight w:val="none"/>
                <w:lang w:val="en-US" w:eastAsia="zh-CN"/>
              </w:rPr>
            </w:pPr>
            <w:r>
              <w:rPr>
                <w:rFonts w:hint="default" w:ascii="Times New Roman" w:hAnsi="Times New Roman" w:eastAsia="黑体" w:cs="Times New Roman"/>
                <w:b/>
                <w:bCs/>
                <w:color w:val="auto"/>
                <w:kern w:val="0"/>
                <w:sz w:val="21"/>
                <w:szCs w:val="21"/>
                <w:highlight w:val="none"/>
                <w:lang w:val="en-US" w:eastAsia="zh-CN"/>
              </w:rPr>
              <w:t>表4-</w:t>
            </w:r>
            <w:r>
              <w:rPr>
                <w:rFonts w:hint="eastAsia" w:eastAsia="黑体" w:cs="Times New Roman"/>
                <w:b/>
                <w:bCs/>
                <w:color w:val="auto"/>
                <w:kern w:val="0"/>
                <w:sz w:val="21"/>
                <w:szCs w:val="21"/>
                <w:highlight w:val="none"/>
                <w:lang w:val="en-US" w:eastAsia="zh-CN"/>
              </w:rPr>
              <w:t>7</w:t>
            </w:r>
            <w:r>
              <w:rPr>
                <w:rFonts w:hint="default" w:ascii="Times New Roman" w:hAnsi="Times New Roman" w:eastAsia="黑体" w:cs="Times New Roman"/>
                <w:b/>
                <w:bCs/>
                <w:color w:val="auto"/>
                <w:kern w:val="0"/>
                <w:sz w:val="21"/>
                <w:szCs w:val="21"/>
                <w:highlight w:val="none"/>
                <w:lang w:val="en-US" w:eastAsia="zh-CN"/>
              </w:rPr>
              <w:t xml:space="preserve">  运营期废气污染物排放统计表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35"/>
              <w:gridCol w:w="4135"/>
              <w:gridCol w:w="5484"/>
            </w:tblGrid>
            <w:tr w14:paraId="3F877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503" w:type="pct"/>
                  <w:tcBorders>
                    <w:tl2br w:val="nil"/>
                    <w:tr2bl w:val="nil"/>
                  </w:tcBorders>
                  <w:noWrap w:val="0"/>
                  <w:vAlign w:val="center"/>
                </w:tcPr>
                <w:p w14:paraId="75E801F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种类</w:t>
                  </w:r>
                </w:p>
              </w:tc>
              <w:tc>
                <w:tcPr>
                  <w:tcW w:w="1503" w:type="pct"/>
                  <w:tcBorders>
                    <w:tl2br w:val="nil"/>
                    <w:tr2bl w:val="nil"/>
                  </w:tcBorders>
                  <w:noWrap w:val="0"/>
                  <w:vAlign w:val="center"/>
                </w:tcPr>
                <w:p w14:paraId="016722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993" w:type="pct"/>
                  <w:tcBorders>
                    <w:tl2br w:val="nil"/>
                    <w:tr2bl w:val="nil"/>
                  </w:tcBorders>
                  <w:noWrap w:val="0"/>
                  <w:vAlign w:val="center"/>
                </w:tcPr>
                <w:p w14:paraId="6931413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无组织排放量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sz w:val="21"/>
                      <w:szCs w:val="21"/>
                      <w:highlight w:val="none"/>
                      <w:lang w:eastAsia="zh-CN"/>
                    </w:rPr>
                    <w:t>）</w:t>
                  </w:r>
                </w:p>
              </w:tc>
            </w:tr>
            <w:tr w14:paraId="41FCD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pct"/>
                  <w:tcBorders>
                    <w:tl2br w:val="nil"/>
                    <w:tr2bl w:val="nil"/>
                  </w:tcBorders>
                  <w:noWrap w:val="0"/>
                  <w:vAlign w:val="center"/>
                </w:tcPr>
                <w:p w14:paraId="67D85AAE">
                  <w:pPr>
                    <w:keepNext w:val="0"/>
                    <w:keepLines w:val="0"/>
                    <w:suppressLineNumbers w:val="0"/>
                    <w:spacing w:before="0" w:beforeAutospacing="0" w:after="0" w:afterAutospacing="0" w:line="240" w:lineRule="auto"/>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油类</w:t>
                  </w:r>
                </w:p>
              </w:tc>
              <w:tc>
                <w:tcPr>
                  <w:tcW w:w="1503" w:type="pct"/>
                  <w:vMerge w:val="restart"/>
                  <w:tcBorders>
                    <w:tl2br w:val="nil"/>
                    <w:tr2bl w:val="nil"/>
                  </w:tcBorders>
                  <w:noWrap w:val="0"/>
                  <w:vAlign w:val="center"/>
                </w:tcPr>
                <w:p w14:paraId="47C096D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非甲烷总烃</w:t>
                  </w:r>
                </w:p>
              </w:tc>
              <w:tc>
                <w:tcPr>
                  <w:tcW w:w="1993" w:type="pct"/>
                  <w:tcBorders>
                    <w:tl2br w:val="nil"/>
                    <w:tr2bl w:val="nil"/>
                  </w:tcBorders>
                  <w:shd w:val="clear" w:color="auto" w:fill="auto"/>
                  <w:noWrap w:val="0"/>
                  <w:vAlign w:val="center"/>
                </w:tcPr>
                <w:p w14:paraId="400BBC3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1.108</w:t>
                  </w:r>
                </w:p>
              </w:tc>
            </w:tr>
            <w:tr w14:paraId="34438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pct"/>
                  <w:tcBorders>
                    <w:tl2br w:val="nil"/>
                    <w:tr2bl w:val="nil"/>
                  </w:tcBorders>
                  <w:noWrap w:val="0"/>
                  <w:vAlign w:val="center"/>
                </w:tcPr>
                <w:p w14:paraId="203AB9F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LNG类</w:t>
                  </w:r>
                </w:p>
              </w:tc>
              <w:tc>
                <w:tcPr>
                  <w:tcW w:w="1503" w:type="pct"/>
                  <w:vMerge w:val="continue"/>
                  <w:tcBorders>
                    <w:tl2br w:val="nil"/>
                    <w:tr2bl w:val="nil"/>
                  </w:tcBorders>
                  <w:noWrap w:val="0"/>
                  <w:vAlign w:val="center"/>
                </w:tcPr>
                <w:p w14:paraId="05EE34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993" w:type="pct"/>
                  <w:tcBorders>
                    <w:tl2br w:val="nil"/>
                    <w:tr2bl w:val="nil"/>
                  </w:tcBorders>
                  <w:shd w:val="clear" w:color="auto" w:fill="auto"/>
                  <w:noWrap w:val="0"/>
                  <w:vAlign w:val="center"/>
                </w:tcPr>
                <w:p w14:paraId="6B20656E">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0.035</w:t>
                  </w:r>
                </w:p>
              </w:tc>
            </w:tr>
            <w:tr w14:paraId="7C086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3" w:type="pct"/>
                  <w:tcBorders>
                    <w:tl2br w:val="nil"/>
                    <w:tr2bl w:val="nil"/>
                  </w:tcBorders>
                  <w:noWrap w:val="0"/>
                  <w:vAlign w:val="center"/>
                </w:tcPr>
                <w:p w14:paraId="30FD524E">
                  <w:pPr>
                    <w:keepNext w:val="0"/>
                    <w:keepLines w:val="0"/>
                    <w:suppressLineNumbers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合计</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t/a</w:t>
                  </w:r>
                  <w:r>
                    <w:rPr>
                      <w:rFonts w:hint="default" w:ascii="Times New Roman" w:hAnsi="Times New Roman" w:eastAsia="宋体" w:cs="Times New Roman"/>
                      <w:b w:val="0"/>
                      <w:bCs w:val="0"/>
                      <w:color w:val="auto"/>
                      <w:sz w:val="21"/>
                      <w:szCs w:val="21"/>
                      <w:highlight w:val="none"/>
                      <w:lang w:eastAsia="zh-CN"/>
                    </w:rPr>
                    <w:t>）</w:t>
                  </w:r>
                </w:p>
              </w:tc>
              <w:tc>
                <w:tcPr>
                  <w:tcW w:w="1503" w:type="pct"/>
                  <w:vMerge w:val="continue"/>
                  <w:tcBorders>
                    <w:tl2br w:val="nil"/>
                    <w:tr2bl w:val="nil"/>
                  </w:tcBorders>
                  <w:noWrap w:val="0"/>
                  <w:vAlign w:val="center"/>
                </w:tcPr>
                <w:p w14:paraId="707A30E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993" w:type="pct"/>
                  <w:tcBorders>
                    <w:tl2br w:val="nil"/>
                    <w:tr2bl w:val="nil"/>
                  </w:tcBorders>
                  <w:shd w:val="clear" w:color="auto" w:fill="auto"/>
                  <w:noWrap w:val="0"/>
                  <w:vAlign w:val="center"/>
                </w:tcPr>
                <w:p w14:paraId="72BAC2CB">
                  <w:pPr>
                    <w:keepNext w:val="0"/>
                    <w:keepLines w:val="0"/>
                    <w:widowControl/>
                    <w:suppressLineNumbers w:val="0"/>
                    <w:spacing w:before="0" w:beforeAutospacing="0" w:after="0" w:afterAutospacing="0"/>
                    <w:ind w:left="0" w:right="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1.143</w:t>
                  </w:r>
                </w:p>
              </w:tc>
            </w:tr>
          </w:tbl>
          <w:p w14:paraId="70FE29F8">
            <w:pPr>
              <w:keepNext w:val="0"/>
              <w:keepLines w:val="0"/>
              <w:suppressLineNumbers w:val="0"/>
              <w:spacing w:before="0" w:beforeAutospacing="0" w:after="0" w:afterAutospacing="0" w:line="360" w:lineRule="auto"/>
              <w:ind w:left="0" w:right="0" w:firstLine="316" w:firstLineChars="15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4</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监测要求</w:t>
            </w:r>
          </w:p>
          <w:p w14:paraId="7A3204CD">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本次环评根据《排污单位自行监测技术指南 储油库、加油站》（HJ1249-2022），结合本项目污染物的特点，制定营运期监测计划见下表：</w:t>
            </w:r>
          </w:p>
          <w:p w14:paraId="7513ADCA">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highlight w:val="none"/>
                <w:lang w:val="en-US" w:eastAsia="zh-CN"/>
              </w:rPr>
            </w:pPr>
            <w:r>
              <w:rPr>
                <w:rFonts w:hint="default" w:ascii="Times New Roman" w:hAnsi="Times New Roman" w:eastAsia="黑体" w:cs="Times New Roman"/>
                <w:b/>
                <w:bCs/>
                <w:color w:val="auto"/>
                <w:kern w:val="0"/>
                <w:sz w:val="21"/>
                <w:szCs w:val="21"/>
                <w:highlight w:val="none"/>
                <w:lang w:val="en-US" w:eastAsia="zh-CN"/>
              </w:rPr>
              <w:t>表4-</w:t>
            </w:r>
            <w:r>
              <w:rPr>
                <w:rFonts w:hint="eastAsia" w:eastAsia="黑体" w:cs="Times New Roman"/>
                <w:b/>
                <w:bCs/>
                <w:color w:val="auto"/>
                <w:kern w:val="0"/>
                <w:sz w:val="21"/>
                <w:szCs w:val="21"/>
                <w:highlight w:val="none"/>
                <w:lang w:val="en-US" w:eastAsia="zh-CN"/>
              </w:rPr>
              <w:t>8</w:t>
            </w:r>
            <w:r>
              <w:rPr>
                <w:rFonts w:hint="default" w:ascii="Times New Roman" w:hAnsi="Times New Roman" w:eastAsia="黑体" w:cs="Times New Roman"/>
                <w:b/>
                <w:bCs/>
                <w:color w:val="auto"/>
                <w:kern w:val="0"/>
                <w:sz w:val="21"/>
                <w:szCs w:val="21"/>
                <w:highlight w:val="none"/>
                <w:lang w:val="en-US" w:eastAsia="zh-CN"/>
              </w:rPr>
              <w:t xml:space="preserve">  无组织废气监测方案</w:t>
            </w:r>
          </w:p>
          <w:tbl>
            <w:tblPr>
              <w:tblStyle w:val="23"/>
              <w:tblW w:w="137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952"/>
              <w:gridCol w:w="2545"/>
              <w:gridCol w:w="6123"/>
            </w:tblGrid>
            <w:tr w14:paraId="7F232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31" w:type="dxa"/>
                  <w:tcBorders>
                    <w:tl2br w:val="nil"/>
                    <w:tr2bl w:val="nil"/>
                  </w:tcBorders>
                  <w:noWrap w:val="0"/>
                  <w:vAlign w:val="center"/>
                </w:tcPr>
                <w:p w14:paraId="6C85BD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2952" w:type="dxa"/>
                  <w:tcBorders>
                    <w:tl2br w:val="nil"/>
                    <w:tr2bl w:val="nil"/>
                  </w:tcBorders>
                  <w:noWrap w:val="0"/>
                  <w:vAlign w:val="center"/>
                </w:tcPr>
                <w:p w14:paraId="74F99A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监测指标</w:t>
                  </w:r>
                </w:p>
              </w:tc>
              <w:tc>
                <w:tcPr>
                  <w:tcW w:w="2545" w:type="dxa"/>
                  <w:tcBorders>
                    <w:tl2br w:val="nil"/>
                    <w:tr2bl w:val="nil"/>
                  </w:tcBorders>
                  <w:noWrap w:val="0"/>
                  <w:vAlign w:val="center"/>
                </w:tcPr>
                <w:p w14:paraId="738359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6123" w:type="dxa"/>
                  <w:tcBorders>
                    <w:tl2br w:val="nil"/>
                    <w:tr2bl w:val="nil"/>
                  </w:tcBorders>
                  <w:noWrap w:val="0"/>
                  <w:vAlign w:val="top"/>
                </w:tcPr>
                <w:p w14:paraId="2E72C03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执行排放标准</w:t>
                  </w:r>
                </w:p>
              </w:tc>
            </w:tr>
            <w:tr w14:paraId="2F4D3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31" w:type="dxa"/>
                  <w:tcBorders>
                    <w:tl2br w:val="nil"/>
                    <w:tr2bl w:val="nil"/>
                  </w:tcBorders>
                  <w:noWrap w:val="0"/>
                  <w:vAlign w:val="center"/>
                </w:tcPr>
                <w:p w14:paraId="21AECB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color w:val="auto"/>
                      <w:sz w:val="21"/>
                      <w:szCs w:val="21"/>
                      <w:highlight w:val="none"/>
                    </w:rPr>
                    <w:t>加油站场界</w:t>
                  </w:r>
                </w:p>
              </w:tc>
              <w:tc>
                <w:tcPr>
                  <w:tcW w:w="2952" w:type="dxa"/>
                  <w:tcBorders>
                    <w:tl2br w:val="nil"/>
                    <w:tr2bl w:val="nil"/>
                  </w:tcBorders>
                  <w:noWrap w:val="0"/>
                  <w:vAlign w:val="center"/>
                </w:tcPr>
                <w:p w14:paraId="2F3EB2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非甲烷总烃</w:t>
                  </w:r>
                </w:p>
              </w:tc>
              <w:tc>
                <w:tcPr>
                  <w:tcW w:w="2545" w:type="dxa"/>
                  <w:tcBorders>
                    <w:tl2br w:val="nil"/>
                    <w:tr2bl w:val="nil"/>
                  </w:tcBorders>
                  <w:noWrap w:val="0"/>
                  <w:vAlign w:val="center"/>
                </w:tcPr>
                <w:p w14:paraId="6E615F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sz w:val="21"/>
                      <w:szCs w:val="21"/>
                      <w:highlight w:val="none"/>
                    </w:rPr>
                    <w:t>1次/</w:t>
                  </w:r>
                  <w:r>
                    <w:rPr>
                      <w:rFonts w:hint="eastAsia"/>
                      <w:color w:val="auto"/>
                      <w:sz w:val="21"/>
                      <w:szCs w:val="21"/>
                      <w:highlight w:val="none"/>
                    </w:rPr>
                    <w:t>年</w:t>
                  </w:r>
                </w:p>
              </w:tc>
              <w:tc>
                <w:tcPr>
                  <w:tcW w:w="6123" w:type="dxa"/>
                  <w:vMerge w:val="restart"/>
                  <w:tcBorders>
                    <w:tl2br w:val="nil"/>
                    <w:tr2bl w:val="nil"/>
                  </w:tcBorders>
                  <w:noWrap w:val="0"/>
                  <w:vAlign w:val="center"/>
                </w:tcPr>
                <w:p w14:paraId="35FEF3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油类挥发非甲烷总烃执行《四川省加油站大气污染物排放标准》其余执行</w:t>
                  </w:r>
                  <w:r>
                    <w:rPr>
                      <w:rFonts w:hint="default" w:ascii="Times New Roman" w:hAnsi="Times New Roman" w:eastAsia="宋体" w:cs="Times New Roman"/>
                      <w:color w:val="auto"/>
                      <w:sz w:val="21"/>
                      <w:szCs w:val="21"/>
                      <w:highlight w:val="none"/>
                    </w:rPr>
                    <w:t>《大气污染物综合排放标准》 （GB16297- 1996）</w:t>
                  </w:r>
                </w:p>
              </w:tc>
            </w:tr>
            <w:tr w14:paraId="25EA1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31" w:type="dxa"/>
                  <w:tcBorders>
                    <w:tl2br w:val="nil"/>
                    <w:tr2bl w:val="nil"/>
                  </w:tcBorders>
                  <w:noWrap w:val="0"/>
                  <w:vAlign w:val="center"/>
                </w:tcPr>
                <w:p w14:paraId="0F51AD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sz w:val="21"/>
                      <w:szCs w:val="21"/>
                      <w:highlight w:val="none"/>
                    </w:rPr>
                    <w:t>油气处理装置</w:t>
                  </w:r>
                  <w:r>
                    <w:rPr>
                      <w:rFonts w:hint="eastAsia"/>
                      <w:color w:val="auto"/>
                      <w:sz w:val="21"/>
                      <w:szCs w:val="21"/>
                      <w:highlight w:val="none"/>
                    </w:rPr>
                    <w:t>排气筒</w:t>
                  </w:r>
                </w:p>
              </w:tc>
              <w:tc>
                <w:tcPr>
                  <w:tcW w:w="2952" w:type="dxa"/>
                  <w:tcBorders>
                    <w:tl2br w:val="nil"/>
                    <w:tr2bl w:val="nil"/>
                  </w:tcBorders>
                  <w:noWrap w:val="0"/>
                  <w:vAlign w:val="center"/>
                </w:tcPr>
                <w:p w14:paraId="4AC843C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非甲烷总烃</w:t>
                  </w:r>
                </w:p>
              </w:tc>
              <w:tc>
                <w:tcPr>
                  <w:tcW w:w="2545" w:type="dxa"/>
                  <w:tcBorders>
                    <w:tl2br w:val="nil"/>
                    <w:tr2bl w:val="nil"/>
                  </w:tcBorders>
                  <w:noWrap w:val="0"/>
                  <w:vAlign w:val="center"/>
                </w:tcPr>
                <w:p w14:paraId="05258A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color w:val="auto"/>
                      <w:sz w:val="21"/>
                      <w:szCs w:val="21"/>
                      <w:highlight w:val="none"/>
                    </w:rPr>
                    <w:t>1次/</w:t>
                  </w:r>
                  <w:r>
                    <w:rPr>
                      <w:rFonts w:hint="eastAsia"/>
                      <w:color w:val="auto"/>
                      <w:sz w:val="21"/>
                      <w:szCs w:val="21"/>
                      <w:highlight w:val="none"/>
                    </w:rPr>
                    <w:t>年</w:t>
                  </w:r>
                </w:p>
              </w:tc>
              <w:tc>
                <w:tcPr>
                  <w:tcW w:w="6123" w:type="dxa"/>
                  <w:vMerge w:val="continue"/>
                  <w:tcBorders>
                    <w:tl2br w:val="nil"/>
                    <w:tr2bl w:val="nil"/>
                  </w:tcBorders>
                  <w:noWrap w:val="0"/>
                  <w:vAlign w:val="center"/>
                </w:tcPr>
                <w:p w14:paraId="2D023BC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r>
            <w:tr w14:paraId="049FA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31" w:type="dxa"/>
                  <w:tcBorders>
                    <w:tl2br w:val="nil"/>
                    <w:tr2bl w:val="nil"/>
                  </w:tcBorders>
                  <w:noWrap w:val="0"/>
                  <w:vAlign w:val="center"/>
                </w:tcPr>
                <w:p w14:paraId="36DE47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油气回收系统密闭点</w:t>
                  </w:r>
                </w:p>
              </w:tc>
              <w:tc>
                <w:tcPr>
                  <w:tcW w:w="2952" w:type="dxa"/>
                  <w:tcBorders>
                    <w:tl2br w:val="nil"/>
                    <w:tr2bl w:val="nil"/>
                  </w:tcBorders>
                  <w:noWrap w:val="0"/>
                  <w:vAlign w:val="center"/>
                </w:tcPr>
                <w:p w14:paraId="66EC97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lang w:eastAsia="zh-CN"/>
                    </w:rPr>
                    <w:t>泄漏检测值</w:t>
                  </w:r>
                </w:p>
              </w:tc>
              <w:tc>
                <w:tcPr>
                  <w:tcW w:w="2545" w:type="dxa"/>
                  <w:tcBorders>
                    <w:tl2br w:val="nil"/>
                    <w:tr2bl w:val="nil"/>
                  </w:tcBorders>
                  <w:noWrap w:val="0"/>
                  <w:vAlign w:val="center"/>
                </w:tcPr>
                <w:p w14:paraId="712963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color w:val="auto"/>
                      <w:sz w:val="21"/>
                      <w:szCs w:val="21"/>
                      <w:highlight w:val="none"/>
                    </w:rPr>
                    <w:t>1次/</w:t>
                  </w:r>
                  <w:r>
                    <w:rPr>
                      <w:rFonts w:hint="eastAsia"/>
                      <w:color w:val="auto"/>
                      <w:sz w:val="21"/>
                      <w:szCs w:val="21"/>
                      <w:highlight w:val="none"/>
                    </w:rPr>
                    <w:t>年</w:t>
                  </w:r>
                </w:p>
              </w:tc>
              <w:tc>
                <w:tcPr>
                  <w:tcW w:w="6123" w:type="dxa"/>
                  <w:tcBorders>
                    <w:tl2br w:val="nil"/>
                    <w:tr2bl w:val="nil"/>
                  </w:tcBorders>
                  <w:noWrap w:val="0"/>
                  <w:vAlign w:val="center"/>
                </w:tcPr>
                <w:p w14:paraId="11207B4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BF79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31" w:type="dxa"/>
                  <w:tcBorders>
                    <w:tl2br w:val="nil"/>
                    <w:tr2bl w:val="nil"/>
                  </w:tcBorders>
                  <w:noWrap w:val="0"/>
                  <w:vAlign w:val="center"/>
                </w:tcPr>
                <w:p w14:paraId="6D1ABC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加油油气回收立管</w:t>
                  </w:r>
                </w:p>
              </w:tc>
              <w:tc>
                <w:tcPr>
                  <w:tcW w:w="2952" w:type="dxa"/>
                  <w:tcBorders>
                    <w:tl2br w:val="nil"/>
                    <w:tr2bl w:val="nil"/>
                  </w:tcBorders>
                  <w:noWrap w:val="0"/>
                  <w:vAlign w:val="center"/>
                </w:tcPr>
                <w:p w14:paraId="146AFC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液阻、密闭性</w:t>
                  </w:r>
                </w:p>
              </w:tc>
              <w:tc>
                <w:tcPr>
                  <w:tcW w:w="2545" w:type="dxa"/>
                  <w:tcBorders>
                    <w:tl2br w:val="nil"/>
                    <w:tr2bl w:val="nil"/>
                  </w:tcBorders>
                  <w:noWrap w:val="0"/>
                  <w:vAlign w:val="center"/>
                </w:tcPr>
                <w:p w14:paraId="566286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color w:val="auto"/>
                      <w:sz w:val="21"/>
                      <w:szCs w:val="21"/>
                      <w:highlight w:val="none"/>
                    </w:rPr>
                    <w:t>1次/</w:t>
                  </w:r>
                  <w:r>
                    <w:rPr>
                      <w:rFonts w:hint="eastAsia"/>
                      <w:color w:val="auto"/>
                      <w:sz w:val="21"/>
                      <w:szCs w:val="21"/>
                      <w:highlight w:val="none"/>
                    </w:rPr>
                    <w:t>年</w:t>
                  </w:r>
                </w:p>
              </w:tc>
              <w:tc>
                <w:tcPr>
                  <w:tcW w:w="6123" w:type="dxa"/>
                  <w:tcBorders>
                    <w:tl2br w:val="nil"/>
                    <w:tr2bl w:val="nil"/>
                  </w:tcBorders>
                  <w:noWrap w:val="0"/>
                  <w:vAlign w:val="center"/>
                </w:tcPr>
                <w:p w14:paraId="7822A113">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CF17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31" w:type="dxa"/>
                  <w:tcBorders>
                    <w:tl2br w:val="nil"/>
                    <w:tr2bl w:val="nil"/>
                  </w:tcBorders>
                  <w:noWrap w:val="0"/>
                  <w:vAlign w:val="center"/>
                </w:tcPr>
                <w:p w14:paraId="0284D1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加油枪喷管</w:t>
                  </w:r>
                </w:p>
              </w:tc>
              <w:tc>
                <w:tcPr>
                  <w:tcW w:w="2952" w:type="dxa"/>
                  <w:tcBorders>
                    <w:tl2br w:val="nil"/>
                    <w:tr2bl w:val="nil"/>
                  </w:tcBorders>
                  <w:noWrap w:val="0"/>
                  <w:vAlign w:val="center"/>
                </w:tcPr>
                <w:p w14:paraId="3742FF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气液比</w:t>
                  </w:r>
                </w:p>
              </w:tc>
              <w:tc>
                <w:tcPr>
                  <w:tcW w:w="2545" w:type="dxa"/>
                  <w:tcBorders>
                    <w:tl2br w:val="nil"/>
                    <w:tr2bl w:val="nil"/>
                  </w:tcBorders>
                  <w:noWrap w:val="0"/>
                  <w:vAlign w:val="center"/>
                </w:tcPr>
                <w:p w14:paraId="5DA0A6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color w:val="auto"/>
                      <w:sz w:val="21"/>
                      <w:szCs w:val="21"/>
                      <w:highlight w:val="none"/>
                    </w:rPr>
                    <w:t>1次/</w:t>
                  </w:r>
                  <w:r>
                    <w:rPr>
                      <w:rFonts w:hint="eastAsia"/>
                      <w:color w:val="auto"/>
                      <w:sz w:val="21"/>
                      <w:szCs w:val="21"/>
                      <w:highlight w:val="none"/>
                    </w:rPr>
                    <w:t>年</w:t>
                  </w:r>
                </w:p>
              </w:tc>
              <w:tc>
                <w:tcPr>
                  <w:tcW w:w="6123" w:type="dxa"/>
                  <w:tcBorders>
                    <w:tl2br w:val="nil"/>
                    <w:tr2bl w:val="nil"/>
                  </w:tcBorders>
                  <w:noWrap w:val="0"/>
                  <w:vAlign w:val="center"/>
                </w:tcPr>
                <w:p w14:paraId="18A0D48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执行《四川省加油站大气污染物排放标准》</w:t>
                  </w:r>
                </w:p>
              </w:tc>
            </w:tr>
          </w:tbl>
          <w:p w14:paraId="437837D9">
            <w:pPr>
              <w:keepNext w:val="0"/>
              <w:keepLines w:val="0"/>
              <w:suppressLineNumbers w:val="0"/>
              <w:tabs>
                <w:tab w:val="left" w:pos="1005"/>
              </w:tabs>
              <w:spacing w:before="0" w:beforeAutospacing="0" w:after="0" w:afterAutospacing="0" w:line="360" w:lineRule="auto"/>
              <w:ind w:left="0" w:right="0"/>
              <w:rPr>
                <w:rFonts w:hint="default" w:ascii="Times New Roman" w:hAnsi="Times New Roman" w:eastAsia="宋体" w:cs="Times New Roman"/>
                <w:color w:val="auto"/>
                <w:sz w:val="21"/>
                <w:szCs w:val="21"/>
                <w:highlight w:val="none"/>
                <w:lang w:val="en-US" w:eastAsia="zh-CN"/>
              </w:rPr>
            </w:pPr>
          </w:p>
        </w:tc>
      </w:tr>
    </w:tbl>
    <w:p w14:paraId="66E47DE1">
      <w:pPr>
        <w:tabs>
          <w:tab w:val="left" w:pos="1005"/>
        </w:tabs>
        <w:rPr>
          <w:rFonts w:hint="default" w:ascii="Times New Roman" w:hAnsi="Times New Roman" w:cs="Times New Roman"/>
          <w:color w:val="auto"/>
          <w:sz w:val="28"/>
          <w:szCs w:val="28"/>
          <w:highlight w:val="none"/>
        </w:rPr>
        <w:sectPr>
          <w:pgSz w:w="16838" w:h="11906" w:orient="landscape"/>
          <w:pgMar w:top="1418"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9115"/>
      </w:tblGrid>
      <w:tr w14:paraId="38AF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vAlign w:val="center"/>
          </w:tcPr>
          <w:p w14:paraId="0A84C70F">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运营</w:t>
            </w:r>
          </w:p>
          <w:p w14:paraId="7B60424E">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期环</w:t>
            </w:r>
          </w:p>
          <w:p w14:paraId="291928D6">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境影</w:t>
            </w:r>
          </w:p>
          <w:p w14:paraId="015FACE2">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响和</w:t>
            </w:r>
          </w:p>
          <w:p w14:paraId="72E47B1E">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保护</w:t>
            </w:r>
          </w:p>
          <w:p w14:paraId="7C5A5F45">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jc w:val="center"/>
              <w:rPr>
                <w:rFonts w:hint="default" w:cs="Times New Roman"/>
                <w:color w:val="auto"/>
                <w:szCs w:val="21"/>
                <w:highlight w:val="none"/>
              </w:rPr>
            </w:pPr>
            <w:r>
              <w:rPr>
                <w:rFonts w:hint="eastAsia" w:ascii="Times New Roman" w:hAnsi="Times New Roman" w:eastAsia="宋体" w:cs="Times New Roman"/>
                <w:color w:val="auto"/>
                <w:sz w:val="24"/>
                <w:szCs w:val="24"/>
                <w:highlight w:val="none"/>
              </w:rPr>
              <w:t>措施</w:t>
            </w:r>
          </w:p>
        </w:tc>
        <w:tc>
          <w:tcPr>
            <w:tcW w:w="9021" w:type="dxa"/>
            <w:vAlign w:val="center"/>
          </w:tcPr>
          <w:p w14:paraId="64BE6083">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eastAsia"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环境影响</w:t>
            </w:r>
            <w:r>
              <w:rPr>
                <w:rFonts w:hint="eastAsia" w:eastAsia="宋体" w:cs="Times New Roman"/>
                <w:b/>
                <w:color w:val="auto"/>
                <w:sz w:val="24"/>
                <w:szCs w:val="24"/>
                <w:highlight w:val="none"/>
                <w:lang w:eastAsia="zh-CN"/>
              </w:rPr>
              <w:t>小结</w:t>
            </w:r>
          </w:p>
          <w:p w14:paraId="3046F4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项目营运期大气污染物主要为卸油、储存、加油过程中挥发的有机废气，通过设置一次、二次</w:t>
            </w:r>
            <w:r>
              <w:rPr>
                <w:rFonts w:hint="eastAsia" w:cs="Times New Roman"/>
                <w:b w:val="0"/>
                <w:bCs w:val="0"/>
                <w:color w:val="auto"/>
                <w:sz w:val="24"/>
                <w:szCs w:val="24"/>
                <w:highlight w:val="none"/>
                <w:lang w:val="en-US" w:eastAsia="zh-CN"/>
              </w:rPr>
              <w:t>、三次</w:t>
            </w:r>
            <w:r>
              <w:rPr>
                <w:rFonts w:hint="default" w:ascii="Times New Roman" w:hAnsi="Times New Roman" w:cs="Times New Roman"/>
                <w:b w:val="0"/>
                <w:bCs w:val="0"/>
                <w:color w:val="auto"/>
                <w:sz w:val="24"/>
                <w:szCs w:val="24"/>
                <w:highlight w:val="none"/>
                <w:lang w:val="en-US" w:eastAsia="zh-CN"/>
              </w:rPr>
              <w:t>油气回收系统，油气回收效率可以达到90%以上，油气排放量可大大减少；储</w:t>
            </w:r>
            <w:r>
              <w:rPr>
                <w:rFonts w:hint="eastAsia" w:cs="Times New Roman"/>
                <w:b w:val="0"/>
                <w:bCs w:val="0"/>
                <w:color w:val="auto"/>
                <w:sz w:val="24"/>
                <w:szCs w:val="24"/>
                <w:highlight w:val="none"/>
                <w:lang w:val="en-US" w:eastAsia="zh-CN"/>
              </w:rPr>
              <w:t>罐</w:t>
            </w:r>
            <w:r>
              <w:rPr>
                <w:rFonts w:hint="default" w:ascii="Times New Roman" w:hAnsi="Times New Roman" w:cs="Times New Roman"/>
                <w:b w:val="0"/>
                <w:bCs w:val="0"/>
                <w:color w:val="auto"/>
                <w:sz w:val="24"/>
                <w:szCs w:val="24"/>
                <w:highlight w:val="none"/>
                <w:lang w:val="en-US" w:eastAsia="zh-CN"/>
              </w:rPr>
              <w:t>呼吸口的油气（以VOCs计）排放浓度均值能够达到《四川省加油站大气污染物排放标准》（DB51/2865-2021）的限值要求。由于加油加气站场为敞开状态，空气流通顺畅，站内绿化面积较大，汽车尾气为无组织排放，对环境影响较小。备用</w:t>
            </w:r>
            <w:r>
              <w:rPr>
                <w:rFonts w:hint="eastAsia" w:cs="Times New Roman"/>
                <w:b w:val="0"/>
                <w:bCs w:val="0"/>
                <w:color w:val="auto"/>
                <w:sz w:val="24"/>
                <w:szCs w:val="24"/>
                <w:highlight w:val="none"/>
                <w:lang w:val="en-US" w:eastAsia="zh-CN"/>
              </w:rPr>
              <w:t>撬装</w:t>
            </w:r>
            <w:r>
              <w:rPr>
                <w:rFonts w:hint="default" w:ascii="Times New Roman" w:hAnsi="Times New Roman" w:cs="Times New Roman"/>
                <w:b w:val="0"/>
                <w:bCs w:val="0"/>
                <w:color w:val="auto"/>
                <w:sz w:val="24"/>
                <w:szCs w:val="24"/>
                <w:highlight w:val="none"/>
                <w:lang w:val="en-US" w:eastAsia="zh-CN"/>
              </w:rPr>
              <w:t>柴油发电机只是在停电情况下使用，</w:t>
            </w:r>
            <w:r>
              <w:rPr>
                <w:rFonts w:hint="eastAsia" w:cs="Times New Roman"/>
                <w:b w:val="0"/>
                <w:bCs w:val="0"/>
                <w:color w:val="auto"/>
                <w:sz w:val="24"/>
                <w:szCs w:val="24"/>
                <w:highlight w:val="none"/>
                <w:lang w:val="en-US" w:eastAsia="zh-CN"/>
              </w:rPr>
              <w:t>撬装柴油发电机的</w:t>
            </w:r>
            <w:r>
              <w:rPr>
                <w:rFonts w:hint="default" w:ascii="Times New Roman" w:hAnsi="Times New Roman" w:cs="Times New Roman"/>
                <w:b w:val="0"/>
                <w:bCs w:val="0"/>
                <w:color w:val="auto"/>
                <w:sz w:val="24"/>
                <w:szCs w:val="24"/>
                <w:highlight w:val="none"/>
                <w:lang w:val="en-US" w:eastAsia="zh-CN"/>
              </w:rPr>
              <w:t>燃烧废气由自带消烟除尘装置处理后经排风机抽出，经内置烟道引至室外排放，对周围环境影响不明显。</w:t>
            </w:r>
          </w:p>
          <w:p w14:paraId="5D121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通过采取相应措施加以控制，项目废气对周围环境的污染影响较小，对所在区域大气环境影响程度为可以接受的影响程度。</w:t>
            </w:r>
          </w:p>
          <w:p w14:paraId="3C92C787">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2、废水</w:t>
            </w:r>
          </w:p>
          <w:p w14:paraId="50720AD3">
            <w:pPr>
              <w:keepNext w:val="0"/>
              <w:keepLines w:val="0"/>
              <w:suppressLineNumbers w:val="0"/>
              <w:spacing w:before="0" w:beforeAutospacing="0" w:after="0" w:afterAutospacing="0" w:line="360" w:lineRule="auto"/>
              <w:ind w:left="0" w:right="0" w:firstLine="480"/>
              <w:rPr>
                <w:rFonts w:hint="default"/>
                <w:b/>
                <w:bCs/>
                <w:color w:val="auto"/>
                <w:kern w:val="0"/>
                <w:sz w:val="24"/>
                <w:highlight w:val="none"/>
              </w:rPr>
            </w:pPr>
            <w:r>
              <w:rPr>
                <w:rFonts w:hint="eastAsia"/>
                <w:b/>
                <w:bCs/>
                <w:color w:val="auto"/>
                <w:kern w:val="0"/>
                <w:sz w:val="24"/>
                <w:highlight w:val="none"/>
                <w:lang w:eastAsia="zh-CN"/>
              </w:rPr>
              <w:t>（</w:t>
            </w:r>
            <w:r>
              <w:rPr>
                <w:rFonts w:hint="eastAsia"/>
                <w:b/>
                <w:bCs/>
                <w:color w:val="auto"/>
                <w:kern w:val="0"/>
                <w:sz w:val="24"/>
                <w:highlight w:val="none"/>
                <w:lang w:val="en-US" w:eastAsia="zh-CN"/>
              </w:rPr>
              <w:t>1</w:t>
            </w:r>
            <w:r>
              <w:rPr>
                <w:rFonts w:hint="eastAsia"/>
                <w:b/>
                <w:bCs/>
                <w:color w:val="auto"/>
                <w:kern w:val="0"/>
                <w:sz w:val="24"/>
                <w:highlight w:val="none"/>
                <w:lang w:eastAsia="zh-CN"/>
              </w:rPr>
              <w:t>）</w:t>
            </w:r>
            <w:r>
              <w:rPr>
                <w:rFonts w:hint="eastAsia"/>
                <w:b/>
                <w:bCs/>
                <w:color w:val="auto"/>
                <w:kern w:val="0"/>
                <w:sz w:val="24"/>
                <w:highlight w:val="none"/>
              </w:rPr>
              <w:t>运营期水污染物排放及</w:t>
            </w:r>
            <w:r>
              <w:rPr>
                <w:rFonts w:hint="eastAsia"/>
                <w:b/>
                <w:bCs/>
                <w:color w:val="auto"/>
                <w:kern w:val="0"/>
                <w:sz w:val="24"/>
                <w:highlight w:val="none"/>
                <w:lang w:eastAsia="zh-CN"/>
              </w:rPr>
              <w:t>治理</w:t>
            </w:r>
            <w:r>
              <w:rPr>
                <w:rFonts w:hint="eastAsia"/>
                <w:b/>
                <w:bCs/>
                <w:color w:val="auto"/>
                <w:kern w:val="0"/>
                <w:sz w:val="24"/>
                <w:highlight w:val="none"/>
              </w:rPr>
              <w:t>措施</w:t>
            </w:r>
          </w:p>
          <w:p w14:paraId="599CC21C">
            <w:pPr>
              <w:keepNext w:val="0"/>
              <w:keepLines w:val="0"/>
              <w:suppressLineNumbers w:val="0"/>
              <w:spacing w:before="0" w:beforeAutospacing="0" w:after="0" w:afterAutospacing="0" w:line="360" w:lineRule="auto"/>
              <w:ind w:left="0" w:right="0" w:firstLine="480"/>
              <w:rPr>
                <w:rFonts w:hint="default"/>
                <w:color w:val="auto"/>
                <w:kern w:val="0"/>
                <w:sz w:val="24"/>
                <w:highlight w:val="none"/>
              </w:rPr>
            </w:pPr>
            <w:r>
              <w:rPr>
                <w:rFonts w:hint="default"/>
                <w:color w:val="auto"/>
                <w:kern w:val="0"/>
                <w:sz w:val="24"/>
                <w:highlight w:val="none"/>
              </w:rPr>
              <w:t>项目营运期废水主要为</w:t>
            </w:r>
            <w:r>
              <w:rPr>
                <w:rFonts w:hint="eastAsia"/>
                <w:color w:val="auto"/>
                <w:kern w:val="0"/>
                <w:sz w:val="24"/>
                <w:highlight w:val="none"/>
              </w:rPr>
              <w:t>洗车废水、地面冲洗废水、</w:t>
            </w:r>
            <w:r>
              <w:rPr>
                <w:rFonts w:hint="default"/>
                <w:color w:val="auto"/>
                <w:kern w:val="0"/>
                <w:sz w:val="24"/>
                <w:highlight w:val="none"/>
              </w:rPr>
              <w:t>员工及司乘人员产生的生活污水及地面初期雨水。项目绿化用水经土壤渗透吸收后不外排。</w:t>
            </w:r>
          </w:p>
          <w:p w14:paraId="41798AA6">
            <w:pPr>
              <w:keepNext w:val="0"/>
              <w:keepLines w:val="0"/>
              <w:suppressLineNumbers w:val="0"/>
              <w:spacing w:before="0" w:beforeAutospacing="0" w:after="0" w:afterAutospacing="0" w:line="360" w:lineRule="auto"/>
              <w:ind w:left="102" w:right="40" w:firstLine="482"/>
              <w:rPr>
                <w:rFonts w:hint="default"/>
                <w:b/>
                <w:bCs/>
                <w:color w:val="auto"/>
                <w:kern w:val="0"/>
                <w:sz w:val="24"/>
                <w:highlight w:val="none"/>
              </w:rPr>
            </w:pPr>
            <w:r>
              <w:rPr>
                <w:rFonts w:hint="eastAsia"/>
                <w:b/>
                <w:bCs/>
                <w:color w:val="auto"/>
                <w:kern w:val="0"/>
                <w:sz w:val="24"/>
                <w:highlight w:val="none"/>
                <w:lang w:val="en-US" w:eastAsia="zh-CN"/>
              </w:rPr>
              <w:t>①</w:t>
            </w:r>
            <w:r>
              <w:rPr>
                <w:rFonts w:hint="eastAsia"/>
                <w:b/>
                <w:bCs/>
                <w:color w:val="auto"/>
                <w:kern w:val="0"/>
                <w:sz w:val="24"/>
                <w:highlight w:val="none"/>
              </w:rPr>
              <w:t>洗车废水</w:t>
            </w:r>
          </w:p>
          <w:p w14:paraId="5D03D698">
            <w:pPr>
              <w:keepNext w:val="0"/>
              <w:keepLines w:val="0"/>
              <w:suppressLineNumbers w:val="0"/>
              <w:spacing w:before="0" w:beforeAutospacing="0" w:after="0" w:afterAutospacing="0" w:line="360" w:lineRule="auto"/>
              <w:ind w:left="102" w:right="40" w:firstLine="482"/>
              <w:rPr>
                <w:rFonts w:hint="default"/>
                <w:b/>
                <w:bCs/>
                <w:color w:val="auto"/>
                <w:kern w:val="0"/>
                <w:sz w:val="24"/>
                <w:highlight w:val="none"/>
              </w:rPr>
            </w:pPr>
            <w:r>
              <w:rPr>
                <w:rFonts w:hint="default"/>
                <w:b/>
                <w:bCs/>
                <w:color w:val="auto"/>
                <w:kern w:val="0"/>
                <w:sz w:val="24"/>
                <w:highlight w:val="none"/>
              </w:rPr>
              <w:t>产生情况</w:t>
            </w:r>
          </w:p>
          <w:p w14:paraId="66A81DA9">
            <w:pPr>
              <w:keepNext w:val="0"/>
              <w:keepLines w:val="0"/>
              <w:suppressLineNumbers w:val="0"/>
              <w:spacing w:before="0" w:beforeAutospacing="0" w:after="0" w:afterAutospacing="0" w:line="360" w:lineRule="auto"/>
              <w:ind w:left="102" w:right="40" w:firstLine="482"/>
              <w:rPr>
                <w:rFonts w:hint="default" w:ascii="宋体" w:hAnsi="宋体" w:cs="宋体"/>
                <w:color w:val="auto"/>
                <w:sz w:val="23"/>
                <w:szCs w:val="23"/>
                <w:highlight w:val="none"/>
              </w:rPr>
            </w:pPr>
            <w:r>
              <w:rPr>
                <w:rFonts w:hint="eastAsia"/>
                <w:color w:val="auto"/>
                <w:kern w:val="0"/>
                <w:sz w:val="24"/>
                <w:highlight w:val="none"/>
              </w:rPr>
              <w:t>本项目设置</w:t>
            </w:r>
            <w:r>
              <w:rPr>
                <w:rFonts w:hint="default"/>
                <w:color w:val="auto"/>
                <w:kern w:val="0"/>
                <w:sz w:val="24"/>
                <w:highlight w:val="none"/>
              </w:rPr>
              <w:t>通过式洗车机1台</w:t>
            </w:r>
            <w:r>
              <w:rPr>
                <w:rFonts w:hint="eastAsia"/>
                <w:color w:val="auto"/>
                <w:kern w:val="0"/>
                <w:sz w:val="24"/>
                <w:highlight w:val="none"/>
              </w:rPr>
              <w:t>，洗车过程中仅进行水冲洗，不添加清洗剂。加油车辆</w:t>
            </w:r>
            <w:r>
              <w:rPr>
                <w:rFonts w:hint="default"/>
                <w:color w:val="auto"/>
                <w:kern w:val="0"/>
                <w:sz w:val="24"/>
                <w:highlight w:val="none"/>
              </w:rPr>
              <w:t>以小型车每车加油</w:t>
            </w:r>
            <w:r>
              <w:rPr>
                <w:rFonts w:hint="eastAsia"/>
                <w:color w:val="auto"/>
                <w:kern w:val="0"/>
                <w:sz w:val="24"/>
                <w:highlight w:val="none"/>
              </w:rPr>
              <w:t>5</w:t>
            </w:r>
            <w:r>
              <w:rPr>
                <w:rFonts w:hint="default"/>
                <w:color w:val="auto"/>
                <w:kern w:val="0"/>
                <w:sz w:val="24"/>
                <w:highlight w:val="none"/>
              </w:rPr>
              <w:t>0L、载重车每车加油100L计，</w:t>
            </w:r>
            <w:r>
              <w:rPr>
                <w:rFonts w:hint="eastAsia"/>
                <w:color w:val="auto"/>
                <w:kern w:val="0"/>
                <w:sz w:val="24"/>
                <w:highlight w:val="none"/>
              </w:rPr>
              <w:t>燃气车辆每车加气60L计，</w:t>
            </w:r>
            <w:r>
              <w:rPr>
                <w:rFonts w:hint="default"/>
                <w:color w:val="auto"/>
                <w:kern w:val="0"/>
                <w:sz w:val="24"/>
                <w:highlight w:val="none"/>
              </w:rPr>
              <w:t>考虑24小时服务，根据加油加气站销售量</w:t>
            </w:r>
            <w:r>
              <w:rPr>
                <w:rFonts w:hint="eastAsia"/>
                <w:color w:val="auto"/>
                <w:kern w:val="0"/>
                <w:sz w:val="24"/>
                <w:highlight w:val="none"/>
              </w:rPr>
              <w:t>（</w:t>
            </w:r>
            <w:r>
              <w:rPr>
                <w:rFonts w:hint="default"/>
                <w:color w:val="auto"/>
                <w:kern w:val="0"/>
                <w:sz w:val="24"/>
                <w:highlight w:val="none"/>
              </w:rPr>
              <w:t>年售汽油</w:t>
            </w:r>
            <w:r>
              <w:rPr>
                <w:rFonts w:hint="eastAsia"/>
                <w:color w:val="auto"/>
                <w:kern w:val="0"/>
                <w:sz w:val="24"/>
                <w:highlight w:val="none"/>
                <w:lang w:val="en-US" w:eastAsia="zh-CN"/>
              </w:rPr>
              <w:t>2268</w:t>
            </w:r>
            <w:r>
              <w:rPr>
                <w:rFonts w:hint="default"/>
                <w:color w:val="auto"/>
                <w:kern w:val="0"/>
                <w:sz w:val="24"/>
                <w:highlight w:val="none"/>
              </w:rPr>
              <w:t>m</w:t>
            </w:r>
            <w:r>
              <w:rPr>
                <w:rFonts w:hint="eastAsia"/>
                <w:color w:val="auto"/>
                <w:kern w:val="0"/>
                <w:sz w:val="24"/>
                <w:highlight w:val="none"/>
                <w:vertAlign w:val="superscript"/>
              </w:rPr>
              <w:t>3</w:t>
            </w:r>
            <w:r>
              <w:rPr>
                <w:rFonts w:hint="default"/>
                <w:color w:val="auto"/>
                <w:kern w:val="0"/>
                <w:sz w:val="24"/>
                <w:highlight w:val="none"/>
              </w:rPr>
              <w:t>，柴油</w:t>
            </w:r>
            <w:r>
              <w:rPr>
                <w:rFonts w:hint="eastAsia"/>
                <w:color w:val="auto"/>
                <w:kern w:val="0"/>
                <w:sz w:val="24"/>
                <w:highlight w:val="none"/>
                <w:lang w:val="en-US" w:eastAsia="zh-CN"/>
              </w:rPr>
              <w:t>1944</w:t>
            </w:r>
            <w:r>
              <w:rPr>
                <w:rFonts w:hint="default"/>
                <w:color w:val="auto"/>
                <w:kern w:val="0"/>
                <w:sz w:val="24"/>
                <w:highlight w:val="none"/>
              </w:rPr>
              <w:t>m</w:t>
            </w:r>
            <w:r>
              <w:rPr>
                <w:rFonts w:hint="default"/>
                <w:color w:val="auto"/>
                <w:kern w:val="0"/>
                <w:sz w:val="24"/>
                <w:highlight w:val="none"/>
                <w:vertAlign w:val="superscript"/>
              </w:rPr>
              <w:t>3</w:t>
            </w:r>
            <w:r>
              <w:rPr>
                <w:rFonts w:hint="eastAsia"/>
                <w:color w:val="auto"/>
                <w:kern w:val="0"/>
                <w:sz w:val="24"/>
                <w:highlight w:val="none"/>
              </w:rPr>
              <w:t>，液化天然气</w:t>
            </w:r>
            <w:r>
              <w:rPr>
                <w:rFonts w:hint="eastAsia"/>
                <w:color w:val="auto"/>
                <w:kern w:val="0"/>
                <w:sz w:val="24"/>
                <w:highlight w:val="none"/>
                <w:lang w:val="en-US" w:eastAsia="zh-CN"/>
              </w:rPr>
              <w:t>1944</w:t>
            </w:r>
            <w:r>
              <w:rPr>
                <w:rFonts w:hint="eastAsia"/>
                <w:color w:val="auto"/>
                <w:kern w:val="0"/>
                <w:sz w:val="24"/>
                <w:highlight w:val="none"/>
              </w:rPr>
              <w:t>m</w:t>
            </w:r>
            <w:r>
              <w:rPr>
                <w:rFonts w:hint="default"/>
                <w:color w:val="auto"/>
                <w:kern w:val="0"/>
                <w:sz w:val="24"/>
                <w:highlight w:val="none"/>
                <w:vertAlign w:val="superscript"/>
              </w:rPr>
              <w:t>3</w:t>
            </w:r>
            <w:r>
              <w:rPr>
                <w:rFonts w:hint="eastAsia"/>
                <w:color w:val="auto"/>
                <w:kern w:val="0"/>
                <w:sz w:val="24"/>
                <w:highlight w:val="none"/>
              </w:rPr>
              <w:t>）</w:t>
            </w:r>
            <w:r>
              <w:rPr>
                <w:rFonts w:hint="default"/>
                <w:color w:val="auto"/>
                <w:kern w:val="0"/>
                <w:sz w:val="24"/>
                <w:highlight w:val="none"/>
              </w:rPr>
              <w:t>可知，加油加气站每天可给约300辆左右的汽车加油</w:t>
            </w:r>
            <w:r>
              <w:rPr>
                <w:rFonts w:hint="eastAsia"/>
                <w:color w:val="auto"/>
                <w:kern w:val="0"/>
                <w:sz w:val="24"/>
                <w:highlight w:val="none"/>
              </w:rPr>
              <w:t>加气，加油机汽车洗车率以15%计，则洗车率约为45辆/</w:t>
            </w:r>
            <w:r>
              <w:rPr>
                <w:rFonts w:hint="default"/>
                <w:color w:val="auto"/>
                <w:kern w:val="0"/>
                <w:sz w:val="24"/>
                <w:highlight w:val="none"/>
              </w:rPr>
              <w:t>d</w:t>
            </w:r>
            <w:r>
              <w:rPr>
                <w:rFonts w:hint="eastAsia"/>
                <w:color w:val="auto"/>
                <w:kern w:val="0"/>
                <w:sz w:val="24"/>
                <w:highlight w:val="none"/>
              </w:rPr>
              <w:t>，</w:t>
            </w:r>
            <w:r>
              <w:rPr>
                <w:rFonts w:hint="eastAsia"/>
                <w:color w:val="auto"/>
                <w:kern w:val="0"/>
                <w:sz w:val="24"/>
                <w:highlight w:val="none"/>
                <w:lang w:val="en-US" w:eastAsia="zh-CN"/>
              </w:rPr>
              <w:t>参照</w:t>
            </w:r>
            <w:r>
              <w:rPr>
                <w:rFonts w:hint="default"/>
                <w:color w:val="auto"/>
                <w:kern w:val="0"/>
                <w:sz w:val="24"/>
                <w:highlight w:val="none"/>
              </w:rPr>
              <w:t>《四川省用水定额》</w:t>
            </w:r>
            <w:r>
              <w:rPr>
                <w:rFonts w:hint="eastAsia"/>
                <w:color w:val="auto"/>
                <w:kern w:val="0"/>
                <w:sz w:val="24"/>
                <w:highlight w:val="none"/>
              </w:rPr>
              <w:t>（川府函</w:t>
            </w:r>
            <w:r>
              <w:rPr>
                <w:rFonts w:hint="default"/>
                <w:color w:val="auto"/>
                <w:kern w:val="0"/>
                <w:sz w:val="24"/>
                <w:highlight w:val="none"/>
              </w:rPr>
              <w:t>〔2021〕8号</w:t>
            </w:r>
            <w:r>
              <w:rPr>
                <w:rFonts w:hint="eastAsia"/>
                <w:color w:val="auto"/>
                <w:kern w:val="0"/>
                <w:sz w:val="24"/>
                <w:highlight w:val="none"/>
              </w:rPr>
              <w:t>），洗车</w:t>
            </w:r>
            <w:r>
              <w:rPr>
                <w:rFonts w:hint="default"/>
                <w:color w:val="auto"/>
                <w:kern w:val="0"/>
                <w:sz w:val="24"/>
                <w:highlight w:val="none"/>
              </w:rPr>
              <w:t>用水量按</w:t>
            </w:r>
            <w:r>
              <w:rPr>
                <w:rFonts w:hint="eastAsia"/>
                <w:color w:val="auto"/>
                <w:kern w:val="0"/>
                <w:sz w:val="24"/>
                <w:highlight w:val="none"/>
                <w:lang w:val="en-US" w:eastAsia="zh-CN"/>
              </w:rPr>
              <w:t>60</w:t>
            </w:r>
            <w:r>
              <w:rPr>
                <w:rFonts w:hint="default"/>
                <w:color w:val="auto"/>
                <w:kern w:val="0"/>
                <w:sz w:val="24"/>
                <w:highlight w:val="none"/>
              </w:rPr>
              <w:t>L/</w:t>
            </w:r>
            <w:r>
              <w:rPr>
                <w:rFonts w:hint="eastAsia"/>
                <w:color w:val="auto"/>
                <w:kern w:val="0"/>
                <w:sz w:val="24"/>
                <w:highlight w:val="none"/>
              </w:rPr>
              <w:t>辆</w:t>
            </w:r>
            <w:r>
              <w:rPr>
                <w:rFonts w:hint="default"/>
                <w:color w:val="auto"/>
                <w:kern w:val="0"/>
                <w:sz w:val="24"/>
                <w:highlight w:val="none"/>
              </w:rPr>
              <w:t>·次计，则加油加气站</w:t>
            </w:r>
            <w:r>
              <w:rPr>
                <w:rFonts w:hint="eastAsia"/>
                <w:color w:val="auto"/>
                <w:kern w:val="0"/>
                <w:sz w:val="24"/>
                <w:highlight w:val="none"/>
              </w:rPr>
              <w:t>洗车</w:t>
            </w:r>
            <w:r>
              <w:rPr>
                <w:rFonts w:hint="default"/>
                <w:color w:val="auto"/>
                <w:kern w:val="0"/>
                <w:sz w:val="24"/>
                <w:highlight w:val="none"/>
              </w:rPr>
              <w:t>用水量为</w:t>
            </w:r>
            <w:r>
              <w:rPr>
                <w:rFonts w:hint="eastAsia"/>
                <w:color w:val="auto"/>
                <w:kern w:val="0"/>
                <w:sz w:val="24"/>
                <w:highlight w:val="none"/>
                <w:lang w:val="en-US" w:eastAsia="zh-CN"/>
              </w:rPr>
              <w:t>2.7</w:t>
            </w:r>
            <w:r>
              <w:rPr>
                <w:rFonts w:hint="default"/>
                <w:color w:val="auto"/>
                <w:kern w:val="0"/>
                <w:sz w:val="24"/>
                <w:highlight w:val="none"/>
              </w:rPr>
              <w:t>m</w:t>
            </w:r>
            <w:r>
              <w:rPr>
                <w:rFonts w:hint="default"/>
                <w:color w:val="auto"/>
                <w:kern w:val="0"/>
                <w:sz w:val="24"/>
                <w:highlight w:val="none"/>
                <w:vertAlign w:val="superscript"/>
              </w:rPr>
              <w:t>3</w:t>
            </w:r>
            <w:r>
              <w:rPr>
                <w:rFonts w:hint="default"/>
                <w:color w:val="auto"/>
                <w:kern w:val="0"/>
                <w:sz w:val="24"/>
                <w:highlight w:val="none"/>
              </w:rPr>
              <w:t>/d，</w:t>
            </w:r>
            <w:r>
              <w:rPr>
                <w:rFonts w:hint="eastAsia"/>
                <w:color w:val="auto"/>
                <w:kern w:val="0"/>
                <w:sz w:val="24"/>
                <w:highlight w:val="none"/>
                <w:lang w:val="en-US" w:eastAsia="zh-CN"/>
              </w:rPr>
              <w:t>985.5</w:t>
            </w:r>
            <w:r>
              <w:rPr>
                <w:rFonts w:hint="default"/>
                <w:color w:val="auto"/>
                <w:kern w:val="0"/>
                <w:sz w:val="24"/>
                <w:highlight w:val="none"/>
              </w:rPr>
              <w:t>m</w:t>
            </w:r>
            <w:r>
              <w:rPr>
                <w:rFonts w:hint="default"/>
                <w:color w:val="auto"/>
                <w:kern w:val="0"/>
                <w:sz w:val="24"/>
                <w:highlight w:val="none"/>
                <w:vertAlign w:val="superscript"/>
              </w:rPr>
              <w:t>3</w:t>
            </w:r>
            <w:r>
              <w:rPr>
                <w:rFonts w:hint="default"/>
                <w:color w:val="auto"/>
                <w:kern w:val="0"/>
                <w:sz w:val="24"/>
                <w:highlight w:val="none"/>
              </w:rPr>
              <w:t>/a。</w:t>
            </w:r>
            <w:r>
              <w:rPr>
                <w:rFonts w:hint="eastAsia"/>
                <w:color w:val="auto"/>
                <w:kern w:val="0"/>
                <w:sz w:val="24"/>
                <w:highlight w:val="none"/>
              </w:rPr>
              <w:t>洗车废水</w:t>
            </w:r>
            <w:r>
              <w:rPr>
                <w:rFonts w:hint="default" w:ascii="宋体" w:hAnsi="宋体" w:cs="宋体"/>
                <w:color w:val="auto"/>
                <w:spacing w:val="2"/>
                <w:sz w:val="23"/>
                <w:szCs w:val="23"/>
                <w:highlight w:val="none"/>
              </w:rPr>
              <w:t>产污系数按</w:t>
            </w:r>
            <w:r>
              <w:rPr>
                <w:rFonts w:hint="default"/>
                <w:color w:val="auto"/>
                <w:kern w:val="0"/>
                <w:sz w:val="24"/>
                <w:highlight w:val="none"/>
              </w:rPr>
              <w:t>8</w:t>
            </w:r>
            <w:r>
              <w:rPr>
                <w:rFonts w:hint="eastAsia"/>
                <w:color w:val="auto"/>
                <w:kern w:val="0"/>
                <w:sz w:val="24"/>
                <w:highlight w:val="none"/>
              </w:rPr>
              <w:t>0</w:t>
            </w:r>
            <w:r>
              <w:rPr>
                <w:rFonts w:hint="default"/>
                <w:color w:val="auto"/>
                <w:kern w:val="0"/>
                <w:sz w:val="24"/>
                <w:highlight w:val="none"/>
              </w:rPr>
              <w:t>%计，则项目</w:t>
            </w:r>
            <w:r>
              <w:rPr>
                <w:rFonts w:hint="eastAsia"/>
                <w:color w:val="auto"/>
                <w:kern w:val="0"/>
                <w:sz w:val="24"/>
                <w:highlight w:val="none"/>
              </w:rPr>
              <w:t>洗车废水</w:t>
            </w:r>
            <w:r>
              <w:rPr>
                <w:rFonts w:hint="default"/>
                <w:color w:val="auto"/>
                <w:kern w:val="0"/>
                <w:sz w:val="24"/>
                <w:highlight w:val="none"/>
              </w:rPr>
              <w:t>产生量约为</w:t>
            </w:r>
            <w:r>
              <w:rPr>
                <w:rFonts w:hint="eastAsia"/>
                <w:color w:val="auto"/>
                <w:kern w:val="0"/>
                <w:sz w:val="24"/>
                <w:highlight w:val="none"/>
                <w:lang w:val="en-US" w:eastAsia="zh-CN"/>
              </w:rPr>
              <w:t>2.16</w:t>
            </w:r>
            <w:r>
              <w:rPr>
                <w:rFonts w:hint="default"/>
                <w:color w:val="auto"/>
                <w:kern w:val="0"/>
                <w:sz w:val="24"/>
                <w:highlight w:val="none"/>
              </w:rPr>
              <w:t>m</w:t>
            </w:r>
            <w:r>
              <w:rPr>
                <w:rFonts w:hint="default"/>
                <w:color w:val="auto"/>
                <w:kern w:val="0"/>
                <w:sz w:val="24"/>
                <w:highlight w:val="none"/>
                <w:vertAlign w:val="superscript"/>
              </w:rPr>
              <w:t>3</w:t>
            </w:r>
            <w:r>
              <w:rPr>
                <w:rFonts w:hint="default"/>
                <w:color w:val="auto"/>
                <w:kern w:val="0"/>
                <w:sz w:val="24"/>
                <w:highlight w:val="none"/>
              </w:rPr>
              <w:t>/d</w:t>
            </w:r>
            <w:r>
              <w:rPr>
                <w:rFonts w:hint="eastAsia"/>
                <w:color w:val="auto"/>
                <w:kern w:val="0"/>
                <w:sz w:val="24"/>
                <w:highlight w:val="none"/>
              </w:rPr>
              <w:t>，</w:t>
            </w:r>
            <w:r>
              <w:rPr>
                <w:rFonts w:hint="eastAsia"/>
                <w:color w:val="auto"/>
                <w:kern w:val="0"/>
                <w:sz w:val="24"/>
                <w:highlight w:val="none"/>
                <w:lang w:val="en-US" w:eastAsia="zh-CN"/>
              </w:rPr>
              <w:t>788.4</w:t>
            </w:r>
            <w:r>
              <w:rPr>
                <w:rFonts w:hint="default"/>
                <w:color w:val="auto"/>
                <w:kern w:val="0"/>
                <w:sz w:val="24"/>
                <w:highlight w:val="none"/>
              </w:rPr>
              <w:t>m</w:t>
            </w:r>
            <w:r>
              <w:rPr>
                <w:rFonts w:hint="default"/>
                <w:color w:val="auto"/>
                <w:kern w:val="0"/>
                <w:sz w:val="24"/>
                <w:highlight w:val="none"/>
                <w:vertAlign w:val="superscript"/>
              </w:rPr>
              <w:t>3</w:t>
            </w:r>
            <w:r>
              <w:rPr>
                <w:rFonts w:hint="default"/>
                <w:color w:val="auto"/>
                <w:kern w:val="0"/>
                <w:sz w:val="24"/>
                <w:highlight w:val="none"/>
              </w:rPr>
              <w:t>/a。</w:t>
            </w:r>
          </w:p>
          <w:p w14:paraId="38F02016">
            <w:pPr>
              <w:keepNext w:val="0"/>
              <w:keepLines w:val="0"/>
              <w:suppressLineNumbers w:val="0"/>
              <w:spacing w:before="0" w:beforeAutospacing="0" w:after="0" w:afterAutospacing="0" w:line="360" w:lineRule="auto"/>
              <w:ind w:left="102" w:right="40" w:firstLine="482"/>
              <w:rPr>
                <w:rFonts w:hint="default" w:ascii="宋体" w:hAnsi="宋体" w:cs="宋体"/>
                <w:b/>
                <w:bCs/>
                <w:color w:val="auto"/>
                <w:sz w:val="23"/>
                <w:szCs w:val="23"/>
                <w:highlight w:val="none"/>
              </w:rPr>
            </w:pPr>
            <w:r>
              <w:rPr>
                <w:rFonts w:hint="default"/>
                <w:b/>
                <w:bCs/>
                <w:color w:val="auto"/>
                <w:kern w:val="0"/>
                <w:sz w:val="24"/>
                <w:highlight w:val="none"/>
              </w:rPr>
              <w:t>治理措施</w:t>
            </w:r>
          </w:p>
          <w:p w14:paraId="7A0896EF">
            <w:pPr>
              <w:pStyle w:val="54"/>
              <w:keepNext w:val="0"/>
              <w:keepLines w:val="0"/>
              <w:suppressLineNumbers w:val="0"/>
              <w:spacing w:before="0" w:beforeAutospacing="0" w:after="0" w:afterAutospacing="0"/>
              <w:ind w:left="0" w:right="0" w:firstLine="480"/>
              <w:rPr>
                <w:rFonts w:hint="default" w:ascii="宋体" w:hAnsi="宋体" w:cs="宋体"/>
                <w:color w:val="000000" w:themeColor="text1"/>
                <w:szCs w:val="24"/>
                <w:highlight w:val="none"/>
                <w:lang w:val="en-US" w:bidi="ar"/>
                <w14:textFill>
                  <w14:solidFill>
                    <w14:schemeClr w14:val="tx1"/>
                  </w14:solidFill>
                </w14:textFill>
              </w:rPr>
            </w:pPr>
            <w:r>
              <w:rPr>
                <w:rFonts w:hint="default"/>
                <w:color w:val="000000" w:themeColor="text1"/>
                <w:szCs w:val="24"/>
                <w:highlight w:val="none"/>
                <w14:textFill>
                  <w14:solidFill>
                    <w14:schemeClr w14:val="tx1"/>
                  </w14:solidFill>
                </w14:textFill>
              </w:rPr>
              <w:t>本项目站内</w:t>
            </w:r>
            <w:r>
              <w:rPr>
                <w:rFonts w:hint="eastAsia"/>
                <w:color w:val="000000" w:themeColor="text1"/>
                <w:szCs w:val="24"/>
                <w:highlight w:val="none"/>
                <w14:textFill>
                  <w14:solidFill>
                    <w14:schemeClr w14:val="tx1"/>
                  </w14:solidFill>
                </w14:textFill>
              </w:rPr>
              <w:t>洗车区设置1套洗车废水处理</w:t>
            </w:r>
            <w:r>
              <w:rPr>
                <w:rFonts w:hint="eastAsia"/>
                <w:color w:val="000000" w:themeColor="text1"/>
                <w:szCs w:val="24"/>
                <w:highlight w:val="none"/>
                <w:lang w:val="en-US" w:eastAsia="zh-CN"/>
                <w14:textFill>
                  <w14:solidFill>
                    <w14:schemeClr w14:val="tx1"/>
                  </w14:solidFill>
                </w14:textFill>
              </w:rPr>
              <w:t>系统（处理规模为5m</w:t>
            </w:r>
            <w:r>
              <w:rPr>
                <w:rFonts w:hint="eastAsia"/>
                <w:color w:val="000000" w:themeColor="text1"/>
                <w:szCs w:val="24"/>
                <w:highlight w:val="none"/>
                <w:vertAlign w:val="superscript"/>
                <w:lang w:val="en-US" w:eastAsia="zh-CN"/>
                <w14:textFill>
                  <w14:solidFill>
                    <w14:schemeClr w14:val="tx1"/>
                  </w14:solidFill>
                </w14:textFill>
              </w:rPr>
              <w:t>3</w:t>
            </w:r>
            <w:r>
              <w:rPr>
                <w:rFonts w:hint="eastAsia"/>
                <w:color w:val="000000" w:themeColor="text1"/>
                <w:szCs w:val="24"/>
                <w:highlight w:val="none"/>
                <w:lang w:val="en-US" w:eastAsia="zh-CN"/>
                <w14:textFill>
                  <w14:solidFill>
                    <w14:schemeClr w14:val="tx1"/>
                  </w14:solidFill>
                </w14:textFill>
              </w:rPr>
              <w:t>/d，洗车机隔油沉淀池</w:t>
            </w:r>
            <w:r>
              <w:rPr>
                <w:rFonts w:hint="default"/>
                <w:color w:val="000000" w:themeColor="text1"/>
                <w:szCs w:val="24"/>
                <w:highlight w:val="none"/>
                <w14:textFill>
                  <w14:solidFill>
                    <w14:schemeClr w14:val="tx1"/>
                  </w14:solidFill>
                </w14:textFill>
              </w:rPr>
              <w:t>容积为</w:t>
            </w:r>
            <w:r>
              <w:rPr>
                <w:rFonts w:hint="eastAsia"/>
                <w:color w:val="000000" w:themeColor="text1"/>
                <w:highlight w:val="none"/>
                <w:lang w:val="en-US" w:eastAsia="zh-CN"/>
                <w14:textFill>
                  <w14:solidFill>
                    <w14:schemeClr w14:val="tx1"/>
                  </w14:solidFill>
                </w14:textFill>
              </w:rPr>
              <w:t>1</w:t>
            </w:r>
            <w:r>
              <w:rPr>
                <w:rFonts w:hint="default"/>
                <w:color w:val="000000" w:themeColor="text1"/>
                <w:szCs w:val="24"/>
                <w:highlight w:val="none"/>
                <w14:textFill>
                  <w14:solidFill>
                    <w14:schemeClr w14:val="tx1"/>
                  </w14:solidFill>
                </w14:textFill>
              </w:rPr>
              <w:t>m</w:t>
            </w:r>
            <w:r>
              <w:rPr>
                <w:rFonts w:hint="default"/>
                <w:color w:val="000000" w:themeColor="text1"/>
                <w:szCs w:val="24"/>
                <w:highlight w:val="none"/>
                <w:vertAlign w:val="superscript"/>
                <w14:textFill>
                  <w14:solidFill>
                    <w14:schemeClr w14:val="tx1"/>
                  </w14:solidFill>
                </w14:textFill>
              </w:rPr>
              <w:t>3</w:t>
            </w:r>
            <w:r>
              <w:rPr>
                <w:rFonts w:hint="eastAsia"/>
                <w:color w:val="000000" w:themeColor="text1"/>
                <w:szCs w:val="24"/>
                <w:highlight w:val="none"/>
                <w:vertAlign w:val="baseline"/>
                <w:lang w:eastAsia="zh-CN"/>
                <w14:textFill>
                  <w14:solidFill>
                    <w14:schemeClr w14:val="tx1"/>
                  </w14:solidFill>
                </w14:textFill>
              </w:rPr>
              <w:t>，清水池</w:t>
            </w:r>
            <w:r>
              <w:rPr>
                <w:rFonts w:hint="default"/>
                <w:color w:val="000000" w:themeColor="text1"/>
                <w:szCs w:val="24"/>
                <w:highlight w:val="none"/>
                <w14:textFill>
                  <w14:solidFill>
                    <w14:schemeClr w14:val="tx1"/>
                  </w14:solidFill>
                </w14:textFill>
              </w:rPr>
              <w:t>容积为</w:t>
            </w:r>
            <w:r>
              <w:rPr>
                <w:rFonts w:hint="eastAsia"/>
                <w:color w:val="000000" w:themeColor="text1"/>
                <w:highlight w:val="none"/>
                <w:lang w:val="en-US" w:eastAsia="zh-CN"/>
                <w14:textFill>
                  <w14:solidFill>
                    <w14:schemeClr w14:val="tx1"/>
                  </w14:solidFill>
                </w14:textFill>
              </w:rPr>
              <w:t>3</w:t>
            </w:r>
            <w:r>
              <w:rPr>
                <w:rFonts w:hint="default"/>
                <w:color w:val="000000" w:themeColor="text1"/>
                <w:szCs w:val="24"/>
                <w:highlight w:val="none"/>
                <w14:textFill>
                  <w14:solidFill>
                    <w14:schemeClr w14:val="tx1"/>
                  </w14:solidFill>
                </w14:textFill>
              </w:rPr>
              <w:t>m</w:t>
            </w:r>
            <w:r>
              <w:rPr>
                <w:rFonts w:hint="default"/>
                <w:color w:val="000000" w:themeColor="text1"/>
                <w:szCs w:val="24"/>
                <w:highlight w:val="none"/>
                <w:vertAlign w:val="superscript"/>
                <w14:textFill>
                  <w14:solidFill>
                    <w14:schemeClr w14:val="tx1"/>
                  </w14:solidFill>
                </w14:textFill>
              </w:rPr>
              <w:t>3</w:t>
            </w:r>
            <w:r>
              <w:rPr>
                <w:rFonts w:hint="eastAsia"/>
                <w:color w:val="000000" w:themeColor="text1"/>
                <w:szCs w:val="24"/>
                <w:highlight w:val="none"/>
                <w:lang w:val="en-US" w:eastAsia="zh-CN"/>
                <w14:textFill>
                  <w14:solidFill>
                    <w14:schemeClr w14:val="tx1"/>
                  </w14:solidFill>
                </w14:textFill>
              </w:rPr>
              <w:t>）</w:t>
            </w:r>
            <w:r>
              <w:rPr>
                <w:rFonts w:hint="eastAsia"/>
                <w:color w:val="000000" w:themeColor="text1"/>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洗车机废水通过排水沟汇集于隔油沉淀池中，再经过原水泵将废水提升至</w:t>
            </w:r>
            <w:r>
              <w:rPr>
                <w:rFonts w:hint="eastAsia"/>
                <w:b w:val="0"/>
                <w:bCs w:val="0"/>
                <w:color w:val="000000" w:themeColor="text1"/>
                <w:lang w:val="en-US" w:eastAsia="zh-CN"/>
                <w14:textFill>
                  <w14:solidFill>
                    <w14:schemeClr w14:val="tx1"/>
                  </w14:solidFill>
                </w14:textFill>
              </w:rPr>
              <w:t>一体化光催化氧化洗车水循环系统（采用“絮凝</w:t>
            </w:r>
            <w:r>
              <w:rPr>
                <w:rFonts w:hint="eastAsia"/>
                <w:color w:val="000000" w:themeColor="text1"/>
                <w:sz w:val="24"/>
                <w:highlight w:val="none"/>
                <w:lang w:val="en-US" w:eastAsia="zh-CN"/>
                <w14:textFill>
                  <w14:solidFill>
                    <w14:schemeClr w14:val="tx1"/>
                  </w14:solidFill>
                </w14:textFill>
              </w:rPr>
              <w:t>沉淀</w:t>
            </w:r>
            <w:r>
              <w:rPr>
                <w:rFonts w:hint="eastAsia"/>
                <w:b w:val="0"/>
                <w:bCs w:val="0"/>
                <w:color w:val="000000" w:themeColor="text1"/>
                <w:lang w:val="en-US" w:eastAsia="zh-CN"/>
                <w14:textFill>
                  <w14:solidFill>
                    <w14:schemeClr w14:val="tx1"/>
                  </w14:solidFill>
                </w14:textFill>
              </w:rPr>
              <w:t>+光催化氧化”工艺）内处理</w:t>
            </w:r>
            <w:r>
              <w:rPr>
                <w:rFonts w:hint="eastAsia"/>
                <w:color w:val="000000" w:themeColor="text1"/>
                <w:sz w:val="24"/>
                <w:szCs w:val="24"/>
                <w:highlight w:val="none"/>
                <w:lang w:val="en-US" w:eastAsia="zh-CN"/>
                <w14:textFill>
                  <w14:solidFill>
                    <w14:schemeClr w14:val="tx1"/>
                  </w14:solidFill>
                </w14:textFill>
              </w:rPr>
              <w:t>，处理后的水储存于清洗池中回用。</w:t>
            </w:r>
          </w:p>
          <w:p w14:paraId="3841F64E">
            <w:pPr>
              <w:keepNext w:val="0"/>
              <w:keepLines w:val="0"/>
              <w:suppressLineNumbers w:val="0"/>
              <w:spacing w:before="0" w:beforeAutospacing="0" w:after="0" w:afterAutospacing="0" w:line="360" w:lineRule="auto"/>
              <w:ind w:left="102" w:right="40" w:firstLine="482"/>
              <w:rPr>
                <w:rFonts w:hint="default"/>
                <w:b/>
                <w:bCs/>
                <w:color w:val="000000" w:themeColor="text1"/>
                <w:kern w:val="0"/>
                <w:sz w:val="24"/>
                <w:highlight w:val="none"/>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②</w:t>
            </w:r>
            <w:r>
              <w:rPr>
                <w:rFonts w:hint="eastAsia"/>
                <w:b/>
                <w:bCs/>
                <w:color w:val="000000" w:themeColor="text1"/>
                <w:kern w:val="0"/>
                <w:sz w:val="24"/>
                <w:highlight w:val="none"/>
                <w14:textFill>
                  <w14:solidFill>
                    <w14:schemeClr w14:val="tx1"/>
                  </w14:solidFill>
                </w14:textFill>
              </w:rPr>
              <w:t>地面冲洗废水</w:t>
            </w:r>
          </w:p>
          <w:p w14:paraId="56036252">
            <w:pPr>
              <w:keepNext w:val="0"/>
              <w:keepLines w:val="0"/>
              <w:suppressLineNumbers w:val="0"/>
              <w:spacing w:before="0" w:beforeAutospacing="0" w:after="0" w:afterAutospacing="0" w:line="360" w:lineRule="auto"/>
              <w:ind w:left="102" w:right="40" w:firstLine="482"/>
              <w:rPr>
                <w:rFonts w:hint="default"/>
                <w:b/>
                <w:bCs/>
                <w:color w:val="auto"/>
                <w:kern w:val="0"/>
                <w:sz w:val="24"/>
                <w:highlight w:val="none"/>
              </w:rPr>
            </w:pPr>
            <w:r>
              <w:rPr>
                <w:rFonts w:hint="default"/>
                <w:b/>
                <w:bCs/>
                <w:color w:val="auto"/>
                <w:kern w:val="0"/>
                <w:sz w:val="24"/>
                <w:highlight w:val="none"/>
              </w:rPr>
              <w:t>产生情况</w:t>
            </w:r>
          </w:p>
          <w:p w14:paraId="28CBC61A">
            <w:pPr>
              <w:keepNext w:val="0"/>
              <w:keepLines w:val="0"/>
              <w:suppressLineNumbers w:val="0"/>
              <w:spacing w:before="0" w:beforeAutospacing="0" w:after="0" w:afterAutospacing="0" w:line="360" w:lineRule="auto"/>
              <w:ind w:left="102" w:right="40" w:firstLine="482"/>
              <w:rPr>
                <w:rFonts w:hint="default" w:ascii="宋体" w:hAnsi="宋体" w:cs="宋体"/>
                <w:color w:val="auto"/>
                <w:sz w:val="23"/>
                <w:szCs w:val="23"/>
                <w:highlight w:val="none"/>
              </w:rPr>
            </w:pPr>
            <w:r>
              <w:rPr>
                <w:rFonts w:hint="eastAsia"/>
                <w:color w:val="auto"/>
                <w:kern w:val="0"/>
                <w:sz w:val="24"/>
                <w:highlight w:val="none"/>
              </w:rPr>
              <w:t>本项目地面冲洗频次约为1次/月，站内地面冲洗区域主要为加油加气罩棚区域以及卸油区、LNG卸车区等，冲洗面积约为</w:t>
            </w:r>
            <w:r>
              <w:rPr>
                <w:rFonts w:hint="eastAsia"/>
                <w:color w:val="auto"/>
                <w:kern w:val="0"/>
                <w:sz w:val="24"/>
                <w:highlight w:val="none"/>
                <w:lang w:val="en-US" w:eastAsia="zh-CN"/>
              </w:rPr>
              <w:t>1300</w:t>
            </w:r>
            <w:r>
              <w:rPr>
                <w:rFonts w:hint="default"/>
                <w:color w:val="auto"/>
                <w:kern w:val="0"/>
                <w:sz w:val="24"/>
                <w:highlight w:val="none"/>
              </w:rPr>
              <w:t>m</w:t>
            </w:r>
            <w:r>
              <w:rPr>
                <w:rFonts w:hint="eastAsia"/>
                <w:color w:val="auto"/>
                <w:kern w:val="0"/>
                <w:sz w:val="24"/>
                <w:highlight w:val="none"/>
                <w:vertAlign w:val="superscript"/>
              </w:rPr>
              <w:t>2</w:t>
            </w:r>
            <w:r>
              <w:rPr>
                <w:rFonts w:hint="eastAsia"/>
                <w:color w:val="auto"/>
                <w:kern w:val="0"/>
                <w:sz w:val="24"/>
                <w:highlight w:val="none"/>
              </w:rPr>
              <w:t>，冲洗用水量参照</w:t>
            </w:r>
            <w:r>
              <w:rPr>
                <w:rFonts w:hint="default"/>
                <w:color w:val="auto"/>
                <w:kern w:val="0"/>
                <w:sz w:val="24"/>
                <w:highlight w:val="none"/>
              </w:rPr>
              <w:t>《四川省用水定额》</w:t>
            </w:r>
            <w:r>
              <w:rPr>
                <w:rFonts w:hint="eastAsia"/>
                <w:color w:val="auto"/>
                <w:kern w:val="0"/>
                <w:sz w:val="24"/>
                <w:highlight w:val="none"/>
              </w:rPr>
              <w:t>（川府函</w:t>
            </w:r>
            <w:r>
              <w:rPr>
                <w:rFonts w:hint="default"/>
                <w:color w:val="auto"/>
                <w:kern w:val="0"/>
                <w:sz w:val="24"/>
                <w:highlight w:val="none"/>
              </w:rPr>
              <w:t>〔2021〕8号</w:t>
            </w:r>
            <w:r>
              <w:rPr>
                <w:rFonts w:hint="eastAsia"/>
                <w:color w:val="auto"/>
                <w:kern w:val="0"/>
                <w:sz w:val="24"/>
                <w:highlight w:val="none"/>
              </w:rPr>
              <w:t>）中城市道路冲洗，取2.0L</w:t>
            </w:r>
            <w:r>
              <w:rPr>
                <w:rFonts w:hint="default"/>
                <w:color w:val="auto"/>
                <w:kern w:val="0"/>
                <w:sz w:val="24"/>
                <w:highlight w:val="none"/>
              </w:rPr>
              <w:t>/</w:t>
            </w:r>
            <w:r>
              <w:rPr>
                <w:rFonts w:hint="eastAsia"/>
                <w:color w:val="auto"/>
                <w:kern w:val="0"/>
                <w:sz w:val="24"/>
                <w:highlight w:val="none"/>
              </w:rPr>
              <w:t>（</w:t>
            </w:r>
            <w:r>
              <w:rPr>
                <w:rFonts w:hint="default"/>
                <w:color w:val="auto"/>
                <w:kern w:val="0"/>
                <w:sz w:val="24"/>
                <w:highlight w:val="none"/>
              </w:rPr>
              <w:t>m</w:t>
            </w:r>
            <w:r>
              <w:rPr>
                <w:rFonts w:hint="eastAsia"/>
                <w:color w:val="auto"/>
                <w:kern w:val="0"/>
                <w:sz w:val="24"/>
                <w:highlight w:val="none"/>
                <w:vertAlign w:val="superscript"/>
              </w:rPr>
              <w:t>2</w:t>
            </w:r>
            <w:r>
              <w:rPr>
                <w:rFonts w:hint="default"/>
                <w:color w:val="auto"/>
                <w:kern w:val="0"/>
                <w:sz w:val="24"/>
                <w:highlight w:val="none"/>
              </w:rPr>
              <w:t>·</w:t>
            </w:r>
            <w:r>
              <w:rPr>
                <w:rFonts w:hint="eastAsia"/>
                <w:color w:val="auto"/>
                <w:kern w:val="0"/>
                <w:sz w:val="24"/>
                <w:highlight w:val="none"/>
              </w:rPr>
              <w:t>次），则项目地面冲洗用水量约为</w:t>
            </w:r>
            <w:r>
              <w:rPr>
                <w:rFonts w:hint="eastAsia"/>
                <w:color w:val="auto"/>
                <w:kern w:val="0"/>
                <w:sz w:val="24"/>
                <w:highlight w:val="none"/>
                <w:lang w:val="en-US" w:eastAsia="zh-CN"/>
              </w:rPr>
              <w:t>2.6</w:t>
            </w:r>
            <w:r>
              <w:rPr>
                <w:rFonts w:hint="default"/>
                <w:color w:val="auto"/>
                <w:kern w:val="0"/>
                <w:sz w:val="24"/>
                <w:highlight w:val="none"/>
              </w:rPr>
              <w:t>m</w:t>
            </w:r>
            <w:r>
              <w:rPr>
                <w:rFonts w:hint="eastAsia"/>
                <w:color w:val="auto"/>
                <w:kern w:val="0"/>
                <w:sz w:val="24"/>
                <w:highlight w:val="none"/>
                <w:vertAlign w:val="superscript"/>
              </w:rPr>
              <w:t>3</w:t>
            </w:r>
            <w:r>
              <w:rPr>
                <w:rFonts w:hint="eastAsia"/>
                <w:color w:val="auto"/>
                <w:kern w:val="0"/>
                <w:sz w:val="24"/>
                <w:highlight w:val="none"/>
              </w:rPr>
              <w:t>/次（折合约0.0</w:t>
            </w:r>
            <w:r>
              <w:rPr>
                <w:rFonts w:hint="eastAsia"/>
                <w:color w:val="auto"/>
                <w:kern w:val="0"/>
                <w:sz w:val="24"/>
                <w:highlight w:val="none"/>
                <w:lang w:val="en-US" w:eastAsia="zh-CN"/>
              </w:rPr>
              <w:t>9</w:t>
            </w:r>
            <w:r>
              <w:rPr>
                <w:rFonts w:hint="default"/>
                <w:color w:val="auto"/>
                <w:kern w:val="0"/>
                <w:sz w:val="24"/>
                <w:highlight w:val="none"/>
              </w:rPr>
              <w:t>m</w:t>
            </w:r>
            <w:r>
              <w:rPr>
                <w:rFonts w:hint="eastAsia"/>
                <w:color w:val="auto"/>
                <w:kern w:val="0"/>
                <w:sz w:val="24"/>
                <w:highlight w:val="none"/>
                <w:vertAlign w:val="superscript"/>
              </w:rPr>
              <w:t>3</w:t>
            </w:r>
            <w:r>
              <w:rPr>
                <w:rFonts w:hint="eastAsia"/>
                <w:color w:val="auto"/>
                <w:kern w:val="0"/>
                <w:sz w:val="24"/>
                <w:highlight w:val="none"/>
              </w:rPr>
              <w:t>/</w:t>
            </w:r>
            <w:r>
              <w:rPr>
                <w:rFonts w:hint="default"/>
                <w:color w:val="auto"/>
                <w:kern w:val="0"/>
                <w:sz w:val="24"/>
                <w:highlight w:val="none"/>
              </w:rPr>
              <w:t>d</w:t>
            </w:r>
            <w:r>
              <w:rPr>
                <w:rFonts w:hint="eastAsia"/>
                <w:color w:val="auto"/>
                <w:kern w:val="0"/>
                <w:sz w:val="24"/>
                <w:highlight w:val="none"/>
              </w:rPr>
              <w:t>），冲洗废水</w:t>
            </w:r>
            <w:r>
              <w:rPr>
                <w:rFonts w:hint="default" w:ascii="宋体" w:hAnsi="宋体" w:cs="宋体"/>
                <w:color w:val="auto"/>
                <w:spacing w:val="2"/>
                <w:sz w:val="23"/>
                <w:szCs w:val="23"/>
                <w:highlight w:val="none"/>
              </w:rPr>
              <w:t>产污系数按</w:t>
            </w:r>
            <w:r>
              <w:rPr>
                <w:rFonts w:hint="default"/>
                <w:color w:val="auto"/>
                <w:kern w:val="0"/>
                <w:sz w:val="24"/>
                <w:highlight w:val="none"/>
              </w:rPr>
              <w:t>8</w:t>
            </w:r>
            <w:r>
              <w:rPr>
                <w:rFonts w:hint="eastAsia"/>
                <w:color w:val="auto"/>
                <w:kern w:val="0"/>
                <w:sz w:val="24"/>
                <w:highlight w:val="none"/>
              </w:rPr>
              <w:t>0</w:t>
            </w:r>
            <w:r>
              <w:rPr>
                <w:rFonts w:hint="default"/>
                <w:color w:val="auto"/>
                <w:kern w:val="0"/>
                <w:sz w:val="24"/>
                <w:highlight w:val="none"/>
              </w:rPr>
              <w:t>%计，则项目</w:t>
            </w:r>
            <w:r>
              <w:rPr>
                <w:rFonts w:hint="eastAsia"/>
                <w:color w:val="auto"/>
                <w:kern w:val="0"/>
                <w:sz w:val="24"/>
                <w:highlight w:val="none"/>
              </w:rPr>
              <w:t>冲洗废水</w:t>
            </w:r>
            <w:r>
              <w:rPr>
                <w:rFonts w:hint="default"/>
                <w:color w:val="auto"/>
                <w:kern w:val="0"/>
                <w:sz w:val="24"/>
                <w:highlight w:val="none"/>
              </w:rPr>
              <w:t>产生量约为</w:t>
            </w:r>
            <w:r>
              <w:rPr>
                <w:rFonts w:hint="eastAsia"/>
                <w:color w:val="auto"/>
                <w:kern w:val="0"/>
                <w:sz w:val="24"/>
                <w:highlight w:val="none"/>
                <w:lang w:val="en-US" w:eastAsia="zh-CN"/>
              </w:rPr>
              <w:t>2.08</w:t>
            </w:r>
            <w:r>
              <w:rPr>
                <w:rFonts w:hint="default"/>
                <w:color w:val="auto"/>
                <w:kern w:val="0"/>
                <w:sz w:val="24"/>
                <w:highlight w:val="none"/>
              </w:rPr>
              <w:t>m</w:t>
            </w:r>
            <w:r>
              <w:rPr>
                <w:rFonts w:hint="eastAsia"/>
                <w:color w:val="auto"/>
                <w:kern w:val="0"/>
                <w:sz w:val="24"/>
                <w:highlight w:val="none"/>
                <w:vertAlign w:val="superscript"/>
              </w:rPr>
              <w:t>3</w:t>
            </w:r>
            <w:r>
              <w:rPr>
                <w:rFonts w:hint="eastAsia"/>
                <w:color w:val="auto"/>
                <w:kern w:val="0"/>
                <w:sz w:val="24"/>
                <w:highlight w:val="none"/>
              </w:rPr>
              <w:t>/次（折合约0.0</w:t>
            </w:r>
            <w:r>
              <w:rPr>
                <w:rFonts w:hint="eastAsia"/>
                <w:color w:val="auto"/>
                <w:kern w:val="0"/>
                <w:sz w:val="24"/>
                <w:highlight w:val="none"/>
                <w:lang w:val="en-US" w:eastAsia="zh-CN"/>
              </w:rPr>
              <w:t>7</w:t>
            </w:r>
            <w:r>
              <w:rPr>
                <w:rFonts w:hint="default"/>
                <w:color w:val="auto"/>
                <w:kern w:val="0"/>
                <w:sz w:val="24"/>
                <w:highlight w:val="none"/>
              </w:rPr>
              <w:t>m</w:t>
            </w:r>
            <w:r>
              <w:rPr>
                <w:rFonts w:hint="eastAsia"/>
                <w:color w:val="auto"/>
                <w:kern w:val="0"/>
                <w:sz w:val="24"/>
                <w:highlight w:val="none"/>
                <w:vertAlign w:val="superscript"/>
              </w:rPr>
              <w:t>3</w:t>
            </w:r>
            <w:r>
              <w:rPr>
                <w:rFonts w:hint="eastAsia"/>
                <w:color w:val="auto"/>
                <w:kern w:val="0"/>
                <w:sz w:val="24"/>
                <w:highlight w:val="none"/>
              </w:rPr>
              <w:t>/</w:t>
            </w:r>
            <w:r>
              <w:rPr>
                <w:rFonts w:hint="default"/>
                <w:color w:val="auto"/>
                <w:kern w:val="0"/>
                <w:sz w:val="24"/>
                <w:highlight w:val="none"/>
              </w:rPr>
              <w:t>d</w:t>
            </w:r>
            <w:r>
              <w:rPr>
                <w:rFonts w:hint="eastAsia"/>
                <w:color w:val="auto"/>
                <w:kern w:val="0"/>
                <w:sz w:val="24"/>
                <w:highlight w:val="none"/>
              </w:rPr>
              <w:t>）</w:t>
            </w:r>
            <w:r>
              <w:rPr>
                <w:rFonts w:hint="default"/>
                <w:color w:val="auto"/>
                <w:kern w:val="0"/>
                <w:sz w:val="24"/>
                <w:highlight w:val="none"/>
              </w:rPr>
              <w:t>。</w:t>
            </w:r>
          </w:p>
          <w:p w14:paraId="392EDCBB">
            <w:pPr>
              <w:keepNext w:val="0"/>
              <w:keepLines w:val="0"/>
              <w:suppressLineNumbers w:val="0"/>
              <w:spacing w:before="0" w:beforeAutospacing="0" w:after="0" w:afterAutospacing="0" w:line="360" w:lineRule="auto"/>
              <w:ind w:left="102" w:right="40" w:firstLine="482"/>
              <w:rPr>
                <w:rFonts w:hint="default" w:ascii="宋体" w:hAnsi="宋体" w:cs="宋体"/>
                <w:b/>
                <w:bCs/>
                <w:color w:val="auto"/>
                <w:sz w:val="23"/>
                <w:szCs w:val="23"/>
                <w:highlight w:val="none"/>
              </w:rPr>
            </w:pPr>
            <w:r>
              <w:rPr>
                <w:rFonts w:hint="default"/>
                <w:b/>
                <w:bCs/>
                <w:color w:val="auto"/>
                <w:kern w:val="0"/>
                <w:sz w:val="24"/>
                <w:highlight w:val="none"/>
              </w:rPr>
              <w:t>治理措施</w:t>
            </w:r>
          </w:p>
          <w:p w14:paraId="790770D8">
            <w:pPr>
              <w:pStyle w:val="54"/>
              <w:keepNext w:val="0"/>
              <w:keepLines w:val="0"/>
              <w:suppressLineNumbers w:val="0"/>
              <w:spacing w:before="0" w:beforeAutospacing="0" w:after="0" w:afterAutospacing="0"/>
              <w:ind w:left="0" w:right="0" w:firstLine="480"/>
              <w:rPr>
                <w:rFonts w:hint="eastAsia"/>
                <w:color w:val="auto"/>
                <w:highlight w:val="none"/>
              </w:rPr>
            </w:pPr>
            <w:r>
              <w:rPr>
                <w:rFonts w:hint="eastAsia"/>
                <w:color w:val="auto"/>
                <w:highlight w:val="none"/>
              </w:rPr>
              <w:t>项目地面冲洗废水</w:t>
            </w:r>
            <w:r>
              <w:rPr>
                <w:rFonts w:hint="eastAsia"/>
                <w:color w:val="auto"/>
                <w:highlight w:val="none"/>
                <w:lang w:val="en-US" w:eastAsia="zh-CN"/>
              </w:rPr>
              <w:t>经</w:t>
            </w:r>
            <w:r>
              <w:rPr>
                <w:rFonts w:hint="eastAsia"/>
                <w:color w:val="auto"/>
                <w:szCs w:val="24"/>
                <w:highlight w:val="none"/>
              </w:rPr>
              <w:t>隔油沉淀池</w:t>
            </w:r>
            <w:r>
              <w:rPr>
                <w:rFonts w:hint="eastAsia"/>
                <w:color w:val="auto"/>
                <w:szCs w:val="24"/>
                <w:highlight w:val="none"/>
                <w:lang w:eastAsia="zh-CN"/>
              </w:rPr>
              <w:t>（</w:t>
            </w:r>
            <w:r>
              <w:rPr>
                <w:rFonts w:hint="default"/>
                <w:color w:val="auto"/>
                <w:szCs w:val="24"/>
                <w:highlight w:val="none"/>
              </w:rPr>
              <w:t>容积为</w:t>
            </w:r>
            <w:r>
              <w:rPr>
                <w:rFonts w:hint="eastAsia"/>
                <w:color w:val="auto"/>
                <w:highlight w:val="none"/>
                <w:lang w:val="en-US" w:eastAsia="zh-CN"/>
              </w:rPr>
              <w:t>1</w:t>
            </w:r>
            <w:r>
              <w:rPr>
                <w:rFonts w:hint="default"/>
                <w:color w:val="auto"/>
                <w:szCs w:val="24"/>
                <w:highlight w:val="none"/>
              </w:rPr>
              <w:t>m</w:t>
            </w:r>
            <w:r>
              <w:rPr>
                <w:rFonts w:hint="default"/>
                <w:color w:val="auto"/>
                <w:szCs w:val="24"/>
                <w:highlight w:val="none"/>
                <w:vertAlign w:val="superscript"/>
              </w:rPr>
              <w:t>3</w:t>
            </w:r>
            <w:r>
              <w:rPr>
                <w:rFonts w:hint="eastAsia"/>
                <w:color w:val="auto"/>
                <w:szCs w:val="24"/>
                <w:highlight w:val="none"/>
                <w:lang w:eastAsia="zh-CN"/>
              </w:rPr>
              <w:t>）</w:t>
            </w:r>
            <w:r>
              <w:rPr>
                <w:rFonts w:hint="eastAsia"/>
                <w:color w:val="auto"/>
                <w:szCs w:val="24"/>
                <w:highlight w:val="none"/>
              </w:rPr>
              <w:t>进行处理</w:t>
            </w:r>
            <w:r>
              <w:rPr>
                <w:rFonts w:hint="eastAsia"/>
                <w:color w:val="auto"/>
                <w:highlight w:val="none"/>
              </w:rPr>
              <w:t>后，</w:t>
            </w:r>
            <w:r>
              <w:rPr>
                <w:rFonts w:hint="default"/>
                <w:color w:val="auto"/>
                <w:highlight w:val="none"/>
              </w:rPr>
              <w:t>排入化粪池与生活污水一同</w:t>
            </w:r>
            <w:r>
              <w:rPr>
                <w:rFonts w:hint="eastAsia"/>
                <w:color w:val="auto"/>
                <w:highlight w:val="none"/>
              </w:rPr>
              <w:t>预处理后通过市政污水管网排入达州市通川区魏兴场镇污水处理厂，</w:t>
            </w:r>
            <w:r>
              <w:rPr>
                <w:rFonts w:hint="eastAsia"/>
                <w:color w:val="auto"/>
                <w:szCs w:val="24"/>
                <w:highlight w:val="none"/>
                <w:lang w:bidi="ar"/>
              </w:rPr>
              <w:t>处理</w:t>
            </w:r>
            <w:r>
              <w:rPr>
                <w:rFonts w:hint="eastAsia"/>
                <w:color w:val="auto"/>
                <w:szCs w:val="24"/>
                <w:highlight w:val="none"/>
              </w:rPr>
              <w:t>达到</w:t>
            </w:r>
            <w:r>
              <w:rPr>
                <w:rFonts w:hint="default"/>
                <w:color w:val="auto"/>
                <w:szCs w:val="24"/>
                <w:highlight w:val="none"/>
              </w:rPr>
              <w:t>《城镇污水处理厂污染物排放标准》（GB18981-2002）一级A标准</w:t>
            </w:r>
            <w:r>
              <w:rPr>
                <w:rFonts w:hint="eastAsia"/>
                <w:color w:val="auto"/>
                <w:szCs w:val="24"/>
                <w:highlight w:val="none"/>
              </w:rPr>
              <w:t>后</w:t>
            </w:r>
            <w:r>
              <w:rPr>
                <w:rFonts w:hint="eastAsia" w:ascii="宋体" w:hAnsi="宋体" w:cs="宋体"/>
                <w:color w:val="auto"/>
                <w:szCs w:val="24"/>
                <w:highlight w:val="none"/>
                <w:lang w:bidi="ar"/>
              </w:rPr>
              <w:t>排入州河。</w:t>
            </w:r>
          </w:p>
          <w:p w14:paraId="20561438">
            <w:pPr>
              <w:keepNext w:val="0"/>
              <w:keepLines w:val="0"/>
              <w:suppressLineNumbers w:val="0"/>
              <w:spacing w:before="0" w:beforeAutospacing="0" w:after="0" w:afterAutospacing="0" w:line="360" w:lineRule="auto"/>
              <w:ind w:left="0" w:right="0" w:firstLine="480"/>
              <w:rPr>
                <w:rFonts w:hint="default"/>
                <w:b/>
                <w:bCs/>
                <w:color w:val="auto"/>
                <w:kern w:val="0"/>
                <w:sz w:val="24"/>
                <w:highlight w:val="none"/>
              </w:rPr>
            </w:pPr>
            <w:r>
              <w:rPr>
                <w:rFonts w:hint="eastAsia"/>
                <w:b/>
                <w:bCs/>
                <w:color w:val="auto"/>
                <w:kern w:val="0"/>
                <w:sz w:val="24"/>
                <w:highlight w:val="none"/>
                <w:lang w:val="en-US" w:eastAsia="zh-CN"/>
              </w:rPr>
              <w:t>③</w:t>
            </w:r>
            <w:r>
              <w:rPr>
                <w:rFonts w:hint="default"/>
                <w:b/>
                <w:bCs/>
                <w:color w:val="auto"/>
                <w:kern w:val="0"/>
                <w:sz w:val="24"/>
                <w:highlight w:val="none"/>
              </w:rPr>
              <w:t>员工及司乘人员产生的生活污水</w:t>
            </w:r>
          </w:p>
          <w:p w14:paraId="4118971A">
            <w:pPr>
              <w:keepNext w:val="0"/>
              <w:keepLines w:val="0"/>
              <w:suppressLineNumbers w:val="0"/>
              <w:spacing w:before="0" w:beforeAutospacing="0" w:after="0" w:afterAutospacing="0" w:line="360" w:lineRule="auto"/>
              <w:ind w:left="102" w:right="40" w:firstLine="482"/>
              <w:rPr>
                <w:rFonts w:hint="default"/>
                <w:b/>
                <w:bCs/>
                <w:color w:val="auto"/>
                <w:kern w:val="0"/>
                <w:sz w:val="24"/>
                <w:highlight w:val="none"/>
              </w:rPr>
            </w:pPr>
            <w:r>
              <w:rPr>
                <w:rFonts w:hint="default"/>
                <w:b/>
                <w:bCs/>
                <w:color w:val="auto"/>
                <w:kern w:val="0"/>
                <w:sz w:val="24"/>
                <w:highlight w:val="none"/>
              </w:rPr>
              <w:t>产生情况</w:t>
            </w:r>
          </w:p>
          <w:p w14:paraId="07F30FDC">
            <w:pPr>
              <w:keepNext w:val="0"/>
              <w:keepLines w:val="0"/>
              <w:suppressLineNumbers w:val="0"/>
              <w:spacing w:before="0" w:beforeAutospacing="0" w:after="0" w:afterAutospacing="0" w:line="360" w:lineRule="auto"/>
              <w:ind w:left="103" w:right="37" w:firstLine="482"/>
              <w:rPr>
                <w:rFonts w:hint="default"/>
                <w:color w:val="auto"/>
                <w:sz w:val="24"/>
                <w:highlight w:val="none"/>
              </w:rPr>
            </w:pPr>
            <w:r>
              <w:rPr>
                <w:rFonts w:hint="eastAsia"/>
                <w:color w:val="auto"/>
                <w:spacing w:val="2"/>
                <w:sz w:val="24"/>
                <w:highlight w:val="none"/>
              </w:rPr>
              <w:t>项目定员10人，</w:t>
            </w:r>
            <w:r>
              <w:rPr>
                <w:rFonts w:hint="eastAsia"/>
                <w:color w:val="auto"/>
                <w:spacing w:val="2"/>
                <w:sz w:val="24"/>
                <w:highlight w:val="none"/>
                <w:lang w:val="en-US" w:eastAsia="zh-CN"/>
              </w:rPr>
              <w:t>项目站房内设有餐厅，但本项目餐厅不提供餐食，员工餐食皆自带</w:t>
            </w:r>
            <w:r>
              <w:rPr>
                <w:rFonts w:hint="default"/>
                <w:color w:val="auto"/>
                <w:spacing w:val="1"/>
                <w:sz w:val="24"/>
                <w:highlight w:val="none"/>
              </w:rPr>
              <w:t>，因此，员工生活用水按</w:t>
            </w:r>
            <w:r>
              <w:rPr>
                <w:rFonts w:hint="eastAsia"/>
                <w:color w:val="auto"/>
                <w:spacing w:val="1"/>
                <w:sz w:val="24"/>
                <w:highlight w:val="none"/>
              </w:rPr>
              <w:t>8</w:t>
            </w:r>
            <w:r>
              <w:rPr>
                <w:rFonts w:hint="default"/>
                <w:color w:val="auto"/>
                <w:spacing w:val="1"/>
                <w:sz w:val="24"/>
                <w:highlight w:val="none"/>
              </w:rPr>
              <w:t>0</w:t>
            </w:r>
            <w:r>
              <w:rPr>
                <w:rFonts w:hint="default"/>
                <w:color w:val="auto"/>
                <w:sz w:val="24"/>
                <w:highlight w:val="none"/>
              </w:rPr>
              <w:t>L</w:t>
            </w:r>
            <w:r>
              <w:rPr>
                <w:rFonts w:hint="default"/>
                <w:color w:val="auto"/>
                <w:spacing w:val="1"/>
                <w:sz w:val="24"/>
                <w:highlight w:val="none"/>
              </w:rPr>
              <w:t>/</w:t>
            </w:r>
            <w:r>
              <w:rPr>
                <w:rFonts w:hint="eastAsia"/>
                <w:color w:val="auto"/>
                <w:spacing w:val="1"/>
                <w:sz w:val="24"/>
                <w:highlight w:val="none"/>
              </w:rPr>
              <w:t>（</w:t>
            </w:r>
            <w:r>
              <w:rPr>
                <w:rFonts w:hint="default"/>
                <w:color w:val="auto"/>
                <w:spacing w:val="1"/>
                <w:sz w:val="24"/>
                <w:highlight w:val="none"/>
              </w:rPr>
              <w:t>人·天</w:t>
            </w:r>
            <w:r>
              <w:rPr>
                <w:rFonts w:hint="eastAsia"/>
                <w:color w:val="auto"/>
                <w:spacing w:val="1"/>
                <w:sz w:val="24"/>
                <w:highlight w:val="none"/>
              </w:rPr>
              <w:t>）</w:t>
            </w:r>
            <w:r>
              <w:rPr>
                <w:rFonts w:hint="default"/>
                <w:color w:val="auto"/>
                <w:spacing w:val="1"/>
                <w:sz w:val="24"/>
                <w:highlight w:val="none"/>
              </w:rPr>
              <w:t>计，</w:t>
            </w:r>
            <w:r>
              <w:rPr>
                <w:rFonts w:hint="default"/>
                <w:color w:val="auto"/>
                <w:sz w:val="24"/>
                <w:highlight w:val="none"/>
              </w:rPr>
              <w:t>则</w:t>
            </w:r>
            <w:r>
              <w:rPr>
                <w:rFonts w:hint="eastAsia"/>
                <w:color w:val="auto"/>
                <w:sz w:val="24"/>
                <w:highlight w:val="none"/>
              </w:rPr>
              <w:t>员工</w:t>
            </w:r>
            <w:r>
              <w:rPr>
                <w:rFonts w:hint="default"/>
                <w:color w:val="auto"/>
                <w:sz w:val="24"/>
                <w:highlight w:val="none"/>
              </w:rPr>
              <w:t>用水量为0.</w:t>
            </w:r>
            <w:r>
              <w:rPr>
                <w:rFonts w:hint="eastAsia"/>
                <w:color w:val="auto"/>
                <w:sz w:val="24"/>
                <w:highlight w:val="none"/>
              </w:rPr>
              <w:t>8</w:t>
            </w:r>
            <w:r>
              <w:rPr>
                <w:rFonts w:hint="default"/>
                <w:color w:val="auto"/>
                <w:sz w:val="24"/>
                <w:highlight w:val="none"/>
              </w:rPr>
              <w:t>m</w:t>
            </w:r>
            <w:r>
              <w:rPr>
                <w:rFonts w:hint="eastAsia"/>
                <w:color w:val="auto"/>
                <w:sz w:val="24"/>
                <w:highlight w:val="none"/>
                <w:vertAlign w:val="superscript"/>
              </w:rPr>
              <w:t>3</w:t>
            </w:r>
            <w:r>
              <w:rPr>
                <w:rFonts w:hint="default"/>
                <w:color w:val="auto"/>
                <w:sz w:val="24"/>
                <w:highlight w:val="none"/>
              </w:rPr>
              <w:t>/d</w:t>
            </w:r>
            <w:r>
              <w:rPr>
                <w:rFonts w:hint="eastAsia"/>
                <w:color w:val="auto"/>
                <w:sz w:val="24"/>
                <w:highlight w:val="none"/>
              </w:rPr>
              <w:t>，292m</w:t>
            </w:r>
            <w:r>
              <w:rPr>
                <w:rFonts w:hint="default"/>
                <w:color w:val="auto"/>
                <w:sz w:val="24"/>
                <w:highlight w:val="none"/>
                <w:vertAlign w:val="superscript"/>
              </w:rPr>
              <w:t>3</w:t>
            </w:r>
            <w:r>
              <w:rPr>
                <w:rFonts w:hint="default"/>
                <w:color w:val="auto"/>
                <w:sz w:val="24"/>
                <w:highlight w:val="none"/>
              </w:rPr>
              <w:t>/a</w:t>
            </w:r>
            <w:r>
              <w:rPr>
                <w:rFonts w:hint="eastAsia"/>
                <w:color w:val="auto"/>
                <w:sz w:val="24"/>
                <w:highlight w:val="none"/>
              </w:rPr>
              <w:t>。</w:t>
            </w:r>
          </w:p>
          <w:p w14:paraId="0AD7A3AF">
            <w:pPr>
              <w:keepNext w:val="0"/>
              <w:keepLines w:val="0"/>
              <w:suppressLineNumbers w:val="0"/>
              <w:spacing w:before="0" w:beforeAutospacing="0" w:after="0" w:afterAutospacing="0" w:line="360" w:lineRule="auto"/>
              <w:ind w:left="103" w:right="37" w:firstLine="482"/>
              <w:rPr>
                <w:rFonts w:hint="default"/>
                <w:color w:val="auto"/>
                <w:sz w:val="24"/>
                <w:highlight w:val="none"/>
              </w:rPr>
            </w:pPr>
            <w:r>
              <w:rPr>
                <w:rFonts w:hint="eastAsia"/>
                <w:color w:val="auto"/>
                <w:sz w:val="24"/>
                <w:highlight w:val="none"/>
              </w:rPr>
              <w:t>司乘人员用水</w:t>
            </w:r>
            <w:r>
              <w:rPr>
                <w:rFonts w:hint="default"/>
                <w:color w:val="auto"/>
                <w:kern w:val="0"/>
                <w:sz w:val="24"/>
                <w:highlight w:val="none"/>
              </w:rPr>
              <w:t>以小型车每车加油</w:t>
            </w:r>
            <w:r>
              <w:rPr>
                <w:rFonts w:hint="eastAsia"/>
                <w:color w:val="auto"/>
                <w:kern w:val="0"/>
                <w:sz w:val="24"/>
                <w:highlight w:val="none"/>
              </w:rPr>
              <w:t>5</w:t>
            </w:r>
            <w:r>
              <w:rPr>
                <w:rFonts w:hint="default"/>
                <w:color w:val="auto"/>
                <w:kern w:val="0"/>
                <w:sz w:val="24"/>
                <w:highlight w:val="none"/>
              </w:rPr>
              <w:t>0L、载重车每车加油100L计，</w:t>
            </w:r>
            <w:r>
              <w:rPr>
                <w:rFonts w:hint="eastAsia"/>
                <w:color w:val="auto"/>
                <w:kern w:val="0"/>
                <w:sz w:val="24"/>
                <w:highlight w:val="none"/>
              </w:rPr>
              <w:t>燃气车辆每车加气60L计，</w:t>
            </w:r>
            <w:r>
              <w:rPr>
                <w:rFonts w:hint="default"/>
                <w:color w:val="auto"/>
                <w:kern w:val="0"/>
                <w:sz w:val="24"/>
                <w:highlight w:val="none"/>
              </w:rPr>
              <w:t>考虑24小时服务，根据加油加气站销售量</w:t>
            </w:r>
            <w:r>
              <w:rPr>
                <w:rFonts w:hint="eastAsia"/>
                <w:color w:val="auto"/>
                <w:kern w:val="0"/>
                <w:sz w:val="24"/>
                <w:highlight w:val="none"/>
              </w:rPr>
              <w:t>（</w:t>
            </w:r>
            <w:r>
              <w:rPr>
                <w:rFonts w:hint="default"/>
                <w:color w:val="auto"/>
                <w:kern w:val="0"/>
                <w:sz w:val="24"/>
                <w:highlight w:val="none"/>
              </w:rPr>
              <w:t>年售汽油</w:t>
            </w:r>
            <w:r>
              <w:rPr>
                <w:rFonts w:hint="eastAsia"/>
                <w:color w:val="auto"/>
                <w:kern w:val="0"/>
                <w:sz w:val="24"/>
                <w:highlight w:val="none"/>
                <w:lang w:val="en-US" w:eastAsia="zh-CN"/>
              </w:rPr>
              <w:t>2268</w:t>
            </w:r>
            <w:r>
              <w:rPr>
                <w:rFonts w:hint="default"/>
                <w:color w:val="auto"/>
                <w:kern w:val="0"/>
                <w:sz w:val="24"/>
                <w:highlight w:val="none"/>
              </w:rPr>
              <w:t>m</w:t>
            </w:r>
            <w:r>
              <w:rPr>
                <w:rFonts w:hint="eastAsia"/>
                <w:color w:val="auto"/>
                <w:kern w:val="0"/>
                <w:sz w:val="24"/>
                <w:highlight w:val="none"/>
                <w:vertAlign w:val="superscript"/>
              </w:rPr>
              <w:t>3</w:t>
            </w:r>
            <w:r>
              <w:rPr>
                <w:rFonts w:hint="default"/>
                <w:color w:val="auto"/>
                <w:kern w:val="0"/>
                <w:sz w:val="24"/>
                <w:highlight w:val="none"/>
              </w:rPr>
              <w:t>，柴油</w:t>
            </w:r>
            <w:r>
              <w:rPr>
                <w:rFonts w:hint="eastAsia"/>
                <w:color w:val="auto"/>
                <w:kern w:val="0"/>
                <w:sz w:val="24"/>
                <w:highlight w:val="none"/>
                <w:lang w:val="en-US" w:eastAsia="zh-CN"/>
              </w:rPr>
              <w:t>1944</w:t>
            </w:r>
            <w:r>
              <w:rPr>
                <w:rFonts w:hint="default"/>
                <w:color w:val="auto"/>
                <w:kern w:val="0"/>
                <w:sz w:val="24"/>
                <w:highlight w:val="none"/>
              </w:rPr>
              <w:t>m</w:t>
            </w:r>
            <w:r>
              <w:rPr>
                <w:rFonts w:hint="default"/>
                <w:color w:val="auto"/>
                <w:kern w:val="0"/>
                <w:sz w:val="24"/>
                <w:highlight w:val="none"/>
                <w:vertAlign w:val="superscript"/>
              </w:rPr>
              <w:t>3</w:t>
            </w:r>
            <w:r>
              <w:rPr>
                <w:rFonts w:hint="eastAsia"/>
                <w:color w:val="auto"/>
                <w:kern w:val="0"/>
                <w:sz w:val="24"/>
                <w:highlight w:val="none"/>
              </w:rPr>
              <w:t>，液化天然气</w:t>
            </w:r>
            <w:r>
              <w:rPr>
                <w:rFonts w:hint="eastAsia"/>
                <w:color w:val="auto"/>
                <w:kern w:val="0"/>
                <w:sz w:val="24"/>
                <w:highlight w:val="none"/>
                <w:lang w:val="en-US" w:eastAsia="zh-CN"/>
              </w:rPr>
              <w:t>1944</w:t>
            </w:r>
            <w:r>
              <w:rPr>
                <w:rFonts w:hint="eastAsia"/>
                <w:color w:val="auto"/>
                <w:kern w:val="0"/>
                <w:sz w:val="24"/>
                <w:highlight w:val="none"/>
              </w:rPr>
              <w:t>m</w:t>
            </w:r>
            <w:r>
              <w:rPr>
                <w:rFonts w:hint="default"/>
                <w:color w:val="auto"/>
                <w:kern w:val="0"/>
                <w:sz w:val="24"/>
                <w:highlight w:val="none"/>
                <w:vertAlign w:val="superscript"/>
              </w:rPr>
              <w:t>3</w:t>
            </w:r>
            <w:r>
              <w:rPr>
                <w:rFonts w:hint="eastAsia"/>
                <w:color w:val="auto"/>
                <w:kern w:val="0"/>
                <w:sz w:val="24"/>
                <w:highlight w:val="none"/>
              </w:rPr>
              <w:t>）</w:t>
            </w:r>
            <w:r>
              <w:rPr>
                <w:rFonts w:hint="default"/>
                <w:color w:val="auto"/>
                <w:kern w:val="0"/>
                <w:sz w:val="24"/>
                <w:highlight w:val="none"/>
              </w:rPr>
              <w:t>可知，加油加气站每天可给约300辆左右的汽车加油</w:t>
            </w:r>
            <w:r>
              <w:rPr>
                <w:rFonts w:hint="eastAsia"/>
                <w:color w:val="auto"/>
                <w:kern w:val="0"/>
                <w:sz w:val="24"/>
                <w:highlight w:val="none"/>
              </w:rPr>
              <w:t>加气，</w:t>
            </w:r>
            <w:r>
              <w:rPr>
                <w:rFonts w:hint="default"/>
                <w:color w:val="auto"/>
                <w:spacing w:val="3"/>
                <w:sz w:val="24"/>
                <w:highlight w:val="none"/>
              </w:rPr>
              <w:t>每车按2人计算，则司乘人员约为600人/</w:t>
            </w:r>
            <w:r>
              <w:rPr>
                <w:rFonts w:hint="default"/>
                <w:color w:val="auto"/>
                <w:sz w:val="24"/>
                <w:highlight w:val="none"/>
              </w:rPr>
              <w:t>d</w:t>
            </w:r>
            <w:r>
              <w:rPr>
                <w:rFonts w:hint="default"/>
                <w:color w:val="auto"/>
                <w:spacing w:val="3"/>
                <w:sz w:val="24"/>
                <w:highlight w:val="none"/>
              </w:rPr>
              <w:t>，</w:t>
            </w:r>
            <w:r>
              <w:rPr>
                <w:rFonts w:hint="eastAsia"/>
                <w:color w:val="auto"/>
                <w:spacing w:val="3"/>
                <w:sz w:val="24"/>
                <w:highlight w:val="none"/>
                <w:lang w:eastAsia="zh-CN"/>
              </w:rPr>
              <w:t>如厕</w:t>
            </w:r>
            <w:r>
              <w:rPr>
                <w:rFonts w:hint="default"/>
                <w:color w:val="auto"/>
                <w:spacing w:val="3"/>
                <w:sz w:val="24"/>
                <w:highlight w:val="none"/>
              </w:rPr>
              <w:t>人数按</w:t>
            </w:r>
            <w:r>
              <w:rPr>
                <w:rFonts w:hint="default"/>
                <w:color w:val="auto"/>
                <w:spacing w:val="2"/>
                <w:sz w:val="24"/>
                <w:highlight w:val="none"/>
              </w:rPr>
              <w:t>20%计，根据</w:t>
            </w:r>
            <w:r>
              <w:rPr>
                <w:rFonts w:hint="eastAsia"/>
                <w:color w:val="auto"/>
                <w:kern w:val="0"/>
                <w:sz w:val="24"/>
                <w:highlight w:val="none"/>
              </w:rPr>
              <w:t>（川府函</w:t>
            </w:r>
            <w:r>
              <w:rPr>
                <w:rFonts w:hint="default"/>
                <w:color w:val="auto"/>
                <w:kern w:val="0"/>
                <w:sz w:val="24"/>
                <w:highlight w:val="none"/>
              </w:rPr>
              <w:t>〔2021〕8号</w:t>
            </w:r>
            <w:r>
              <w:rPr>
                <w:rFonts w:hint="eastAsia"/>
                <w:color w:val="auto"/>
                <w:kern w:val="0"/>
                <w:sz w:val="24"/>
                <w:highlight w:val="none"/>
              </w:rPr>
              <w:t>）</w:t>
            </w:r>
            <w:r>
              <w:rPr>
                <w:rFonts w:hint="default"/>
                <w:color w:val="auto"/>
                <w:spacing w:val="2"/>
                <w:sz w:val="24"/>
                <w:highlight w:val="none"/>
              </w:rPr>
              <w:t>，公共厕所用水量按6.</w:t>
            </w:r>
            <w:r>
              <w:rPr>
                <w:rFonts w:hint="eastAsia"/>
                <w:color w:val="auto"/>
                <w:spacing w:val="1"/>
                <w:sz w:val="24"/>
                <w:highlight w:val="none"/>
              </w:rPr>
              <w:t>0</w:t>
            </w:r>
            <w:r>
              <w:rPr>
                <w:rFonts w:hint="default"/>
                <w:color w:val="auto"/>
                <w:sz w:val="24"/>
                <w:highlight w:val="none"/>
              </w:rPr>
              <w:t>L/</w:t>
            </w:r>
            <w:r>
              <w:rPr>
                <w:rFonts w:hint="eastAsia"/>
                <w:color w:val="auto"/>
                <w:sz w:val="24"/>
                <w:highlight w:val="none"/>
              </w:rPr>
              <w:t>（</w:t>
            </w:r>
            <w:r>
              <w:rPr>
                <w:rFonts w:hint="default"/>
                <w:color w:val="auto"/>
                <w:spacing w:val="-1"/>
                <w:sz w:val="24"/>
                <w:highlight w:val="none"/>
              </w:rPr>
              <w:t>人</w:t>
            </w:r>
            <w:r>
              <w:rPr>
                <w:rFonts w:hint="default"/>
                <w:color w:val="auto"/>
                <w:sz w:val="24"/>
                <w:highlight w:val="none"/>
              </w:rPr>
              <w:t>·次</w:t>
            </w:r>
            <w:r>
              <w:rPr>
                <w:rFonts w:hint="eastAsia"/>
                <w:color w:val="auto"/>
                <w:sz w:val="24"/>
                <w:highlight w:val="none"/>
              </w:rPr>
              <w:t>）</w:t>
            </w:r>
            <w:r>
              <w:rPr>
                <w:rFonts w:hint="default"/>
                <w:color w:val="auto"/>
                <w:sz w:val="24"/>
                <w:highlight w:val="none"/>
              </w:rPr>
              <w:t>计，则加油加气站司乘人员用水量为 0.7</w:t>
            </w:r>
            <w:r>
              <w:rPr>
                <w:rFonts w:hint="eastAsia"/>
                <w:color w:val="auto"/>
                <w:sz w:val="24"/>
                <w:highlight w:val="none"/>
              </w:rPr>
              <w:t>2</w:t>
            </w:r>
            <w:r>
              <w:rPr>
                <w:rFonts w:hint="default"/>
                <w:color w:val="auto"/>
                <w:sz w:val="24"/>
                <w:highlight w:val="none"/>
              </w:rPr>
              <w:t>m</w:t>
            </w:r>
            <w:r>
              <w:rPr>
                <w:rFonts w:hint="eastAsia"/>
                <w:color w:val="auto"/>
                <w:sz w:val="24"/>
                <w:highlight w:val="none"/>
                <w:vertAlign w:val="superscript"/>
              </w:rPr>
              <w:t>3</w:t>
            </w:r>
            <w:r>
              <w:rPr>
                <w:rFonts w:hint="default"/>
                <w:color w:val="auto"/>
                <w:sz w:val="24"/>
                <w:highlight w:val="none"/>
              </w:rPr>
              <w:t>/d，2</w:t>
            </w:r>
            <w:r>
              <w:rPr>
                <w:rFonts w:hint="eastAsia"/>
                <w:color w:val="auto"/>
                <w:sz w:val="24"/>
                <w:highlight w:val="none"/>
              </w:rPr>
              <w:t>62.8m</w:t>
            </w:r>
            <w:r>
              <w:rPr>
                <w:rFonts w:hint="default"/>
                <w:color w:val="auto"/>
                <w:sz w:val="24"/>
                <w:highlight w:val="none"/>
                <w:vertAlign w:val="superscript"/>
              </w:rPr>
              <w:t>3</w:t>
            </w:r>
            <w:r>
              <w:rPr>
                <w:rFonts w:hint="default"/>
                <w:color w:val="auto"/>
                <w:sz w:val="24"/>
                <w:highlight w:val="none"/>
              </w:rPr>
              <w:t>/a。</w:t>
            </w:r>
          </w:p>
          <w:p w14:paraId="4589C1CD">
            <w:pPr>
              <w:keepNext w:val="0"/>
              <w:keepLines w:val="0"/>
              <w:suppressLineNumbers w:val="0"/>
              <w:spacing w:before="0" w:beforeAutospacing="0" w:after="0" w:afterAutospacing="0" w:line="360" w:lineRule="auto"/>
              <w:ind w:left="0" w:right="0" w:firstLine="480"/>
              <w:rPr>
                <w:rFonts w:hint="default"/>
                <w:color w:val="auto"/>
                <w:sz w:val="24"/>
                <w:highlight w:val="none"/>
              </w:rPr>
            </w:pPr>
            <w:r>
              <w:rPr>
                <w:rFonts w:hint="eastAsia"/>
                <w:color w:val="auto"/>
                <w:sz w:val="24"/>
                <w:highlight w:val="none"/>
              </w:rPr>
              <w:t>综上，</w:t>
            </w:r>
            <w:r>
              <w:rPr>
                <w:rFonts w:hint="default"/>
                <w:color w:val="auto"/>
                <w:sz w:val="24"/>
                <w:highlight w:val="none"/>
              </w:rPr>
              <w:t>项目生活用水总用</w:t>
            </w:r>
            <w:r>
              <w:rPr>
                <w:rFonts w:hint="default"/>
                <w:color w:val="auto"/>
                <w:spacing w:val="4"/>
                <w:sz w:val="24"/>
                <w:highlight w:val="none"/>
              </w:rPr>
              <w:t>水量约为</w:t>
            </w:r>
            <w:r>
              <w:rPr>
                <w:rFonts w:hint="default"/>
                <w:color w:val="auto"/>
                <w:spacing w:val="2"/>
                <w:sz w:val="24"/>
                <w:highlight w:val="none"/>
              </w:rPr>
              <w:t>1.5</w:t>
            </w:r>
            <w:r>
              <w:rPr>
                <w:rFonts w:hint="eastAsia"/>
                <w:color w:val="auto"/>
                <w:spacing w:val="2"/>
                <w:sz w:val="24"/>
                <w:highlight w:val="none"/>
              </w:rPr>
              <w:t>2</w:t>
            </w:r>
            <w:r>
              <w:rPr>
                <w:rFonts w:hint="default"/>
                <w:color w:val="auto"/>
                <w:sz w:val="24"/>
                <w:highlight w:val="none"/>
              </w:rPr>
              <w:t>m</w:t>
            </w:r>
            <w:r>
              <w:rPr>
                <w:rFonts w:hint="eastAsia"/>
                <w:color w:val="auto"/>
                <w:sz w:val="24"/>
                <w:highlight w:val="none"/>
                <w:vertAlign w:val="superscript"/>
              </w:rPr>
              <w:t>3</w:t>
            </w:r>
            <w:r>
              <w:rPr>
                <w:rFonts w:hint="default"/>
                <w:color w:val="auto"/>
                <w:spacing w:val="2"/>
                <w:sz w:val="24"/>
                <w:highlight w:val="none"/>
              </w:rPr>
              <w:t>/</w:t>
            </w:r>
            <w:r>
              <w:rPr>
                <w:rFonts w:hint="default"/>
                <w:color w:val="auto"/>
                <w:sz w:val="24"/>
                <w:highlight w:val="none"/>
              </w:rPr>
              <w:t>d</w:t>
            </w:r>
            <w:r>
              <w:rPr>
                <w:rFonts w:hint="eastAsia"/>
                <w:color w:val="auto"/>
                <w:spacing w:val="2"/>
                <w:sz w:val="24"/>
                <w:highlight w:val="none"/>
              </w:rPr>
              <w:t>，554.8</w:t>
            </w:r>
            <w:r>
              <w:rPr>
                <w:rFonts w:hint="default"/>
                <w:color w:val="auto"/>
                <w:sz w:val="24"/>
                <w:highlight w:val="none"/>
              </w:rPr>
              <w:t>m</w:t>
            </w:r>
            <w:r>
              <w:rPr>
                <w:rFonts w:hint="eastAsia"/>
                <w:color w:val="auto"/>
                <w:sz w:val="24"/>
                <w:highlight w:val="none"/>
                <w:vertAlign w:val="superscript"/>
              </w:rPr>
              <w:t>3</w:t>
            </w:r>
            <w:r>
              <w:rPr>
                <w:rFonts w:hint="default"/>
                <w:color w:val="auto"/>
                <w:spacing w:val="2"/>
                <w:sz w:val="24"/>
                <w:highlight w:val="none"/>
              </w:rPr>
              <w:t>/</w:t>
            </w:r>
            <w:r>
              <w:rPr>
                <w:rFonts w:hint="default"/>
                <w:color w:val="auto"/>
                <w:sz w:val="24"/>
                <w:highlight w:val="none"/>
              </w:rPr>
              <w:t>a</w:t>
            </w:r>
            <w:r>
              <w:rPr>
                <w:rFonts w:hint="default"/>
                <w:color w:val="auto"/>
                <w:spacing w:val="2"/>
                <w:sz w:val="24"/>
                <w:highlight w:val="none"/>
              </w:rPr>
              <w:t>，产污系数按8</w:t>
            </w:r>
            <w:r>
              <w:rPr>
                <w:rFonts w:hint="eastAsia"/>
                <w:color w:val="auto"/>
                <w:spacing w:val="2"/>
                <w:sz w:val="24"/>
                <w:highlight w:val="none"/>
              </w:rPr>
              <w:t>0</w:t>
            </w:r>
            <w:r>
              <w:rPr>
                <w:rFonts w:hint="default"/>
                <w:color w:val="auto"/>
                <w:spacing w:val="2"/>
                <w:sz w:val="24"/>
                <w:highlight w:val="none"/>
              </w:rPr>
              <w:t>%计，则项目</w:t>
            </w:r>
            <w:r>
              <w:rPr>
                <w:rFonts w:hint="default"/>
                <w:color w:val="auto"/>
                <w:kern w:val="0"/>
                <w:sz w:val="24"/>
                <w:highlight w:val="none"/>
              </w:rPr>
              <w:t>员工及司乘人员产生的生活污水</w:t>
            </w:r>
            <w:r>
              <w:rPr>
                <w:rFonts w:hint="default"/>
                <w:color w:val="auto"/>
                <w:spacing w:val="2"/>
                <w:sz w:val="24"/>
                <w:highlight w:val="none"/>
              </w:rPr>
              <w:t>产生量约为1.</w:t>
            </w:r>
            <w:r>
              <w:rPr>
                <w:rFonts w:hint="eastAsia"/>
                <w:color w:val="auto"/>
                <w:spacing w:val="2"/>
                <w:sz w:val="24"/>
                <w:highlight w:val="none"/>
              </w:rPr>
              <w:t>22</w:t>
            </w:r>
            <w:r>
              <w:rPr>
                <w:rFonts w:hint="default"/>
                <w:color w:val="auto"/>
                <w:sz w:val="24"/>
                <w:highlight w:val="none"/>
              </w:rPr>
              <w:t>m</w:t>
            </w:r>
            <w:r>
              <w:rPr>
                <w:rFonts w:hint="eastAsia"/>
                <w:color w:val="auto"/>
                <w:sz w:val="24"/>
                <w:highlight w:val="none"/>
                <w:vertAlign w:val="superscript"/>
              </w:rPr>
              <w:t>3</w:t>
            </w:r>
            <w:r>
              <w:rPr>
                <w:rFonts w:hint="default"/>
                <w:color w:val="auto"/>
                <w:spacing w:val="2"/>
                <w:sz w:val="24"/>
                <w:highlight w:val="none"/>
              </w:rPr>
              <w:t>/</w:t>
            </w:r>
            <w:r>
              <w:rPr>
                <w:rFonts w:hint="default"/>
                <w:color w:val="auto"/>
                <w:sz w:val="24"/>
                <w:highlight w:val="none"/>
              </w:rPr>
              <w:t>d</w:t>
            </w:r>
            <w:r>
              <w:rPr>
                <w:rFonts w:hint="eastAsia"/>
                <w:color w:val="auto"/>
                <w:spacing w:val="2"/>
                <w:sz w:val="24"/>
                <w:highlight w:val="none"/>
              </w:rPr>
              <w:t>，445.3</w:t>
            </w:r>
            <w:r>
              <w:rPr>
                <w:rFonts w:hint="default"/>
                <w:color w:val="auto"/>
                <w:sz w:val="24"/>
                <w:highlight w:val="none"/>
              </w:rPr>
              <w:t>m</w:t>
            </w:r>
            <w:r>
              <w:rPr>
                <w:rFonts w:hint="eastAsia"/>
                <w:color w:val="auto"/>
                <w:sz w:val="24"/>
                <w:highlight w:val="none"/>
                <w:vertAlign w:val="superscript"/>
              </w:rPr>
              <w:t>3</w:t>
            </w:r>
            <w:r>
              <w:rPr>
                <w:rFonts w:hint="default"/>
                <w:color w:val="auto"/>
                <w:spacing w:val="2"/>
                <w:sz w:val="24"/>
                <w:highlight w:val="none"/>
              </w:rPr>
              <w:t>/</w:t>
            </w:r>
            <w:r>
              <w:rPr>
                <w:rFonts w:hint="default"/>
                <w:color w:val="auto"/>
                <w:sz w:val="24"/>
                <w:highlight w:val="none"/>
              </w:rPr>
              <w:t>a</w:t>
            </w:r>
            <w:r>
              <w:rPr>
                <w:rFonts w:hint="default"/>
                <w:color w:val="auto"/>
                <w:spacing w:val="2"/>
                <w:sz w:val="24"/>
                <w:highlight w:val="none"/>
              </w:rPr>
              <w:t>。</w:t>
            </w:r>
          </w:p>
          <w:p w14:paraId="64D70AA0">
            <w:pPr>
              <w:keepNext w:val="0"/>
              <w:keepLines w:val="0"/>
              <w:suppressLineNumbers w:val="0"/>
              <w:spacing w:before="0" w:beforeAutospacing="0" w:after="0" w:afterAutospacing="0" w:line="360" w:lineRule="auto"/>
              <w:ind w:left="102" w:right="40" w:firstLine="482"/>
              <w:rPr>
                <w:rFonts w:hint="default" w:ascii="宋体" w:hAnsi="宋体" w:cs="宋体"/>
                <w:b/>
                <w:bCs/>
                <w:color w:val="auto"/>
                <w:sz w:val="23"/>
                <w:szCs w:val="23"/>
                <w:highlight w:val="none"/>
              </w:rPr>
            </w:pPr>
            <w:r>
              <w:rPr>
                <w:rFonts w:hint="default"/>
                <w:b/>
                <w:bCs/>
                <w:color w:val="auto"/>
                <w:kern w:val="0"/>
                <w:sz w:val="24"/>
                <w:highlight w:val="none"/>
              </w:rPr>
              <w:t>治理措施</w:t>
            </w:r>
          </w:p>
          <w:p w14:paraId="097E4B9A">
            <w:pPr>
              <w:pStyle w:val="54"/>
              <w:keepNext w:val="0"/>
              <w:keepLines w:val="0"/>
              <w:suppressLineNumbers w:val="0"/>
              <w:spacing w:before="0" w:beforeAutospacing="0" w:after="0" w:afterAutospacing="0"/>
              <w:ind w:left="0" w:right="0" w:firstLine="480"/>
              <w:rPr>
                <w:rFonts w:hint="eastAsia"/>
                <w:color w:val="auto"/>
                <w:highlight w:val="none"/>
              </w:rPr>
            </w:pPr>
            <w:r>
              <w:rPr>
                <w:rFonts w:hint="default"/>
                <w:color w:val="auto"/>
                <w:szCs w:val="24"/>
                <w:highlight w:val="none"/>
              </w:rPr>
              <w:t>本项目站内拟</w:t>
            </w:r>
            <w:r>
              <w:rPr>
                <w:rFonts w:hint="eastAsia"/>
                <w:color w:val="auto"/>
                <w:highlight w:val="none"/>
              </w:rPr>
              <w:t>设置化粪池</w:t>
            </w:r>
            <w:r>
              <w:rPr>
                <w:rFonts w:hint="default"/>
                <w:color w:val="auto"/>
                <w:szCs w:val="24"/>
                <w:highlight w:val="none"/>
              </w:rPr>
              <w:t>1座，容积为</w:t>
            </w:r>
            <w:r>
              <w:rPr>
                <w:rFonts w:hint="eastAsia"/>
                <w:color w:val="auto"/>
                <w:highlight w:val="none"/>
                <w:lang w:val="en-US" w:eastAsia="zh-CN"/>
              </w:rPr>
              <w:t>4</w:t>
            </w:r>
            <w:r>
              <w:rPr>
                <w:rFonts w:hint="default"/>
                <w:color w:val="auto"/>
                <w:szCs w:val="24"/>
                <w:highlight w:val="none"/>
              </w:rPr>
              <w:t>m</w:t>
            </w:r>
            <w:r>
              <w:rPr>
                <w:rFonts w:hint="default"/>
                <w:color w:val="auto"/>
                <w:szCs w:val="24"/>
                <w:highlight w:val="none"/>
                <w:vertAlign w:val="superscript"/>
              </w:rPr>
              <w:t>3</w:t>
            </w:r>
            <w:r>
              <w:rPr>
                <w:rFonts w:hint="default"/>
                <w:color w:val="auto"/>
                <w:szCs w:val="24"/>
                <w:highlight w:val="none"/>
              </w:rPr>
              <w:t>，</w:t>
            </w:r>
            <w:r>
              <w:rPr>
                <w:rFonts w:hint="eastAsia"/>
                <w:color w:val="auto"/>
                <w:highlight w:val="none"/>
              </w:rPr>
              <w:t>项目生活污水经化粪池预处理后通过市政污水管网排入达州市通川区魏兴场镇污水处理厂，</w:t>
            </w:r>
            <w:r>
              <w:rPr>
                <w:rFonts w:hint="eastAsia"/>
                <w:color w:val="auto"/>
                <w:szCs w:val="24"/>
                <w:highlight w:val="none"/>
                <w:lang w:bidi="ar"/>
              </w:rPr>
              <w:t>处理</w:t>
            </w:r>
            <w:r>
              <w:rPr>
                <w:rFonts w:hint="eastAsia"/>
                <w:color w:val="auto"/>
                <w:szCs w:val="24"/>
                <w:highlight w:val="none"/>
              </w:rPr>
              <w:t>达到</w:t>
            </w:r>
            <w:r>
              <w:rPr>
                <w:rFonts w:hint="default"/>
                <w:color w:val="auto"/>
                <w:szCs w:val="24"/>
                <w:highlight w:val="none"/>
              </w:rPr>
              <w:t>《城镇污水处理厂污染物排放标准》（GB18981-2002）一级A标准</w:t>
            </w:r>
            <w:r>
              <w:rPr>
                <w:rFonts w:hint="eastAsia"/>
                <w:color w:val="auto"/>
                <w:szCs w:val="24"/>
                <w:highlight w:val="none"/>
              </w:rPr>
              <w:t>后</w:t>
            </w:r>
            <w:r>
              <w:rPr>
                <w:rFonts w:hint="eastAsia" w:ascii="宋体" w:hAnsi="宋体" w:cs="宋体"/>
                <w:color w:val="auto"/>
                <w:szCs w:val="24"/>
                <w:highlight w:val="none"/>
                <w:lang w:bidi="ar"/>
              </w:rPr>
              <w:t>排入州河。</w:t>
            </w:r>
          </w:p>
          <w:p w14:paraId="3BA0A081">
            <w:pPr>
              <w:keepNext w:val="0"/>
              <w:keepLines w:val="0"/>
              <w:suppressLineNumbers w:val="0"/>
              <w:spacing w:before="0" w:beforeAutospacing="0" w:after="0" w:afterAutospacing="0" w:line="360" w:lineRule="auto"/>
              <w:ind w:left="0" w:right="0" w:firstLine="480"/>
              <w:rPr>
                <w:rFonts w:hint="eastAsia"/>
                <w:b/>
                <w:bCs/>
                <w:color w:val="auto"/>
                <w:kern w:val="0"/>
                <w:sz w:val="24"/>
                <w:highlight w:val="none"/>
              </w:rPr>
            </w:pPr>
            <w:r>
              <w:rPr>
                <w:rFonts w:hint="eastAsia"/>
                <w:b/>
                <w:bCs/>
                <w:color w:val="auto"/>
                <w:kern w:val="0"/>
                <w:sz w:val="24"/>
                <w:highlight w:val="none"/>
                <w:lang w:val="en-US" w:eastAsia="zh-CN"/>
              </w:rPr>
              <w:t>④</w:t>
            </w:r>
            <w:r>
              <w:rPr>
                <w:rFonts w:hint="eastAsia"/>
                <w:b/>
                <w:bCs/>
                <w:color w:val="auto"/>
                <w:kern w:val="0"/>
                <w:sz w:val="24"/>
                <w:highlight w:val="none"/>
              </w:rPr>
              <w:t>场地初期雨水</w:t>
            </w:r>
          </w:p>
          <w:p w14:paraId="418B3F97">
            <w:pPr>
              <w:keepNext w:val="0"/>
              <w:keepLines w:val="0"/>
              <w:suppressLineNumbers w:val="0"/>
              <w:spacing w:before="0" w:beforeAutospacing="0" w:after="0" w:afterAutospacing="0" w:line="360" w:lineRule="auto"/>
              <w:ind w:left="102" w:right="40" w:firstLine="482"/>
              <w:rPr>
                <w:rFonts w:hint="default"/>
                <w:b/>
                <w:bCs/>
                <w:color w:val="auto"/>
                <w:kern w:val="0"/>
                <w:sz w:val="24"/>
                <w:highlight w:val="none"/>
              </w:rPr>
            </w:pPr>
            <w:r>
              <w:rPr>
                <w:rFonts w:hint="default"/>
                <w:b/>
                <w:bCs/>
                <w:color w:val="auto"/>
                <w:kern w:val="0"/>
                <w:sz w:val="24"/>
                <w:highlight w:val="none"/>
              </w:rPr>
              <w:t>产生情况</w:t>
            </w:r>
          </w:p>
          <w:p w14:paraId="21145FE1">
            <w:pPr>
              <w:keepNext w:val="0"/>
              <w:keepLines w:val="0"/>
              <w:suppressLineNumbers w:val="0"/>
              <w:spacing w:before="0" w:beforeAutospacing="0" w:after="0" w:afterAutospacing="0" w:line="360" w:lineRule="auto"/>
              <w:ind w:left="119" w:right="21" w:firstLine="497"/>
              <w:rPr>
                <w:rFonts w:hint="default"/>
                <w:color w:val="auto"/>
                <w:sz w:val="24"/>
                <w:highlight w:val="none"/>
              </w:rPr>
            </w:pPr>
            <w:r>
              <w:rPr>
                <w:rFonts w:hint="default"/>
                <w:color w:val="auto"/>
                <w:spacing w:val="17"/>
                <w:sz w:val="24"/>
                <w:highlight w:val="none"/>
              </w:rPr>
              <w:t>由</w:t>
            </w:r>
            <w:r>
              <w:rPr>
                <w:rFonts w:hint="default"/>
                <w:color w:val="auto"/>
                <w:spacing w:val="10"/>
                <w:sz w:val="24"/>
                <w:highlight w:val="none"/>
              </w:rPr>
              <w:t>于加油过程中难免出现少量洒漏情况，加油区域地面会有少量油污，下雨</w:t>
            </w:r>
            <w:r>
              <w:rPr>
                <w:rFonts w:hint="default"/>
                <w:color w:val="auto"/>
                <w:spacing w:val="12"/>
                <w:sz w:val="24"/>
                <w:highlight w:val="none"/>
              </w:rPr>
              <w:t>时</w:t>
            </w:r>
            <w:r>
              <w:rPr>
                <w:rFonts w:hint="default"/>
                <w:color w:val="auto"/>
                <w:spacing w:val="9"/>
                <w:sz w:val="24"/>
                <w:highlight w:val="none"/>
              </w:rPr>
              <w:t>加</w:t>
            </w:r>
            <w:r>
              <w:rPr>
                <w:rFonts w:hint="default"/>
                <w:color w:val="auto"/>
                <w:spacing w:val="6"/>
                <w:sz w:val="24"/>
                <w:highlight w:val="none"/>
              </w:rPr>
              <w:t>油区附近雨水径流会携带少量油污，若不处理可能会对地表水产生一定影响。</w:t>
            </w:r>
          </w:p>
          <w:p w14:paraId="4227A533">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lang w:val="en-US" w:eastAsia="zh-CN"/>
              </w:rPr>
              <w:t>达州市</w:t>
            </w:r>
            <w:r>
              <w:rPr>
                <w:rFonts w:hint="default" w:ascii="Times New Roman" w:hAnsi="Times New Roman" w:cs="Times New Roman"/>
                <w:color w:val="auto"/>
                <w:sz w:val="24"/>
                <w:szCs w:val="24"/>
                <w:highlight w:val="none"/>
              </w:rPr>
              <w:t>暴雨强度公式为：</w:t>
            </w:r>
          </w:p>
          <w:p w14:paraId="44CC55D3">
            <w:pPr>
              <w:keepNext w:val="0"/>
              <w:keepLines w:val="0"/>
              <w:suppressLineNumbers w:val="0"/>
              <w:snapToGrid w:val="0"/>
              <w:spacing w:before="0" w:beforeAutospacing="0" w:after="0" w:afterAutospacing="0" w:line="360" w:lineRule="auto"/>
              <w:ind w:left="0" w:right="0" w:firstLine="480" w:firstLineChars="200"/>
              <w:jc w:val="center"/>
              <w:rPr>
                <w:rFonts w:hint="default" w:ascii="Times New Roman" w:hAnsi="Times New Roman" w:cs="Times New Roman"/>
                <w:color w:val="auto"/>
                <w:sz w:val="24"/>
                <w:szCs w:val="24"/>
                <w:highlight w:val="none"/>
              </w:rPr>
            </w:pPr>
            <w:r>
              <w:rPr>
                <w:rFonts w:hint="default" w:ascii="Cambria Math" w:hAnsi="Cambria Math" w:cs="Times New Roman"/>
                <w:i/>
                <w:color w:val="auto"/>
                <w:position w:val="-28"/>
                <w:sz w:val="24"/>
                <w:szCs w:val="24"/>
                <w:highlight w:val="none"/>
                <w:lang w:val="en-US" w:eastAsia="zh-CN"/>
              </w:rPr>
              <w:object>
                <v:shape id="_x0000_i1029" o:spt="75" type="#_x0000_t75" style="height:33pt;width:155pt;" o:ole="t" filled="f" o:preferrelative="t" stroked="f" coordsize="21600,21600">
                  <v:path/>
                  <v:fill on="f" focussize="0,0"/>
                  <v:stroke on="f"/>
                  <v:imagedata r:id="rId28" o:title=""/>
                  <o:lock v:ext="edit" aspectratio="t"/>
                  <w10:wrap type="none"/>
                  <w10:anchorlock/>
                </v:shape>
                <o:OLEObject Type="Embed" ProgID="Equation.KSEE3" ShapeID="_x0000_i1029" DrawAspect="Content" ObjectID="_1468075729" r:id="rId27">
                  <o:LockedField>false</o:LockedField>
                </o:OLEObject>
              </w:object>
            </w:r>
            <w:r>
              <w:rPr>
                <w:rFonts w:hint="default" w:ascii="Times New Roman" w:hAnsi="Times New Roman" w:cs="Times New Roman"/>
                <w:i w:val="0"/>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val="en-US" w:eastAsia="zh-CN"/>
              </w:rPr>
              <w:t>(单位：L/s/hm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p>
          <w:p w14:paraId="703CEC0D">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式中，</w:t>
            </w:r>
            <w:r>
              <w:rPr>
                <w:rFonts w:hint="eastAsia" w:cs="Times New Roman"/>
                <w:color w:val="auto"/>
                <w:sz w:val="24"/>
                <w:szCs w:val="24"/>
                <w:highlight w:val="none"/>
                <w:lang w:val="en-US" w:eastAsia="zh-CN"/>
              </w:rPr>
              <w:t>P——设计重现期（年），</w:t>
            </w:r>
            <w:r>
              <w:rPr>
                <w:rFonts w:hint="default" w:ascii="Times New Roman" w:hAnsi="Times New Roman" w:cs="Times New Roman"/>
                <w:color w:val="auto"/>
                <w:sz w:val="24"/>
                <w:szCs w:val="24"/>
                <w:highlight w:val="none"/>
              </w:rPr>
              <w:t>按2年计。</w:t>
            </w:r>
          </w:p>
          <w:p w14:paraId="7394DD9A">
            <w:pPr>
              <w:keepNext w:val="0"/>
              <w:keepLines w:val="0"/>
              <w:suppressLineNumbers w:val="0"/>
              <w:snapToGrid w:val="0"/>
              <w:spacing w:before="0" w:beforeAutospacing="0" w:after="0" w:afterAutospacing="0" w:line="360" w:lineRule="auto"/>
              <w:ind w:left="0" w:right="0"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——暴雨强度</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L/s·hm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14:paraId="30818792">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r>
              <w:rPr>
                <w:rFonts w:hint="default" w:ascii="Times New Roman" w:hAnsi="Times New Roman" w:cs="Times New Roman"/>
                <w:i/>
                <w:color w:val="auto"/>
                <w:sz w:val="24"/>
                <w:szCs w:val="24"/>
                <w:highlight w:val="none"/>
              </w:rPr>
              <w:t>t</w:t>
            </w:r>
            <w:r>
              <w:rPr>
                <w:rFonts w:hint="default" w:ascii="Times New Roman" w:hAnsi="Times New Roman" w:cs="Times New Roman"/>
                <w:color w:val="auto"/>
                <w:sz w:val="24"/>
                <w:szCs w:val="24"/>
                <w:highlight w:val="none"/>
              </w:rPr>
              <w:t>——降雨历时</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min</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，按15min计；</w:t>
            </w:r>
          </w:p>
          <w:p w14:paraId="7E70317C">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根据计算可知，区域暴雨强度</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为</w:t>
            </w:r>
            <w:r>
              <w:rPr>
                <w:rFonts w:hint="eastAsia" w:cs="Times New Roman"/>
                <w:color w:val="auto"/>
                <w:sz w:val="24"/>
                <w:szCs w:val="24"/>
                <w:highlight w:val="none"/>
                <w:lang w:val="en-US" w:eastAsia="zh-CN"/>
              </w:rPr>
              <w:t>206.80</w:t>
            </w:r>
            <w:r>
              <w:rPr>
                <w:rFonts w:hint="default" w:ascii="Times New Roman" w:hAnsi="Times New Roman" w:cs="Times New Roman"/>
                <w:color w:val="auto"/>
                <w:sz w:val="24"/>
                <w:szCs w:val="24"/>
                <w:highlight w:val="none"/>
              </w:rPr>
              <w:t>L/（s·hm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）。经测算，</w:t>
            </w:r>
            <w:r>
              <w:rPr>
                <w:rFonts w:hint="eastAsia" w:ascii="Times New Roman" w:hAnsi="Times New Roman" w:cs="Times New Roman"/>
                <w:color w:val="auto"/>
                <w:sz w:val="24"/>
                <w:szCs w:val="24"/>
                <w:highlight w:val="none"/>
                <w:lang w:val="en-US" w:eastAsia="zh-CN"/>
              </w:rPr>
              <w:t>加油加气站</w:t>
            </w:r>
            <w:r>
              <w:rPr>
                <w:rFonts w:hint="eastAsia" w:cs="Times New Roman"/>
                <w:color w:val="auto"/>
                <w:sz w:val="24"/>
                <w:szCs w:val="24"/>
                <w:highlight w:val="none"/>
                <w:lang w:val="en-US" w:eastAsia="zh-CN"/>
              </w:rPr>
              <w:t>内</w:t>
            </w:r>
            <w:r>
              <w:rPr>
                <w:rFonts w:hint="default" w:ascii="Times New Roman" w:hAnsi="Times New Roman" w:cs="Times New Roman"/>
                <w:color w:val="auto"/>
                <w:sz w:val="24"/>
                <w:szCs w:val="24"/>
                <w:highlight w:val="none"/>
              </w:rPr>
              <w:t>汇水面积约</w:t>
            </w:r>
            <w:r>
              <w:rPr>
                <w:rFonts w:hint="eastAsia" w:cs="Times New Roman"/>
                <w:color w:val="auto"/>
                <w:sz w:val="24"/>
                <w:szCs w:val="24"/>
                <w:highlight w:val="none"/>
                <w:lang w:val="en-US" w:eastAsia="zh-CN"/>
              </w:rPr>
              <w:t>7600m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考虑一次暴雨最大初期雨水量和年初期雨水总量，其中：</w:t>
            </w:r>
          </w:p>
          <w:p w14:paraId="1B9C156C">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一次暴雨最大初期雨水量计算公式为：</w:t>
            </w:r>
          </w:p>
          <w:p w14:paraId="03E149AD">
            <w:pPr>
              <w:keepNext w:val="0"/>
              <w:keepLines w:val="0"/>
              <w:suppressLineNumbers w:val="0"/>
              <w:snapToGrid w:val="0"/>
              <w:spacing w:before="0" w:beforeAutospacing="0" w:after="0" w:afterAutospacing="0" w:line="360" w:lineRule="auto"/>
              <w:ind w:left="0" w:right="0" w:firstLine="480" w:firstLineChars="200"/>
              <w:jc w:val="center"/>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Ψ</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S</w:t>
            </w:r>
          </w:p>
          <w:p w14:paraId="480FEA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r>
              <w:rPr>
                <w:rFonts w:hint="default" w:ascii="Times New Roman" w:hAnsi="Times New Roman" w:cs="Times New Roman"/>
                <w:i/>
                <w:iCs/>
                <w:color w:val="auto"/>
                <w:sz w:val="24"/>
                <w:szCs w:val="24"/>
                <w:highlight w:val="none"/>
              </w:rPr>
              <w:t>Q</w:t>
            </w:r>
            <w:r>
              <w:rPr>
                <w:rFonts w:hint="default" w:ascii="Times New Roman" w:hAnsi="Times New Roman" w:cs="Times New Roman"/>
                <w:color w:val="auto"/>
                <w:sz w:val="24"/>
                <w:szCs w:val="24"/>
                <w:highlight w:val="none"/>
              </w:rPr>
              <w:t>——雨水设计流量（L/s）；</w:t>
            </w:r>
          </w:p>
          <w:p w14:paraId="35CD23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q——设计暴雨强度，L/（s·hm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14:paraId="300D0E0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1200" w:firstLineChars="500"/>
              <w:textAlignment w:val="auto"/>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Ψ</w:t>
            </w:r>
            <w:r>
              <w:rPr>
                <w:rFonts w:hint="default" w:ascii="Times New Roman" w:hAnsi="Times New Roman" w:cs="Times New Roman"/>
                <w:color w:val="auto"/>
                <w:sz w:val="24"/>
                <w:szCs w:val="24"/>
                <w:highlight w:val="none"/>
              </w:rPr>
              <w:t>——径流系数，取</w:t>
            </w:r>
            <w:r>
              <w:rPr>
                <w:rFonts w:hint="eastAsia" w:ascii="Times New Roman" w:hAnsi="Times New Roman" w:cs="Times New Roman"/>
                <w:color w:val="auto"/>
                <w:sz w:val="24"/>
                <w:szCs w:val="24"/>
                <w:highlight w:val="none"/>
                <w:lang w:val="en-US" w:eastAsia="zh-CN"/>
              </w:rPr>
              <w:t>0.72</w:t>
            </w:r>
            <w:r>
              <w:rPr>
                <w:rFonts w:hint="default" w:ascii="Times New Roman" w:hAnsi="Times New Roman" w:cs="Times New Roman"/>
                <w:color w:val="auto"/>
                <w:sz w:val="24"/>
                <w:szCs w:val="24"/>
                <w:highlight w:val="none"/>
              </w:rPr>
              <w:t>；</w:t>
            </w:r>
          </w:p>
          <w:p w14:paraId="4E29002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r>
              <w:rPr>
                <w:rFonts w:hint="default" w:ascii="Times New Roman" w:hAnsi="Times New Roman" w:cs="Times New Roman"/>
                <w:i/>
                <w:color w:val="auto"/>
                <w:sz w:val="24"/>
                <w:szCs w:val="24"/>
                <w:highlight w:val="none"/>
              </w:rPr>
              <w:t>S</w:t>
            </w:r>
            <w:r>
              <w:rPr>
                <w:rFonts w:hint="default" w:ascii="Times New Roman" w:hAnsi="Times New Roman" w:cs="Times New Roman"/>
                <w:color w:val="auto"/>
                <w:sz w:val="24"/>
                <w:szCs w:val="24"/>
                <w:highlight w:val="none"/>
              </w:rPr>
              <w:t>——汇水面积，hm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14:paraId="4B82BA0E">
            <w:pPr>
              <w:keepNext w:val="0"/>
              <w:keepLines w:val="0"/>
              <w:suppressLineNumbers w:val="0"/>
              <w:spacing w:before="0" w:beforeAutospacing="0" w:after="0" w:afterAutospacing="0" w:line="360" w:lineRule="auto"/>
              <w:ind w:left="592" w:right="0"/>
              <w:rPr>
                <w:rFonts w:hint="default"/>
                <w:color w:val="auto"/>
                <w:sz w:val="24"/>
                <w:highlight w:val="none"/>
              </w:rPr>
            </w:pPr>
            <w:r>
              <w:rPr>
                <w:rFonts w:hint="default"/>
                <w:color w:val="auto"/>
                <w:spacing w:val="-4"/>
                <w:position w:val="3"/>
                <w:sz w:val="24"/>
                <w:highlight w:val="none"/>
              </w:rPr>
              <w:t>则</w:t>
            </w:r>
            <w:r>
              <w:rPr>
                <w:rFonts w:hint="eastAsia"/>
                <w:color w:val="auto"/>
                <w:spacing w:val="-4"/>
                <w:position w:val="3"/>
                <w:sz w:val="24"/>
                <w:highlight w:val="none"/>
                <w:lang w:val="en-US" w:eastAsia="zh-CN"/>
              </w:rPr>
              <w:t>雨水设计流量为113.16L/s，</w:t>
            </w:r>
            <w:r>
              <w:rPr>
                <w:rFonts w:hint="default"/>
                <w:color w:val="auto"/>
                <w:spacing w:val="-4"/>
                <w:position w:val="3"/>
                <w:sz w:val="24"/>
                <w:highlight w:val="none"/>
              </w:rPr>
              <w:t>初期雨水量为</w:t>
            </w:r>
            <w:r>
              <w:rPr>
                <w:rFonts w:hint="eastAsia"/>
                <w:color w:val="auto"/>
                <w:spacing w:val="-4"/>
                <w:position w:val="3"/>
                <w:sz w:val="24"/>
                <w:highlight w:val="none"/>
                <w:lang w:val="en-US" w:eastAsia="zh-CN"/>
              </w:rPr>
              <w:t xml:space="preserve">  101.84</w:t>
            </w:r>
            <w:r>
              <w:rPr>
                <w:rFonts w:hint="default"/>
                <w:color w:val="auto"/>
                <w:spacing w:val="-4"/>
                <w:position w:val="3"/>
                <w:sz w:val="24"/>
                <w:highlight w:val="none"/>
              </w:rPr>
              <w:t>m</w:t>
            </w:r>
            <w:r>
              <w:rPr>
                <w:rFonts w:hint="eastAsia"/>
                <w:color w:val="auto"/>
                <w:spacing w:val="-4"/>
                <w:position w:val="3"/>
                <w:sz w:val="24"/>
                <w:highlight w:val="none"/>
                <w:vertAlign w:val="superscript"/>
              </w:rPr>
              <w:t>3</w:t>
            </w:r>
            <w:r>
              <w:rPr>
                <w:rFonts w:hint="eastAsia"/>
                <w:color w:val="auto"/>
                <w:spacing w:val="-4"/>
                <w:position w:val="3"/>
                <w:sz w:val="24"/>
                <w:highlight w:val="none"/>
              </w:rPr>
              <w:t>/1</w:t>
            </w:r>
            <w:r>
              <w:rPr>
                <w:rFonts w:hint="default"/>
                <w:color w:val="auto"/>
                <w:spacing w:val="-4"/>
                <w:position w:val="3"/>
                <w:sz w:val="24"/>
                <w:highlight w:val="none"/>
              </w:rPr>
              <w:t>5min。</w:t>
            </w:r>
          </w:p>
          <w:p w14:paraId="698A0CA2">
            <w:pPr>
              <w:keepNext w:val="0"/>
              <w:keepLines w:val="0"/>
              <w:suppressLineNumbers w:val="0"/>
              <w:spacing w:before="0" w:beforeAutospacing="0" w:after="0" w:afterAutospacing="0" w:line="360" w:lineRule="auto"/>
              <w:ind w:left="592" w:right="0"/>
              <w:rPr>
                <w:rFonts w:hint="default"/>
                <w:b/>
                <w:bCs/>
                <w:color w:val="auto"/>
                <w:spacing w:val="-4"/>
                <w:position w:val="3"/>
                <w:sz w:val="24"/>
                <w:highlight w:val="none"/>
              </w:rPr>
            </w:pPr>
            <w:r>
              <w:rPr>
                <w:rFonts w:hint="default"/>
                <w:b/>
                <w:bCs/>
                <w:color w:val="auto"/>
                <w:spacing w:val="-4"/>
                <w:position w:val="3"/>
                <w:sz w:val="24"/>
                <w:highlight w:val="none"/>
              </w:rPr>
              <w:t>治理措施</w:t>
            </w:r>
          </w:p>
          <w:p w14:paraId="7BEB4877">
            <w:pPr>
              <w:keepNext w:val="0"/>
              <w:keepLines w:val="0"/>
              <w:suppressLineNumbers w:val="0"/>
              <w:spacing w:before="0" w:beforeAutospacing="0" w:after="0" w:afterAutospacing="0" w:line="360" w:lineRule="auto"/>
              <w:ind w:left="108" w:right="0" w:firstLine="512" w:firstLineChars="200"/>
              <w:rPr>
                <w:rFonts w:hint="default"/>
                <w:color w:val="auto"/>
                <w:spacing w:val="8"/>
                <w:sz w:val="24"/>
                <w:highlight w:val="none"/>
              </w:rPr>
            </w:pPr>
            <w:r>
              <w:rPr>
                <w:rFonts w:hint="default"/>
                <w:color w:val="auto"/>
                <w:spacing w:val="8"/>
                <w:sz w:val="24"/>
                <w:highlight w:val="none"/>
              </w:rPr>
              <w:t>本项目站内排水采用雨污分流制排水系统，站内拟设置隔油池1座，容积为</w:t>
            </w:r>
            <w:r>
              <w:rPr>
                <w:rFonts w:hint="eastAsia"/>
                <w:color w:val="auto"/>
                <w:spacing w:val="8"/>
                <w:sz w:val="24"/>
                <w:highlight w:val="none"/>
                <w:lang w:val="en-US" w:eastAsia="zh-CN"/>
              </w:rPr>
              <w:t>1</w:t>
            </w:r>
            <w:r>
              <w:rPr>
                <w:rFonts w:hint="default"/>
                <w:color w:val="auto"/>
                <w:spacing w:val="8"/>
                <w:sz w:val="24"/>
                <w:highlight w:val="none"/>
              </w:rPr>
              <w:t>m</w:t>
            </w:r>
            <w:r>
              <w:rPr>
                <w:rFonts w:hint="default"/>
                <w:color w:val="auto"/>
                <w:spacing w:val="8"/>
                <w:sz w:val="24"/>
                <w:highlight w:val="none"/>
                <w:vertAlign w:val="superscript"/>
              </w:rPr>
              <w:t>3</w:t>
            </w:r>
            <w:r>
              <w:rPr>
                <w:rFonts w:hint="default"/>
                <w:color w:val="auto"/>
                <w:spacing w:val="8"/>
                <w:sz w:val="24"/>
                <w:highlight w:val="none"/>
              </w:rPr>
              <w:t>，位于站区出口处绿化带内，用于站内初期雨水的隔油处理；同时，拟于加油加气站罩棚区四周新建环保沟，项目建成营运后，站内初期雨水利用地坪自然坡度散流通过环保沟收集进入</w:t>
            </w:r>
            <w:r>
              <w:rPr>
                <w:rFonts w:hint="eastAsia"/>
                <w:color w:val="auto"/>
                <w:spacing w:val="8"/>
                <w:sz w:val="24"/>
                <w:highlight w:val="none"/>
                <w:lang w:val="en-US" w:eastAsia="zh-CN"/>
              </w:rPr>
              <w:t>初期雨水</w:t>
            </w:r>
            <w:r>
              <w:rPr>
                <w:rFonts w:hint="default"/>
                <w:color w:val="auto"/>
                <w:spacing w:val="8"/>
                <w:sz w:val="24"/>
                <w:highlight w:val="none"/>
              </w:rPr>
              <w:t>隔油池经隔油沉淀后排入站外道路边沟。</w:t>
            </w:r>
          </w:p>
          <w:p w14:paraId="78CF057B">
            <w:pPr>
              <w:keepNext w:val="0"/>
              <w:keepLines w:val="0"/>
              <w:suppressLineNumbers w:val="0"/>
              <w:spacing w:before="0" w:beforeAutospacing="0" w:after="0" w:afterAutospacing="0" w:line="360" w:lineRule="auto"/>
              <w:ind w:left="108" w:right="0" w:firstLine="512" w:firstLineChars="200"/>
              <w:rPr>
                <w:rFonts w:hint="default"/>
                <w:color w:val="auto"/>
                <w:spacing w:val="8"/>
                <w:sz w:val="24"/>
                <w:highlight w:val="none"/>
              </w:rPr>
            </w:pPr>
            <w:r>
              <w:rPr>
                <w:rFonts w:hint="default"/>
                <w:color w:val="auto"/>
                <w:spacing w:val="8"/>
                <w:sz w:val="24"/>
                <w:highlight w:val="none"/>
              </w:rPr>
              <w:t>同时，本环评要求，隔油池定期对池内浮油进行清掏回收，回收后的废油由隔油池集油管排出，桶装收集后暂存于站内危废暂存间，定期交由有该处理资质的单位清运处置。</w:t>
            </w:r>
          </w:p>
          <w:p w14:paraId="37F5097E">
            <w:pPr>
              <w:keepNext w:val="0"/>
              <w:keepLines w:val="0"/>
              <w:suppressLineNumbers w:val="0"/>
              <w:spacing w:before="0" w:beforeAutospacing="0" w:after="0" w:afterAutospacing="0" w:line="360" w:lineRule="auto"/>
              <w:ind w:left="108" w:right="0" w:firstLine="512" w:firstLineChars="200"/>
              <w:rPr>
                <w:rFonts w:hint="default"/>
                <w:color w:val="auto"/>
                <w:spacing w:val="8"/>
                <w:sz w:val="24"/>
                <w:highlight w:val="none"/>
              </w:rPr>
            </w:pPr>
            <w:r>
              <w:rPr>
                <w:rFonts w:hint="default"/>
                <w:color w:val="auto"/>
                <w:spacing w:val="8"/>
                <w:sz w:val="24"/>
                <w:highlight w:val="none"/>
              </w:rPr>
              <w:t>可行性分析：本项目初期雨水量按暴雨量计算，为</w:t>
            </w:r>
            <w:r>
              <w:rPr>
                <w:rFonts w:hint="eastAsia"/>
                <w:color w:val="auto"/>
                <w:spacing w:val="8"/>
                <w:sz w:val="24"/>
                <w:highlight w:val="none"/>
                <w:lang w:val="en-US" w:eastAsia="zh-CN"/>
              </w:rPr>
              <w:t>102.65</w:t>
            </w:r>
            <w:r>
              <w:rPr>
                <w:rFonts w:hint="default"/>
                <w:color w:val="auto"/>
                <w:spacing w:val="8"/>
                <w:sz w:val="24"/>
                <w:highlight w:val="none"/>
              </w:rPr>
              <w:t>m</w:t>
            </w:r>
            <w:r>
              <w:rPr>
                <w:rFonts w:hint="default"/>
                <w:color w:val="auto"/>
                <w:spacing w:val="8"/>
                <w:sz w:val="24"/>
                <w:highlight w:val="none"/>
                <w:vertAlign w:val="superscript"/>
              </w:rPr>
              <w:t>3</w:t>
            </w:r>
            <w:r>
              <w:rPr>
                <w:rFonts w:hint="default"/>
                <w:color w:val="auto"/>
                <w:spacing w:val="8"/>
                <w:sz w:val="24"/>
                <w:highlight w:val="none"/>
              </w:rPr>
              <w:t>/</w:t>
            </w:r>
            <w:r>
              <w:rPr>
                <w:rFonts w:hint="eastAsia"/>
                <w:color w:val="auto"/>
                <w:spacing w:val="8"/>
                <w:sz w:val="24"/>
                <w:highlight w:val="none"/>
              </w:rPr>
              <w:t>1</w:t>
            </w:r>
            <w:r>
              <w:rPr>
                <w:rFonts w:hint="default"/>
                <w:color w:val="auto"/>
                <w:spacing w:val="8"/>
                <w:sz w:val="24"/>
                <w:highlight w:val="none"/>
              </w:rPr>
              <w:t>5min，从经济、可行性考虑，站内设置的容积为</w:t>
            </w:r>
            <w:r>
              <w:rPr>
                <w:rFonts w:hint="eastAsia"/>
                <w:color w:val="auto"/>
                <w:spacing w:val="8"/>
                <w:sz w:val="24"/>
                <w:highlight w:val="none"/>
                <w:lang w:val="en-US" w:eastAsia="zh-CN"/>
              </w:rPr>
              <w:t>7</w:t>
            </w:r>
            <w:r>
              <w:rPr>
                <w:rFonts w:hint="default"/>
                <w:color w:val="auto"/>
                <w:spacing w:val="8"/>
                <w:sz w:val="24"/>
                <w:highlight w:val="none"/>
              </w:rPr>
              <w:t>m</w:t>
            </w:r>
            <w:r>
              <w:rPr>
                <w:rFonts w:hint="default"/>
                <w:color w:val="auto"/>
                <w:spacing w:val="8"/>
                <w:sz w:val="24"/>
                <w:highlight w:val="none"/>
                <w:vertAlign w:val="superscript"/>
              </w:rPr>
              <w:t>3</w:t>
            </w:r>
            <w:r>
              <w:rPr>
                <w:rFonts w:hint="default"/>
                <w:color w:val="auto"/>
                <w:spacing w:val="8"/>
                <w:sz w:val="24"/>
                <w:highlight w:val="none"/>
              </w:rPr>
              <w:t>的</w:t>
            </w:r>
            <w:r>
              <w:rPr>
                <w:rFonts w:hint="eastAsia"/>
                <w:color w:val="auto"/>
                <w:spacing w:val="8"/>
                <w:sz w:val="24"/>
                <w:highlight w:val="none"/>
                <w:lang w:val="en-US" w:eastAsia="zh-CN"/>
              </w:rPr>
              <w:t>初期雨水</w:t>
            </w:r>
            <w:r>
              <w:rPr>
                <w:rFonts w:hint="default"/>
                <w:color w:val="auto"/>
                <w:spacing w:val="8"/>
                <w:sz w:val="24"/>
                <w:highlight w:val="none"/>
              </w:rPr>
              <w:t>隔油池，可容纳初期雨水量，且隔油池不做长期储存功能，初期雨水经隔油后即排出，因此，本项目设置</w:t>
            </w:r>
            <w:r>
              <w:rPr>
                <w:rFonts w:hint="eastAsia"/>
                <w:color w:val="auto"/>
                <w:spacing w:val="8"/>
                <w:sz w:val="24"/>
                <w:highlight w:val="none"/>
                <w:lang w:val="en-US" w:eastAsia="zh-CN"/>
              </w:rPr>
              <w:t>7</w:t>
            </w:r>
            <w:r>
              <w:rPr>
                <w:rFonts w:hint="default"/>
                <w:color w:val="auto"/>
                <w:spacing w:val="8"/>
                <w:sz w:val="24"/>
                <w:highlight w:val="none"/>
              </w:rPr>
              <w:t>m</w:t>
            </w:r>
            <w:r>
              <w:rPr>
                <w:rFonts w:hint="eastAsia"/>
                <w:color w:val="auto"/>
                <w:spacing w:val="8"/>
                <w:sz w:val="24"/>
                <w:highlight w:val="none"/>
                <w:vertAlign w:val="superscript"/>
              </w:rPr>
              <w:t>3</w:t>
            </w:r>
            <w:r>
              <w:rPr>
                <w:rFonts w:hint="default"/>
                <w:color w:val="auto"/>
                <w:spacing w:val="8"/>
                <w:sz w:val="24"/>
                <w:highlight w:val="none"/>
              </w:rPr>
              <w:t>的</w:t>
            </w:r>
            <w:r>
              <w:rPr>
                <w:rFonts w:hint="eastAsia"/>
                <w:color w:val="auto"/>
                <w:spacing w:val="8"/>
                <w:sz w:val="24"/>
                <w:highlight w:val="none"/>
                <w:lang w:val="en-US" w:eastAsia="zh-CN"/>
              </w:rPr>
              <w:t>初期雨水</w:t>
            </w:r>
            <w:r>
              <w:rPr>
                <w:rFonts w:hint="default"/>
                <w:color w:val="auto"/>
                <w:spacing w:val="8"/>
                <w:sz w:val="24"/>
                <w:highlight w:val="none"/>
              </w:rPr>
              <w:t>隔油池用于进行站内初期雨水的隔油处理是可行的。</w:t>
            </w:r>
          </w:p>
          <w:p w14:paraId="1DFBAB86">
            <w:pPr>
              <w:keepNext w:val="0"/>
              <w:keepLines w:val="0"/>
              <w:suppressLineNumbers w:val="0"/>
              <w:spacing w:before="0" w:beforeAutospacing="0" w:after="0" w:afterAutospacing="0" w:line="360" w:lineRule="auto"/>
              <w:ind w:left="108" w:right="0" w:firstLine="512" w:firstLineChars="200"/>
              <w:rPr>
                <w:rFonts w:hint="default"/>
                <w:color w:val="auto"/>
                <w:spacing w:val="8"/>
                <w:sz w:val="24"/>
                <w:highlight w:val="none"/>
              </w:rPr>
            </w:pPr>
            <w:r>
              <w:rPr>
                <w:rFonts w:hint="eastAsia"/>
                <w:color w:val="auto"/>
                <w:spacing w:val="8"/>
                <w:sz w:val="24"/>
                <w:highlight w:val="none"/>
              </w:rPr>
              <w:t>本项目废水产排及治理情况见下表。</w:t>
            </w:r>
          </w:p>
          <w:p w14:paraId="28AF75B0">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highlight w:val="none"/>
                <w:lang w:val="en-US" w:eastAsia="zh-CN"/>
              </w:rPr>
            </w:pPr>
          </w:p>
          <w:p w14:paraId="2C6CE015">
            <w:pPr>
              <w:pStyle w:val="20"/>
              <w:keepNext w:val="0"/>
              <w:keepLines w:val="0"/>
              <w:suppressLineNumbers w:val="0"/>
              <w:spacing w:before="0" w:beforeAutospacing="0" w:after="0" w:afterAutospacing="0"/>
              <w:ind w:right="0"/>
              <w:rPr>
                <w:rFonts w:hint="default"/>
                <w:lang w:val="en-US" w:eastAsia="zh-CN"/>
              </w:rPr>
            </w:pPr>
          </w:p>
          <w:p w14:paraId="4A838BB6">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highlight w:val="none"/>
                <w:lang w:val="en-US" w:eastAsia="zh-CN"/>
              </w:rPr>
            </w:pPr>
            <w:r>
              <w:rPr>
                <w:rFonts w:hint="default" w:ascii="Times New Roman" w:hAnsi="Times New Roman" w:eastAsia="黑体" w:cs="Times New Roman"/>
                <w:b/>
                <w:bCs/>
                <w:color w:val="auto"/>
                <w:kern w:val="0"/>
                <w:sz w:val="21"/>
                <w:szCs w:val="21"/>
                <w:highlight w:val="none"/>
                <w:lang w:val="en-US" w:eastAsia="zh-CN"/>
              </w:rPr>
              <w:t>表4-</w:t>
            </w:r>
            <w:r>
              <w:rPr>
                <w:rFonts w:hint="eastAsia" w:eastAsia="黑体" w:cs="Times New Roman"/>
                <w:b/>
                <w:bCs/>
                <w:color w:val="auto"/>
                <w:kern w:val="0"/>
                <w:sz w:val="21"/>
                <w:szCs w:val="21"/>
                <w:highlight w:val="none"/>
                <w:lang w:val="en-US" w:eastAsia="zh-CN"/>
              </w:rPr>
              <w:t>9</w:t>
            </w:r>
            <w:r>
              <w:rPr>
                <w:rFonts w:hint="default" w:ascii="Times New Roman" w:hAnsi="Times New Roman" w:eastAsia="黑体" w:cs="Times New Roman"/>
                <w:b/>
                <w:bCs/>
                <w:color w:val="auto"/>
                <w:kern w:val="0"/>
                <w:sz w:val="21"/>
                <w:szCs w:val="21"/>
                <w:highlight w:val="none"/>
                <w:lang w:val="en-US" w:eastAsia="zh-CN"/>
              </w:rPr>
              <w:t xml:space="preserve">  本项目废水产排一览表</w:t>
            </w:r>
          </w:p>
          <w:tbl>
            <w:tblPr>
              <w:tblStyle w:val="23"/>
              <w:tblW w:w="5000" w:type="pct"/>
              <w:tblInd w:w="1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1141"/>
              <w:gridCol w:w="1143"/>
              <w:gridCol w:w="1143"/>
              <w:gridCol w:w="1595"/>
              <w:gridCol w:w="1595"/>
              <w:gridCol w:w="1141"/>
            </w:tblGrid>
            <w:tr w14:paraId="3F97E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restart"/>
                  <w:tcBorders>
                    <w:tl2br w:val="nil"/>
                    <w:tr2bl w:val="nil"/>
                  </w:tcBorders>
                  <w:noWrap w:val="0"/>
                  <w:vAlign w:val="center"/>
                </w:tcPr>
                <w:p w14:paraId="3C0B2B58">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废水类别</w:t>
                  </w:r>
                </w:p>
              </w:tc>
              <w:tc>
                <w:tcPr>
                  <w:tcW w:w="641" w:type="pct"/>
                  <w:tcBorders>
                    <w:tl2br w:val="nil"/>
                    <w:tr2bl w:val="nil"/>
                  </w:tcBorders>
                  <w:noWrap w:val="0"/>
                  <w:vAlign w:val="center"/>
                </w:tcPr>
                <w:p w14:paraId="3B507BF4">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废水量</w:t>
                  </w:r>
                </w:p>
              </w:tc>
              <w:tc>
                <w:tcPr>
                  <w:tcW w:w="642" w:type="pct"/>
                  <w:tcBorders>
                    <w:tl2br w:val="nil"/>
                    <w:tr2bl w:val="nil"/>
                  </w:tcBorders>
                  <w:noWrap w:val="0"/>
                  <w:vAlign w:val="center"/>
                </w:tcPr>
                <w:p w14:paraId="66B9DAC2">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主要</w:t>
                  </w:r>
                </w:p>
              </w:tc>
              <w:tc>
                <w:tcPr>
                  <w:tcW w:w="1538" w:type="pct"/>
                  <w:gridSpan w:val="2"/>
                  <w:tcBorders>
                    <w:tl2br w:val="nil"/>
                    <w:tr2bl w:val="nil"/>
                  </w:tcBorders>
                  <w:noWrap w:val="0"/>
                  <w:vAlign w:val="center"/>
                </w:tcPr>
                <w:p w14:paraId="100313BA">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处</w:t>
                  </w:r>
                  <w:r>
                    <w:rPr>
                      <w:rFonts w:hint="default"/>
                      <w:b/>
                      <w:bCs/>
                      <w:color w:val="auto"/>
                      <w:kern w:val="0"/>
                      <w:sz w:val="21"/>
                      <w:szCs w:val="21"/>
                      <w:highlight w:val="none"/>
                    </w:rPr>
                    <w:t xml:space="preserve"> </w:t>
                  </w:r>
                  <w:r>
                    <w:rPr>
                      <w:rFonts w:hint="eastAsia" w:ascii="宋体" w:hAnsi="宋体" w:cs="宋体"/>
                      <w:b/>
                      <w:bCs/>
                      <w:color w:val="auto"/>
                      <w:kern w:val="0"/>
                      <w:sz w:val="21"/>
                      <w:szCs w:val="21"/>
                      <w:highlight w:val="none"/>
                    </w:rPr>
                    <w:t>理</w:t>
                  </w:r>
                  <w:r>
                    <w:rPr>
                      <w:rFonts w:hint="default"/>
                      <w:b/>
                      <w:bCs/>
                      <w:color w:val="auto"/>
                      <w:kern w:val="0"/>
                      <w:sz w:val="21"/>
                      <w:szCs w:val="21"/>
                      <w:highlight w:val="none"/>
                    </w:rPr>
                    <w:t xml:space="preserve"> </w:t>
                  </w:r>
                  <w:r>
                    <w:rPr>
                      <w:rFonts w:hint="eastAsia" w:ascii="宋体" w:hAnsi="宋体" w:cs="宋体"/>
                      <w:b/>
                      <w:bCs/>
                      <w:color w:val="auto"/>
                      <w:kern w:val="0"/>
                      <w:sz w:val="21"/>
                      <w:szCs w:val="21"/>
                      <w:highlight w:val="none"/>
                    </w:rPr>
                    <w:t>前</w:t>
                  </w:r>
                </w:p>
              </w:tc>
              <w:tc>
                <w:tcPr>
                  <w:tcW w:w="1536" w:type="pct"/>
                  <w:gridSpan w:val="2"/>
                  <w:tcBorders>
                    <w:tl2br w:val="nil"/>
                    <w:tr2bl w:val="nil"/>
                  </w:tcBorders>
                  <w:noWrap w:val="0"/>
                  <w:vAlign w:val="center"/>
                </w:tcPr>
                <w:p w14:paraId="6D17C2E1">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处</w:t>
                  </w:r>
                  <w:r>
                    <w:rPr>
                      <w:rFonts w:hint="default"/>
                      <w:b/>
                      <w:bCs/>
                      <w:color w:val="auto"/>
                      <w:kern w:val="0"/>
                      <w:sz w:val="21"/>
                      <w:szCs w:val="21"/>
                      <w:highlight w:val="none"/>
                    </w:rPr>
                    <w:t xml:space="preserve"> </w:t>
                  </w:r>
                  <w:r>
                    <w:rPr>
                      <w:rFonts w:hint="eastAsia" w:ascii="宋体" w:hAnsi="宋体" w:cs="宋体"/>
                      <w:b/>
                      <w:bCs/>
                      <w:color w:val="auto"/>
                      <w:kern w:val="0"/>
                      <w:sz w:val="21"/>
                      <w:szCs w:val="21"/>
                      <w:highlight w:val="none"/>
                    </w:rPr>
                    <w:t>理</w:t>
                  </w:r>
                  <w:r>
                    <w:rPr>
                      <w:rFonts w:hint="default"/>
                      <w:b/>
                      <w:bCs/>
                      <w:color w:val="auto"/>
                      <w:kern w:val="0"/>
                      <w:sz w:val="21"/>
                      <w:szCs w:val="21"/>
                      <w:highlight w:val="none"/>
                    </w:rPr>
                    <w:t xml:space="preserve"> </w:t>
                  </w:r>
                  <w:r>
                    <w:rPr>
                      <w:rFonts w:hint="eastAsia" w:ascii="宋体" w:hAnsi="宋体" w:cs="宋体"/>
                      <w:b/>
                      <w:bCs/>
                      <w:color w:val="auto"/>
                      <w:kern w:val="0"/>
                      <w:sz w:val="21"/>
                      <w:szCs w:val="21"/>
                      <w:highlight w:val="none"/>
                    </w:rPr>
                    <w:t>后</w:t>
                  </w:r>
                </w:p>
              </w:tc>
            </w:tr>
            <w:tr w14:paraId="2FDF8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tcBorders>
                    <w:tl2br w:val="nil"/>
                    <w:tr2bl w:val="nil"/>
                  </w:tcBorders>
                  <w:noWrap w:val="0"/>
                  <w:vAlign w:val="center"/>
                </w:tcPr>
                <w:p w14:paraId="27ADD061">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1"/>
                      <w:szCs w:val="21"/>
                      <w:highlight w:val="none"/>
                    </w:rPr>
                  </w:pPr>
                </w:p>
              </w:tc>
              <w:tc>
                <w:tcPr>
                  <w:tcW w:w="641" w:type="pct"/>
                  <w:vMerge w:val="restart"/>
                  <w:tcBorders>
                    <w:tl2br w:val="nil"/>
                    <w:tr2bl w:val="nil"/>
                  </w:tcBorders>
                  <w:noWrap w:val="0"/>
                  <w:vAlign w:val="center"/>
                </w:tcPr>
                <w:p w14:paraId="21C6C32F">
                  <w:pPr>
                    <w:keepNext w:val="0"/>
                    <w:keepLines w:val="0"/>
                    <w:widowControl/>
                    <w:suppressLineNumbers w:val="0"/>
                    <w:spacing w:before="0" w:beforeAutospacing="0" w:after="0" w:afterAutospacing="0"/>
                    <w:ind w:left="0" w:right="0"/>
                    <w:jc w:val="center"/>
                    <w:rPr>
                      <w:rFonts w:hint="eastAsia" w:eastAsia="等线"/>
                      <w:b/>
                      <w:bCs/>
                      <w:color w:val="auto"/>
                      <w:kern w:val="0"/>
                      <w:sz w:val="21"/>
                      <w:szCs w:val="21"/>
                      <w:highlight w:val="none"/>
                    </w:rPr>
                  </w:pPr>
                  <w:r>
                    <w:rPr>
                      <w:rFonts w:hint="default" w:eastAsia="等线"/>
                      <w:b/>
                      <w:bCs/>
                      <w:color w:val="auto"/>
                      <w:kern w:val="0"/>
                      <w:sz w:val="21"/>
                      <w:szCs w:val="21"/>
                      <w:highlight w:val="none"/>
                    </w:rPr>
                    <w:t>m</w:t>
                  </w:r>
                  <w:r>
                    <w:rPr>
                      <w:rFonts w:hint="default" w:eastAsia="等线"/>
                      <w:b/>
                      <w:bCs/>
                      <w:color w:val="auto"/>
                      <w:kern w:val="0"/>
                      <w:sz w:val="21"/>
                      <w:szCs w:val="21"/>
                      <w:highlight w:val="none"/>
                      <w:vertAlign w:val="superscript"/>
                    </w:rPr>
                    <w:t>3</w:t>
                  </w:r>
                  <w:r>
                    <w:rPr>
                      <w:rFonts w:hint="default" w:eastAsia="等线"/>
                      <w:b/>
                      <w:bCs/>
                      <w:color w:val="auto"/>
                      <w:kern w:val="0"/>
                      <w:sz w:val="21"/>
                      <w:szCs w:val="21"/>
                      <w:highlight w:val="none"/>
                    </w:rPr>
                    <w:t>/d</w:t>
                  </w:r>
                </w:p>
              </w:tc>
              <w:tc>
                <w:tcPr>
                  <w:tcW w:w="642" w:type="pct"/>
                  <w:vMerge w:val="restart"/>
                  <w:tcBorders>
                    <w:tl2br w:val="nil"/>
                    <w:tr2bl w:val="nil"/>
                  </w:tcBorders>
                  <w:noWrap w:val="0"/>
                  <w:vAlign w:val="center"/>
                </w:tcPr>
                <w:p w14:paraId="3BE6ABBC">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污染物</w:t>
                  </w:r>
                </w:p>
              </w:tc>
              <w:tc>
                <w:tcPr>
                  <w:tcW w:w="642" w:type="pct"/>
                  <w:tcBorders>
                    <w:tl2br w:val="nil"/>
                    <w:tr2bl w:val="nil"/>
                  </w:tcBorders>
                  <w:noWrap w:val="0"/>
                  <w:vAlign w:val="center"/>
                </w:tcPr>
                <w:p w14:paraId="0BC71B41">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排放量</w:t>
                  </w:r>
                </w:p>
              </w:tc>
              <w:tc>
                <w:tcPr>
                  <w:tcW w:w="896" w:type="pct"/>
                  <w:tcBorders>
                    <w:tl2br w:val="nil"/>
                    <w:tr2bl w:val="nil"/>
                  </w:tcBorders>
                  <w:noWrap w:val="0"/>
                  <w:vAlign w:val="center"/>
                </w:tcPr>
                <w:p w14:paraId="525CD439">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产生浓度</w:t>
                  </w:r>
                </w:p>
              </w:tc>
              <w:tc>
                <w:tcPr>
                  <w:tcW w:w="896" w:type="pct"/>
                  <w:tcBorders>
                    <w:tl2br w:val="nil"/>
                    <w:tr2bl w:val="nil"/>
                  </w:tcBorders>
                  <w:noWrap w:val="0"/>
                  <w:vAlign w:val="center"/>
                </w:tcPr>
                <w:p w14:paraId="57D32FEA">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排放量</w:t>
                  </w:r>
                </w:p>
              </w:tc>
              <w:tc>
                <w:tcPr>
                  <w:tcW w:w="639" w:type="pct"/>
                  <w:tcBorders>
                    <w:tl2br w:val="nil"/>
                    <w:tr2bl w:val="nil"/>
                  </w:tcBorders>
                  <w:noWrap w:val="0"/>
                  <w:vAlign w:val="center"/>
                </w:tcPr>
                <w:p w14:paraId="53890805">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排放浓度</w:t>
                  </w:r>
                </w:p>
              </w:tc>
            </w:tr>
            <w:tr w14:paraId="58C9B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tcBorders>
                    <w:tl2br w:val="nil"/>
                    <w:tr2bl w:val="nil"/>
                  </w:tcBorders>
                  <w:noWrap w:val="0"/>
                  <w:vAlign w:val="center"/>
                </w:tcPr>
                <w:p w14:paraId="1ED03E1C">
                  <w:pPr>
                    <w:keepNext w:val="0"/>
                    <w:keepLines w:val="0"/>
                    <w:widowControl/>
                    <w:suppressLineNumbers w:val="0"/>
                    <w:spacing w:before="0" w:beforeAutospacing="0" w:after="0" w:afterAutospacing="0"/>
                    <w:ind w:left="0" w:right="0"/>
                    <w:jc w:val="center"/>
                    <w:rPr>
                      <w:rFonts w:hint="default" w:ascii="宋体" w:hAnsi="宋体" w:cs="宋体"/>
                      <w:b/>
                      <w:bCs/>
                      <w:color w:val="auto"/>
                      <w:kern w:val="0"/>
                      <w:sz w:val="21"/>
                      <w:szCs w:val="21"/>
                      <w:highlight w:val="none"/>
                    </w:rPr>
                  </w:pPr>
                </w:p>
              </w:tc>
              <w:tc>
                <w:tcPr>
                  <w:tcW w:w="641" w:type="pct"/>
                  <w:vMerge w:val="continue"/>
                  <w:tcBorders>
                    <w:tl2br w:val="nil"/>
                    <w:tr2bl w:val="nil"/>
                  </w:tcBorders>
                  <w:noWrap w:val="0"/>
                  <w:vAlign w:val="center"/>
                </w:tcPr>
                <w:p w14:paraId="7A4D7D97">
                  <w:pPr>
                    <w:keepNext w:val="0"/>
                    <w:keepLines w:val="0"/>
                    <w:widowControl/>
                    <w:suppressLineNumbers w:val="0"/>
                    <w:spacing w:before="0" w:beforeAutospacing="0" w:after="0" w:afterAutospacing="0"/>
                    <w:ind w:left="0" w:right="0"/>
                    <w:jc w:val="center"/>
                    <w:rPr>
                      <w:rFonts w:hint="eastAsia" w:ascii="等线" w:hAnsi="等线" w:eastAsia="等线" w:cs="宋体"/>
                      <w:color w:val="auto"/>
                      <w:kern w:val="0"/>
                      <w:sz w:val="21"/>
                      <w:szCs w:val="21"/>
                      <w:highlight w:val="none"/>
                    </w:rPr>
                  </w:pPr>
                </w:p>
              </w:tc>
              <w:tc>
                <w:tcPr>
                  <w:tcW w:w="642" w:type="pct"/>
                  <w:vMerge w:val="continue"/>
                  <w:tcBorders>
                    <w:tl2br w:val="nil"/>
                    <w:tr2bl w:val="nil"/>
                  </w:tcBorders>
                  <w:noWrap w:val="0"/>
                  <w:vAlign w:val="center"/>
                </w:tcPr>
                <w:p w14:paraId="1639C0EB">
                  <w:pPr>
                    <w:keepNext w:val="0"/>
                    <w:keepLines w:val="0"/>
                    <w:widowControl/>
                    <w:suppressLineNumbers w:val="0"/>
                    <w:spacing w:before="0" w:beforeAutospacing="0" w:after="0" w:afterAutospacing="0"/>
                    <w:ind w:left="0" w:right="0"/>
                    <w:jc w:val="center"/>
                    <w:rPr>
                      <w:rFonts w:hint="eastAsia" w:ascii="等线" w:hAnsi="等线" w:eastAsia="等线" w:cs="宋体"/>
                      <w:color w:val="auto"/>
                      <w:kern w:val="0"/>
                      <w:sz w:val="21"/>
                      <w:szCs w:val="21"/>
                      <w:highlight w:val="none"/>
                    </w:rPr>
                  </w:pPr>
                </w:p>
              </w:tc>
              <w:tc>
                <w:tcPr>
                  <w:tcW w:w="642" w:type="pct"/>
                  <w:tcBorders>
                    <w:tl2br w:val="nil"/>
                    <w:tr2bl w:val="nil"/>
                  </w:tcBorders>
                  <w:noWrap w:val="0"/>
                  <w:vAlign w:val="center"/>
                </w:tcPr>
                <w:p w14:paraId="0BB0DE42">
                  <w:pPr>
                    <w:keepNext w:val="0"/>
                    <w:keepLines w:val="0"/>
                    <w:widowControl/>
                    <w:suppressLineNumbers w:val="0"/>
                    <w:spacing w:before="0" w:beforeAutospacing="0" w:after="0" w:afterAutospacing="0"/>
                    <w:ind w:left="0" w:right="0"/>
                    <w:jc w:val="center"/>
                    <w:rPr>
                      <w:rFonts w:hint="eastAsia" w:eastAsia="等线"/>
                      <w:b/>
                      <w:bCs/>
                      <w:color w:val="auto"/>
                      <w:kern w:val="0"/>
                      <w:sz w:val="21"/>
                      <w:szCs w:val="21"/>
                      <w:highlight w:val="none"/>
                    </w:rPr>
                  </w:pPr>
                  <w:r>
                    <w:rPr>
                      <w:rFonts w:hint="default" w:eastAsia="等线"/>
                      <w:b/>
                      <w:bCs/>
                      <w:color w:val="auto"/>
                      <w:kern w:val="0"/>
                      <w:sz w:val="21"/>
                      <w:szCs w:val="21"/>
                      <w:highlight w:val="none"/>
                    </w:rPr>
                    <w:t>kg/d</w:t>
                  </w:r>
                </w:p>
              </w:tc>
              <w:tc>
                <w:tcPr>
                  <w:tcW w:w="896" w:type="pct"/>
                  <w:tcBorders>
                    <w:tl2br w:val="nil"/>
                    <w:tr2bl w:val="nil"/>
                  </w:tcBorders>
                  <w:noWrap w:val="0"/>
                  <w:vAlign w:val="center"/>
                </w:tcPr>
                <w:p w14:paraId="735D0B72">
                  <w:pPr>
                    <w:keepNext w:val="0"/>
                    <w:keepLines w:val="0"/>
                    <w:widowControl/>
                    <w:suppressLineNumbers w:val="0"/>
                    <w:spacing w:before="0" w:beforeAutospacing="0" w:after="0" w:afterAutospacing="0"/>
                    <w:ind w:left="0" w:right="0"/>
                    <w:jc w:val="center"/>
                    <w:rPr>
                      <w:rFonts w:hint="default" w:eastAsia="等线"/>
                      <w:b/>
                      <w:bCs/>
                      <w:color w:val="auto"/>
                      <w:kern w:val="0"/>
                      <w:sz w:val="21"/>
                      <w:szCs w:val="21"/>
                      <w:highlight w:val="none"/>
                    </w:rPr>
                  </w:pPr>
                  <w:r>
                    <w:rPr>
                      <w:rFonts w:hint="default" w:eastAsia="等线"/>
                      <w:b/>
                      <w:bCs/>
                      <w:color w:val="auto"/>
                      <w:kern w:val="0"/>
                      <w:sz w:val="21"/>
                      <w:szCs w:val="21"/>
                      <w:highlight w:val="none"/>
                    </w:rPr>
                    <w:t>mg/L</w:t>
                  </w:r>
                </w:p>
              </w:tc>
              <w:tc>
                <w:tcPr>
                  <w:tcW w:w="896" w:type="pct"/>
                  <w:tcBorders>
                    <w:tl2br w:val="nil"/>
                    <w:tr2bl w:val="nil"/>
                  </w:tcBorders>
                  <w:noWrap w:val="0"/>
                  <w:vAlign w:val="center"/>
                </w:tcPr>
                <w:p w14:paraId="11B5BFD8">
                  <w:pPr>
                    <w:keepNext w:val="0"/>
                    <w:keepLines w:val="0"/>
                    <w:widowControl/>
                    <w:suppressLineNumbers w:val="0"/>
                    <w:spacing w:before="0" w:beforeAutospacing="0" w:after="0" w:afterAutospacing="0"/>
                    <w:ind w:left="0" w:right="0"/>
                    <w:jc w:val="center"/>
                    <w:rPr>
                      <w:rFonts w:hint="default" w:eastAsia="等线"/>
                      <w:b/>
                      <w:bCs/>
                      <w:color w:val="auto"/>
                      <w:kern w:val="0"/>
                      <w:sz w:val="21"/>
                      <w:szCs w:val="21"/>
                      <w:highlight w:val="none"/>
                    </w:rPr>
                  </w:pPr>
                  <w:r>
                    <w:rPr>
                      <w:rFonts w:hint="default" w:eastAsia="等线"/>
                      <w:b/>
                      <w:bCs/>
                      <w:color w:val="auto"/>
                      <w:kern w:val="0"/>
                      <w:sz w:val="21"/>
                      <w:szCs w:val="21"/>
                      <w:highlight w:val="none"/>
                    </w:rPr>
                    <w:t>kg/d</w:t>
                  </w:r>
                </w:p>
              </w:tc>
              <w:tc>
                <w:tcPr>
                  <w:tcW w:w="639" w:type="pct"/>
                  <w:tcBorders>
                    <w:tl2br w:val="nil"/>
                    <w:tr2bl w:val="nil"/>
                  </w:tcBorders>
                  <w:noWrap w:val="0"/>
                  <w:vAlign w:val="center"/>
                </w:tcPr>
                <w:p w14:paraId="59B2D444">
                  <w:pPr>
                    <w:keepNext w:val="0"/>
                    <w:keepLines w:val="0"/>
                    <w:widowControl/>
                    <w:suppressLineNumbers w:val="0"/>
                    <w:spacing w:before="0" w:beforeAutospacing="0" w:after="0" w:afterAutospacing="0"/>
                    <w:ind w:left="0" w:right="0"/>
                    <w:jc w:val="center"/>
                    <w:rPr>
                      <w:rFonts w:hint="default" w:eastAsia="等线"/>
                      <w:b/>
                      <w:bCs/>
                      <w:color w:val="auto"/>
                      <w:kern w:val="0"/>
                      <w:sz w:val="21"/>
                      <w:szCs w:val="21"/>
                      <w:highlight w:val="none"/>
                    </w:rPr>
                  </w:pPr>
                  <w:r>
                    <w:rPr>
                      <w:rFonts w:hint="default" w:eastAsia="等线"/>
                      <w:b/>
                      <w:bCs/>
                      <w:color w:val="auto"/>
                      <w:kern w:val="0"/>
                      <w:sz w:val="21"/>
                      <w:szCs w:val="21"/>
                      <w:highlight w:val="none"/>
                    </w:rPr>
                    <w:t>mg/L</w:t>
                  </w:r>
                </w:p>
              </w:tc>
            </w:tr>
            <w:tr w14:paraId="60D2F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restart"/>
                  <w:tcBorders>
                    <w:tl2br w:val="nil"/>
                    <w:tr2bl w:val="nil"/>
                  </w:tcBorders>
                  <w:noWrap w:val="0"/>
                  <w:vAlign w:val="center"/>
                </w:tcPr>
                <w:p w14:paraId="477A4AB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洗车废水</w:t>
                  </w:r>
                </w:p>
              </w:tc>
              <w:tc>
                <w:tcPr>
                  <w:tcW w:w="641" w:type="pct"/>
                  <w:vMerge w:val="restart"/>
                  <w:tcBorders>
                    <w:tl2br w:val="nil"/>
                    <w:tr2bl w:val="nil"/>
                  </w:tcBorders>
                  <w:noWrap w:val="0"/>
                  <w:vAlign w:val="center"/>
                </w:tcPr>
                <w:p w14:paraId="1EB54EF5">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lang w:val="en-US" w:eastAsia="zh-CN"/>
                    </w:rPr>
                  </w:pPr>
                  <w:r>
                    <w:rPr>
                      <w:rFonts w:hint="eastAsia" w:eastAsia="等线"/>
                      <w:color w:val="auto"/>
                      <w:kern w:val="0"/>
                      <w:sz w:val="21"/>
                      <w:szCs w:val="21"/>
                      <w:highlight w:val="none"/>
                      <w:lang w:val="en-US" w:eastAsia="zh-CN"/>
                    </w:rPr>
                    <w:t>2.16</w:t>
                  </w:r>
                </w:p>
              </w:tc>
              <w:tc>
                <w:tcPr>
                  <w:tcW w:w="642" w:type="pct"/>
                  <w:tcBorders>
                    <w:tl2br w:val="nil"/>
                    <w:tr2bl w:val="nil"/>
                  </w:tcBorders>
                  <w:noWrap w:val="0"/>
                  <w:vAlign w:val="center"/>
                </w:tcPr>
                <w:p w14:paraId="2193A57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pH*</w:t>
                  </w:r>
                </w:p>
              </w:tc>
              <w:tc>
                <w:tcPr>
                  <w:tcW w:w="1538" w:type="pct"/>
                  <w:gridSpan w:val="2"/>
                  <w:tcBorders>
                    <w:tl2br w:val="nil"/>
                    <w:tr2bl w:val="nil"/>
                  </w:tcBorders>
                  <w:noWrap w:val="0"/>
                  <w:vAlign w:val="center"/>
                </w:tcPr>
                <w:p w14:paraId="05A55DB4">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eastAsia" w:eastAsia="等线"/>
                      <w:color w:val="auto"/>
                      <w:kern w:val="0"/>
                      <w:sz w:val="21"/>
                      <w:szCs w:val="21"/>
                      <w:highlight w:val="none"/>
                    </w:rPr>
                    <w:t>6~9</w:t>
                  </w:r>
                </w:p>
              </w:tc>
              <w:tc>
                <w:tcPr>
                  <w:tcW w:w="1536" w:type="pct"/>
                  <w:gridSpan w:val="2"/>
                  <w:vMerge w:val="restart"/>
                  <w:tcBorders>
                    <w:tl2br w:val="nil"/>
                    <w:tr2bl w:val="nil"/>
                  </w:tcBorders>
                  <w:noWrap w:val="0"/>
                  <w:vAlign w:val="center"/>
                </w:tcPr>
                <w:p w14:paraId="0AED07BF">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回用于洗车用水，不外排</w:t>
                  </w:r>
                </w:p>
              </w:tc>
            </w:tr>
            <w:tr w14:paraId="4DC66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tcBorders>
                    <w:tl2br w:val="nil"/>
                    <w:tr2bl w:val="nil"/>
                  </w:tcBorders>
                  <w:noWrap w:val="0"/>
                  <w:vAlign w:val="center"/>
                </w:tcPr>
                <w:p w14:paraId="3A422C4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p>
              </w:tc>
              <w:tc>
                <w:tcPr>
                  <w:tcW w:w="641" w:type="pct"/>
                  <w:vMerge w:val="continue"/>
                  <w:tcBorders>
                    <w:tl2br w:val="nil"/>
                    <w:tr2bl w:val="nil"/>
                  </w:tcBorders>
                  <w:noWrap w:val="0"/>
                  <w:vAlign w:val="center"/>
                </w:tcPr>
                <w:p w14:paraId="698B0C96">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p>
              </w:tc>
              <w:tc>
                <w:tcPr>
                  <w:tcW w:w="642" w:type="pct"/>
                  <w:tcBorders>
                    <w:tl2br w:val="nil"/>
                    <w:tr2bl w:val="nil"/>
                  </w:tcBorders>
                  <w:noWrap w:val="0"/>
                  <w:vAlign w:val="center"/>
                </w:tcPr>
                <w:p w14:paraId="7831E1A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SS</w:t>
                  </w:r>
                </w:p>
              </w:tc>
              <w:tc>
                <w:tcPr>
                  <w:tcW w:w="642" w:type="pct"/>
                  <w:tcBorders>
                    <w:tl2br w:val="nil"/>
                    <w:tr2bl w:val="nil"/>
                  </w:tcBorders>
                  <w:noWrap w:val="0"/>
                  <w:vAlign w:val="center"/>
                </w:tcPr>
                <w:p w14:paraId="785D3A38">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rPr>
                    <w:t>0.</w:t>
                  </w:r>
                  <w:r>
                    <w:rPr>
                      <w:rFonts w:hint="eastAsia" w:eastAsia="等线"/>
                      <w:color w:val="auto"/>
                      <w:sz w:val="21"/>
                      <w:szCs w:val="21"/>
                      <w:highlight w:val="none"/>
                      <w:lang w:val="en-US" w:eastAsia="zh-CN"/>
                    </w:rPr>
                    <w:t>648</w:t>
                  </w:r>
                </w:p>
              </w:tc>
              <w:tc>
                <w:tcPr>
                  <w:tcW w:w="896" w:type="pct"/>
                  <w:tcBorders>
                    <w:tl2br w:val="nil"/>
                    <w:tr2bl w:val="nil"/>
                  </w:tcBorders>
                  <w:noWrap w:val="0"/>
                  <w:vAlign w:val="center"/>
                </w:tcPr>
                <w:p w14:paraId="1E02CFC3">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300</w:t>
                  </w:r>
                </w:p>
              </w:tc>
              <w:tc>
                <w:tcPr>
                  <w:tcW w:w="1536" w:type="pct"/>
                  <w:gridSpan w:val="2"/>
                  <w:vMerge w:val="continue"/>
                  <w:tcBorders>
                    <w:tl2br w:val="nil"/>
                    <w:tr2bl w:val="nil"/>
                  </w:tcBorders>
                  <w:noWrap w:val="0"/>
                  <w:vAlign w:val="center"/>
                </w:tcPr>
                <w:p w14:paraId="7CB869E4">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p>
              </w:tc>
            </w:tr>
            <w:tr w14:paraId="45660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tcBorders>
                    <w:tl2br w:val="nil"/>
                    <w:tr2bl w:val="nil"/>
                  </w:tcBorders>
                  <w:noWrap w:val="0"/>
                  <w:vAlign w:val="center"/>
                </w:tcPr>
                <w:p w14:paraId="35B93333">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p>
              </w:tc>
              <w:tc>
                <w:tcPr>
                  <w:tcW w:w="641" w:type="pct"/>
                  <w:vMerge w:val="continue"/>
                  <w:tcBorders>
                    <w:tl2br w:val="nil"/>
                    <w:tr2bl w:val="nil"/>
                  </w:tcBorders>
                  <w:noWrap w:val="0"/>
                  <w:vAlign w:val="center"/>
                </w:tcPr>
                <w:p w14:paraId="02AC1F17">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p>
              </w:tc>
              <w:tc>
                <w:tcPr>
                  <w:tcW w:w="642" w:type="pct"/>
                  <w:tcBorders>
                    <w:tl2br w:val="nil"/>
                    <w:tr2bl w:val="nil"/>
                  </w:tcBorders>
                  <w:noWrap w:val="0"/>
                  <w:vAlign w:val="center"/>
                </w:tcPr>
                <w:p w14:paraId="58B4AC7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石油类</w:t>
                  </w:r>
                </w:p>
              </w:tc>
              <w:tc>
                <w:tcPr>
                  <w:tcW w:w="642" w:type="pct"/>
                  <w:tcBorders>
                    <w:tl2br w:val="nil"/>
                    <w:tr2bl w:val="nil"/>
                  </w:tcBorders>
                  <w:noWrap w:val="0"/>
                  <w:vAlign w:val="center"/>
                </w:tcPr>
                <w:p w14:paraId="75319C5B">
                  <w:pPr>
                    <w:keepNext w:val="0"/>
                    <w:keepLines w:val="0"/>
                    <w:widowControl/>
                    <w:suppressLineNumbers w:val="0"/>
                    <w:spacing w:before="0" w:beforeAutospacing="0" w:after="0" w:afterAutospacing="0"/>
                    <w:ind w:left="0" w:right="0"/>
                    <w:jc w:val="center"/>
                    <w:rPr>
                      <w:rFonts w:hint="default" w:eastAsia="等线"/>
                      <w:color w:val="auto"/>
                      <w:sz w:val="21"/>
                      <w:szCs w:val="21"/>
                      <w:highlight w:val="none"/>
                      <w:lang w:val="en-US" w:eastAsia="zh-CN"/>
                    </w:rPr>
                  </w:pPr>
                  <w:r>
                    <w:rPr>
                      <w:rFonts w:hint="eastAsia" w:eastAsia="等线"/>
                      <w:color w:val="auto"/>
                      <w:sz w:val="21"/>
                      <w:szCs w:val="21"/>
                      <w:highlight w:val="none"/>
                    </w:rPr>
                    <w:t>0.</w:t>
                  </w:r>
                  <w:r>
                    <w:rPr>
                      <w:rFonts w:hint="eastAsia" w:eastAsia="等线"/>
                      <w:color w:val="auto"/>
                      <w:sz w:val="21"/>
                      <w:szCs w:val="21"/>
                      <w:highlight w:val="none"/>
                      <w:lang w:val="en-US" w:eastAsia="zh-CN"/>
                    </w:rPr>
                    <w:t>108</w:t>
                  </w:r>
                </w:p>
              </w:tc>
              <w:tc>
                <w:tcPr>
                  <w:tcW w:w="896" w:type="pct"/>
                  <w:tcBorders>
                    <w:tl2br w:val="nil"/>
                    <w:tr2bl w:val="nil"/>
                  </w:tcBorders>
                  <w:noWrap w:val="0"/>
                  <w:vAlign w:val="center"/>
                </w:tcPr>
                <w:p w14:paraId="04D3CFF0">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50</w:t>
                  </w:r>
                </w:p>
              </w:tc>
              <w:tc>
                <w:tcPr>
                  <w:tcW w:w="1536" w:type="pct"/>
                  <w:gridSpan w:val="2"/>
                  <w:vMerge w:val="continue"/>
                  <w:tcBorders>
                    <w:tl2br w:val="nil"/>
                    <w:tr2bl w:val="nil"/>
                  </w:tcBorders>
                  <w:noWrap w:val="0"/>
                  <w:vAlign w:val="center"/>
                </w:tcPr>
                <w:p w14:paraId="6A132709">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p>
              </w:tc>
            </w:tr>
            <w:tr w14:paraId="4D3BB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restart"/>
                  <w:tcBorders>
                    <w:tl2br w:val="nil"/>
                    <w:tr2bl w:val="nil"/>
                  </w:tcBorders>
                  <w:noWrap w:val="0"/>
                  <w:vAlign w:val="center"/>
                </w:tcPr>
                <w:p w14:paraId="4BA18039">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地面冲洗废水</w:t>
                  </w:r>
                </w:p>
              </w:tc>
              <w:tc>
                <w:tcPr>
                  <w:tcW w:w="641" w:type="pct"/>
                  <w:vMerge w:val="restart"/>
                  <w:tcBorders>
                    <w:tl2br w:val="nil"/>
                    <w:tr2bl w:val="nil"/>
                  </w:tcBorders>
                  <w:noWrap w:val="0"/>
                  <w:vAlign w:val="center"/>
                </w:tcPr>
                <w:p w14:paraId="0880046F">
                  <w:pPr>
                    <w:keepNext w:val="0"/>
                    <w:keepLines w:val="0"/>
                    <w:widowControl/>
                    <w:suppressLineNumbers w:val="0"/>
                    <w:spacing w:before="0" w:beforeAutospacing="0" w:after="0" w:afterAutospacing="0"/>
                    <w:ind w:left="0" w:right="0"/>
                    <w:jc w:val="center"/>
                    <w:rPr>
                      <w:rFonts w:hint="eastAsia" w:eastAsia="等线"/>
                      <w:color w:val="auto"/>
                      <w:kern w:val="0"/>
                      <w:sz w:val="21"/>
                      <w:szCs w:val="21"/>
                      <w:highlight w:val="none"/>
                      <w:lang w:eastAsia="zh-CN"/>
                    </w:rPr>
                  </w:pPr>
                  <w:r>
                    <w:rPr>
                      <w:rFonts w:hint="eastAsia" w:eastAsia="等线"/>
                      <w:color w:val="auto"/>
                      <w:kern w:val="0"/>
                      <w:sz w:val="21"/>
                      <w:szCs w:val="21"/>
                      <w:highlight w:val="none"/>
                    </w:rPr>
                    <w:t>0.0</w:t>
                  </w:r>
                  <w:r>
                    <w:rPr>
                      <w:rFonts w:hint="eastAsia" w:eastAsia="等线"/>
                      <w:color w:val="auto"/>
                      <w:kern w:val="0"/>
                      <w:sz w:val="21"/>
                      <w:szCs w:val="21"/>
                      <w:highlight w:val="none"/>
                      <w:lang w:val="en-US" w:eastAsia="zh-CN"/>
                    </w:rPr>
                    <w:t>7</w:t>
                  </w:r>
                </w:p>
              </w:tc>
              <w:tc>
                <w:tcPr>
                  <w:tcW w:w="642" w:type="pct"/>
                  <w:tcBorders>
                    <w:tl2br w:val="nil"/>
                    <w:tr2bl w:val="nil"/>
                  </w:tcBorders>
                  <w:noWrap w:val="0"/>
                  <w:vAlign w:val="center"/>
                </w:tcPr>
                <w:p w14:paraId="72A5EB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pH*</w:t>
                  </w:r>
                </w:p>
              </w:tc>
              <w:tc>
                <w:tcPr>
                  <w:tcW w:w="1538" w:type="pct"/>
                  <w:gridSpan w:val="2"/>
                  <w:tcBorders>
                    <w:tl2br w:val="nil"/>
                    <w:tr2bl w:val="nil"/>
                  </w:tcBorders>
                  <w:noWrap w:val="0"/>
                  <w:vAlign w:val="center"/>
                </w:tcPr>
                <w:p w14:paraId="7FBA1726">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eastAsia" w:eastAsia="等线"/>
                      <w:color w:val="auto"/>
                      <w:kern w:val="0"/>
                      <w:sz w:val="21"/>
                      <w:szCs w:val="21"/>
                      <w:highlight w:val="none"/>
                    </w:rPr>
                    <w:t>6~9</w:t>
                  </w:r>
                </w:p>
              </w:tc>
              <w:tc>
                <w:tcPr>
                  <w:tcW w:w="1536" w:type="pct"/>
                  <w:gridSpan w:val="2"/>
                  <w:tcBorders>
                    <w:tl2br w:val="nil"/>
                    <w:tr2bl w:val="nil"/>
                  </w:tcBorders>
                  <w:noWrap w:val="0"/>
                  <w:vAlign w:val="center"/>
                </w:tcPr>
                <w:p w14:paraId="42A07C24">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eastAsia" w:eastAsia="等线"/>
                      <w:color w:val="auto"/>
                      <w:kern w:val="0"/>
                      <w:sz w:val="21"/>
                      <w:szCs w:val="21"/>
                      <w:highlight w:val="none"/>
                    </w:rPr>
                    <w:t>6~9</w:t>
                  </w:r>
                </w:p>
              </w:tc>
            </w:tr>
            <w:tr w14:paraId="6FB046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tcBorders>
                    <w:tl2br w:val="nil"/>
                    <w:tr2bl w:val="nil"/>
                  </w:tcBorders>
                  <w:noWrap w:val="0"/>
                  <w:vAlign w:val="center"/>
                </w:tcPr>
                <w:p w14:paraId="660242E2">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p>
              </w:tc>
              <w:tc>
                <w:tcPr>
                  <w:tcW w:w="641" w:type="pct"/>
                  <w:vMerge w:val="continue"/>
                  <w:tcBorders>
                    <w:tl2br w:val="nil"/>
                    <w:tr2bl w:val="nil"/>
                  </w:tcBorders>
                  <w:noWrap w:val="0"/>
                  <w:vAlign w:val="center"/>
                </w:tcPr>
                <w:p w14:paraId="125780E8">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p>
              </w:tc>
              <w:tc>
                <w:tcPr>
                  <w:tcW w:w="642" w:type="pct"/>
                  <w:tcBorders>
                    <w:tl2br w:val="nil"/>
                    <w:tr2bl w:val="nil"/>
                  </w:tcBorders>
                  <w:noWrap w:val="0"/>
                  <w:vAlign w:val="center"/>
                </w:tcPr>
                <w:p w14:paraId="5AFA2A3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SS</w:t>
                  </w:r>
                </w:p>
              </w:tc>
              <w:tc>
                <w:tcPr>
                  <w:tcW w:w="642" w:type="pct"/>
                  <w:tcBorders>
                    <w:tl2br w:val="nil"/>
                    <w:tr2bl w:val="nil"/>
                  </w:tcBorders>
                  <w:noWrap w:val="0"/>
                  <w:vAlign w:val="center"/>
                </w:tcPr>
                <w:p w14:paraId="213DA47C">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lang w:val="en-US" w:eastAsia="zh-CN"/>
                    </w:rPr>
                  </w:pPr>
                  <w:r>
                    <w:rPr>
                      <w:rFonts w:hint="default" w:eastAsia="等线"/>
                      <w:color w:val="auto"/>
                      <w:sz w:val="21"/>
                      <w:szCs w:val="21"/>
                      <w:highlight w:val="none"/>
                    </w:rPr>
                    <w:t>0.0</w:t>
                  </w:r>
                  <w:r>
                    <w:rPr>
                      <w:rFonts w:hint="eastAsia" w:eastAsia="等线"/>
                      <w:color w:val="auto"/>
                      <w:sz w:val="21"/>
                      <w:szCs w:val="21"/>
                      <w:highlight w:val="none"/>
                      <w:lang w:val="en-US" w:eastAsia="zh-CN"/>
                    </w:rPr>
                    <w:t>21</w:t>
                  </w:r>
                </w:p>
              </w:tc>
              <w:tc>
                <w:tcPr>
                  <w:tcW w:w="896" w:type="pct"/>
                  <w:tcBorders>
                    <w:tl2br w:val="nil"/>
                    <w:tr2bl w:val="nil"/>
                  </w:tcBorders>
                  <w:noWrap w:val="0"/>
                  <w:vAlign w:val="center"/>
                </w:tcPr>
                <w:p w14:paraId="5E291D90">
                  <w:pPr>
                    <w:keepNext w:val="0"/>
                    <w:keepLines w:val="0"/>
                    <w:widowControl/>
                    <w:suppressLineNumbers w:val="0"/>
                    <w:spacing w:before="0" w:beforeAutospacing="0" w:after="0" w:afterAutospacing="0"/>
                    <w:ind w:left="0" w:right="0"/>
                    <w:jc w:val="center"/>
                    <w:rPr>
                      <w:rFonts w:hint="eastAsia" w:eastAsia="等线"/>
                      <w:color w:val="auto"/>
                      <w:kern w:val="0"/>
                      <w:sz w:val="21"/>
                      <w:szCs w:val="21"/>
                      <w:highlight w:val="none"/>
                    </w:rPr>
                  </w:pPr>
                  <w:r>
                    <w:rPr>
                      <w:rFonts w:hint="default" w:eastAsia="等线"/>
                      <w:color w:val="auto"/>
                      <w:sz w:val="21"/>
                      <w:szCs w:val="21"/>
                      <w:highlight w:val="none"/>
                    </w:rPr>
                    <w:t>300</w:t>
                  </w:r>
                </w:p>
              </w:tc>
              <w:tc>
                <w:tcPr>
                  <w:tcW w:w="896" w:type="pct"/>
                  <w:tcBorders>
                    <w:tl2br w:val="nil"/>
                    <w:tr2bl w:val="nil"/>
                  </w:tcBorders>
                  <w:noWrap w:val="0"/>
                  <w:vAlign w:val="center"/>
                </w:tcPr>
                <w:p w14:paraId="489358A9">
                  <w:pPr>
                    <w:keepNext w:val="0"/>
                    <w:keepLines w:val="0"/>
                    <w:widowControl/>
                    <w:suppressLineNumbers w:val="0"/>
                    <w:spacing w:before="0" w:beforeAutospacing="0" w:after="0" w:afterAutospacing="0"/>
                    <w:ind w:left="0" w:right="0"/>
                    <w:jc w:val="center"/>
                    <w:rPr>
                      <w:rFonts w:hint="eastAsia" w:eastAsia="等线"/>
                      <w:color w:val="auto"/>
                      <w:kern w:val="0"/>
                      <w:sz w:val="21"/>
                      <w:szCs w:val="21"/>
                      <w:highlight w:val="none"/>
                      <w:lang w:val="en-US" w:eastAsia="zh-CN"/>
                    </w:rPr>
                  </w:pPr>
                  <w:r>
                    <w:rPr>
                      <w:rFonts w:hint="default" w:eastAsia="等线"/>
                      <w:color w:val="auto"/>
                      <w:sz w:val="21"/>
                      <w:szCs w:val="21"/>
                      <w:highlight w:val="none"/>
                    </w:rPr>
                    <w:t>0.01</w:t>
                  </w:r>
                  <w:r>
                    <w:rPr>
                      <w:rFonts w:hint="eastAsia" w:eastAsia="等线"/>
                      <w:color w:val="auto"/>
                      <w:sz w:val="21"/>
                      <w:szCs w:val="21"/>
                      <w:highlight w:val="none"/>
                      <w:lang w:val="en-US" w:eastAsia="zh-CN"/>
                    </w:rPr>
                    <w:t>4</w:t>
                  </w:r>
                </w:p>
              </w:tc>
              <w:tc>
                <w:tcPr>
                  <w:tcW w:w="639" w:type="pct"/>
                  <w:tcBorders>
                    <w:tl2br w:val="nil"/>
                    <w:tr2bl w:val="nil"/>
                  </w:tcBorders>
                  <w:noWrap w:val="0"/>
                  <w:vAlign w:val="center"/>
                </w:tcPr>
                <w:p w14:paraId="4666CFC7">
                  <w:pPr>
                    <w:keepNext w:val="0"/>
                    <w:keepLines w:val="0"/>
                    <w:widowControl/>
                    <w:suppressLineNumbers w:val="0"/>
                    <w:spacing w:before="0" w:beforeAutospacing="0" w:after="0" w:afterAutospacing="0"/>
                    <w:ind w:left="0" w:right="0"/>
                    <w:jc w:val="center"/>
                    <w:rPr>
                      <w:rFonts w:hint="eastAsia" w:eastAsia="等线"/>
                      <w:color w:val="auto"/>
                      <w:kern w:val="0"/>
                      <w:sz w:val="21"/>
                      <w:szCs w:val="21"/>
                      <w:highlight w:val="none"/>
                    </w:rPr>
                  </w:pPr>
                  <w:r>
                    <w:rPr>
                      <w:rFonts w:hint="default" w:eastAsia="等线"/>
                      <w:color w:val="auto"/>
                      <w:sz w:val="21"/>
                      <w:szCs w:val="21"/>
                      <w:highlight w:val="none"/>
                    </w:rPr>
                    <w:t>200</w:t>
                  </w:r>
                </w:p>
              </w:tc>
            </w:tr>
            <w:tr w14:paraId="75B93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tcBorders>
                    <w:tl2br w:val="nil"/>
                    <w:tr2bl w:val="nil"/>
                  </w:tcBorders>
                  <w:noWrap w:val="0"/>
                  <w:vAlign w:val="center"/>
                </w:tcPr>
                <w:p w14:paraId="1EC69D0F">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p>
              </w:tc>
              <w:tc>
                <w:tcPr>
                  <w:tcW w:w="641" w:type="pct"/>
                  <w:vMerge w:val="continue"/>
                  <w:tcBorders>
                    <w:tl2br w:val="nil"/>
                    <w:tr2bl w:val="nil"/>
                  </w:tcBorders>
                  <w:noWrap w:val="0"/>
                  <w:vAlign w:val="center"/>
                </w:tcPr>
                <w:p w14:paraId="48B77AF5">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p>
              </w:tc>
              <w:tc>
                <w:tcPr>
                  <w:tcW w:w="642" w:type="pct"/>
                  <w:tcBorders>
                    <w:tl2br w:val="nil"/>
                    <w:tr2bl w:val="nil"/>
                  </w:tcBorders>
                  <w:noWrap w:val="0"/>
                  <w:vAlign w:val="center"/>
                </w:tcPr>
                <w:p w14:paraId="5862CE7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石油类</w:t>
                  </w:r>
                </w:p>
              </w:tc>
              <w:tc>
                <w:tcPr>
                  <w:tcW w:w="642" w:type="pct"/>
                  <w:tcBorders>
                    <w:tl2br w:val="nil"/>
                    <w:tr2bl w:val="nil"/>
                  </w:tcBorders>
                  <w:noWrap w:val="0"/>
                  <w:vAlign w:val="center"/>
                </w:tcPr>
                <w:p w14:paraId="15C75377">
                  <w:pPr>
                    <w:keepNext w:val="0"/>
                    <w:keepLines w:val="0"/>
                    <w:widowControl/>
                    <w:suppressLineNumbers w:val="0"/>
                    <w:spacing w:before="0" w:beforeAutospacing="0" w:after="0" w:afterAutospacing="0"/>
                    <w:ind w:left="0" w:right="0"/>
                    <w:jc w:val="center"/>
                    <w:rPr>
                      <w:rFonts w:hint="eastAsia" w:eastAsia="等线"/>
                      <w:color w:val="auto"/>
                      <w:kern w:val="0"/>
                      <w:sz w:val="21"/>
                      <w:szCs w:val="21"/>
                      <w:highlight w:val="none"/>
                      <w:lang w:eastAsia="zh-CN"/>
                    </w:rPr>
                  </w:pPr>
                  <w:r>
                    <w:rPr>
                      <w:rFonts w:hint="default" w:eastAsia="等线"/>
                      <w:color w:val="auto"/>
                      <w:sz w:val="21"/>
                      <w:szCs w:val="21"/>
                      <w:highlight w:val="none"/>
                    </w:rPr>
                    <w:t>0.00</w:t>
                  </w:r>
                  <w:r>
                    <w:rPr>
                      <w:rFonts w:hint="eastAsia" w:eastAsia="等线"/>
                      <w:color w:val="auto"/>
                      <w:sz w:val="21"/>
                      <w:szCs w:val="21"/>
                      <w:highlight w:val="none"/>
                      <w:lang w:val="en-US" w:eastAsia="zh-CN"/>
                    </w:rPr>
                    <w:t>4</w:t>
                  </w:r>
                </w:p>
              </w:tc>
              <w:tc>
                <w:tcPr>
                  <w:tcW w:w="896" w:type="pct"/>
                  <w:tcBorders>
                    <w:tl2br w:val="nil"/>
                    <w:tr2bl w:val="nil"/>
                  </w:tcBorders>
                  <w:noWrap w:val="0"/>
                  <w:vAlign w:val="center"/>
                </w:tcPr>
                <w:p w14:paraId="574BAAD1">
                  <w:pPr>
                    <w:keepNext w:val="0"/>
                    <w:keepLines w:val="0"/>
                    <w:widowControl/>
                    <w:suppressLineNumbers w:val="0"/>
                    <w:spacing w:before="0" w:beforeAutospacing="0" w:after="0" w:afterAutospacing="0"/>
                    <w:ind w:left="0" w:right="0"/>
                    <w:jc w:val="center"/>
                    <w:rPr>
                      <w:rFonts w:hint="eastAsia" w:eastAsia="等线"/>
                      <w:color w:val="auto"/>
                      <w:kern w:val="0"/>
                      <w:sz w:val="21"/>
                      <w:szCs w:val="21"/>
                      <w:highlight w:val="none"/>
                    </w:rPr>
                  </w:pPr>
                  <w:r>
                    <w:rPr>
                      <w:rFonts w:hint="default" w:eastAsia="等线"/>
                      <w:color w:val="auto"/>
                      <w:sz w:val="21"/>
                      <w:szCs w:val="21"/>
                      <w:highlight w:val="none"/>
                    </w:rPr>
                    <w:t>50</w:t>
                  </w:r>
                </w:p>
              </w:tc>
              <w:tc>
                <w:tcPr>
                  <w:tcW w:w="896" w:type="pct"/>
                  <w:tcBorders>
                    <w:tl2br w:val="nil"/>
                    <w:tr2bl w:val="nil"/>
                  </w:tcBorders>
                  <w:noWrap w:val="0"/>
                  <w:vAlign w:val="center"/>
                </w:tcPr>
                <w:p w14:paraId="5F3A6996">
                  <w:pPr>
                    <w:keepNext w:val="0"/>
                    <w:keepLines w:val="0"/>
                    <w:widowControl/>
                    <w:suppressLineNumbers w:val="0"/>
                    <w:spacing w:before="0" w:beforeAutospacing="0" w:after="0" w:afterAutospacing="0"/>
                    <w:ind w:left="0" w:right="0"/>
                    <w:jc w:val="center"/>
                    <w:rPr>
                      <w:rFonts w:hint="eastAsia" w:eastAsia="等线"/>
                      <w:color w:val="auto"/>
                      <w:kern w:val="0"/>
                      <w:sz w:val="21"/>
                      <w:szCs w:val="21"/>
                      <w:highlight w:val="none"/>
                    </w:rPr>
                  </w:pPr>
                  <w:r>
                    <w:rPr>
                      <w:rFonts w:hint="default" w:eastAsia="等线"/>
                      <w:color w:val="auto"/>
                      <w:sz w:val="21"/>
                      <w:szCs w:val="21"/>
                      <w:highlight w:val="none"/>
                    </w:rPr>
                    <w:t>0.001</w:t>
                  </w:r>
                </w:p>
              </w:tc>
              <w:tc>
                <w:tcPr>
                  <w:tcW w:w="639" w:type="pct"/>
                  <w:tcBorders>
                    <w:tl2br w:val="nil"/>
                    <w:tr2bl w:val="nil"/>
                  </w:tcBorders>
                  <w:noWrap w:val="0"/>
                  <w:vAlign w:val="center"/>
                </w:tcPr>
                <w:p w14:paraId="0EA82506">
                  <w:pPr>
                    <w:keepNext w:val="0"/>
                    <w:keepLines w:val="0"/>
                    <w:widowControl/>
                    <w:suppressLineNumbers w:val="0"/>
                    <w:spacing w:before="0" w:beforeAutospacing="0" w:after="0" w:afterAutospacing="0"/>
                    <w:ind w:left="0" w:right="0"/>
                    <w:jc w:val="center"/>
                    <w:rPr>
                      <w:rFonts w:hint="eastAsia" w:eastAsia="等线"/>
                      <w:color w:val="auto"/>
                      <w:kern w:val="0"/>
                      <w:sz w:val="21"/>
                      <w:szCs w:val="21"/>
                      <w:highlight w:val="none"/>
                    </w:rPr>
                  </w:pPr>
                  <w:r>
                    <w:rPr>
                      <w:rFonts w:hint="default" w:eastAsia="等线"/>
                      <w:color w:val="auto"/>
                      <w:sz w:val="21"/>
                      <w:szCs w:val="21"/>
                      <w:highlight w:val="none"/>
                    </w:rPr>
                    <w:t>20</w:t>
                  </w:r>
                </w:p>
              </w:tc>
            </w:tr>
            <w:tr w14:paraId="239DD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restart"/>
                  <w:tcBorders>
                    <w:tl2br w:val="nil"/>
                    <w:tr2bl w:val="nil"/>
                  </w:tcBorders>
                  <w:noWrap w:val="0"/>
                  <w:vAlign w:val="center"/>
                </w:tcPr>
                <w:p w14:paraId="7E1523F6">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生活污水</w:t>
                  </w:r>
                </w:p>
              </w:tc>
              <w:tc>
                <w:tcPr>
                  <w:tcW w:w="641" w:type="pct"/>
                  <w:vMerge w:val="restart"/>
                  <w:tcBorders>
                    <w:tl2br w:val="nil"/>
                    <w:tr2bl w:val="nil"/>
                  </w:tcBorders>
                  <w:noWrap w:val="0"/>
                  <w:vAlign w:val="center"/>
                </w:tcPr>
                <w:p w14:paraId="3369CA9A">
                  <w:pPr>
                    <w:keepNext w:val="0"/>
                    <w:keepLines w:val="0"/>
                    <w:widowControl/>
                    <w:suppressLineNumbers w:val="0"/>
                    <w:spacing w:before="0" w:beforeAutospacing="0" w:after="0" w:afterAutospacing="0"/>
                    <w:ind w:left="0" w:right="0"/>
                    <w:jc w:val="center"/>
                    <w:rPr>
                      <w:rFonts w:hint="eastAsia" w:eastAsia="等线"/>
                      <w:color w:val="auto"/>
                      <w:kern w:val="0"/>
                      <w:sz w:val="21"/>
                      <w:szCs w:val="21"/>
                      <w:highlight w:val="none"/>
                    </w:rPr>
                  </w:pPr>
                  <w:r>
                    <w:rPr>
                      <w:rFonts w:hint="eastAsia" w:eastAsia="等线"/>
                      <w:color w:val="auto"/>
                      <w:kern w:val="0"/>
                      <w:sz w:val="21"/>
                      <w:szCs w:val="21"/>
                      <w:highlight w:val="none"/>
                    </w:rPr>
                    <w:t>1.22</w:t>
                  </w:r>
                </w:p>
              </w:tc>
              <w:tc>
                <w:tcPr>
                  <w:tcW w:w="642" w:type="pct"/>
                  <w:tcBorders>
                    <w:tl2br w:val="nil"/>
                    <w:tr2bl w:val="nil"/>
                  </w:tcBorders>
                  <w:noWrap w:val="0"/>
                  <w:vAlign w:val="center"/>
                </w:tcPr>
                <w:p w14:paraId="6EEA4B7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pH*</w:t>
                  </w:r>
                </w:p>
              </w:tc>
              <w:tc>
                <w:tcPr>
                  <w:tcW w:w="1538" w:type="pct"/>
                  <w:gridSpan w:val="2"/>
                  <w:tcBorders>
                    <w:tl2br w:val="nil"/>
                    <w:tr2bl w:val="nil"/>
                  </w:tcBorders>
                  <w:noWrap w:val="0"/>
                  <w:vAlign w:val="center"/>
                </w:tcPr>
                <w:p w14:paraId="35E5F859">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eastAsia" w:eastAsia="等线"/>
                      <w:color w:val="auto"/>
                      <w:kern w:val="0"/>
                      <w:sz w:val="21"/>
                      <w:szCs w:val="21"/>
                      <w:highlight w:val="none"/>
                    </w:rPr>
                    <w:t>6~9</w:t>
                  </w:r>
                </w:p>
              </w:tc>
              <w:tc>
                <w:tcPr>
                  <w:tcW w:w="1536" w:type="pct"/>
                  <w:gridSpan w:val="2"/>
                  <w:tcBorders>
                    <w:tl2br w:val="nil"/>
                    <w:tr2bl w:val="nil"/>
                  </w:tcBorders>
                  <w:noWrap w:val="0"/>
                  <w:vAlign w:val="center"/>
                </w:tcPr>
                <w:p w14:paraId="4A3A794A">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kern w:val="0"/>
                      <w:sz w:val="21"/>
                      <w:szCs w:val="21"/>
                      <w:highlight w:val="none"/>
                    </w:rPr>
                    <w:t>6~9</w:t>
                  </w:r>
                </w:p>
              </w:tc>
            </w:tr>
            <w:tr w14:paraId="3D6B7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tcBorders>
                    <w:tl2br w:val="nil"/>
                    <w:tr2bl w:val="nil"/>
                  </w:tcBorders>
                  <w:noWrap w:val="0"/>
                  <w:vAlign w:val="center"/>
                </w:tcPr>
                <w:p w14:paraId="10996BB0">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p>
              </w:tc>
              <w:tc>
                <w:tcPr>
                  <w:tcW w:w="641" w:type="pct"/>
                  <w:vMerge w:val="continue"/>
                  <w:tcBorders>
                    <w:tl2br w:val="nil"/>
                    <w:tr2bl w:val="nil"/>
                  </w:tcBorders>
                  <w:noWrap w:val="0"/>
                  <w:vAlign w:val="center"/>
                </w:tcPr>
                <w:p w14:paraId="354220EE">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p>
              </w:tc>
              <w:tc>
                <w:tcPr>
                  <w:tcW w:w="642" w:type="pct"/>
                  <w:tcBorders>
                    <w:tl2br w:val="nil"/>
                    <w:tr2bl w:val="nil"/>
                  </w:tcBorders>
                  <w:noWrap w:val="0"/>
                  <w:vAlign w:val="center"/>
                </w:tcPr>
                <w:p w14:paraId="08D2967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COD</w:t>
                  </w:r>
                </w:p>
              </w:tc>
              <w:tc>
                <w:tcPr>
                  <w:tcW w:w="642" w:type="pct"/>
                  <w:tcBorders>
                    <w:tl2br w:val="nil"/>
                    <w:tr2bl w:val="nil"/>
                  </w:tcBorders>
                  <w:noWrap w:val="0"/>
                  <w:vAlign w:val="center"/>
                </w:tcPr>
                <w:p w14:paraId="369C4EDB">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0.61</w:t>
                  </w:r>
                </w:p>
              </w:tc>
              <w:tc>
                <w:tcPr>
                  <w:tcW w:w="896" w:type="pct"/>
                  <w:tcBorders>
                    <w:tl2br w:val="nil"/>
                    <w:tr2bl w:val="nil"/>
                  </w:tcBorders>
                  <w:noWrap w:val="0"/>
                  <w:vAlign w:val="center"/>
                </w:tcPr>
                <w:p w14:paraId="7FEACED4">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500</w:t>
                  </w:r>
                </w:p>
              </w:tc>
              <w:tc>
                <w:tcPr>
                  <w:tcW w:w="896" w:type="pct"/>
                  <w:tcBorders>
                    <w:tl2br w:val="nil"/>
                    <w:tr2bl w:val="nil"/>
                  </w:tcBorders>
                  <w:noWrap w:val="0"/>
                  <w:vAlign w:val="center"/>
                </w:tcPr>
                <w:p w14:paraId="4BF3F674">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0.488</w:t>
                  </w:r>
                </w:p>
              </w:tc>
              <w:tc>
                <w:tcPr>
                  <w:tcW w:w="639" w:type="pct"/>
                  <w:tcBorders>
                    <w:tl2br w:val="nil"/>
                    <w:tr2bl w:val="nil"/>
                  </w:tcBorders>
                  <w:noWrap w:val="0"/>
                  <w:vAlign w:val="center"/>
                </w:tcPr>
                <w:p w14:paraId="1A059925">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400</w:t>
                  </w:r>
                </w:p>
              </w:tc>
            </w:tr>
            <w:tr w14:paraId="5C46B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tcBorders>
                    <w:tl2br w:val="nil"/>
                    <w:tr2bl w:val="nil"/>
                  </w:tcBorders>
                  <w:noWrap w:val="0"/>
                  <w:vAlign w:val="center"/>
                </w:tcPr>
                <w:p w14:paraId="58D46046">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p>
              </w:tc>
              <w:tc>
                <w:tcPr>
                  <w:tcW w:w="641" w:type="pct"/>
                  <w:vMerge w:val="continue"/>
                  <w:tcBorders>
                    <w:tl2br w:val="nil"/>
                    <w:tr2bl w:val="nil"/>
                  </w:tcBorders>
                  <w:noWrap w:val="0"/>
                  <w:vAlign w:val="center"/>
                </w:tcPr>
                <w:p w14:paraId="79FFF91D">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p>
              </w:tc>
              <w:tc>
                <w:tcPr>
                  <w:tcW w:w="642" w:type="pct"/>
                  <w:tcBorders>
                    <w:tl2br w:val="nil"/>
                    <w:tr2bl w:val="nil"/>
                  </w:tcBorders>
                  <w:noWrap w:val="0"/>
                  <w:vAlign w:val="center"/>
                </w:tcPr>
                <w:p w14:paraId="557CD17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BOD</w:t>
                  </w:r>
                  <w:r>
                    <w:rPr>
                      <w:rFonts w:hint="default" w:ascii="Times New Roman" w:hAnsi="Times New Roman" w:eastAsia="宋体" w:cs="Times New Roman"/>
                      <w:color w:val="auto"/>
                      <w:kern w:val="0"/>
                      <w:sz w:val="21"/>
                      <w:szCs w:val="21"/>
                      <w:highlight w:val="none"/>
                      <w:vertAlign w:val="subscript"/>
                    </w:rPr>
                    <w:t>5</w:t>
                  </w:r>
                </w:p>
              </w:tc>
              <w:tc>
                <w:tcPr>
                  <w:tcW w:w="642" w:type="pct"/>
                  <w:tcBorders>
                    <w:tl2br w:val="nil"/>
                    <w:tr2bl w:val="nil"/>
                  </w:tcBorders>
                  <w:noWrap w:val="0"/>
                  <w:vAlign w:val="center"/>
                </w:tcPr>
                <w:p w14:paraId="42F09EB6">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0.366</w:t>
                  </w:r>
                </w:p>
              </w:tc>
              <w:tc>
                <w:tcPr>
                  <w:tcW w:w="896" w:type="pct"/>
                  <w:tcBorders>
                    <w:tl2br w:val="nil"/>
                    <w:tr2bl w:val="nil"/>
                  </w:tcBorders>
                  <w:noWrap w:val="0"/>
                  <w:vAlign w:val="center"/>
                </w:tcPr>
                <w:p w14:paraId="2DE7B2F3">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300</w:t>
                  </w:r>
                </w:p>
              </w:tc>
              <w:tc>
                <w:tcPr>
                  <w:tcW w:w="896" w:type="pct"/>
                  <w:tcBorders>
                    <w:tl2br w:val="nil"/>
                    <w:tr2bl w:val="nil"/>
                  </w:tcBorders>
                  <w:noWrap w:val="0"/>
                  <w:vAlign w:val="center"/>
                </w:tcPr>
                <w:p w14:paraId="13FCED66">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0.305</w:t>
                  </w:r>
                </w:p>
              </w:tc>
              <w:tc>
                <w:tcPr>
                  <w:tcW w:w="639" w:type="pct"/>
                  <w:tcBorders>
                    <w:tl2br w:val="nil"/>
                    <w:tr2bl w:val="nil"/>
                  </w:tcBorders>
                  <w:noWrap w:val="0"/>
                  <w:vAlign w:val="center"/>
                </w:tcPr>
                <w:p w14:paraId="7D5B3AC7">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250</w:t>
                  </w:r>
                </w:p>
              </w:tc>
            </w:tr>
            <w:tr w14:paraId="37675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tcBorders>
                    <w:tl2br w:val="nil"/>
                    <w:tr2bl w:val="nil"/>
                  </w:tcBorders>
                  <w:noWrap w:val="0"/>
                  <w:vAlign w:val="center"/>
                </w:tcPr>
                <w:p w14:paraId="57DA60DC">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p>
              </w:tc>
              <w:tc>
                <w:tcPr>
                  <w:tcW w:w="641" w:type="pct"/>
                  <w:vMerge w:val="continue"/>
                  <w:tcBorders>
                    <w:tl2br w:val="nil"/>
                    <w:tr2bl w:val="nil"/>
                  </w:tcBorders>
                  <w:noWrap w:val="0"/>
                  <w:vAlign w:val="center"/>
                </w:tcPr>
                <w:p w14:paraId="2265A65F">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p>
              </w:tc>
              <w:tc>
                <w:tcPr>
                  <w:tcW w:w="642" w:type="pct"/>
                  <w:tcBorders>
                    <w:tl2br w:val="nil"/>
                    <w:tr2bl w:val="nil"/>
                  </w:tcBorders>
                  <w:noWrap w:val="0"/>
                  <w:vAlign w:val="center"/>
                </w:tcPr>
                <w:p w14:paraId="0ECED8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NH</w:t>
                  </w:r>
                  <w:r>
                    <w:rPr>
                      <w:rFonts w:hint="default" w:ascii="Times New Roman" w:hAnsi="Times New Roman" w:eastAsia="宋体" w:cs="Times New Roman"/>
                      <w:color w:val="auto"/>
                      <w:kern w:val="0"/>
                      <w:sz w:val="21"/>
                      <w:szCs w:val="21"/>
                      <w:highlight w:val="none"/>
                      <w:vertAlign w:val="subscript"/>
                    </w:rPr>
                    <w:t>3</w:t>
                  </w:r>
                  <w:r>
                    <w:rPr>
                      <w:rFonts w:hint="default" w:ascii="Times New Roman" w:hAnsi="Times New Roman" w:eastAsia="宋体" w:cs="Times New Roman"/>
                      <w:color w:val="auto"/>
                      <w:kern w:val="0"/>
                      <w:sz w:val="21"/>
                      <w:szCs w:val="21"/>
                      <w:highlight w:val="none"/>
                    </w:rPr>
                    <w:t>-N</w:t>
                  </w:r>
                </w:p>
              </w:tc>
              <w:tc>
                <w:tcPr>
                  <w:tcW w:w="642" w:type="pct"/>
                  <w:tcBorders>
                    <w:tl2br w:val="nil"/>
                    <w:tr2bl w:val="nil"/>
                  </w:tcBorders>
                  <w:noWrap w:val="0"/>
                  <w:vAlign w:val="center"/>
                </w:tcPr>
                <w:p w14:paraId="12A32E4A">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0.055</w:t>
                  </w:r>
                </w:p>
              </w:tc>
              <w:tc>
                <w:tcPr>
                  <w:tcW w:w="896" w:type="pct"/>
                  <w:tcBorders>
                    <w:tl2br w:val="nil"/>
                    <w:tr2bl w:val="nil"/>
                  </w:tcBorders>
                  <w:noWrap w:val="0"/>
                  <w:vAlign w:val="center"/>
                </w:tcPr>
                <w:p w14:paraId="1710BC88">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45</w:t>
                  </w:r>
                </w:p>
              </w:tc>
              <w:tc>
                <w:tcPr>
                  <w:tcW w:w="896" w:type="pct"/>
                  <w:tcBorders>
                    <w:tl2br w:val="nil"/>
                    <w:tr2bl w:val="nil"/>
                  </w:tcBorders>
                  <w:noWrap w:val="0"/>
                  <w:vAlign w:val="center"/>
                </w:tcPr>
                <w:p w14:paraId="5B8C88A0">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0.055</w:t>
                  </w:r>
                </w:p>
              </w:tc>
              <w:tc>
                <w:tcPr>
                  <w:tcW w:w="639" w:type="pct"/>
                  <w:tcBorders>
                    <w:tl2br w:val="nil"/>
                    <w:tr2bl w:val="nil"/>
                  </w:tcBorders>
                  <w:noWrap w:val="0"/>
                  <w:vAlign w:val="center"/>
                </w:tcPr>
                <w:p w14:paraId="6140A2B4">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45</w:t>
                  </w:r>
                </w:p>
              </w:tc>
            </w:tr>
            <w:tr w14:paraId="04FF0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tcBorders>
                    <w:tl2br w:val="nil"/>
                    <w:tr2bl w:val="nil"/>
                  </w:tcBorders>
                  <w:noWrap w:val="0"/>
                  <w:vAlign w:val="center"/>
                </w:tcPr>
                <w:p w14:paraId="63E611CB">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p>
              </w:tc>
              <w:tc>
                <w:tcPr>
                  <w:tcW w:w="641" w:type="pct"/>
                  <w:vMerge w:val="continue"/>
                  <w:tcBorders>
                    <w:tl2br w:val="nil"/>
                    <w:tr2bl w:val="nil"/>
                  </w:tcBorders>
                  <w:noWrap w:val="0"/>
                  <w:vAlign w:val="center"/>
                </w:tcPr>
                <w:p w14:paraId="23D90ECC">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p>
              </w:tc>
              <w:tc>
                <w:tcPr>
                  <w:tcW w:w="642" w:type="pct"/>
                  <w:tcBorders>
                    <w:tl2br w:val="nil"/>
                    <w:tr2bl w:val="nil"/>
                  </w:tcBorders>
                  <w:noWrap w:val="0"/>
                  <w:vAlign w:val="center"/>
                </w:tcPr>
                <w:p w14:paraId="25953F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总磷</w:t>
                  </w:r>
                </w:p>
              </w:tc>
              <w:tc>
                <w:tcPr>
                  <w:tcW w:w="642" w:type="pct"/>
                  <w:tcBorders>
                    <w:tl2br w:val="nil"/>
                    <w:tr2bl w:val="nil"/>
                  </w:tcBorders>
                  <w:noWrap w:val="0"/>
                  <w:vAlign w:val="center"/>
                </w:tcPr>
                <w:p w14:paraId="152AE0EF">
                  <w:pPr>
                    <w:keepNext w:val="0"/>
                    <w:keepLines w:val="0"/>
                    <w:widowControl/>
                    <w:suppressLineNumbers w:val="0"/>
                    <w:spacing w:before="0" w:beforeAutospacing="0" w:after="0" w:afterAutospacing="0"/>
                    <w:ind w:left="0" w:right="0"/>
                    <w:jc w:val="center"/>
                    <w:rPr>
                      <w:rFonts w:hint="eastAsia" w:eastAsia="等线"/>
                      <w:color w:val="auto"/>
                      <w:kern w:val="0"/>
                      <w:sz w:val="21"/>
                      <w:szCs w:val="21"/>
                      <w:highlight w:val="none"/>
                    </w:rPr>
                  </w:pPr>
                  <w:r>
                    <w:rPr>
                      <w:rFonts w:hint="default" w:eastAsia="等线"/>
                      <w:color w:val="auto"/>
                      <w:sz w:val="21"/>
                      <w:szCs w:val="21"/>
                      <w:highlight w:val="none"/>
                    </w:rPr>
                    <w:t>0.010</w:t>
                  </w:r>
                </w:p>
              </w:tc>
              <w:tc>
                <w:tcPr>
                  <w:tcW w:w="896" w:type="pct"/>
                  <w:tcBorders>
                    <w:tl2br w:val="nil"/>
                    <w:tr2bl w:val="nil"/>
                  </w:tcBorders>
                  <w:noWrap w:val="0"/>
                  <w:vAlign w:val="center"/>
                </w:tcPr>
                <w:p w14:paraId="4965AD62">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8</w:t>
                  </w:r>
                </w:p>
              </w:tc>
              <w:tc>
                <w:tcPr>
                  <w:tcW w:w="896" w:type="pct"/>
                  <w:tcBorders>
                    <w:tl2br w:val="nil"/>
                    <w:tr2bl w:val="nil"/>
                  </w:tcBorders>
                  <w:noWrap w:val="0"/>
                  <w:vAlign w:val="center"/>
                </w:tcPr>
                <w:p w14:paraId="204C2A5A">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0.010</w:t>
                  </w:r>
                </w:p>
              </w:tc>
              <w:tc>
                <w:tcPr>
                  <w:tcW w:w="639" w:type="pct"/>
                  <w:tcBorders>
                    <w:tl2br w:val="nil"/>
                    <w:tr2bl w:val="nil"/>
                  </w:tcBorders>
                  <w:noWrap w:val="0"/>
                  <w:vAlign w:val="center"/>
                </w:tcPr>
                <w:p w14:paraId="6F03E521">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8</w:t>
                  </w:r>
                </w:p>
              </w:tc>
            </w:tr>
            <w:tr w14:paraId="780A0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tcBorders>
                    <w:tl2br w:val="nil"/>
                    <w:tr2bl w:val="nil"/>
                  </w:tcBorders>
                  <w:noWrap w:val="0"/>
                  <w:vAlign w:val="center"/>
                </w:tcPr>
                <w:p w14:paraId="6449B42D">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p>
              </w:tc>
              <w:tc>
                <w:tcPr>
                  <w:tcW w:w="641" w:type="pct"/>
                  <w:vMerge w:val="continue"/>
                  <w:tcBorders>
                    <w:tl2br w:val="nil"/>
                    <w:tr2bl w:val="nil"/>
                  </w:tcBorders>
                  <w:noWrap w:val="0"/>
                  <w:vAlign w:val="center"/>
                </w:tcPr>
                <w:p w14:paraId="790CAD4B">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p>
              </w:tc>
              <w:tc>
                <w:tcPr>
                  <w:tcW w:w="642" w:type="pct"/>
                  <w:tcBorders>
                    <w:tl2br w:val="nil"/>
                    <w:tr2bl w:val="nil"/>
                  </w:tcBorders>
                  <w:noWrap w:val="0"/>
                  <w:vAlign w:val="center"/>
                </w:tcPr>
                <w:p w14:paraId="60430A7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总氮</w:t>
                  </w:r>
                </w:p>
              </w:tc>
              <w:tc>
                <w:tcPr>
                  <w:tcW w:w="642" w:type="pct"/>
                  <w:tcBorders>
                    <w:tl2br w:val="nil"/>
                    <w:tr2bl w:val="nil"/>
                  </w:tcBorders>
                  <w:noWrap w:val="0"/>
                  <w:vAlign w:val="center"/>
                </w:tcPr>
                <w:p w14:paraId="7B891137">
                  <w:pPr>
                    <w:keepNext w:val="0"/>
                    <w:keepLines w:val="0"/>
                    <w:widowControl/>
                    <w:suppressLineNumbers w:val="0"/>
                    <w:spacing w:before="0" w:beforeAutospacing="0" w:after="0" w:afterAutospacing="0"/>
                    <w:ind w:left="0" w:right="0"/>
                    <w:jc w:val="center"/>
                    <w:rPr>
                      <w:rFonts w:hint="eastAsia" w:eastAsia="等线"/>
                      <w:color w:val="auto"/>
                      <w:kern w:val="0"/>
                      <w:sz w:val="21"/>
                      <w:szCs w:val="21"/>
                      <w:highlight w:val="none"/>
                    </w:rPr>
                  </w:pPr>
                  <w:r>
                    <w:rPr>
                      <w:rFonts w:hint="default" w:eastAsia="等线"/>
                      <w:color w:val="auto"/>
                      <w:sz w:val="21"/>
                      <w:szCs w:val="21"/>
                      <w:highlight w:val="none"/>
                    </w:rPr>
                    <w:t>0.061</w:t>
                  </w:r>
                </w:p>
              </w:tc>
              <w:tc>
                <w:tcPr>
                  <w:tcW w:w="896" w:type="pct"/>
                  <w:tcBorders>
                    <w:tl2br w:val="nil"/>
                    <w:tr2bl w:val="nil"/>
                  </w:tcBorders>
                  <w:noWrap w:val="0"/>
                  <w:vAlign w:val="center"/>
                </w:tcPr>
                <w:p w14:paraId="2EC09933">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50</w:t>
                  </w:r>
                </w:p>
              </w:tc>
              <w:tc>
                <w:tcPr>
                  <w:tcW w:w="896" w:type="pct"/>
                  <w:tcBorders>
                    <w:tl2br w:val="nil"/>
                    <w:tr2bl w:val="nil"/>
                  </w:tcBorders>
                  <w:noWrap w:val="0"/>
                  <w:vAlign w:val="center"/>
                </w:tcPr>
                <w:p w14:paraId="3C4EEB9B">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0.061</w:t>
                  </w:r>
                </w:p>
              </w:tc>
              <w:tc>
                <w:tcPr>
                  <w:tcW w:w="639" w:type="pct"/>
                  <w:tcBorders>
                    <w:tl2br w:val="nil"/>
                    <w:tr2bl w:val="nil"/>
                  </w:tcBorders>
                  <w:noWrap w:val="0"/>
                  <w:vAlign w:val="center"/>
                </w:tcPr>
                <w:p w14:paraId="681A4827">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50</w:t>
                  </w:r>
                </w:p>
              </w:tc>
            </w:tr>
            <w:tr w14:paraId="32944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1" w:type="pct"/>
                  <w:vMerge w:val="continue"/>
                  <w:tcBorders>
                    <w:tl2br w:val="nil"/>
                    <w:tr2bl w:val="nil"/>
                  </w:tcBorders>
                  <w:noWrap w:val="0"/>
                  <w:vAlign w:val="center"/>
                </w:tcPr>
                <w:p w14:paraId="0F650798">
                  <w:pPr>
                    <w:keepNext w:val="0"/>
                    <w:keepLines w:val="0"/>
                    <w:widowControl/>
                    <w:suppressLineNumbers w:val="0"/>
                    <w:spacing w:before="0" w:beforeAutospacing="0" w:after="0" w:afterAutospacing="0"/>
                    <w:ind w:left="0" w:right="0"/>
                    <w:jc w:val="center"/>
                    <w:rPr>
                      <w:rFonts w:hint="default" w:ascii="宋体" w:hAnsi="宋体" w:cs="宋体"/>
                      <w:color w:val="auto"/>
                      <w:kern w:val="0"/>
                      <w:sz w:val="21"/>
                      <w:szCs w:val="21"/>
                      <w:highlight w:val="none"/>
                    </w:rPr>
                  </w:pPr>
                </w:p>
              </w:tc>
              <w:tc>
                <w:tcPr>
                  <w:tcW w:w="641" w:type="pct"/>
                  <w:vMerge w:val="continue"/>
                  <w:tcBorders>
                    <w:tl2br w:val="nil"/>
                    <w:tr2bl w:val="nil"/>
                  </w:tcBorders>
                  <w:noWrap w:val="0"/>
                  <w:vAlign w:val="center"/>
                </w:tcPr>
                <w:p w14:paraId="4B557357">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p>
              </w:tc>
              <w:tc>
                <w:tcPr>
                  <w:tcW w:w="642" w:type="pct"/>
                  <w:tcBorders>
                    <w:tl2br w:val="nil"/>
                    <w:tr2bl w:val="nil"/>
                  </w:tcBorders>
                  <w:noWrap w:val="0"/>
                  <w:vAlign w:val="center"/>
                </w:tcPr>
                <w:p w14:paraId="47A2FA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SS</w:t>
                  </w:r>
                </w:p>
              </w:tc>
              <w:tc>
                <w:tcPr>
                  <w:tcW w:w="642" w:type="pct"/>
                  <w:tcBorders>
                    <w:tl2br w:val="nil"/>
                    <w:tr2bl w:val="nil"/>
                  </w:tcBorders>
                  <w:noWrap w:val="0"/>
                  <w:vAlign w:val="center"/>
                </w:tcPr>
                <w:p w14:paraId="36C5AB13">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0.488</w:t>
                  </w:r>
                </w:p>
              </w:tc>
              <w:tc>
                <w:tcPr>
                  <w:tcW w:w="896" w:type="pct"/>
                  <w:tcBorders>
                    <w:tl2br w:val="nil"/>
                    <w:tr2bl w:val="nil"/>
                  </w:tcBorders>
                  <w:noWrap w:val="0"/>
                  <w:vAlign w:val="center"/>
                </w:tcPr>
                <w:p w14:paraId="488E0845">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400</w:t>
                  </w:r>
                </w:p>
              </w:tc>
              <w:tc>
                <w:tcPr>
                  <w:tcW w:w="896" w:type="pct"/>
                  <w:tcBorders>
                    <w:tl2br w:val="nil"/>
                    <w:tr2bl w:val="nil"/>
                  </w:tcBorders>
                  <w:noWrap w:val="0"/>
                  <w:vAlign w:val="center"/>
                </w:tcPr>
                <w:p w14:paraId="348C465A">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0.366</w:t>
                  </w:r>
                </w:p>
              </w:tc>
              <w:tc>
                <w:tcPr>
                  <w:tcW w:w="639" w:type="pct"/>
                  <w:tcBorders>
                    <w:tl2br w:val="nil"/>
                    <w:tr2bl w:val="nil"/>
                  </w:tcBorders>
                  <w:noWrap w:val="0"/>
                  <w:vAlign w:val="center"/>
                </w:tcPr>
                <w:p w14:paraId="7B949F7E">
                  <w:pPr>
                    <w:keepNext w:val="0"/>
                    <w:keepLines w:val="0"/>
                    <w:widowControl/>
                    <w:suppressLineNumbers w:val="0"/>
                    <w:spacing w:before="0" w:beforeAutospacing="0" w:after="0" w:afterAutospacing="0"/>
                    <w:ind w:left="0" w:right="0"/>
                    <w:jc w:val="center"/>
                    <w:rPr>
                      <w:rFonts w:hint="default" w:eastAsia="等线"/>
                      <w:color w:val="auto"/>
                      <w:kern w:val="0"/>
                      <w:sz w:val="21"/>
                      <w:szCs w:val="21"/>
                      <w:highlight w:val="none"/>
                    </w:rPr>
                  </w:pPr>
                  <w:r>
                    <w:rPr>
                      <w:rFonts w:hint="default" w:eastAsia="等线"/>
                      <w:color w:val="auto"/>
                      <w:sz w:val="21"/>
                      <w:szCs w:val="21"/>
                      <w:highlight w:val="none"/>
                    </w:rPr>
                    <w:t>300</w:t>
                  </w:r>
                </w:p>
              </w:tc>
            </w:tr>
          </w:tbl>
          <w:p w14:paraId="09D69FED">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（2）废水排放基本信息</w:t>
            </w:r>
          </w:p>
          <w:p w14:paraId="258110E7">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①废水类别、污染物及治理设施信息</w:t>
            </w:r>
          </w:p>
          <w:p w14:paraId="37B68BB5">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highlight w:val="none"/>
                <w:lang w:val="en-US" w:eastAsia="zh-CN"/>
              </w:rPr>
            </w:pPr>
            <w:r>
              <w:rPr>
                <w:rFonts w:hint="default" w:ascii="Times New Roman" w:hAnsi="Times New Roman" w:eastAsia="黑体" w:cs="Times New Roman"/>
                <w:b/>
                <w:bCs/>
                <w:color w:val="auto"/>
                <w:kern w:val="0"/>
                <w:sz w:val="21"/>
                <w:szCs w:val="21"/>
                <w:highlight w:val="none"/>
                <w:lang w:val="en-US" w:eastAsia="zh-CN"/>
              </w:rPr>
              <w:t>表</w:t>
            </w:r>
            <w:r>
              <w:rPr>
                <w:rFonts w:hint="eastAsia" w:ascii="Times New Roman" w:hAnsi="Times New Roman" w:eastAsia="黑体" w:cs="Times New Roman"/>
                <w:b/>
                <w:bCs/>
                <w:color w:val="auto"/>
                <w:kern w:val="0"/>
                <w:sz w:val="21"/>
                <w:szCs w:val="21"/>
                <w:highlight w:val="none"/>
                <w:lang w:val="en-US" w:eastAsia="zh-CN"/>
              </w:rPr>
              <w:t>4-</w:t>
            </w:r>
            <w:r>
              <w:rPr>
                <w:rFonts w:hint="eastAsia" w:eastAsia="黑体" w:cs="Times New Roman"/>
                <w:b/>
                <w:bCs/>
                <w:color w:val="auto"/>
                <w:kern w:val="0"/>
                <w:sz w:val="21"/>
                <w:szCs w:val="21"/>
                <w:highlight w:val="none"/>
                <w:lang w:val="en-US" w:eastAsia="zh-CN"/>
              </w:rPr>
              <w:t>10</w:t>
            </w:r>
            <w:r>
              <w:rPr>
                <w:rFonts w:hint="default" w:ascii="Times New Roman" w:hAnsi="Times New Roman" w:eastAsia="黑体" w:cs="Times New Roman"/>
                <w:b/>
                <w:bCs/>
                <w:color w:val="auto"/>
                <w:kern w:val="0"/>
                <w:sz w:val="21"/>
                <w:szCs w:val="21"/>
                <w:highlight w:val="none"/>
                <w:lang w:val="en-US" w:eastAsia="zh-CN"/>
              </w:rPr>
              <w:t xml:space="preserve"> 废水类别、污染物及治理设施信息表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773"/>
              <w:gridCol w:w="1756"/>
              <w:gridCol w:w="1111"/>
              <w:gridCol w:w="723"/>
              <w:gridCol w:w="999"/>
              <w:gridCol w:w="1006"/>
              <w:gridCol w:w="1070"/>
              <w:gridCol w:w="955"/>
            </w:tblGrid>
            <w:tr w14:paraId="13351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restart"/>
                  <w:tcBorders>
                    <w:tl2br w:val="nil"/>
                    <w:tr2bl w:val="nil"/>
                  </w:tcBorders>
                  <w:noWrap w:val="0"/>
                  <w:vAlign w:val="center"/>
                </w:tcPr>
                <w:p w14:paraId="261037A9">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序号</w:t>
                  </w:r>
                </w:p>
              </w:tc>
              <w:tc>
                <w:tcPr>
                  <w:tcW w:w="434" w:type="pct"/>
                  <w:vMerge w:val="restart"/>
                  <w:tcBorders>
                    <w:tl2br w:val="nil"/>
                    <w:tr2bl w:val="nil"/>
                  </w:tcBorders>
                  <w:noWrap w:val="0"/>
                  <w:vAlign w:val="center"/>
                </w:tcPr>
                <w:p w14:paraId="7D4565F9">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废水类别</w:t>
                  </w:r>
                </w:p>
              </w:tc>
              <w:tc>
                <w:tcPr>
                  <w:tcW w:w="986" w:type="pct"/>
                  <w:vMerge w:val="restart"/>
                  <w:tcBorders>
                    <w:tl2br w:val="nil"/>
                    <w:tr2bl w:val="nil"/>
                  </w:tcBorders>
                  <w:noWrap w:val="0"/>
                  <w:vAlign w:val="center"/>
                </w:tcPr>
                <w:p w14:paraId="1B490D4F">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污染物种类</w:t>
                  </w:r>
                </w:p>
              </w:tc>
              <w:tc>
                <w:tcPr>
                  <w:tcW w:w="624" w:type="pct"/>
                  <w:vMerge w:val="restart"/>
                  <w:tcBorders>
                    <w:tl2br w:val="nil"/>
                    <w:tr2bl w:val="nil"/>
                  </w:tcBorders>
                  <w:noWrap w:val="0"/>
                  <w:vAlign w:val="center"/>
                </w:tcPr>
                <w:p w14:paraId="0B235ED1">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排放去向</w:t>
                  </w:r>
                </w:p>
              </w:tc>
              <w:tc>
                <w:tcPr>
                  <w:tcW w:w="406" w:type="pct"/>
                  <w:vMerge w:val="restart"/>
                  <w:tcBorders>
                    <w:tl2br w:val="nil"/>
                    <w:tr2bl w:val="nil"/>
                  </w:tcBorders>
                  <w:noWrap w:val="0"/>
                  <w:vAlign w:val="center"/>
                </w:tcPr>
                <w:p w14:paraId="4AFDC1DE">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排放规律</w:t>
                  </w:r>
                </w:p>
              </w:tc>
              <w:tc>
                <w:tcPr>
                  <w:tcW w:w="1727" w:type="pct"/>
                  <w:gridSpan w:val="3"/>
                  <w:tcBorders>
                    <w:tl2br w:val="nil"/>
                    <w:tr2bl w:val="nil"/>
                  </w:tcBorders>
                  <w:noWrap w:val="0"/>
                  <w:vAlign w:val="center"/>
                </w:tcPr>
                <w:p w14:paraId="6173BEE9">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污染治理设施</w:t>
                  </w:r>
                </w:p>
              </w:tc>
              <w:tc>
                <w:tcPr>
                  <w:tcW w:w="536" w:type="pct"/>
                  <w:vMerge w:val="restart"/>
                  <w:tcBorders>
                    <w:tl2br w:val="nil"/>
                    <w:tr2bl w:val="nil"/>
                  </w:tcBorders>
                  <w:noWrap w:val="0"/>
                  <w:vAlign w:val="center"/>
                </w:tcPr>
                <w:p w14:paraId="71DF7908">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b/>
                      <w:bCs/>
                      <w:color w:val="auto"/>
                      <w:sz w:val="21"/>
                      <w:szCs w:val="21"/>
                      <w:highlight w:val="none"/>
                    </w:rPr>
                    <w:t>是否为可行技术</w:t>
                  </w:r>
                </w:p>
              </w:tc>
            </w:tr>
            <w:tr w14:paraId="1EA57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vMerge w:val="continue"/>
                  <w:tcBorders>
                    <w:tl2br w:val="nil"/>
                    <w:tr2bl w:val="nil"/>
                  </w:tcBorders>
                  <w:noWrap w:val="0"/>
                  <w:vAlign w:val="center"/>
                </w:tcPr>
                <w:p w14:paraId="6E69188C">
                  <w:pPr>
                    <w:pStyle w:val="22"/>
                    <w:keepNext w:val="0"/>
                    <w:keepLines w:val="0"/>
                    <w:suppressLineNumbers w:val="0"/>
                    <w:spacing w:before="0" w:beforeAutospacing="0" w:afterAutospacing="0" w:line="240" w:lineRule="auto"/>
                    <w:ind w:right="0" w:firstLine="0" w:firstLineChars="0"/>
                    <w:jc w:val="center"/>
                    <w:rPr>
                      <w:rFonts w:hint="default"/>
                      <w:b/>
                      <w:bCs/>
                      <w:color w:val="auto"/>
                      <w:sz w:val="21"/>
                      <w:szCs w:val="21"/>
                      <w:highlight w:val="none"/>
                    </w:rPr>
                  </w:pPr>
                </w:p>
              </w:tc>
              <w:tc>
                <w:tcPr>
                  <w:tcW w:w="434" w:type="pct"/>
                  <w:vMerge w:val="continue"/>
                  <w:tcBorders>
                    <w:tl2br w:val="nil"/>
                    <w:tr2bl w:val="nil"/>
                  </w:tcBorders>
                  <w:noWrap w:val="0"/>
                  <w:vAlign w:val="center"/>
                </w:tcPr>
                <w:p w14:paraId="6FD18F48">
                  <w:pPr>
                    <w:pStyle w:val="22"/>
                    <w:keepNext w:val="0"/>
                    <w:keepLines w:val="0"/>
                    <w:suppressLineNumbers w:val="0"/>
                    <w:spacing w:before="0" w:beforeAutospacing="0" w:afterAutospacing="0" w:line="240" w:lineRule="auto"/>
                    <w:ind w:right="0" w:firstLine="0" w:firstLineChars="0"/>
                    <w:jc w:val="center"/>
                    <w:rPr>
                      <w:rFonts w:hint="default"/>
                      <w:b/>
                      <w:bCs/>
                      <w:color w:val="auto"/>
                      <w:sz w:val="21"/>
                      <w:szCs w:val="21"/>
                      <w:highlight w:val="none"/>
                    </w:rPr>
                  </w:pPr>
                </w:p>
              </w:tc>
              <w:tc>
                <w:tcPr>
                  <w:tcW w:w="986" w:type="pct"/>
                  <w:vMerge w:val="continue"/>
                  <w:tcBorders>
                    <w:tl2br w:val="nil"/>
                    <w:tr2bl w:val="nil"/>
                  </w:tcBorders>
                  <w:noWrap w:val="0"/>
                  <w:vAlign w:val="center"/>
                </w:tcPr>
                <w:p w14:paraId="1BFE8E5B">
                  <w:pPr>
                    <w:pStyle w:val="22"/>
                    <w:keepNext w:val="0"/>
                    <w:keepLines w:val="0"/>
                    <w:suppressLineNumbers w:val="0"/>
                    <w:spacing w:before="0" w:beforeAutospacing="0" w:afterAutospacing="0" w:line="240" w:lineRule="auto"/>
                    <w:ind w:right="0" w:firstLine="0" w:firstLineChars="0"/>
                    <w:jc w:val="center"/>
                    <w:rPr>
                      <w:rFonts w:hint="default"/>
                      <w:b/>
                      <w:bCs/>
                      <w:color w:val="auto"/>
                      <w:sz w:val="21"/>
                      <w:szCs w:val="21"/>
                      <w:highlight w:val="none"/>
                    </w:rPr>
                  </w:pPr>
                </w:p>
              </w:tc>
              <w:tc>
                <w:tcPr>
                  <w:tcW w:w="624" w:type="pct"/>
                  <w:vMerge w:val="continue"/>
                  <w:tcBorders>
                    <w:tl2br w:val="nil"/>
                    <w:tr2bl w:val="nil"/>
                  </w:tcBorders>
                  <w:noWrap w:val="0"/>
                  <w:vAlign w:val="center"/>
                </w:tcPr>
                <w:p w14:paraId="64261B62">
                  <w:pPr>
                    <w:pStyle w:val="22"/>
                    <w:keepNext w:val="0"/>
                    <w:keepLines w:val="0"/>
                    <w:suppressLineNumbers w:val="0"/>
                    <w:spacing w:before="0" w:beforeAutospacing="0" w:afterAutospacing="0" w:line="240" w:lineRule="auto"/>
                    <w:ind w:right="0" w:firstLine="0" w:firstLineChars="0"/>
                    <w:jc w:val="center"/>
                    <w:rPr>
                      <w:rFonts w:hint="default"/>
                      <w:b/>
                      <w:bCs/>
                      <w:color w:val="auto"/>
                      <w:sz w:val="21"/>
                      <w:szCs w:val="21"/>
                      <w:highlight w:val="none"/>
                    </w:rPr>
                  </w:pPr>
                </w:p>
              </w:tc>
              <w:tc>
                <w:tcPr>
                  <w:tcW w:w="406" w:type="pct"/>
                  <w:vMerge w:val="continue"/>
                  <w:tcBorders>
                    <w:tl2br w:val="nil"/>
                    <w:tr2bl w:val="nil"/>
                  </w:tcBorders>
                  <w:noWrap w:val="0"/>
                  <w:vAlign w:val="center"/>
                </w:tcPr>
                <w:p w14:paraId="119EAB0C">
                  <w:pPr>
                    <w:pStyle w:val="22"/>
                    <w:keepNext w:val="0"/>
                    <w:keepLines w:val="0"/>
                    <w:suppressLineNumbers w:val="0"/>
                    <w:spacing w:before="0" w:beforeAutospacing="0" w:afterAutospacing="0" w:line="240" w:lineRule="auto"/>
                    <w:ind w:right="0" w:firstLine="0" w:firstLineChars="0"/>
                    <w:jc w:val="center"/>
                    <w:rPr>
                      <w:rFonts w:hint="default"/>
                      <w:b/>
                      <w:bCs/>
                      <w:color w:val="auto"/>
                      <w:sz w:val="21"/>
                      <w:szCs w:val="21"/>
                      <w:highlight w:val="none"/>
                    </w:rPr>
                  </w:pPr>
                </w:p>
              </w:tc>
              <w:tc>
                <w:tcPr>
                  <w:tcW w:w="561" w:type="pct"/>
                  <w:tcBorders>
                    <w:tl2br w:val="nil"/>
                    <w:tr2bl w:val="nil"/>
                  </w:tcBorders>
                  <w:noWrap w:val="0"/>
                  <w:vAlign w:val="center"/>
                </w:tcPr>
                <w:p w14:paraId="43094E2C">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编号</w:t>
                  </w:r>
                </w:p>
              </w:tc>
              <w:tc>
                <w:tcPr>
                  <w:tcW w:w="565" w:type="pct"/>
                  <w:tcBorders>
                    <w:tl2br w:val="nil"/>
                    <w:tr2bl w:val="nil"/>
                  </w:tcBorders>
                  <w:noWrap w:val="0"/>
                  <w:vAlign w:val="center"/>
                </w:tcPr>
                <w:p w14:paraId="7CFC4E6A">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名称</w:t>
                  </w:r>
                </w:p>
              </w:tc>
              <w:tc>
                <w:tcPr>
                  <w:tcW w:w="601" w:type="pct"/>
                  <w:tcBorders>
                    <w:tl2br w:val="nil"/>
                    <w:tr2bl w:val="nil"/>
                  </w:tcBorders>
                  <w:noWrap w:val="0"/>
                  <w:vAlign w:val="center"/>
                </w:tcPr>
                <w:p w14:paraId="36BB5393">
                  <w:pPr>
                    <w:keepNext w:val="0"/>
                    <w:keepLines w:val="0"/>
                    <w:suppressLineNumbers w:val="0"/>
                    <w:bidi w:val="0"/>
                    <w:spacing w:before="0" w:beforeAutospacing="0" w:after="0" w:afterAutospacing="0"/>
                    <w:ind w:left="0" w:right="0"/>
                    <w:jc w:val="center"/>
                    <w:rPr>
                      <w:rFonts w:hint="default"/>
                      <w:b/>
                      <w:bCs/>
                      <w:color w:val="auto"/>
                      <w:sz w:val="21"/>
                      <w:szCs w:val="21"/>
                      <w:highlight w:val="none"/>
                    </w:rPr>
                  </w:pPr>
                  <w:r>
                    <w:rPr>
                      <w:rFonts w:hint="default"/>
                      <w:b/>
                      <w:bCs/>
                      <w:color w:val="auto"/>
                      <w:sz w:val="21"/>
                      <w:szCs w:val="21"/>
                      <w:highlight w:val="none"/>
                    </w:rPr>
                    <w:t>工艺</w:t>
                  </w:r>
                </w:p>
              </w:tc>
              <w:tc>
                <w:tcPr>
                  <w:tcW w:w="536" w:type="pct"/>
                  <w:vMerge w:val="continue"/>
                  <w:tcBorders>
                    <w:tl2br w:val="nil"/>
                    <w:tr2bl w:val="nil"/>
                  </w:tcBorders>
                  <w:noWrap w:val="0"/>
                  <w:vAlign w:val="center"/>
                </w:tcPr>
                <w:p w14:paraId="1815F9E3">
                  <w:pPr>
                    <w:pStyle w:val="22"/>
                    <w:keepNext w:val="0"/>
                    <w:keepLines w:val="0"/>
                    <w:suppressLineNumbers w:val="0"/>
                    <w:spacing w:before="0" w:beforeAutospacing="0" w:afterAutospacing="0" w:line="240" w:lineRule="auto"/>
                    <w:ind w:right="0" w:firstLine="0" w:firstLineChars="0"/>
                    <w:jc w:val="center"/>
                    <w:rPr>
                      <w:rFonts w:hint="default"/>
                      <w:color w:val="auto"/>
                      <w:sz w:val="21"/>
                      <w:szCs w:val="21"/>
                      <w:highlight w:val="none"/>
                    </w:rPr>
                  </w:pPr>
                </w:p>
              </w:tc>
            </w:tr>
            <w:tr w14:paraId="79752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tcBorders>
                    <w:tl2br w:val="nil"/>
                    <w:tr2bl w:val="nil"/>
                  </w:tcBorders>
                  <w:noWrap w:val="0"/>
                  <w:vAlign w:val="center"/>
                </w:tcPr>
                <w:p w14:paraId="55BA22A2">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w:t>
                  </w:r>
                </w:p>
              </w:tc>
              <w:tc>
                <w:tcPr>
                  <w:tcW w:w="434" w:type="pct"/>
                  <w:tcBorders>
                    <w:tl2br w:val="nil"/>
                    <w:tr2bl w:val="nil"/>
                  </w:tcBorders>
                  <w:noWrap w:val="0"/>
                  <w:vAlign w:val="center"/>
                </w:tcPr>
                <w:p w14:paraId="58ED833C">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洗车废水</w:t>
                  </w:r>
                </w:p>
              </w:tc>
              <w:tc>
                <w:tcPr>
                  <w:tcW w:w="986" w:type="pct"/>
                  <w:tcBorders>
                    <w:tl2br w:val="nil"/>
                    <w:tr2bl w:val="nil"/>
                  </w:tcBorders>
                  <w:noWrap w:val="0"/>
                  <w:vAlign w:val="center"/>
                </w:tcPr>
                <w:p w14:paraId="129A9643">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SS、</w:t>
                  </w:r>
                  <w:r>
                    <w:rPr>
                      <w:rFonts w:hint="eastAsia"/>
                      <w:color w:val="auto"/>
                      <w:sz w:val="21"/>
                      <w:szCs w:val="21"/>
                      <w:highlight w:val="none"/>
                    </w:rPr>
                    <w:t>石油类</w:t>
                  </w:r>
                </w:p>
              </w:tc>
              <w:tc>
                <w:tcPr>
                  <w:tcW w:w="1030" w:type="pct"/>
                  <w:gridSpan w:val="2"/>
                  <w:tcBorders>
                    <w:tl2br w:val="nil"/>
                    <w:tr2bl w:val="nil"/>
                  </w:tcBorders>
                  <w:noWrap w:val="0"/>
                  <w:vAlign w:val="center"/>
                </w:tcPr>
                <w:p w14:paraId="018B6A5E">
                  <w:pPr>
                    <w:keepNext w:val="0"/>
                    <w:keepLines w:val="0"/>
                    <w:suppressLineNumbers w:val="0"/>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不排放</w:t>
                  </w:r>
                </w:p>
              </w:tc>
              <w:tc>
                <w:tcPr>
                  <w:tcW w:w="561" w:type="pct"/>
                  <w:tcBorders>
                    <w:tl2br w:val="nil"/>
                    <w:tr2bl w:val="nil"/>
                  </w:tcBorders>
                  <w:noWrap w:val="0"/>
                  <w:vAlign w:val="center"/>
                </w:tcPr>
                <w:p w14:paraId="5F31DA8E">
                  <w:pPr>
                    <w:keepNext w:val="0"/>
                    <w:keepLines w:val="0"/>
                    <w:suppressLineNumbers w:val="0"/>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val="en-US" w:eastAsia="zh-CN"/>
                    </w:rPr>
                    <w:t>/</w:t>
                  </w:r>
                </w:p>
              </w:tc>
              <w:tc>
                <w:tcPr>
                  <w:tcW w:w="565" w:type="pct"/>
                  <w:tcBorders>
                    <w:tl2br w:val="nil"/>
                    <w:tr2bl w:val="nil"/>
                  </w:tcBorders>
                  <w:noWrap w:val="0"/>
                  <w:vAlign w:val="center"/>
                </w:tcPr>
                <w:p w14:paraId="1D528B2F">
                  <w:pPr>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洗车废水处理系统</w:t>
                  </w:r>
                </w:p>
              </w:tc>
              <w:tc>
                <w:tcPr>
                  <w:tcW w:w="601" w:type="pct"/>
                  <w:tcBorders>
                    <w:tl2br w:val="nil"/>
                    <w:tr2bl w:val="nil"/>
                  </w:tcBorders>
                  <w:noWrap w:val="0"/>
                  <w:vAlign w:val="center"/>
                </w:tcPr>
                <w:p w14:paraId="756325D0">
                  <w:pPr>
                    <w:keepNext w:val="0"/>
                    <w:keepLines w:val="0"/>
                    <w:suppressLineNumbers w:val="0"/>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隔油+絮凝沉淀+光催化氧化</w:t>
                  </w:r>
                </w:p>
              </w:tc>
              <w:tc>
                <w:tcPr>
                  <w:tcW w:w="536" w:type="pct"/>
                  <w:tcBorders>
                    <w:tl2br w:val="nil"/>
                    <w:tr2bl w:val="nil"/>
                  </w:tcBorders>
                  <w:noWrap w:val="0"/>
                  <w:vAlign w:val="center"/>
                </w:tcPr>
                <w:p w14:paraId="41959843">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是</w:t>
                  </w:r>
                </w:p>
              </w:tc>
            </w:tr>
            <w:tr w14:paraId="464E0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tcBorders>
                    <w:tl2br w:val="nil"/>
                    <w:tr2bl w:val="nil"/>
                  </w:tcBorders>
                  <w:noWrap w:val="0"/>
                  <w:vAlign w:val="center"/>
                </w:tcPr>
                <w:p w14:paraId="3C4C0F9D">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2</w:t>
                  </w:r>
                </w:p>
              </w:tc>
              <w:tc>
                <w:tcPr>
                  <w:tcW w:w="434" w:type="pct"/>
                  <w:tcBorders>
                    <w:tl2br w:val="nil"/>
                    <w:tr2bl w:val="nil"/>
                  </w:tcBorders>
                  <w:noWrap w:val="0"/>
                  <w:vAlign w:val="center"/>
                </w:tcPr>
                <w:p w14:paraId="15DECE6D">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地面冲洗</w:t>
                  </w:r>
                  <w:r>
                    <w:rPr>
                      <w:rFonts w:hint="default"/>
                      <w:color w:val="auto"/>
                      <w:sz w:val="21"/>
                      <w:szCs w:val="21"/>
                      <w:highlight w:val="none"/>
                    </w:rPr>
                    <w:t>废水</w:t>
                  </w:r>
                </w:p>
              </w:tc>
              <w:tc>
                <w:tcPr>
                  <w:tcW w:w="986" w:type="pct"/>
                  <w:tcBorders>
                    <w:tl2br w:val="nil"/>
                    <w:tr2bl w:val="nil"/>
                  </w:tcBorders>
                  <w:noWrap w:val="0"/>
                  <w:vAlign w:val="center"/>
                </w:tcPr>
                <w:p w14:paraId="4A665220">
                  <w:pPr>
                    <w:keepNext w:val="0"/>
                    <w:keepLines w:val="0"/>
                    <w:suppressLineNumbers w:val="0"/>
                    <w:bidi w:val="0"/>
                    <w:spacing w:before="0" w:beforeAutospacing="0" w:after="0" w:afterAutospacing="0"/>
                    <w:ind w:left="0" w:right="0"/>
                    <w:jc w:val="center"/>
                    <w:rPr>
                      <w:rFonts w:hint="eastAsia"/>
                      <w:color w:val="auto"/>
                      <w:sz w:val="21"/>
                      <w:szCs w:val="21"/>
                      <w:highlight w:val="none"/>
                    </w:rPr>
                  </w:pPr>
                  <w:r>
                    <w:rPr>
                      <w:rFonts w:hint="default"/>
                      <w:color w:val="auto"/>
                      <w:sz w:val="21"/>
                      <w:szCs w:val="21"/>
                      <w:highlight w:val="none"/>
                    </w:rPr>
                    <w:t>SS、</w:t>
                  </w:r>
                  <w:r>
                    <w:rPr>
                      <w:rFonts w:hint="eastAsia"/>
                      <w:color w:val="auto"/>
                      <w:sz w:val="21"/>
                      <w:szCs w:val="21"/>
                      <w:highlight w:val="none"/>
                    </w:rPr>
                    <w:t>石油类</w:t>
                  </w:r>
                </w:p>
              </w:tc>
              <w:tc>
                <w:tcPr>
                  <w:tcW w:w="624" w:type="pct"/>
                  <w:vMerge w:val="restart"/>
                  <w:tcBorders>
                    <w:tl2br w:val="nil"/>
                    <w:tr2bl w:val="nil"/>
                  </w:tcBorders>
                  <w:noWrap w:val="0"/>
                  <w:vAlign w:val="center"/>
                </w:tcPr>
                <w:p w14:paraId="5ED42D63">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达州市通川区魏兴场镇污水处理厂</w:t>
                  </w:r>
                </w:p>
              </w:tc>
              <w:tc>
                <w:tcPr>
                  <w:tcW w:w="406" w:type="pct"/>
                  <w:vMerge w:val="restart"/>
                  <w:tcBorders>
                    <w:tl2br w:val="nil"/>
                    <w:tr2bl w:val="nil"/>
                  </w:tcBorders>
                  <w:noWrap w:val="0"/>
                  <w:vAlign w:val="center"/>
                </w:tcPr>
                <w:p w14:paraId="0BD6CE2D">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间歇排放</w:t>
                  </w:r>
                </w:p>
              </w:tc>
              <w:tc>
                <w:tcPr>
                  <w:tcW w:w="561" w:type="pct"/>
                  <w:tcBorders>
                    <w:tl2br w:val="nil"/>
                    <w:tr2bl w:val="nil"/>
                  </w:tcBorders>
                  <w:noWrap w:val="0"/>
                  <w:vAlign w:val="center"/>
                </w:tcPr>
                <w:p w14:paraId="78FEB8DC">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TW00</w:t>
                  </w:r>
                  <w:r>
                    <w:rPr>
                      <w:rFonts w:hint="eastAsia"/>
                      <w:color w:val="auto"/>
                      <w:sz w:val="21"/>
                      <w:szCs w:val="21"/>
                      <w:highlight w:val="none"/>
                    </w:rPr>
                    <w:t>1</w:t>
                  </w:r>
                </w:p>
              </w:tc>
              <w:tc>
                <w:tcPr>
                  <w:tcW w:w="565" w:type="pct"/>
                  <w:tcBorders>
                    <w:tl2br w:val="nil"/>
                    <w:tr2bl w:val="nil"/>
                  </w:tcBorders>
                  <w:noWrap w:val="0"/>
                  <w:vAlign w:val="center"/>
                </w:tcPr>
                <w:p w14:paraId="32D85350">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隔油池</w:t>
                  </w:r>
                </w:p>
              </w:tc>
              <w:tc>
                <w:tcPr>
                  <w:tcW w:w="601" w:type="pct"/>
                  <w:tcBorders>
                    <w:tl2br w:val="nil"/>
                    <w:tr2bl w:val="nil"/>
                  </w:tcBorders>
                  <w:noWrap w:val="0"/>
                  <w:vAlign w:val="center"/>
                </w:tcPr>
                <w:p w14:paraId="1A3D2F55">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隔油、沉淀</w:t>
                  </w:r>
                </w:p>
              </w:tc>
              <w:tc>
                <w:tcPr>
                  <w:tcW w:w="536" w:type="pct"/>
                  <w:tcBorders>
                    <w:tl2br w:val="nil"/>
                    <w:tr2bl w:val="nil"/>
                  </w:tcBorders>
                  <w:noWrap w:val="0"/>
                  <w:vAlign w:val="center"/>
                </w:tcPr>
                <w:p w14:paraId="27F4EBFA">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是</w:t>
                  </w:r>
                </w:p>
              </w:tc>
            </w:tr>
            <w:tr w14:paraId="56FC7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 w:type="pct"/>
                  <w:tcBorders>
                    <w:tl2br w:val="nil"/>
                    <w:tr2bl w:val="nil"/>
                  </w:tcBorders>
                  <w:noWrap w:val="0"/>
                  <w:vAlign w:val="center"/>
                </w:tcPr>
                <w:p w14:paraId="39195EB2">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3</w:t>
                  </w:r>
                </w:p>
              </w:tc>
              <w:tc>
                <w:tcPr>
                  <w:tcW w:w="434" w:type="pct"/>
                  <w:tcBorders>
                    <w:tl2br w:val="nil"/>
                    <w:tr2bl w:val="nil"/>
                  </w:tcBorders>
                  <w:noWrap w:val="0"/>
                  <w:vAlign w:val="center"/>
                </w:tcPr>
                <w:p w14:paraId="15FA761E">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生活污水</w:t>
                  </w:r>
                </w:p>
              </w:tc>
              <w:tc>
                <w:tcPr>
                  <w:tcW w:w="986" w:type="pct"/>
                  <w:tcBorders>
                    <w:tl2br w:val="nil"/>
                    <w:tr2bl w:val="nil"/>
                  </w:tcBorders>
                  <w:noWrap w:val="0"/>
                  <w:vAlign w:val="center"/>
                </w:tcPr>
                <w:p w14:paraId="4ECEA958">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pH、CODCr、BOD5、SS、NH3-N</w:t>
                  </w:r>
                  <w:r>
                    <w:rPr>
                      <w:rFonts w:hint="eastAsia"/>
                      <w:color w:val="auto"/>
                      <w:sz w:val="21"/>
                      <w:szCs w:val="21"/>
                      <w:highlight w:val="none"/>
                    </w:rPr>
                    <w:t>、总磷、总氮</w:t>
                  </w:r>
                </w:p>
              </w:tc>
              <w:tc>
                <w:tcPr>
                  <w:tcW w:w="624" w:type="pct"/>
                  <w:vMerge w:val="continue"/>
                  <w:tcBorders>
                    <w:tl2br w:val="nil"/>
                    <w:tr2bl w:val="nil"/>
                  </w:tcBorders>
                  <w:noWrap w:val="0"/>
                  <w:vAlign w:val="center"/>
                </w:tcPr>
                <w:p w14:paraId="14910264">
                  <w:pPr>
                    <w:keepNext w:val="0"/>
                    <w:keepLines w:val="0"/>
                    <w:suppressLineNumbers w:val="0"/>
                    <w:bidi w:val="0"/>
                    <w:spacing w:before="0" w:beforeAutospacing="0" w:after="0" w:afterAutospacing="0"/>
                    <w:ind w:left="0" w:right="0"/>
                    <w:jc w:val="center"/>
                    <w:rPr>
                      <w:rFonts w:hint="default"/>
                      <w:color w:val="auto"/>
                      <w:sz w:val="21"/>
                      <w:szCs w:val="21"/>
                      <w:highlight w:val="none"/>
                    </w:rPr>
                  </w:pPr>
                </w:p>
              </w:tc>
              <w:tc>
                <w:tcPr>
                  <w:tcW w:w="406" w:type="pct"/>
                  <w:vMerge w:val="continue"/>
                  <w:tcBorders>
                    <w:tl2br w:val="nil"/>
                    <w:tr2bl w:val="nil"/>
                  </w:tcBorders>
                  <w:noWrap w:val="0"/>
                  <w:vAlign w:val="center"/>
                </w:tcPr>
                <w:p w14:paraId="4ADFA63F">
                  <w:pPr>
                    <w:keepNext w:val="0"/>
                    <w:keepLines w:val="0"/>
                    <w:suppressLineNumbers w:val="0"/>
                    <w:bidi w:val="0"/>
                    <w:spacing w:before="0" w:beforeAutospacing="0" w:after="0" w:afterAutospacing="0"/>
                    <w:ind w:left="0" w:right="0"/>
                    <w:jc w:val="center"/>
                    <w:rPr>
                      <w:rFonts w:hint="default"/>
                      <w:color w:val="auto"/>
                      <w:sz w:val="21"/>
                      <w:szCs w:val="21"/>
                      <w:highlight w:val="none"/>
                    </w:rPr>
                  </w:pPr>
                </w:p>
              </w:tc>
              <w:tc>
                <w:tcPr>
                  <w:tcW w:w="561" w:type="pct"/>
                  <w:tcBorders>
                    <w:tl2br w:val="nil"/>
                    <w:tr2bl w:val="nil"/>
                  </w:tcBorders>
                  <w:noWrap w:val="0"/>
                  <w:vAlign w:val="center"/>
                </w:tcPr>
                <w:p w14:paraId="0B7CF6F8">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TW00</w:t>
                  </w:r>
                  <w:r>
                    <w:rPr>
                      <w:rFonts w:hint="eastAsia"/>
                      <w:color w:val="auto"/>
                      <w:sz w:val="21"/>
                      <w:szCs w:val="21"/>
                      <w:highlight w:val="none"/>
                    </w:rPr>
                    <w:t>2</w:t>
                  </w:r>
                </w:p>
              </w:tc>
              <w:tc>
                <w:tcPr>
                  <w:tcW w:w="565" w:type="pct"/>
                  <w:tcBorders>
                    <w:tl2br w:val="nil"/>
                    <w:tr2bl w:val="nil"/>
                  </w:tcBorders>
                  <w:noWrap w:val="0"/>
                  <w:vAlign w:val="center"/>
                </w:tcPr>
                <w:p w14:paraId="2A94DB0E">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化粪池</w:t>
                  </w:r>
                </w:p>
              </w:tc>
              <w:tc>
                <w:tcPr>
                  <w:tcW w:w="601" w:type="pct"/>
                  <w:tcBorders>
                    <w:tl2br w:val="nil"/>
                    <w:tr2bl w:val="nil"/>
                  </w:tcBorders>
                  <w:noWrap w:val="0"/>
                  <w:vAlign w:val="center"/>
                </w:tcPr>
                <w:p w14:paraId="211553CE">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生物厌氧</w:t>
                  </w:r>
                </w:p>
              </w:tc>
              <w:tc>
                <w:tcPr>
                  <w:tcW w:w="536" w:type="pct"/>
                  <w:tcBorders>
                    <w:tl2br w:val="nil"/>
                    <w:tr2bl w:val="nil"/>
                  </w:tcBorders>
                  <w:noWrap w:val="0"/>
                  <w:vAlign w:val="center"/>
                </w:tcPr>
                <w:p w14:paraId="6D141FA2">
                  <w:pPr>
                    <w:keepNext w:val="0"/>
                    <w:keepLines w:val="0"/>
                    <w:suppressLineNumbers w:val="0"/>
                    <w:bidi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是</w:t>
                  </w:r>
                </w:p>
              </w:tc>
            </w:tr>
          </w:tbl>
          <w:p w14:paraId="69AD9EE0">
            <w:pPr>
              <w:keepNext w:val="0"/>
              <w:keepLines w:val="0"/>
              <w:widowControl/>
              <w:numPr>
                <w:ilvl w:val="0"/>
                <w:numId w:val="0"/>
              </w:numPr>
              <w:suppressLineNumbers w:val="0"/>
              <w:spacing w:before="0" w:beforeAutospacing="0" w:after="0" w:afterAutospacing="0" w:line="360" w:lineRule="auto"/>
              <w:ind w:left="480" w:leftChars="0" w:right="0"/>
              <w:jc w:val="left"/>
              <w:rPr>
                <w:rFonts w:hint="default"/>
                <w:b/>
                <w:bCs/>
                <w:color w:val="auto"/>
                <w:sz w:val="24"/>
                <w:highlight w:val="none"/>
              </w:rPr>
            </w:pPr>
            <w:r>
              <w:rPr>
                <w:rFonts w:hint="eastAsia"/>
                <w:b/>
                <w:bCs/>
                <w:color w:val="auto"/>
                <w:sz w:val="24"/>
                <w:highlight w:val="none"/>
                <w:lang w:val="en-US" w:eastAsia="zh-CN"/>
              </w:rPr>
              <w:t>②</w:t>
            </w:r>
            <w:r>
              <w:rPr>
                <w:rFonts w:hint="eastAsia"/>
                <w:b/>
                <w:bCs/>
                <w:color w:val="auto"/>
                <w:sz w:val="24"/>
                <w:highlight w:val="none"/>
              </w:rPr>
              <w:t>排放口基本信息</w:t>
            </w:r>
          </w:p>
          <w:p w14:paraId="67ED4B21">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eastAsia="黑体" w:cs="Times New Roman"/>
                <w:b/>
                <w:bCs/>
                <w:color w:val="auto"/>
                <w:kern w:val="0"/>
                <w:sz w:val="21"/>
                <w:szCs w:val="21"/>
                <w:highlight w:val="none"/>
                <w:lang w:val="en-US" w:eastAsia="zh-CN"/>
              </w:rPr>
            </w:pPr>
            <w:r>
              <w:rPr>
                <w:rFonts w:hint="default" w:ascii="Times New Roman" w:hAnsi="Times New Roman" w:eastAsia="黑体" w:cs="Times New Roman"/>
                <w:b/>
                <w:bCs/>
                <w:color w:val="auto"/>
                <w:kern w:val="0"/>
                <w:sz w:val="21"/>
                <w:szCs w:val="21"/>
                <w:highlight w:val="none"/>
                <w:lang w:val="en-US" w:eastAsia="zh-CN"/>
              </w:rPr>
              <w:t>表</w:t>
            </w:r>
            <w:r>
              <w:rPr>
                <w:rFonts w:hint="eastAsia" w:ascii="Times New Roman" w:hAnsi="Times New Roman" w:eastAsia="黑体" w:cs="Times New Roman"/>
                <w:b/>
                <w:bCs/>
                <w:color w:val="auto"/>
                <w:kern w:val="0"/>
                <w:sz w:val="21"/>
                <w:szCs w:val="21"/>
                <w:highlight w:val="none"/>
                <w:lang w:val="en-US" w:eastAsia="zh-CN"/>
              </w:rPr>
              <w:t>4</w:t>
            </w:r>
            <w:r>
              <w:rPr>
                <w:rFonts w:hint="default" w:ascii="Times New Roman" w:hAnsi="Times New Roman" w:eastAsia="黑体" w:cs="Times New Roman"/>
                <w:b/>
                <w:bCs/>
                <w:color w:val="auto"/>
                <w:kern w:val="0"/>
                <w:sz w:val="21"/>
                <w:szCs w:val="21"/>
                <w:highlight w:val="none"/>
                <w:lang w:val="en-US" w:eastAsia="zh-CN"/>
              </w:rPr>
              <w:t>-</w:t>
            </w:r>
            <w:r>
              <w:rPr>
                <w:rFonts w:hint="eastAsia" w:ascii="Times New Roman" w:hAnsi="Times New Roman" w:eastAsia="黑体" w:cs="Times New Roman"/>
                <w:b/>
                <w:bCs/>
                <w:color w:val="auto"/>
                <w:kern w:val="0"/>
                <w:sz w:val="21"/>
                <w:szCs w:val="21"/>
                <w:highlight w:val="none"/>
                <w:lang w:val="en-US" w:eastAsia="zh-CN"/>
              </w:rPr>
              <w:t>1</w:t>
            </w:r>
            <w:r>
              <w:rPr>
                <w:rFonts w:hint="eastAsia" w:eastAsia="黑体" w:cs="Times New Roman"/>
                <w:b/>
                <w:bCs/>
                <w:color w:val="auto"/>
                <w:kern w:val="0"/>
                <w:sz w:val="21"/>
                <w:szCs w:val="21"/>
                <w:highlight w:val="none"/>
                <w:lang w:val="en-US" w:eastAsia="zh-CN"/>
              </w:rPr>
              <w:t>1</w:t>
            </w:r>
            <w:r>
              <w:rPr>
                <w:rFonts w:hint="eastAsia" w:ascii="Times New Roman" w:hAnsi="Times New Roman" w:eastAsia="黑体" w:cs="Times New Roman"/>
                <w:b/>
                <w:bCs/>
                <w:color w:val="auto"/>
                <w:kern w:val="0"/>
                <w:sz w:val="21"/>
                <w:szCs w:val="21"/>
                <w:highlight w:val="none"/>
                <w:lang w:val="en-US" w:eastAsia="zh-CN"/>
              </w:rPr>
              <w:t xml:space="preserve">  排放口基本情况表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750"/>
              <w:gridCol w:w="668"/>
              <w:gridCol w:w="883"/>
              <w:gridCol w:w="814"/>
              <w:gridCol w:w="954"/>
              <w:gridCol w:w="954"/>
              <w:gridCol w:w="921"/>
              <w:gridCol w:w="2039"/>
            </w:tblGrid>
            <w:tr w14:paraId="7F732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515" w:type="pct"/>
                  <w:vMerge w:val="restart"/>
                  <w:tcBorders>
                    <w:tl2br w:val="nil"/>
                    <w:tr2bl w:val="nil"/>
                  </w:tcBorders>
                  <w:noWrap w:val="0"/>
                  <w:vAlign w:val="center"/>
                </w:tcPr>
                <w:p w14:paraId="2D56747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产污环节</w:t>
                  </w:r>
                </w:p>
              </w:tc>
              <w:tc>
                <w:tcPr>
                  <w:tcW w:w="421" w:type="pct"/>
                  <w:vMerge w:val="restart"/>
                  <w:tcBorders>
                    <w:tl2br w:val="nil"/>
                    <w:tr2bl w:val="nil"/>
                  </w:tcBorders>
                  <w:noWrap w:val="0"/>
                  <w:vAlign w:val="center"/>
                </w:tcPr>
                <w:p w14:paraId="2282B73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类别</w:t>
                  </w:r>
                </w:p>
              </w:tc>
              <w:tc>
                <w:tcPr>
                  <w:tcW w:w="375" w:type="pct"/>
                  <w:vMerge w:val="restart"/>
                  <w:tcBorders>
                    <w:tl2br w:val="nil"/>
                    <w:tr2bl w:val="nil"/>
                  </w:tcBorders>
                  <w:noWrap w:val="0"/>
                  <w:vAlign w:val="center"/>
                </w:tcPr>
                <w:p w14:paraId="40F6B6E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排放方式</w:t>
                  </w:r>
                </w:p>
              </w:tc>
              <w:tc>
                <w:tcPr>
                  <w:tcW w:w="496" w:type="pct"/>
                  <w:vMerge w:val="restart"/>
                  <w:tcBorders>
                    <w:tl2br w:val="nil"/>
                    <w:tr2bl w:val="nil"/>
                  </w:tcBorders>
                  <w:noWrap w:val="0"/>
                  <w:vAlign w:val="center"/>
                </w:tcPr>
                <w:p w14:paraId="5885E9C2">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排放去向</w:t>
                  </w:r>
                </w:p>
              </w:tc>
              <w:tc>
                <w:tcPr>
                  <w:tcW w:w="457" w:type="pct"/>
                  <w:vMerge w:val="restart"/>
                  <w:tcBorders>
                    <w:tl2br w:val="nil"/>
                    <w:tr2bl w:val="nil"/>
                  </w:tcBorders>
                  <w:noWrap w:val="0"/>
                  <w:vAlign w:val="center"/>
                </w:tcPr>
                <w:p w14:paraId="78CBBD8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排放规律</w:t>
                  </w:r>
                </w:p>
              </w:tc>
              <w:tc>
                <w:tcPr>
                  <w:tcW w:w="2734" w:type="pct"/>
                  <w:gridSpan w:val="4"/>
                  <w:tcBorders>
                    <w:tl2br w:val="nil"/>
                    <w:tr2bl w:val="nil"/>
                  </w:tcBorders>
                  <w:noWrap w:val="0"/>
                  <w:vAlign w:val="center"/>
                </w:tcPr>
                <w:p w14:paraId="393C7BD7">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排放口情况</w:t>
                  </w:r>
                </w:p>
              </w:tc>
            </w:tr>
            <w:tr w14:paraId="626C4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15" w:type="pct"/>
                  <w:vMerge w:val="continue"/>
                  <w:tcBorders>
                    <w:tl2br w:val="nil"/>
                    <w:tr2bl w:val="nil"/>
                  </w:tcBorders>
                  <w:noWrap w:val="0"/>
                  <w:vAlign w:val="center"/>
                </w:tcPr>
                <w:p w14:paraId="17AAD4C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421" w:type="pct"/>
                  <w:vMerge w:val="continue"/>
                  <w:tcBorders>
                    <w:tl2br w:val="nil"/>
                    <w:tr2bl w:val="nil"/>
                  </w:tcBorders>
                  <w:noWrap w:val="0"/>
                  <w:vAlign w:val="center"/>
                </w:tcPr>
                <w:p w14:paraId="7E17EFE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375" w:type="pct"/>
                  <w:vMerge w:val="continue"/>
                  <w:tcBorders>
                    <w:tl2br w:val="nil"/>
                    <w:tr2bl w:val="nil"/>
                  </w:tcBorders>
                  <w:noWrap w:val="0"/>
                  <w:vAlign w:val="center"/>
                </w:tcPr>
                <w:p w14:paraId="4D04C49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496" w:type="pct"/>
                  <w:vMerge w:val="continue"/>
                  <w:tcBorders>
                    <w:tl2br w:val="nil"/>
                    <w:tr2bl w:val="nil"/>
                  </w:tcBorders>
                  <w:noWrap w:val="0"/>
                  <w:vAlign w:val="center"/>
                </w:tcPr>
                <w:p w14:paraId="65C8E1B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457" w:type="pct"/>
                  <w:vMerge w:val="continue"/>
                  <w:tcBorders>
                    <w:tl2br w:val="nil"/>
                    <w:tr2bl w:val="nil"/>
                  </w:tcBorders>
                  <w:noWrap w:val="0"/>
                  <w:vAlign w:val="center"/>
                </w:tcPr>
                <w:p w14:paraId="52898DC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536" w:type="pct"/>
                  <w:tcBorders>
                    <w:tl2br w:val="nil"/>
                    <w:tr2bl w:val="nil"/>
                  </w:tcBorders>
                  <w:noWrap w:val="0"/>
                  <w:vAlign w:val="center"/>
                </w:tcPr>
                <w:p w14:paraId="3A66980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编号</w:t>
                  </w:r>
                </w:p>
              </w:tc>
              <w:tc>
                <w:tcPr>
                  <w:tcW w:w="536" w:type="pct"/>
                  <w:tcBorders>
                    <w:tl2br w:val="nil"/>
                    <w:tr2bl w:val="nil"/>
                  </w:tcBorders>
                  <w:noWrap w:val="0"/>
                  <w:vAlign w:val="center"/>
                </w:tcPr>
                <w:p w14:paraId="58E817E4">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名称</w:t>
                  </w:r>
                </w:p>
              </w:tc>
              <w:tc>
                <w:tcPr>
                  <w:tcW w:w="517" w:type="pct"/>
                  <w:tcBorders>
                    <w:tl2br w:val="nil"/>
                    <w:tr2bl w:val="nil"/>
                  </w:tcBorders>
                  <w:noWrap w:val="0"/>
                  <w:vAlign w:val="center"/>
                </w:tcPr>
                <w:p w14:paraId="483DCF33">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类型</w:t>
                  </w:r>
                </w:p>
              </w:tc>
              <w:tc>
                <w:tcPr>
                  <w:tcW w:w="1144" w:type="pct"/>
                  <w:tcBorders>
                    <w:tl2br w:val="nil"/>
                    <w:tr2bl w:val="nil"/>
                  </w:tcBorders>
                  <w:noWrap w:val="0"/>
                  <w:vAlign w:val="center"/>
                </w:tcPr>
                <w:p w14:paraId="5E0B6308">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坐标</w:t>
                  </w:r>
                </w:p>
              </w:tc>
            </w:tr>
            <w:tr w14:paraId="080A6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515" w:type="pct"/>
                  <w:tcBorders>
                    <w:tl2br w:val="nil"/>
                    <w:tr2bl w:val="nil"/>
                  </w:tcBorders>
                  <w:noWrap w:val="0"/>
                  <w:vAlign w:val="center"/>
                </w:tcPr>
                <w:p w14:paraId="170AB7AC">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地面冲洗</w:t>
                  </w:r>
                </w:p>
              </w:tc>
              <w:tc>
                <w:tcPr>
                  <w:tcW w:w="421" w:type="pct"/>
                  <w:tcBorders>
                    <w:tl2br w:val="nil"/>
                    <w:tr2bl w:val="nil"/>
                  </w:tcBorders>
                  <w:noWrap w:val="0"/>
                  <w:vAlign w:val="center"/>
                </w:tcPr>
                <w:p w14:paraId="77BAF487">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地面冲洗</w:t>
                  </w:r>
                  <w:r>
                    <w:rPr>
                      <w:rFonts w:hint="default" w:ascii="Times New Roman" w:hAnsi="Times New Roman" w:eastAsia="宋体" w:cs="Times New Roman"/>
                      <w:color w:val="auto"/>
                      <w:sz w:val="21"/>
                      <w:szCs w:val="21"/>
                      <w:highlight w:val="none"/>
                    </w:rPr>
                    <w:t>废水</w:t>
                  </w:r>
                </w:p>
              </w:tc>
              <w:tc>
                <w:tcPr>
                  <w:tcW w:w="375" w:type="pct"/>
                  <w:vMerge w:val="restart"/>
                  <w:tcBorders>
                    <w:tl2br w:val="nil"/>
                    <w:tr2bl w:val="nil"/>
                  </w:tcBorders>
                  <w:noWrap w:val="0"/>
                  <w:vAlign w:val="center"/>
                </w:tcPr>
                <w:p w14:paraId="7E6027C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间接排放</w:t>
                  </w:r>
                </w:p>
              </w:tc>
              <w:tc>
                <w:tcPr>
                  <w:tcW w:w="496" w:type="pct"/>
                  <w:vMerge w:val="restart"/>
                  <w:tcBorders>
                    <w:tl2br w:val="nil"/>
                    <w:tr2bl w:val="nil"/>
                  </w:tcBorders>
                  <w:noWrap w:val="0"/>
                  <w:vAlign w:val="center"/>
                </w:tcPr>
                <w:p w14:paraId="0C3737C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达州市通川区魏兴场镇污水处理厂</w:t>
                  </w:r>
                </w:p>
              </w:tc>
              <w:tc>
                <w:tcPr>
                  <w:tcW w:w="457" w:type="pct"/>
                  <w:vMerge w:val="restart"/>
                  <w:tcBorders>
                    <w:tl2br w:val="nil"/>
                    <w:tr2bl w:val="nil"/>
                  </w:tcBorders>
                  <w:noWrap w:val="0"/>
                  <w:vAlign w:val="center"/>
                </w:tcPr>
                <w:p w14:paraId="74785E45">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连续</w:t>
                  </w:r>
                  <w:r>
                    <w:rPr>
                      <w:rFonts w:hint="default" w:ascii="Times New Roman" w:hAnsi="Times New Roman" w:eastAsia="宋体" w:cs="Times New Roman"/>
                      <w:color w:val="auto"/>
                      <w:sz w:val="21"/>
                      <w:szCs w:val="21"/>
                      <w:highlight w:val="none"/>
                    </w:rPr>
                    <w:t>排放</w:t>
                  </w:r>
                </w:p>
              </w:tc>
              <w:tc>
                <w:tcPr>
                  <w:tcW w:w="536" w:type="pct"/>
                  <w:vMerge w:val="restart"/>
                  <w:tcBorders>
                    <w:tl2br w:val="nil"/>
                    <w:tr2bl w:val="nil"/>
                  </w:tcBorders>
                  <w:noWrap w:val="0"/>
                  <w:vAlign w:val="center"/>
                </w:tcPr>
                <w:p w14:paraId="6E2686F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DW001</w:t>
                  </w:r>
                </w:p>
              </w:tc>
              <w:tc>
                <w:tcPr>
                  <w:tcW w:w="536" w:type="pct"/>
                  <w:vMerge w:val="restart"/>
                  <w:tcBorders>
                    <w:tl2br w:val="nil"/>
                    <w:tr2bl w:val="nil"/>
                  </w:tcBorders>
                  <w:noWrap w:val="0"/>
                  <w:vAlign w:val="center"/>
                </w:tcPr>
                <w:p w14:paraId="4D64657E">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废水总排口</w:t>
                  </w:r>
                </w:p>
              </w:tc>
              <w:tc>
                <w:tcPr>
                  <w:tcW w:w="517" w:type="pct"/>
                  <w:vMerge w:val="restart"/>
                  <w:tcBorders>
                    <w:tl2br w:val="nil"/>
                    <w:tr2bl w:val="nil"/>
                  </w:tcBorders>
                  <w:noWrap w:val="0"/>
                  <w:vAlign w:val="center"/>
                </w:tcPr>
                <w:p w14:paraId="76A8791F">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一般排放口</w:t>
                  </w:r>
                </w:p>
              </w:tc>
              <w:tc>
                <w:tcPr>
                  <w:tcW w:w="1144" w:type="pct"/>
                  <w:vMerge w:val="restart"/>
                  <w:tcBorders>
                    <w:tl2br w:val="nil"/>
                    <w:tr2bl w:val="nil"/>
                  </w:tcBorders>
                  <w:noWrap w:val="0"/>
                  <w:vAlign w:val="center"/>
                </w:tcPr>
                <w:p w14:paraId="40E7DD18">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东经：107.504512</w:t>
                  </w:r>
                </w:p>
                <w:p w14:paraId="20AD2D58">
                  <w:pPr>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北纬：31.342329</w:t>
                  </w:r>
                </w:p>
              </w:tc>
            </w:tr>
            <w:tr w14:paraId="4CB5C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15" w:type="pct"/>
                  <w:tcBorders>
                    <w:tl2br w:val="nil"/>
                    <w:tr2bl w:val="nil"/>
                  </w:tcBorders>
                  <w:noWrap w:val="0"/>
                  <w:vAlign w:val="center"/>
                </w:tcPr>
                <w:p w14:paraId="470C7891">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员工及司乘人员用水</w:t>
                  </w:r>
                </w:p>
              </w:tc>
              <w:tc>
                <w:tcPr>
                  <w:tcW w:w="421" w:type="pct"/>
                  <w:tcBorders>
                    <w:tl2br w:val="nil"/>
                    <w:tr2bl w:val="nil"/>
                  </w:tcBorders>
                  <w:noWrap w:val="0"/>
                  <w:vAlign w:val="center"/>
                </w:tcPr>
                <w:p w14:paraId="0CA3A686">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生活污水</w:t>
                  </w:r>
                </w:p>
              </w:tc>
              <w:tc>
                <w:tcPr>
                  <w:tcW w:w="375" w:type="pct"/>
                  <w:vMerge w:val="continue"/>
                  <w:tcBorders>
                    <w:tl2br w:val="nil"/>
                    <w:tr2bl w:val="nil"/>
                  </w:tcBorders>
                  <w:noWrap w:val="0"/>
                  <w:vAlign w:val="center"/>
                </w:tcPr>
                <w:p w14:paraId="69C35489">
                  <w:pPr>
                    <w:keepNext w:val="0"/>
                    <w:keepLines w:val="0"/>
                    <w:suppressLineNumbers w:val="0"/>
                    <w:adjustRightInd w:val="0"/>
                    <w:snapToGrid w:val="0"/>
                    <w:spacing w:before="0" w:beforeAutospacing="0" w:after="0" w:afterAutospacing="0" w:line="25" w:lineRule="atLeast"/>
                    <w:ind w:left="0" w:right="0"/>
                    <w:jc w:val="center"/>
                    <w:rPr>
                      <w:rFonts w:hint="default"/>
                      <w:color w:val="auto"/>
                      <w:kern w:val="0"/>
                      <w:szCs w:val="21"/>
                      <w:highlight w:val="none"/>
                    </w:rPr>
                  </w:pPr>
                </w:p>
              </w:tc>
              <w:tc>
                <w:tcPr>
                  <w:tcW w:w="496" w:type="pct"/>
                  <w:vMerge w:val="continue"/>
                  <w:tcBorders>
                    <w:tl2br w:val="nil"/>
                    <w:tr2bl w:val="nil"/>
                  </w:tcBorders>
                  <w:noWrap w:val="0"/>
                  <w:vAlign w:val="center"/>
                </w:tcPr>
                <w:p w14:paraId="440A55D6">
                  <w:pPr>
                    <w:keepNext w:val="0"/>
                    <w:keepLines w:val="0"/>
                    <w:widowControl/>
                    <w:suppressLineNumbers w:val="0"/>
                    <w:spacing w:before="0" w:beforeAutospacing="0" w:after="0" w:afterAutospacing="0"/>
                    <w:ind w:left="0" w:right="0"/>
                    <w:jc w:val="center"/>
                    <w:rPr>
                      <w:rFonts w:hint="default"/>
                      <w:color w:val="auto"/>
                      <w:kern w:val="0"/>
                      <w:szCs w:val="21"/>
                      <w:highlight w:val="none"/>
                    </w:rPr>
                  </w:pPr>
                </w:p>
              </w:tc>
              <w:tc>
                <w:tcPr>
                  <w:tcW w:w="457" w:type="pct"/>
                  <w:vMerge w:val="continue"/>
                  <w:tcBorders>
                    <w:tl2br w:val="nil"/>
                    <w:tr2bl w:val="nil"/>
                  </w:tcBorders>
                  <w:noWrap w:val="0"/>
                  <w:vAlign w:val="center"/>
                </w:tcPr>
                <w:p w14:paraId="342223FA">
                  <w:pPr>
                    <w:keepNext w:val="0"/>
                    <w:keepLines w:val="0"/>
                    <w:widowControl/>
                    <w:suppressLineNumbers w:val="0"/>
                    <w:spacing w:before="0" w:beforeAutospacing="0" w:after="0" w:afterAutospacing="0"/>
                    <w:ind w:left="0" w:right="0"/>
                    <w:jc w:val="center"/>
                    <w:rPr>
                      <w:rFonts w:hint="default"/>
                      <w:color w:val="auto"/>
                      <w:kern w:val="0"/>
                      <w:szCs w:val="21"/>
                      <w:highlight w:val="none"/>
                    </w:rPr>
                  </w:pPr>
                </w:p>
              </w:tc>
              <w:tc>
                <w:tcPr>
                  <w:tcW w:w="536" w:type="pct"/>
                  <w:vMerge w:val="continue"/>
                  <w:tcBorders>
                    <w:tl2br w:val="nil"/>
                    <w:tr2bl w:val="nil"/>
                  </w:tcBorders>
                  <w:noWrap w:val="0"/>
                  <w:vAlign w:val="center"/>
                </w:tcPr>
                <w:p w14:paraId="39BC4464">
                  <w:pPr>
                    <w:keepNext w:val="0"/>
                    <w:keepLines w:val="0"/>
                    <w:widowControl/>
                    <w:suppressLineNumbers w:val="0"/>
                    <w:spacing w:before="0" w:beforeAutospacing="0" w:after="0" w:afterAutospacing="0"/>
                    <w:ind w:left="0" w:right="0"/>
                    <w:jc w:val="center"/>
                    <w:rPr>
                      <w:rFonts w:hint="default"/>
                      <w:color w:val="auto"/>
                      <w:kern w:val="0"/>
                      <w:szCs w:val="21"/>
                      <w:highlight w:val="none"/>
                    </w:rPr>
                  </w:pPr>
                </w:p>
              </w:tc>
              <w:tc>
                <w:tcPr>
                  <w:tcW w:w="536" w:type="pct"/>
                  <w:vMerge w:val="continue"/>
                  <w:tcBorders>
                    <w:tl2br w:val="nil"/>
                    <w:tr2bl w:val="nil"/>
                  </w:tcBorders>
                  <w:noWrap w:val="0"/>
                  <w:vAlign w:val="center"/>
                </w:tcPr>
                <w:p w14:paraId="186AF812">
                  <w:pPr>
                    <w:keepNext w:val="0"/>
                    <w:keepLines w:val="0"/>
                    <w:widowControl/>
                    <w:suppressLineNumbers w:val="0"/>
                    <w:spacing w:before="0" w:beforeAutospacing="0" w:after="0" w:afterAutospacing="0"/>
                    <w:ind w:left="0" w:right="0"/>
                    <w:jc w:val="center"/>
                    <w:rPr>
                      <w:rFonts w:hint="default"/>
                      <w:color w:val="auto"/>
                      <w:kern w:val="0"/>
                      <w:szCs w:val="21"/>
                      <w:highlight w:val="none"/>
                    </w:rPr>
                  </w:pPr>
                </w:p>
              </w:tc>
              <w:tc>
                <w:tcPr>
                  <w:tcW w:w="517" w:type="pct"/>
                  <w:vMerge w:val="continue"/>
                  <w:tcBorders>
                    <w:tl2br w:val="nil"/>
                    <w:tr2bl w:val="nil"/>
                  </w:tcBorders>
                  <w:noWrap w:val="0"/>
                  <w:vAlign w:val="center"/>
                </w:tcPr>
                <w:p w14:paraId="23B9171C">
                  <w:pPr>
                    <w:keepNext w:val="0"/>
                    <w:keepLines w:val="0"/>
                    <w:widowControl/>
                    <w:suppressLineNumbers w:val="0"/>
                    <w:spacing w:before="0" w:beforeAutospacing="0" w:after="0" w:afterAutospacing="0"/>
                    <w:ind w:left="0" w:right="0"/>
                    <w:jc w:val="center"/>
                    <w:rPr>
                      <w:rFonts w:hint="default"/>
                      <w:color w:val="auto"/>
                      <w:kern w:val="0"/>
                      <w:szCs w:val="21"/>
                      <w:highlight w:val="none"/>
                    </w:rPr>
                  </w:pPr>
                </w:p>
              </w:tc>
              <w:tc>
                <w:tcPr>
                  <w:tcW w:w="1144" w:type="pct"/>
                  <w:vMerge w:val="continue"/>
                  <w:tcBorders>
                    <w:tl2br w:val="nil"/>
                    <w:tr2bl w:val="nil"/>
                  </w:tcBorders>
                  <w:noWrap w:val="0"/>
                  <w:vAlign w:val="center"/>
                </w:tcPr>
                <w:p w14:paraId="2EA7EEBA">
                  <w:pPr>
                    <w:keepNext w:val="0"/>
                    <w:keepLines w:val="0"/>
                    <w:widowControl/>
                    <w:suppressLineNumbers w:val="0"/>
                    <w:spacing w:before="0" w:beforeAutospacing="0" w:after="0" w:afterAutospacing="0"/>
                    <w:ind w:left="0" w:right="0"/>
                    <w:jc w:val="center"/>
                    <w:rPr>
                      <w:rFonts w:hint="default"/>
                      <w:color w:val="auto"/>
                      <w:kern w:val="0"/>
                      <w:szCs w:val="21"/>
                      <w:highlight w:val="none"/>
                    </w:rPr>
                  </w:pPr>
                </w:p>
              </w:tc>
            </w:tr>
          </w:tbl>
          <w:p w14:paraId="61E5EF36">
            <w:pPr>
              <w:keepNext w:val="0"/>
              <w:keepLines w:val="0"/>
              <w:numPr>
                <w:ilvl w:val="0"/>
                <w:numId w:val="0"/>
              </w:numPr>
              <w:suppressLineNumbers w:val="0"/>
              <w:spacing w:before="0" w:beforeAutospacing="0" w:after="0" w:afterAutospacing="0" w:line="360" w:lineRule="auto"/>
              <w:ind w:left="0" w:leftChars="0" w:right="0" w:rightChars="0" w:firstLine="482" w:firstLineChars="200"/>
              <w:rPr>
                <w:rFonts w:hint="default"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szCs w:val="21"/>
                <w:highlight w:val="none"/>
                <w:lang w:val="en-US" w:eastAsia="zh-CN" w:bidi="ar-SA"/>
              </w:rPr>
              <w:t>（3）</w:t>
            </w:r>
            <w:r>
              <w:rPr>
                <w:rFonts w:hint="eastAsia" w:cs="Times New Roman"/>
                <w:b/>
                <w:bCs/>
                <w:color w:val="auto"/>
                <w:kern w:val="0"/>
                <w:sz w:val="24"/>
                <w:highlight w:val="none"/>
                <w:lang w:val="en-US" w:eastAsia="zh-CN"/>
              </w:rPr>
              <w:t>洗车废水处理系统可行性分析</w:t>
            </w:r>
          </w:p>
          <w:p w14:paraId="3189A3BE">
            <w:pPr>
              <w:keepNext w:val="0"/>
              <w:keepLines w:val="0"/>
              <w:suppressLineNumbers w:val="0"/>
              <w:spacing w:before="0" w:beforeAutospacing="0" w:after="0" w:afterAutospacing="0" w:line="360" w:lineRule="auto"/>
              <w:ind w:left="0" w:right="0" w:firstLine="480"/>
              <w:rPr>
                <w:rFonts w:hint="default"/>
                <w:b/>
                <w:bCs/>
                <w:color w:val="000000" w:themeColor="text1"/>
                <w14:textFill>
                  <w14:solidFill>
                    <w14:schemeClr w14:val="tx1"/>
                  </w14:solidFill>
                </w14:textFill>
              </w:rPr>
            </w:pPr>
            <w:r>
              <w:rPr>
                <w:rFonts w:hint="eastAsia" w:cs="Times New Roman"/>
                <w:b/>
                <w:bCs/>
                <w:color w:val="000000" w:themeColor="text1"/>
                <w:kern w:val="0"/>
                <w:sz w:val="24"/>
                <w:szCs w:val="21"/>
                <w:highlight w:val="none"/>
                <w:lang w:val="en-US" w:eastAsia="zh-CN" w:bidi="ar-SA"/>
                <w14:textFill>
                  <w14:solidFill>
                    <w14:schemeClr w14:val="tx1"/>
                  </w14:solidFill>
                </w14:textFill>
              </w:rPr>
              <w:t>①</w:t>
            </w:r>
            <w:r>
              <w:rPr>
                <w:rFonts w:hint="eastAsia" w:cs="Times New Roman"/>
                <w:b/>
                <w:bCs/>
                <w:color w:val="000000" w:themeColor="text1"/>
                <w:kern w:val="0"/>
                <w:sz w:val="24"/>
                <w:highlight w:val="none"/>
                <w:lang w:val="en-US" w:eastAsia="zh-CN"/>
                <w14:textFill>
                  <w14:solidFill>
                    <w14:schemeClr w14:val="tx1"/>
                  </w14:solidFill>
                </w14:textFill>
              </w:rPr>
              <w:t>洗车废水处理系统</w:t>
            </w:r>
            <w:r>
              <w:rPr>
                <w:rFonts w:hint="default"/>
                <w:b/>
                <w:bCs/>
                <w:color w:val="000000" w:themeColor="text1"/>
                <w14:textFill>
                  <w14:solidFill>
                    <w14:schemeClr w14:val="tx1"/>
                  </w14:solidFill>
                </w14:textFill>
              </w:rPr>
              <w:t>工艺：</w:t>
            </w:r>
          </w:p>
          <w:p w14:paraId="000EEB09">
            <w:pPr>
              <w:keepNext w:val="0"/>
              <w:keepLines w:val="0"/>
              <w:suppressLineNumbers w:val="0"/>
              <w:spacing w:before="0" w:beforeAutospacing="0" w:after="0" w:afterAutospacing="0" w:line="360" w:lineRule="auto"/>
              <w:ind w:left="0" w:right="0" w:firstLine="480"/>
              <w:rPr>
                <w:rFonts w:hint="default"/>
                <w:b w:val="0"/>
                <w:bCs w:val="0"/>
                <w:color w:val="000000" w:themeColor="text1"/>
                <w14:textFill>
                  <w14:solidFill>
                    <w14:schemeClr w14:val="tx1"/>
                  </w14:solidFill>
                </w14:textFill>
              </w:rPr>
            </w:pPr>
            <w:r>
              <w:rPr>
                <w:rFonts w:hint="default"/>
                <w:b w:val="0"/>
                <w:bCs w:val="0"/>
                <w:color w:val="000000" w:themeColor="text1"/>
                <w14:textFill>
                  <w14:solidFill>
                    <w14:schemeClr w14:val="tx1"/>
                  </w14:solidFill>
                </w14:textFill>
              </w:rPr>
              <w:t>根据建设单位提供的资料，项目配套建设的废水处理系统</w:t>
            </w:r>
            <w:r>
              <w:rPr>
                <w:rFonts w:hint="eastAsia"/>
                <w:b w:val="0"/>
                <w:bCs w:val="0"/>
                <w:color w:val="000000" w:themeColor="text1"/>
                <w:lang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采用“隔油+絮凝沉淀+光催化氧化”工艺</w:t>
            </w:r>
            <w:r>
              <w:rPr>
                <w:rFonts w:hint="eastAsia"/>
                <w:b w:val="0"/>
                <w:bCs w:val="0"/>
                <w:color w:val="000000" w:themeColor="text1"/>
                <w:lang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废水处理能力</w:t>
            </w:r>
            <w:r>
              <w:rPr>
                <w:rFonts w:hint="default"/>
                <w:b w:val="0"/>
                <w:bCs w:val="0"/>
                <w:color w:val="000000" w:themeColor="text1"/>
                <w14:textFill>
                  <w14:solidFill>
                    <w14:schemeClr w14:val="tx1"/>
                  </w14:solidFill>
                </w14:textFill>
              </w:rPr>
              <w:t>设计规模为</w:t>
            </w:r>
            <w:r>
              <w:rPr>
                <w:rFonts w:hint="eastAsia"/>
                <w:b w:val="0"/>
                <w:bCs w:val="0"/>
                <w:color w:val="000000" w:themeColor="text1"/>
                <w:lang w:val="en-US" w:eastAsia="zh-CN"/>
                <w14:textFill>
                  <w14:solidFill>
                    <w14:schemeClr w14:val="tx1"/>
                  </w14:solidFill>
                </w14:textFill>
              </w:rPr>
              <w:t>5</w:t>
            </w:r>
            <w:r>
              <w:rPr>
                <w:rFonts w:hint="default"/>
                <w:b w:val="0"/>
                <w:bCs w:val="0"/>
                <w:color w:val="000000" w:themeColor="text1"/>
                <w14:textFill>
                  <w14:solidFill>
                    <w14:schemeClr w14:val="tx1"/>
                  </w14:solidFill>
                </w14:textFill>
              </w:rPr>
              <w:t>m</w:t>
            </w:r>
            <w:r>
              <w:rPr>
                <w:rFonts w:hint="default"/>
                <w:b w:val="0"/>
                <w:bCs w:val="0"/>
                <w:color w:val="000000" w:themeColor="text1"/>
                <w:vertAlign w:val="superscript"/>
                <w14:textFill>
                  <w14:solidFill>
                    <w14:schemeClr w14:val="tx1"/>
                  </w14:solidFill>
                </w14:textFill>
              </w:rPr>
              <w:t>3</w:t>
            </w:r>
            <w:r>
              <w:rPr>
                <w:rFonts w:hint="default"/>
                <w:b w:val="0"/>
                <w:bCs w:val="0"/>
                <w:color w:val="000000" w:themeColor="text1"/>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d</w:t>
            </w:r>
            <w:r>
              <w:rPr>
                <w:rFonts w:hint="default"/>
                <w:b w:val="0"/>
                <w:bCs w:val="0"/>
                <w:color w:val="000000" w:themeColor="text1"/>
                <w14:textFill>
                  <w14:solidFill>
                    <w14:schemeClr w14:val="tx1"/>
                  </w14:solidFill>
                </w14:textFill>
              </w:rPr>
              <w:t>，该套系统由</w:t>
            </w:r>
            <w:r>
              <w:rPr>
                <w:rFonts w:hint="eastAsia"/>
                <w:b w:val="0"/>
                <w:bCs w:val="0"/>
                <w:color w:val="000000" w:themeColor="text1"/>
                <w:lang w:val="en-US" w:eastAsia="zh-CN"/>
                <w14:textFill>
                  <w14:solidFill>
                    <w14:schemeClr w14:val="tx1"/>
                  </w14:solidFill>
                </w14:textFill>
              </w:rPr>
              <w:t>隔油</w:t>
            </w:r>
            <w:r>
              <w:rPr>
                <w:rFonts w:hint="eastAsia"/>
                <w:b w:val="0"/>
                <w:bCs w:val="0"/>
                <w:color w:val="000000" w:themeColor="text1"/>
                <w:szCs w:val="24"/>
                <w:lang w:val="en-US" w:eastAsia="zh-CN"/>
                <w14:textFill>
                  <w14:solidFill>
                    <w14:schemeClr w14:val="tx1"/>
                  </w14:solidFill>
                </w14:textFill>
              </w:rPr>
              <w:t>沉淀池</w:t>
            </w:r>
            <w:r>
              <w:rPr>
                <w:rFonts w:hint="default"/>
                <w:b w:val="0"/>
                <w:bCs w:val="0"/>
                <w:color w:val="000000" w:themeColor="text1"/>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1</w:t>
            </w:r>
            <w:r>
              <w:rPr>
                <w:rFonts w:hint="default"/>
                <w:b w:val="0"/>
                <w:bCs w:val="0"/>
                <w:color w:val="000000" w:themeColor="text1"/>
                <w14:textFill>
                  <w14:solidFill>
                    <w14:schemeClr w14:val="tx1"/>
                  </w14:solidFill>
                </w14:textFill>
              </w:rPr>
              <w:t>m</w:t>
            </w:r>
            <w:r>
              <w:rPr>
                <w:rFonts w:hint="default"/>
                <w:b w:val="0"/>
                <w:bCs w:val="0"/>
                <w:color w:val="000000" w:themeColor="text1"/>
                <w:vertAlign w:val="superscript"/>
                <w14:textFill>
                  <w14:solidFill>
                    <w14:schemeClr w14:val="tx1"/>
                  </w14:solidFill>
                </w14:textFill>
              </w:rPr>
              <w:t>3</w:t>
            </w:r>
            <w:r>
              <w:rPr>
                <w:rFonts w:hint="default"/>
                <w:b w:val="0"/>
                <w:bCs w:val="0"/>
                <w:color w:val="000000" w:themeColor="text1"/>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一体化光催化氧化洗车水循环设备（采用“絮凝沉淀+光催化氧化”工艺）</w:t>
            </w:r>
            <w:r>
              <w:rPr>
                <w:rFonts w:hint="default"/>
                <w:b w:val="0"/>
                <w:bCs w:val="0"/>
                <w:color w:val="000000" w:themeColor="text1"/>
                <w14:textFill>
                  <w14:solidFill>
                    <w14:schemeClr w14:val="tx1"/>
                  </w14:solidFill>
                </w14:textFill>
              </w:rPr>
              <w:t>、</w:t>
            </w:r>
            <w:r>
              <w:rPr>
                <w:rFonts w:hint="eastAsia"/>
                <w:b w:val="0"/>
                <w:bCs w:val="0"/>
                <w:color w:val="000000" w:themeColor="text1"/>
                <w14:textFill>
                  <w14:solidFill>
                    <w14:schemeClr w14:val="tx1"/>
                  </w14:solidFill>
                </w14:textFill>
              </w:rPr>
              <w:t>清</w:t>
            </w:r>
            <w:r>
              <w:rPr>
                <w:rFonts w:hint="default"/>
                <w:b w:val="0"/>
                <w:bCs w:val="0"/>
                <w:color w:val="000000" w:themeColor="text1"/>
                <w14:textFill>
                  <w14:solidFill>
                    <w14:schemeClr w14:val="tx1"/>
                  </w14:solidFill>
                </w14:textFill>
              </w:rPr>
              <w:t>水池（</w:t>
            </w:r>
            <w:r>
              <w:rPr>
                <w:rFonts w:hint="eastAsia"/>
                <w:b w:val="0"/>
                <w:bCs w:val="0"/>
                <w:color w:val="000000" w:themeColor="text1"/>
                <w:lang w:val="en-US" w:eastAsia="zh-CN"/>
                <w14:textFill>
                  <w14:solidFill>
                    <w14:schemeClr w14:val="tx1"/>
                  </w14:solidFill>
                </w14:textFill>
              </w:rPr>
              <w:t>3</w:t>
            </w:r>
            <w:r>
              <w:rPr>
                <w:rFonts w:hint="default"/>
                <w:b w:val="0"/>
                <w:bCs w:val="0"/>
                <w:color w:val="000000" w:themeColor="text1"/>
                <w14:textFill>
                  <w14:solidFill>
                    <w14:schemeClr w14:val="tx1"/>
                  </w14:solidFill>
                </w14:textFill>
              </w:rPr>
              <w:t>m</w:t>
            </w:r>
            <w:r>
              <w:rPr>
                <w:rFonts w:hint="default"/>
                <w:b w:val="0"/>
                <w:bCs w:val="0"/>
                <w:color w:val="000000" w:themeColor="text1"/>
                <w:vertAlign w:val="superscript"/>
                <w14:textFill>
                  <w14:solidFill>
                    <w14:schemeClr w14:val="tx1"/>
                  </w14:solidFill>
                </w14:textFill>
              </w:rPr>
              <w:t>3</w:t>
            </w:r>
            <w:r>
              <w:rPr>
                <w:rFonts w:hint="default"/>
                <w:b w:val="0"/>
                <w:bCs w:val="0"/>
                <w:color w:val="000000" w:themeColor="text1"/>
                <w14:textFill>
                  <w14:solidFill>
                    <w14:schemeClr w14:val="tx1"/>
                  </w14:solidFill>
                </w14:textFill>
              </w:rPr>
              <w:t>）等组成，废水处理工艺见下图：</w:t>
            </w:r>
          </w:p>
          <w:p w14:paraId="78D3DC3D">
            <w:pPr>
              <w:pStyle w:val="20"/>
              <w:keepNext w:val="0"/>
              <w:keepLines w:val="0"/>
              <w:suppressLineNumbers w:val="0"/>
              <w:spacing w:before="0" w:beforeAutospacing="0" w:after="0" w:afterAutospacing="0"/>
              <w:ind w:left="0" w:leftChars="0" w:right="0" w:firstLine="0" w:firstLineChars="0"/>
              <w:jc w:val="both"/>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5667375" cy="1123315"/>
                  <wp:effectExtent l="0" t="0" r="9525" b="63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9"/>
                          <a:stretch>
                            <a:fillRect/>
                          </a:stretch>
                        </pic:blipFill>
                        <pic:spPr>
                          <a:xfrm>
                            <a:off x="0" y="0"/>
                            <a:ext cx="5667375" cy="1123315"/>
                          </a:xfrm>
                          <a:prstGeom prst="rect">
                            <a:avLst/>
                          </a:prstGeom>
                          <a:noFill/>
                          <a:ln>
                            <a:noFill/>
                          </a:ln>
                        </pic:spPr>
                      </pic:pic>
                    </a:graphicData>
                  </a:graphic>
                </wp:inline>
              </w:drawing>
            </w:r>
          </w:p>
          <w:p w14:paraId="17F17330">
            <w:pPr>
              <w:pStyle w:val="11"/>
              <w:keepNext w:val="0"/>
              <w:keepLines w:val="0"/>
              <w:suppressLineNumbers w:val="0"/>
              <w:spacing w:before="0" w:beforeAutospacing="0" w:after="0" w:afterAutospacing="0"/>
              <w:ind w:left="0" w:right="0"/>
              <w:jc w:val="center"/>
              <w:rPr>
                <w:rFonts w:hint="default" w:eastAsia="黑体"/>
                <w:b/>
                <w:bCs/>
                <w:color w:val="000000" w:themeColor="text1"/>
                <w:sz w:val="20"/>
                <w:szCs w:val="20"/>
                <w14:textFill>
                  <w14:solidFill>
                    <w14:schemeClr w14:val="tx1"/>
                  </w14:solidFill>
                </w14:textFill>
              </w:rPr>
            </w:pPr>
            <w:r>
              <w:rPr>
                <w:rFonts w:hint="default" w:eastAsia="黑体"/>
                <w:b/>
                <w:bCs/>
                <w:color w:val="000000" w:themeColor="text1"/>
                <w:sz w:val="20"/>
                <w:szCs w:val="20"/>
                <w14:textFill>
                  <w14:solidFill>
                    <w14:schemeClr w14:val="tx1"/>
                  </w14:solidFill>
                </w14:textFill>
              </w:rPr>
              <w:t>图4-</w:t>
            </w:r>
            <w:r>
              <w:rPr>
                <w:rFonts w:hint="eastAsia" w:eastAsia="黑体"/>
                <w:b/>
                <w:bCs/>
                <w:color w:val="000000" w:themeColor="text1"/>
                <w:sz w:val="20"/>
                <w:szCs w:val="20"/>
                <w:lang w:val="en-US" w:eastAsia="zh-CN"/>
                <w14:textFill>
                  <w14:solidFill>
                    <w14:schemeClr w14:val="tx1"/>
                  </w14:solidFill>
                </w14:textFill>
              </w:rPr>
              <w:t>1</w:t>
            </w:r>
            <w:r>
              <w:rPr>
                <w:rFonts w:hint="default" w:eastAsia="黑体"/>
                <w:b/>
                <w:bCs/>
                <w:color w:val="000000" w:themeColor="text1"/>
                <w:sz w:val="20"/>
                <w:szCs w:val="20"/>
                <w14:textFill>
                  <w14:solidFill>
                    <w14:schemeClr w14:val="tx1"/>
                  </w14:solidFill>
                </w14:textFill>
              </w:rPr>
              <w:t xml:space="preserve"> </w:t>
            </w:r>
            <w:r>
              <w:rPr>
                <w:rFonts w:hint="eastAsia" w:eastAsia="黑体"/>
                <w:b/>
                <w:bCs/>
                <w:color w:val="000000" w:themeColor="text1"/>
                <w:sz w:val="20"/>
                <w:szCs w:val="20"/>
                <w:lang w:val="en-US" w:eastAsia="zh-CN"/>
                <w14:textFill>
                  <w14:solidFill>
                    <w14:schemeClr w14:val="tx1"/>
                  </w14:solidFill>
                </w14:textFill>
              </w:rPr>
              <w:t>洗车废水</w:t>
            </w:r>
            <w:r>
              <w:rPr>
                <w:rFonts w:hint="default" w:eastAsia="黑体"/>
                <w:b/>
                <w:bCs/>
                <w:color w:val="000000" w:themeColor="text1"/>
                <w:sz w:val="20"/>
                <w:szCs w:val="20"/>
                <w14:textFill>
                  <w14:solidFill>
                    <w14:schemeClr w14:val="tx1"/>
                  </w14:solidFill>
                </w14:textFill>
              </w:rPr>
              <w:t>处理系统工艺图</w:t>
            </w:r>
          </w:p>
          <w:p w14:paraId="7277C66F">
            <w:pPr>
              <w:keepNext w:val="0"/>
              <w:keepLines w:val="0"/>
              <w:suppressLineNumbers w:val="0"/>
              <w:spacing w:before="0" w:beforeAutospacing="0" w:after="0" w:afterAutospacing="0" w:line="360" w:lineRule="auto"/>
              <w:ind w:left="0" w:right="0"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洗车机废水通过排水沟汇集于隔油沉淀池中，再经过原水泵将废水提升至</w:t>
            </w:r>
            <w:r>
              <w:rPr>
                <w:rFonts w:hint="eastAsia"/>
                <w:b w:val="0"/>
                <w:bCs w:val="0"/>
                <w:color w:val="000000" w:themeColor="text1"/>
                <w:lang w:val="en-US" w:eastAsia="zh-CN"/>
                <w14:textFill>
                  <w14:solidFill>
                    <w14:schemeClr w14:val="tx1"/>
                  </w14:solidFill>
                </w14:textFill>
              </w:rPr>
              <w:t>一体化光催化氧化洗车水循环系统（采用“絮凝沉淀+光催化氧化”工艺）内处理</w:t>
            </w:r>
            <w:r>
              <w:rPr>
                <w:rFonts w:hint="eastAsia"/>
                <w:color w:val="000000" w:themeColor="text1"/>
                <w:sz w:val="24"/>
                <w:szCs w:val="24"/>
                <w:highlight w:val="none"/>
                <w:lang w:val="en-US" w:eastAsia="zh-CN"/>
                <w14:textFill>
                  <w14:solidFill>
                    <w14:schemeClr w14:val="tx1"/>
                  </w14:solidFill>
                </w14:textFill>
              </w:rPr>
              <w:t>，处理后的水储存于清洗池中回用。</w:t>
            </w:r>
          </w:p>
          <w:p w14:paraId="666A2FD3">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光催化氧化：在紫外光及纳米光触媒的作用下，将洗车水中溶解的有机污染物、表面活性剂及油污氧化降解，分解成水和CO</w:t>
            </w:r>
            <w:r>
              <w:rPr>
                <w:rFonts w:hint="default" w:ascii="Times New Roman" w:hAnsi="Times New Roman" w:eastAsia="宋体" w:cs="Times New Roman"/>
                <w:b w:val="0"/>
                <w:bCs w:val="0"/>
                <w:color w:val="000000" w:themeColor="text1"/>
                <w:kern w:val="0"/>
                <w:sz w:val="24"/>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彻底消除引起水发臭的污染物</w:t>
            </w:r>
            <w:r>
              <w:rPr>
                <w:rFonts w:hint="eastAsia" w:cs="Times New Roman"/>
                <w:b w:val="0"/>
                <w:bCs w:val="0"/>
                <w:color w:val="000000" w:themeColor="text1"/>
                <w:kern w:val="0"/>
                <w:sz w:val="24"/>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同时</w:t>
            </w:r>
            <w:r>
              <w:rPr>
                <w:rFonts w:hint="eastAsia" w:cs="Times New Roman"/>
                <w:b w:val="0"/>
                <w:bCs w:val="0"/>
                <w:color w:val="000000" w:themeColor="text1"/>
                <w:kern w:val="0"/>
                <w:sz w:val="24"/>
                <w:szCs w:val="21"/>
                <w:highlight w:val="none"/>
                <w:lang w:val="en-US" w:eastAsia="zh-CN" w:bidi="ar-SA"/>
                <w14:textFill>
                  <w14:solidFill>
                    <w14:schemeClr w14:val="tx1"/>
                  </w14:solidFill>
                </w14:textFill>
              </w:rPr>
              <w:t>有效地</w:t>
            </w: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杀灭各种细菌、病菌，起到杀菌消毒的作用。</w:t>
            </w:r>
          </w:p>
          <w:p w14:paraId="1950844F">
            <w:pPr>
              <w:keepNext w:val="0"/>
              <w:keepLines w:val="0"/>
              <w:suppressLineNumbers w:val="0"/>
              <w:spacing w:before="0" w:beforeAutospacing="0" w:after="0" w:afterAutospacing="0" w:line="360" w:lineRule="auto"/>
              <w:ind w:left="0" w:right="0" w:firstLine="480"/>
              <w:rPr>
                <w:rFonts w:hint="eastAsia" w:cs="Times New Roman"/>
                <w:b/>
                <w:bCs/>
                <w:color w:val="000000" w:themeColor="text1"/>
                <w:kern w:val="0"/>
                <w:sz w:val="24"/>
                <w:szCs w:val="21"/>
                <w:highlight w:val="none"/>
                <w:lang w:val="en-US" w:eastAsia="zh-CN" w:bidi="ar-SA"/>
                <w14:textFill>
                  <w14:solidFill>
                    <w14:schemeClr w14:val="tx1"/>
                  </w14:solidFill>
                </w14:textFill>
              </w:rPr>
            </w:pPr>
            <w:r>
              <w:rPr>
                <w:rFonts w:hint="eastAsia" w:cs="Times New Roman"/>
                <w:b/>
                <w:bCs/>
                <w:color w:val="000000" w:themeColor="text1"/>
                <w:kern w:val="0"/>
                <w:sz w:val="24"/>
                <w:szCs w:val="21"/>
                <w:highlight w:val="none"/>
                <w:lang w:val="en-US" w:eastAsia="zh-CN" w:bidi="ar-SA"/>
                <w14:textFill>
                  <w14:solidFill>
                    <w14:schemeClr w14:val="tx1"/>
                  </w14:solidFill>
                </w14:textFill>
              </w:rPr>
              <w:t>②工艺可行性分析</w:t>
            </w:r>
          </w:p>
          <w:p w14:paraId="257D45A2">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汽车冲洗废水中含有大量的泥沙</w:t>
            </w:r>
            <w:r>
              <w:rPr>
                <w:rFonts w:hint="eastAsia" w:cs="Times New Roman"/>
                <w:b w:val="0"/>
                <w:bCs w:val="0"/>
                <w:color w:val="000000" w:themeColor="text1"/>
                <w:kern w:val="0"/>
                <w:sz w:val="24"/>
                <w:szCs w:val="21"/>
                <w:highlight w:val="none"/>
                <w:lang w:val="en-US" w:eastAsia="zh-CN" w:bidi="ar-SA"/>
                <w14:textFill>
                  <w14:solidFill>
                    <w14:schemeClr w14:val="tx1"/>
                  </w14:solidFill>
                </w14:textFill>
              </w:rPr>
              <w:t>和</w:t>
            </w: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少量</w:t>
            </w:r>
            <w:r>
              <w:rPr>
                <w:rFonts w:hint="eastAsia" w:cs="Times New Roman"/>
                <w:b w:val="0"/>
                <w:bCs w:val="0"/>
                <w:color w:val="000000" w:themeColor="text1"/>
                <w:kern w:val="0"/>
                <w:sz w:val="24"/>
                <w:szCs w:val="21"/>
                <w:highlight w:val="none"/>
                <w:lang w:val="en-US" w:eastAsia="zh-CN" w:bidi="ar-SA"/>
                <w14:textFill>
                  <w14:solidFill>
                    <w14:schemeClr w14:val="tx1"/>
                  </w14:solidFill>
                </w14:textFill>
              </w:rPr>
              <w:t>有</w:t>
            </w: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害污染物。</w:t>
            </w:r>
            <w:r>
              <w:rPr>
                <w:rFonts w:hint="eastAsia" w:cs="Times New Roman"/>
                <w:b w:val="0"/>
                <w:bCs w:val="0"/>
                <w:color w:val="000000" w:themeColor="text1"/>
                <w:kern w:val="0"/>
                <w:sz w:val="24"/>
                <w:szCs w:val="21"/>
                <w:highlight w:val="none"/>
                <w:lang w:val="en-US" w:eastAsia="zh-CN" w:bidi="ar-SA"/>
                <w14:textFill>
                  <w14:solidFill>
                    <w14:schemeClr w14:val="tx1"/>
                  </w14:solidFill>
                </w14:textFill>
              </w:rPr>
              <w:t>洗车废水通过</w:t>
            </w: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洗车机中</w:t>
            </w:r>
            <w:r>
              <w:rPr>
                <w:rFonts w:hint="eastAsia" w:cs="Times New Roman"/>
                <w:b w:val="0"/>
                <w:bCs w:val="0"/>
                <w:color w:val="000000" w:themeColor="text1"/>
                <w:kern w:val="0"/>
                <w:sz w:val="24"/>
                <w:szCs w:val="21"/>
                <w:highlight w:val="none"/>
                <w:lang w:val="en-US" w:eastAsia="zh-CN" w:bidi="ar-SA"/>
                <w14:textFill>
                  <w14:solidFill>
                    <w14:schemeClr w14:val="tx1"/>
                  </w14:solidFill>
                </w14:textFill>
              </w:rPr>
              <w:t>的</w:t>
            </w: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排水沟汇集于隔油沉淀池</w:t>
            </w:r>
            <w:r>
              <w:rPr>
                <w:rFonts w:hint="eastAsia" w:cs="Times New Roman"/>
                <w:b w:val="0"/>
                <w:bCs w:val="0"/>
                <w:color w:val="000000" w:themeColor="text1"/>
                <w:kern w:val="0"/>
                <w:sz w:val="24"/>
                <w:szCs w:val="21"/>
                <w:highlight w:val="none"/>
                <w:lang w:val="en-US" w:eastAsia="zh-CN" w:bidi="ar-SA"/>
                <w14:textFill>
                  <w14:solidFill>
                    <w14:schemeClr w14:val="tx1"/>
                  </w14:solidFill>
                </w14:textFill>
              </w:rPr>
              <w:t>（1m</w:t>
            </w:r>
            <w:r>
              <w:rPr>
                <w:rFonts w:hint="eastAsia" w:cs="Times New Roman"/>
                <w:b w:val="0"/>
                <w:bCs w:val="0"/>
                <w:color w:val="000000" w:themeColor="text1"/>
                <w:kern w:val="0"/>
                <w:sz w:val="24"/>
                <w:szCs w:val="21"/>
                <w:highlight w:val="none"/>
                <w:vertAlign w:val="superscript"/>
                <w:lang w:val="en-US" w:eastAsia="zh-CN" w:bidi="ar-SA"/>
                <w14:textFill>
                  <w14:solidFill>
                    <w14:schemeClr w14:val="tx1"/>
                  </w14:solidFill>
                </w14:textFill>
              </w:rPr>
              <w:t>3</w:t>
            </w:r>
            <w:r>
              <w:rPr>
                <w:rFonts w:hint="eastAsia" w:cs="Times New Roman"/>
                <w:b w:val="0"/>
                <w:bCs w:val="0"/>
                <w:color w:val="000000" w:themeColor="text1"/>
                <w:kern w:val="0"/>
                <w:sz w:val="24"/>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中，</w:t>
            </w:r>
            <w:r>
              <w:rPr>
                <w:rFonts w:hint="eastAsia" w:cs="Times New Roman"/>
                <w:b w:val="0"/>
                <w:bCs w:val="0"/>
                <w:color w:val="000000" w:themeColor="text1"/>
                <w:kern w:val="0"/>
                <w:sz w:val="24"/>
                <w:szCs w:val="21"/>
                <w:highlight w:val="none"/>
                <w:lang w:val="en-US" w:eastAsia="zh-CN" w:bidi="ar-SA"/>
                <w14:textFill>
                  <w14:solidFill>
                    <w14:schemeClr w14:val="tx1"/>
                  </w14:solidFill>
                </w14:textFill>
              </w:rPr>
              <w:t>分离其中的废油，再将沉淀池中的水</w:t>
            </w: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通过水泵提升至</w:t>
            </w:r>
            <w:r>
              <w:rPr>
                <w:rFonts w:hint="eastAsia"/>
                <w:b w:val="0"/>
                <w:bCs w:val="0"/>
                <w:color w:val="000000" w:themeColor="text1"/>
                <w:lang w:val="en-US" w:eastAsia="zh-CN"/>
                <w14:textFill>
                  <w14:solidFill>
                    <w14:schemeClr w14:val="tx1"/>
                  </w14:solidFill>
                </w14:textFill>
              </w:rPr>
              <w:t>一体化光催化氧化洗车水循环系统（采用“絮凝沉淀+光催化氧化”工艺）内处理</w:t>
            </w:r>
            <w:r>
              <w:rPr>
                <w:rFonts w:hint="eastAsia" w:cs="Times New Roman"/>
                <w:b w:val="0"/>
                <w:bCs w:val="0"/>
                <w:color w:val="000000" w:themeColor="text1"/>
                <w:kern w:val="0"/>
                <w:sz w:val="24"/>
                <w:szCs w:val="21"/>
                <w:highlight w:val="none"/>
                <w:lang w:val="en-US" w:eastAsia="zh-CN" w:bidi="ar-SA"/>
                <w14:textFill>
                  <w14:solidFill>
                    <w14:schemeClr w14:val="tx1"/>
                  </w14:solidFill>
                </w14:textFill>
              </w:rPr>
              <w:t>，从而使出水清澈，达到再生水水质标准</w:t>
            </w: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，处理后的污水储存于清洗池</w:t>
            </w:r>
            <w:r>
              <w:rPr>
                <w:rFonts w:hint="eastAsia" w:cs="Times New Roman"/>
                <w:b w:val="0"/>
                <w:bCs w:val="0"/>
                <w:color w:val="000000" w:themeColor="text1"/>
                <w:kern w:val="0"/>
                <w:sz w:val="24"/>
                <w:szCs w:val="21"/>
                <w:highlight w:val="none"/>
                <w:lang w:val="en-US" w:eastAsia="zh-CN" w:bidi="ar-SA"/>
                <w14:textFill>
                  <w14:solidFill>
                    <w14:schemeClr w14:val="tx1"/>
                  </w14:solidFill>
                </w14:textFill>
              </w:rPr>
              <w:t>（3m</w:t>
            </w:r>
            <w:r>
              <w:rPr>
                <w:rFonts w:hint="eastAsia" w:cs="Times New Roman"/>
                <w:b w:val="0"/>
                <w:bCs w:val="0"/>
                <w:color w:val="000000" w:themeColor="text1"/>
                <w:kern w:val="0"/>
                <w:sz w:val="24"/>
                <w:szCs w:val="21"/>
                <w:highlight w:val="none"/>
                <w:vertAlign w:val="superscript"/>
                <w:lang w:val="en-US" w:eastAsia="zh-CN" w:bidi="ar-SA"/>
                <w14:textFill>
                  <w14:solidFill>
                    <w14:schemeClr w14:val="tx1"/>
                  </w14:solidFill>
                </w14:textFill>
              </w:rPr>
              <w:t>3</w:t>
            </w:r>
            <w:r>
              <w:rPr>
                <w:rFonts w:hint="eastAsia" w:cs="Times New Roman"/>
                <w:b w:val="0"/>
                <w:bCs w:val="0"/>
                <w:color w:val="000000" w:themeColor="text1"/>
                <w:kern w:val="0"/>
                <w:sz w:val="24"/>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中，从而达到汽车洗车机用水循环利用</w:t>
            </w:r>
            <w:r>
              <w:rPr>
                <w:rFonts w:hint="eastAsia" w:cs="Times New Roman"/>
                <w:b w:val="0"/>
                <w:bCs w:val="0"/>
                <w:color w:val="000000" w:themeColor="text1"/>
                <w:kern w:val="0"/>
                <w:sz w:val="24"/>
                <w:szCs w:val="21"/>
                <w:highlight w:val="none"/>
                <w:lang w:val="en-US" w:eastAsia="zh-CN" w:bidi="ar-SA"/>
                <w14:textFill>
                  <w14:solidFill>
                    <w14:schemeClr w14:val="tx1"/>
                  </w14:solidFill>
                </w14:textFill>
              </w:rPr>
              <w:t>，因此从水质上能回用用于项目洗车，项目拟产生2.16</w:t>
            </w:r>
            <w:r>
              <w:rPr>
                <w:rFonts w:hint="default"/>
                <w:color w:val="000000" w:themeColor="text1"/>
                <w:kern w:val="0"/>
                <w:sz w:val="24"/>
                <w:highlight w:val="none"/>
                <w14:textFill>
                  <w14:solidFill>
                    <w14:schemeClr w14:val="tx1"/>
                  </w14:solidFill>
                </w14:textFill>
              </w:rPr>
              <w:t>m</w:t>
            </w:r>
            <w:r>
              <w:rPr>
                <w:rFonts w:hint="default"/>
                <w:color w:val="000000" w:themeColor="text1"/>
                <w:kern w:val="0"/>
                <w:sz w:val="24"/>
                <w:highlight w:val="none"/>
                <w:vertAlign w:val="superscript"/>
                <w14:textFill>
                  <w14:solidFill>
                    <w14:schemeClr w14:val="tx1"/>
                  </w14:solidFill>
                </w14:textFill>
              </w:rPr>
              <w:t>3</w:t>
            </w:r>
            <w:r>
              <w:rPr>
                <w:rFonts w:hint="default"/>
                <w:color w:val="000000" w:themeColor="text1"/>
                <w:kern w:val="0"/>
                <w:sz w:val="24"/>
                <w:highlight w:val="none"/>
                <w14:textFill>
                  <w14:solidFill>
                    <w14:schemeClr w14:val="tx1"/>
                  </w14:solidFill>
                </w14:textFill>
              </w:rPr>
              <w:t>/d</w:t>
            </w:r>
            <w:r>
              <w:rPr>
                <w:rFonts w:hint="eastAsia"/>
                <w:color w:val="000000" w:themeColor="text1"/>
                <w:kern w:val="0"/>
                <w:sz w:val="24"/>
                <w:highlight w:val="none"/>
                <w:lang w:eastAsia="zh-CN"/>
                <w14:textFill>
                  <w14:solidFill>
                    <w14:schemeClr w14:val="tx1"/>
                  </w14:solidFill>
                </w14:textFill>
              </w:rPr>
              <w:t>，</w:t>
            </w:r>
            <w:r>
              <w:rPr>
                <w:rFonts w:hint="eastAsia"/>
                <w:color w:val="000000" w:themeColor="text1"/>
                <w:kern w:val="0"/>
                <w:sz w:val="24"/>
                <w:highlight w:val="none"/>
                <w:lang w:val="en-US" w:eastAsia="zh-CN"/>
                <w14:textFill>
                  <w14:solidFill>
                    <w14:schemeClr w14:val="tx1"/>
                  </w14:solidFill>
                </w14:textFill>
              </w:rPr>
              <w:t>项目设置洗车废水处理系统污水处理规模为5m</w:t>
            </w:r>
            <w:r>
              <w:rPr>
                <w:rFonts w:hint="eastAsia"/>
                <w:color w:val="000000" w:themeColor="text1"/>
                <w:kern w:val="0"/>
                <w:sz w:val="24"/>
                <w:highlight w:val="none"/>
                <w:vertAlign w:val="superscript"/>
                <w:lang w:val="en-US" w:eastAsia="zh-CN"/>
                <w14:textFill>
                  <w14:solidFill>
                    <w14:schemeClr w14:val="tx1"/>
                  </w14:solidFill>
                </w14:textFill>
              </w:rPr>
              <w:t>3</w:t>
            </w:r>
            <w:r>
              <w:rPr>
                <w:rFonts w:hint="eastAsia"/>
                <w:color w:val="000000" w:themeColor="text1"/>
                <w:kern w:val="0"/>
                <w:sz w:val="24"/>
                <w:highlight w:val="none"/>
                <w:lang w:val="en-US" w:eastAsia="zh-CN"/>
                <w14:textFill>
                  <w14:solidFill>
                    <w14:schemeClr w14:val="tx1"/>
                  </w14:solidFill>
                </w14:textFill>
              </w:rPr>
              <w:t>/d，从水量上也能处理项目产生的洗车废水</w:t>
            </w:r>
            <w:r>
              <w:rPr>
                <w:rFonts w:hint="default"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t>。</w:t>
            </w:r>
          </w:p>
          <w:p w14:paraId="6B89124B">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000000" w:themeColor="text1"/>
                <w:kern w:val="0"/>
                <w:sz w:val="24"/>
                <w:szCs w:val="21"/>
                <w:highlight w:val="none"/>
                <w:lang w:val="en-US" w:eastAsia="zh-CN" w:bidi="ar-SA"/>
                <w14:textFill>
                  <w14:solidFill>
                    <w14:schemeClr w14:val="tx1"/>
                  </w14:solidFill>
                </w14:textFill>
              </w:rPr>
              <w:t>（4）</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依托污水处理设施的环境可行</w:t>
            </w:r>
            <w:r>
              <w:rPr>
                <w:rFonts w:hint="eastAsia" w:ascii="Times New Roman" w:hAnsi="Times New Roman" w:eastAsia="宋体" w:cs="Times New Roman"/>
                <w:b/>
                <w:bCs/>
                <w:color w:val="auto"/>
                <w:kern w:val="0"/>
                <w:sz w:val="24"/>
                <w:highlight w:val="none"/>
                <w:lang w:val="en-US" w:eastAsia="zh-CN"/>
              </w:rPr>
              <w:t>性评价</w:t>
            </w:r>
          </w:p>
          <w:p w14:paraId="4B3DD20C">
            <w:pPr>
              <w:keepNext w:val="0"/>
              <w:keepLines w:val="0"/>
              <w:widowControl/>
              <w:suppressLineNumbers w:val="0"/>
              <w:spacing w:before="0" w:beforeAutospacing="0" w:after="0" w:afterAutospacing="0" w:line="360" w:lineRule="auto"/>
              <w:ind w:left="0" w:right="0" w:firstLine="480" w:firstLineChars="200"/>
              <w:jc w:val="left"/>
              <w:rPr>
                <w:rFonts w:hint="default"/>
                <w:color w:val="auto"/>
                <w:sz w:val="24"/>
                <w:highlight w:val="none"/>
              </w:rPr>
            </w:pPr>
            <w:r>
              <w:rPr>
                <w:rFonts w:hint="default"/>
                <w:color w:val="auto"/>
                <w:kern w:val="0"/>
                <w:sz w:val="24"/>
                <w:highlight w:val="none"/>
                <w:lang w:bidi="ar"/>
              </w:rPr>
              <w:t>达州市通川区魏兴场镇污水处理厂位于达州市通川区魏兴镇厂坝村五组，占地面积约30亩，2021年5月改造升级，优浦公司历经18天建成日处理量3000方的处理设施，采用“A</w:t>
            </w:r>
            <w:r>
              <w:rPr>
                <w:rFonts w:hint="default"/>
                <w:color w:val="auto"/>
                <w:kern w:val="0"/>
                <w:sz w:val="24"/>
                <w:highlight w:val="none"/>
                <w:vertAlign w:val="superscript"/>
                <w:lang w:bidi="ar"/>
              </w:rPr>
              <w:t>2</w:t>
            </w:r>
            <w:r>
              <w:rPr>
                <w:rFonts w:hint="default"/>
                <w:color w:val="auto"/>
                <w:kern w:val="0"/>
                <w:sz w:val="24"/>
                <w:highlight w:val="none"/>
                <w:lang w:bidi="ar"/>
              </w:rPr>
              <w:t>O</w:t>
            </w:r>
            <w:r>
              <w:rPr>
                <w:rFonts w:hint="eastAsia"/>
                <w:color w:val="auto"/>
                <w:kern w:val="0"/>
                <w:sz w:val="24"/>
                <w:highlight w:val="none"/>
                <w:lang w:val="en-US" w:eastAsia="zh-CN" w:bidi="ar"/>
              </w:rPr>
              <w:t>+</w:t>
            </w:r>
            <w:r>
              <w:rPr>
                <w:rFonts w:hint="default"/>
                <w:color w:val="auto"/>
                <w:kern w:val="0"/>
                <w:sz w:val="24"/>
                <w:highlight w:val="none"/>
                <w:lang w:bidi="ar"/>
              </w:rPr>
              <w:t>MBBR 次氯酸钠、紫外线消毒”，该项目</w:t>
            </w:r>
            <w:r>
              <w:rPr>
                <w:rFonts w:hint="eastAsia"/>
                <w:color w:val="auto"/>
                <w:kern w:val="0"/>
                <w:sz w:val="24"/>
                <w:highlight w:val="none"/>
                <w:lang w:val="en-US" w:eastAsia="zh-CN" w:bidi="ar"/>
              </w:rPr>
              <w:t>已</w:t>
            </w:r>
            <w:r>
              <w:rPr>
                <w:rFonts w:hint="default"/>
                <w:color w:val="auto"/>
                <w:kern w:val="0"/>
                <w:sz w:val="24"/>
                <w:highlight w:val="none"/>
                <w:lang w:bidi="ar"/>
              </w:rPr>
              <w:t>投入正式运行，厂区总设计规模为0.8万吨/天。该厂污水主要来源于魏兴、蒲家两镇的生活污水及通川经开区工业污水，出水指标执行《城镇污水处理厂污染物排放标准》（GB18918—2002）一级A标准。</w:t>
            </w:r>
          </w:p>
          <w:p w14:paraId="4844A847">
            <w:pPr>
              <w:keepNext w:val="0"/>
              <w:keepLines w:val="0"/>
              <w:widowControl/>
              <w:suppressLineNumbers w:val="0"/>
              <w:spacing w:before="0" w:beforeAutospacing="0" w:after="0" w:afterAutospacing="0" w:line="360" w:lineRule="auto"/>
              <w:ind w:left="0" w:right="0" w:firstLine="480" w:firstLineChars="200"/>
              <w:jc w:val="left"/>
              <w:rPr>
                <w:rFonts w:hint="default"/>
                <w:color w:val="auto"/>
                <w:highlight w:val="none"/>
              </w:rPr>
            </w:pPr>
            <w:r>
              <w:rPr>
                <w:rFonts w:hint="default"/>
                <w:color w:val="auto"/>
                <w:sz w:val="24"/>
                <w:highlight w:val="none"/>
              </w:rPr>
              <w:t>本项目运营期的废水总排放量为</w:t>
            </w:r>
            <w:r>
              <w:rPr>
                <w:rFonts w:hint="eastAsia"/>
                <w:color w:val="auto"/>
                <w:kern w:val="0"/>
                <w:sz w:val="24"/>
                <w:highlight w:val="none"/>
                <w:lang w:val="en-US" w:eastAsia="zh-CN" w:bidi="ar"/>
              </w:rPr>
              <w:t>1.29</w:t>
            </w:r>
            <w:r>
              <w:rPr>
                <w:rFonts w:hint="default"/>
                <w:color w:val="auto"/>
                <w:kern w:val="0"/>
                <w:sz w:val="24"/>
                <w:highlight w:val="none"/>
                <w:lang w:bidi="ar"/>
              </w:rPr>
              <w:t>m</w:t>
            </w:r>
            <w:r>
              <w:rPr>
                <w:rFonts w:hint="default"/>
                <w:color w:val="auto"/>
                <w:kern w:val="0"/>
                <w:sz w:val="24"/>
                <w:highlight w:val="none"/>
                <w:vertAlign w:val="superscript"/>
                <w:lang w:bidi="ar"/>
              </w:rPr>
              <w:t>3</w:t>
            </w:r>
            <w:r>
              <w:rPr>
                <w:rFonts w:hint="default"/>
                <w:color w:val="auto"/>
                <w:kern w:val="0"/>
                <w:sz w:val="24"/>
                <w:highlight w:val="none"/>
                <w:lang w:bidi="ar"/>
              </w:rPr>
              <w:t>/</w:t>
            </w:r>
            <w:r>
              <w:rPr>
                <w:rFonts w:hint="eastAsia"/>
                <w:color w:val="auto"/>
                <w:kern w:val="0"/>
                <w:sz w:val="24"/>
                <w:highlight w:val="none"/>
                <w:lang w:bidi="ar"/>
              </w:rPr>
              <w:t>d</w:t>
            </w:r>
            <w:r>
              <w:rPr>
                <w:rFonts w:hint="eastAsia"/>
                <w:color w:val="auto"/>
                <w:sz w:val="24"/>
                <w:highlight w:val="none"/>
              </w:rPr>
              <w:t>，</w:t>
            </w:r>
            <w:r>
              <w:rPr>
                <w:rFonts w:hint="default"/>
                <w:color w:val="auto"/>
                <w:sz w:val="24"/>
                <w:highlight w:val="none"/>
              </w:rPr>
              <w:t>占</w:t>
            </w:r>
            <w:r>
              <w:rPr>
                <w:rFonts w:hint="default"/>
                <w:color w:val="auto"/>
                <w:kern w:val="0"/>
                <w:sz w:val="24"/>
                <w:highlight w:val="none"/>
                <w:lang w:bidi="ar"/>
              </w:rPr>
              <w:t>达州市通川区魏兴场镇污水处理厂</w:t>
            </w:r>
            <w:r>
              <w:rPr>
                <w:rFonts w:hint="default"/>
                <w:color w:val="auto"/>
                <w:sz w:val="24"/>
                <w:highlight w:val="none"/>
              </w:rPr>
              <w:t>现状处理能力的</w:t>
            </w:r>
            <w:r>
              <w:rPr>
                <w:rFonts w:hint="eastAsia"/>
                <w:color w:val="auto"/>
                <w:sz w:val="24"/>
                <w:highlight w:val="none"/>
              </w:rPr>
              <w:t>0.0027</w:t>
            </w:r>
            <w:r>
              <w:rPr>
                <w:rFonts w:hint="default"/>
                <w:color w:val="auto"/>
                <w:sz w:val="24"/>
                <w:highlight w:val="none"/>
              </w:rPr>
              <w:t>%，且本项目位于</w:t>
            </w:r>
            <w:r>
              <w:rPr>
                <w:rFonts w:hint="eastAsia" w:eastAsia="宋体" w:cs="Times New Roman"/>
                <w:color w:val="auto"/>
                <w:sz w:val="24"/>
                <w:szCs w:val="24"/>
                <w:highlight w:val="none"/>
                <w:lang w:val="en-US" w:eastAsia="zh-CN"/>
              </w:rPr>
              <w:t>达州市环城路二期及环凤产业大道沿线片区03-B-01-05地块</w:t>
            </w:r>
            <w:r>
              <w:rPr>
                <w:rFonts w:hint="default"/>
                <w:color w:val="auto"/>
                <w:sz w:val="24"/>
                <w:highlight w:val="none"/>
              </w:rPr>
              <w:t>，属于</w:t>
            </w:r>
            <w:r>
              <w:rPr>
                <w:rFonts w:hint="default"/>
                <w:color w:val="auto"/>
                <w:kern w:val="0"/>
                <w:sz w:val="24"/>
                <w:highlight w:val="none"/>
                <w:lang w:bidi="ar"/>
              </w:rPr>
              <w:t>达州市通川区魏兴场镇污水处理</w:t>
            </w:r>
            <w:r>
              <w:rPr>
                <w:rFonts w:hint="eastAsia"/>
                <w:color w:val="auto"/>
                <w:kern w:val="0"/>
                <w:sz w:val="24"/>
                <w:highlight w:val="none"/>
                <w:lang w:val="en-US" w:eastAsia="zh-CN" w:bidi="ar"/>
              </w:rPr>
              <w:t>厂</w:t>
            </w:r>
            <w:r>
              <w:rPr>
                <w:rFonts w:hint="default"/>
                <w:color w:val="auto"/>
                <w:sz w:val="24"/>
                <w:highlight w:val="none"/>
              </w:rPr>
              <w:t>的纳污范围。根据调查，项目</w:t>
            </w:r>
            <w:r>
              <w:rPr>
                <w:rFonts w:hint="eastAsia"/>
                <w:color w:val="auto"/>
                <w:sz w:val="24"/>
                <w:highlight w:val="none"/>
                <w:lang w:val="en-US" w:eastAsia="zh-CN"/>
              </w:rPr>
              <w:t>所在区域</w:t>
            </w:r>
            <w:r>
              <w:rPr>
                <w:rFonts w:hint="default"/>
                <w:color w:val="auto"/>
                <w:sz w:val="24"/>
                <w:highlight w:val="none"/>
              </w:rPr>
              <w:t>污水管网已建成，项目废水能够顺利接入城市污水管道。根据工程分析，项目废水经</w:t>
            </w:r>
            <w:r>
              <w:rPr>
                <w:rFonts w:hint="eastAsia"/>
                <w:color w:val="auto"/>
                <w:sz w:val="24"/>
                <w:highlight w:val="none"/>
                <w:lang w:val="en-US" w:eastAsia="zh-CN"/>
              </w:rPr>
              <w:t>预</w:t>
            </w:r>
            <w:r>
              <w:rPr>
                <w:rFonts w:hint="default"/>
                <w:color w:val="auto"/>
                <w:sz w:val="24"/>
                <w:highlight w:val="none"/>
              </w:rPr>
              <w:t>处理后的</w:t>
            </w:r>
            <w:r>
              <w:rPr>
                <w:rFonts w:hint="eastAsia"/>
                <w:color w:val="auto"/>
                <w:sz w:val="24"/>
                <w:highlight w:val="none"/>
                <w:lang w:eastAsia="zh-CN"/>
              </w:rPr>
              <w:t>出水水质</w:t>
            </w:r>
            <w:r>
              <w:rPr>
                <w:rFonts w:hint="default"/>
                <w:color w:val="auto"/>
                <w:sz w:val="24"/>
                <w:highlight w:val="none"/>
              </w:rPr>
              <w:t>能够满足《污水综合排放标准》</w:t>
            </w:r>
            <w:r>
              <w:rPr>
                <w:rFonts w:hint="eastAsia"/>
                <w:color w:val="auto"/>
                <w:sz w:val="24"/>
                <w:highlight w:val="none"/>
              </w:rPr>
              <w:t>（</w:t>
            </w:r>
            <w:r>
              <w:rPr>
                <w:rFonts w:hint="default"/>
                <w:color w:val="auto"/>
                <w:sz w:val="24"/>
                <w:highlight w:val="none"/>
              </w:rPr>
              <w:t>GB8978-1996</w:t>
            </w:r>
            <w:r>
              <w:rPr>
                <w:rFonts w:hint="eastAsia"/>
                <w:color w:val="auto"/>
                <w:sz w:val="24"/>
                <w:highlight w:val="none"/>
              </w:rPr>
              <w:t>）</w:t>
            </w:r>
            <w:r>
              <w:rPr>
                <w:rFonts w:hint="default"/>
                <w:color w:val="auto"/>
                <w:sz w:val="24"/>
                <w:highlight w:val="none"/>
              </w:rPr>
              <w:t>中三级标准限值要求</w:t>
            </w:r>
            <w:r>
              <w:rPr>
                <w:rFonts w:hint="eastAsia"/>
                <w:color w:val="auto"/>
                <w:sz w:val="24"/>
                <w:highlight w:val="none"/>
                <w:lang w:eastAsia="zh-CN"/>
              </w:rPr>
              <w:t>，</w:t>
            </w:r>
            <w:r>
              <w:rPr>
                <w:rFonts w:hint="eastAsia"/>
                <w:color w:val="auto"/>
                <w:sz w:val="24"/>
                <w:highlight w:val="none"/>
                <w:lang w:val="en-US" w:eastAsia="zh-CN"/>
              </w:rPr>
              <w:t>满足</w:t>
            </w:r>
            <w:r>
              <w:rPr>
                <w:rFonts w:hint="default"/>
                <w:color w:val="auto"/>
                <w:kern w:val="0"/>
                <w:sz w:val="24"/>
                <w:highlight w:val="none"/>
                <w:lang w:bidi="ar"/>
              </w:rPr>
              <w:t>达州市通川区魏兴场镇污水处理</w:t>
            </w:r>
            <w:r>
              <w:rPr>
                <w:rFonts w:hint="eastAsia"/>
                <w:color w:val="auto"/>
                <w:kern w:val="0"/>
                <w:sz w:val="24"/>
                <w:highlight w:val="none"/>
                <w:lang w:val="en-US" w:eastAsia="zh-CN" w:bidi="ar"/>
              </w:rPr>
              <w:t>厂的进水水质</w:t>
            </w:r>
            <w:r>
              <w:rPr>
                <w:rFonts w:hint="default"/>
                <w:color w:val="auto"/>
                <w:sz w:val="24"/>
                <w:highlight w:val="none"/>
              </w:rPr>
              <w:t>。故项目废水接入</w:t>
            </w:r>
            <w:r>
              <w:rPr>
                <w:rFonts w:hint="default"/>
                <w:color w:val="auto"/>
                <w:kern w:val="0"/>
                <w:sz w:val="24"/>
                <w:highlight w:val="none"/>
                <w:lang w:bidi="ar"/>
              </w:rPr>
              <w:t>达州市通川区魏兴场镇污水处理</w:t>
            </w:r>
            <w:r>
              <w:rPr>
                <w:rFonts w:hint="eastAsia"/>
                <w:color w:val="auto"/>
                <w:kern w:val="0"/>
                <w:sz w:val="24"/>
                <w:highlight w:val="none"/>
                <w:lang w:val="en-US" w:eastAsia="zh-CN" w:bidi="ar"/>
              </w:rPr>
              <w:t>厂</w:t>
            </w:r>
            <w:r>
              <w:rPr>
                <w:rFonts w:hint="default"/>
                <w:color w:val="auto"/>
                <w:sz w:val="24"/>
                <w:highlight w:val="none"/>
              </w:rPr>
              <w:t>处理可行。</w:t>
            </w:r>
          </w:p>
          <w:p w14:paraId="6ACFA40F">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w:t>
            </w:r>
            <w:r>
              <w:rPr>
                <w:rFonts w:hint="eastAsia" w:cs="Times New Roman"/>
                <w:b/>
                <w:bCs/>
                <w:color w:val="auto"/>
                <w:kern w:val="0"/>
                <w:sz w:val="24"/>
                <w:highlight w:val="none"/>
                <w:lang w:val="en-US" w:eastAsia="zh-CN"/>
              </w:rPr>
              <w:t>5</w:t>
            </w:r>
            <w:r>
              <w:rPr>
                <w:rFonts w:hint="eastAsia" w:ascii="Times New Roman" w:hAnsi="Times New Roman" w:eastAsia="宋体" w:cs="Times New Roman"/>
                <w:b/>
                <w:bCs/>
                <w:color w:val="auto"/>
                <w:kern w:val="0"/>
                <w:sz w:val="24"/>
                <w:highlight w:val="none"/>
                <w:lang w:val="en-US" w:eastAsia="zh-CN"/>
              </w:rPr>
              <w:t>）监测要求</w:t>
            </w:r>
          </w:p>
          <w:p w14:paraId="6544A3A0">
            <w:pPr>
              <w:keepNext w:val="0"/>
              <w:keepLines w:val="0"/>
              <w:widowControl/>
              <w:suppressLineNumbers w:val="0"/>
              <w:spacing w:before="0" w:beforeAutospacing="0" w:after="0" w:afterAutospacing="0" w:line="360" w:lineRule="auto"/>
              <w:ind w:left="0" w:right="0" w:firstLine="480" w:firstLineChars="200"/>
              <w:jc w:val="left"/>
              <w:rPr>
                <w:rFonts w:hint="default"/>
                <w:color w:val="auto"/>
                <w:sz w:val="24"/>
                <w:highlight w:val="none"/>
              </w:rPr>
            </w:pPr>
            <w:r>
              <w:rPr>
                <w:rFonts w:hint="eastAsia"/>
                <w:color w:val="auto"/>
                <w:sz w:val="24"/>
                <w:highlight w:val="none"/>
              </w:rPr>
              <w:t>项目废水经预处理后依托</w:t>
            </w:r>
            <w:r>
              <w:rPr>
                <w:rFonts w:hint="default"/>
                <w:color w:val="auto"/>
                <w:kern w:val="0"/>
                <w:sz w:val="24"/>
                <w:highlight w:val="none"/>
                <w:lang w:bidi="ar"/>
              </w:rPr>
              <w:t>达州市通川区魏兴场镇污水处理厂</w:t>
            </w:r>
            <w:r>
              <w:rPr>
                <w:rFonts w:hint="eastAsia"/>
                <w:color w:val="auto"/>
                <w:sz w:val="24"/>
                <w:highlight w:val="none"/>
              </w:rPr>
              <w:t>处理。因此不制定废水监测计划。</w:t>
            </w:r>
          </w:p>
          <w:p w14:paraId="5E299257">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综上分析，本项目采取的污水治理措施有效，可实现污染物达标排放，对地表水的影响甚微。</w:t>
            </w:r>
          </w:p>
          <w:p w14:paraId="5FF0BA15">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3、噪声</w:t>
            </w:r>
          </w:p>
          <w:p w14:paraId="7D183964">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1</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噪声源强</w:t>
            </w:r>
          </w:p>
          <w:p w14:paraId="52B4FCB9">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lang w:val="en-US" w:eastAsia="zh-CN"/>
              </w:rPr>
              <w:t>）设备噪声</w:t>
            </w:r>
          </w:p>
          <w:p w14:paraId="413E3B37">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项目主要设备噪声源来自主要为加油机、潜油泵、备用</w:t>
            </w:r>
            <w:r>
              <w:rPr>
                <w:rFonts w:hint="eastAsia" w:cs="Times New Roman"/>
                <w:b w:val="0"/>
                <w:bCs/>
                <w:color w:val="auto"/>
                <w:sz w:val="24"/>
                <w:szCs w:val="24"/>
                <w:highlight w:val="none"/>
                <w:lang w:val="en-US" w:eastAsia="zh-CN"/>
              </w:rPr>
              <w:t>撬装柴油</w:t>
            </w:r>
            <w:r>
              <w:rPr>
                <w:rFonts w:hint="default" w:ascii="Times New Roman" w:hAnsi="Times New Roman" w:eastAsia="宋体" w:cs="Times New Roman"/>
                <w:b w:val="0"/>
                <w:bCs/>
                <w:color w:val="auto"/>
                <w:sz w:val="24"/>
                <w:szCs w:val="24"/>
                <w:highlight w:val="none"/>
                <w:lang w:val="en-US" w:eastAsia="zh-CN"/>
              </w:rPr>
              <w:t>发电机等产生的设备噪声，各类噪声值在 60~</w:t>
            </w:r>
            <w:r>
              <w:rPr>
                <w:rFonts w:hint="eastAsia" w:cs="Times New Roman"/>
                <w:b w:val="0"/>
                <w:bCs/>
                <w:color w:val="auto"/>
                <w:sz w:val="24"/>
                <w:szCs w:val="24"/>
                <w:highlight w:val="none"/>
                <w:lang w:val="en-US" w:eastAsia="zh-CN"/>
              </w:rPr>
              <w:t>85</w:t>
            </w:r>
            <w:r>
              <w:rPr>
                <w:rFonts w:hint="default" w:ascii="Times New Roman" w:hAnsi="Times New Roman" w:eastAsia="宋体" w:cs="Times New Roman"/>
                <w:b w:val="0"/>
                <w:bCs/>
                <w:color w:val="auto"/>
                <w:sz w:val="24"/>
                <w:szCs w:val="24"/>
                <w:highlight w:val="none"/>
                <w:lang w:val="en-US" w:eastAsia="zh-CN"/>
              </w:rPr>
              <w:t>dB(A)之间。</w:t>
            </w:r>
          </w:p>
          <w:p w14:paraId="125C2BE2">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治理措施：</w:t>
            </w:r>
          </w:p>
          <w:p w14:paraId="6925B6E1">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①优选设备。尽量选择低噪声且符合国家噪声标准的设备。</w:t>
            </w:r>
          </w:p>
          <w:p w14:paraId="570CBA88">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②减振消声。产噪设备安装减振垫；油泵、加油机等设备加强维护保养，定期检查、维修，及时更换老化和性能降低的旧设备。</w:t>
            </w:r>
          </w:p>
          <w:p w14:paraId="1FC44D0D">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③优化布局。</w:t>
            </w:r>
            <w:r>
              <w:rPr>
                <w:rFonts w:hint="eastAsia" w:cs="Times New Roman"/>
                <w:b w:val="0"/>
                <w:bCs/>
                <w:color w:val="auto"/>
                <w:sz w:val="24"/>
                <w:szCs w:val="24"/>
                <w:highlight w:val="none"/>
                <w:lang w:val="en-US" w:eastAsia="zh-CN"/>
              </w:rPr>
              <w:t>撬装柴油</w:t>
            </w:r>
            <w:r>
              <w:rPr>
                <w:rFonts w:hint="eastAsia" w:ascii="Times New Roman" w:hAnsi="Times New Roman" w:eastAsia="宋体" w:cs="Times New Roman"/>
                <w:b w:val="0"/>
                <w:bCs/>
                <w:color w:val="auto"/>
                <w:sz w:val="24"/>
                <w:szCs w:val="24"/>
                <w:highlight w:val="none"/>
                <w:lang w:val="en-US" w:eastAsia="zh-CN"/>
              </w:rPr>
              <w:t>发电机等噪声较大的设备加装减震垫，减小结构传声的影响。</w:t>
            </w:r>
          </w:p>
          <w:p w14:paraId="335CB2DD">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④进出站车辆噪声通过加强引导管理，尤其是夜间车辆运行、鸣笛等的引导管理（如车辆进站时减速、禁止鸣笛、加油结束后车辆尽量平稳启动等），避免扰民。</w:t>
            </w:r>
          </w:p>
          <w:p w14:paraId="67836612">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⑤加强站区管理，尽量制止司乘人员大声喧哗。</w:t>
            </w:r>
          </w:p>
          <w:p w14:paraId="339EC7F0">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eastAsia="宋体" w:cs="Calibri"/>
                <w:color w:val="auto"/>
                <w:szCs w:val="21"/>
                <w:highlight w:val="none"/>
                <w:lang w:eastAsia="zh-CN"/>
              </w:rPr>
            </w:pPr>
            <w:r>
              <w:rPr>
                <w:rFonts w:hint="eastAsia" w:ascii="Times New Roman" w:hAnsi="Times New Roman" w:eastAsia="宋体" w:cs="Times New Roman"/>
                <w:b w:val="0"/>
                <w:bCs/>
                <w:color w:val="auto"/>
                <w:sz w:val="24"/>
                <w:szCs w:val="24"/>
                <w:highlight w:val="none"/>
                <w:lang w:val="en-US" w:eastAsia="zh-CN"/>
              </w:rPr>
              <w:t>本项目噪声污染源源强核算结果及相关参数见下表：</w:t>
            </w:r>
          </w:p>
        </w:tc>
      </w:tr>
    </w:tbl>
    <w:p w14:paraId="1B29F725">
      <w:pPr>
        <w:rPr>
          <w:color w:val="auto"/>
          <w:szCs w:val="21"/>
          <w:highlight w:val="none"/>
        </w:rPr>
      </w:pPr>
      <w:r>
        <w:rPr>
          <w:color w:val="auto"/>
          <w:szCs w:val="21"/>
          <w:highlight w:val="none"/>
        </w:rPr>
        <w:br w:type="page"/>
      </w:r>
    </w:p>
    <w:p w14:paraId="06F0B845">
      <w:pPr>
        <w:pStyle w:val="15"/>
        <w:rPr>
          <w:color w:val="auto"/>
          <w:highlight w:val="none"/>
        </w:rPr>
        <w:sectPr>
          <w:pgSz w:w="11906" w:h="16838"/>
          <w:pgMar w:top="1134" w:right="1418" w:bottom="1134" w:left="1134" w:header="851" w:footer="992" w:gutter="0"/>
          <w:pgBorders>
            <w:top w:val="none" w:sz="0" w:space="0"/>
            <w:left w:val="none" w:sz="0" w:space="0"/>
            <w:bottom w:val="none" w:sz="0" w:space="0"/>
            <w:right w:val="none" w:sz="0" w:space="0"/>
          </w:pgBorders>
          <w:cols w:space="720"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6"/>
      </w:tblGrid>
      <w:tr w14:paraId="39F2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6" w:type="dxa"/>
          </w:tcPr>
          <w:p w14:paraId="6FC0B686">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bidi="ar-SA"/>
              </w:rPr>
            </w:pPr>
            <w:r>
              <w:rPr>
                <w:rFonts w:hint="eastAsia" w:ascii="Times New Roman" w:hAnsi="Times New Roman" w:eastAsia="黑体" w:cs="Times New Roman"/>
                <w:b/>
                <w:bCs/>
                <w:i w:val="0"/>
                <w:iCs w:val="0"/>
                <w:color w:val="auto"/>
                <w:kern w:val="0"/>
                <w:sz w:val="20"/>
                <w:szCs w:val="20"/>
                <w:highlight w:val="none"/>
                <w:lang w:val="en-US" w:eastAsia="zh-CN"/>
              </w:rPr>
              <w:t>表4-1</w:t>
            </w:r>
            <w:r>
              <w:rPr>
                <w:rFonts w:hint="eastAsia" w:eastAsia="黑体" w:cs="Times New Roman"/>
                <w:b/>
                <w:bCs/>
                <w:i w:val="0"/>
                <w:iCs w:val="0"/>
                <w:color w:val="auto"/>
                <w:kern w:val="0"/>
                <w:sz w:val="20"/>
                <w:szCs w:val="20"/>
                <w:highlight w:val="none"/>
                <w:lang w:val="en-US" w:eastAsia="zh-CN"/>
              </w:rPr>
              <w:t xml:space="preserve">2 </w:t>
            </w:r>
            <w:r>
              <w:rPr>
                <w:rFonts w:hint="eastAsia" w:ascii="Times New Roman" w:hAnsi="Times New Roman" w:eastAsia="黑体" w:cs="Times New Roman"/>
                <w:b/>
                <w:bCs/>
                <w:color w:val="auto"/>
                <w:kern w:val="0"/>
                <w:sz w:val="20"/>
                <w:szCs w:val="20"/>
                <w:highlight w:val="none"/>
                <w:lang w:val="en-US" w:eastAsia="zh-CN" w:bidi="ar-SA"/>
              </w:rPr>
              <w:t>工业企业噪声营运期源强调查清单（室外声源）</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92"/>
              <w:gridCol w:w="1810"/>
              <w:gridCol w:w="1380"/>
              <w:gridCol w:w="926"/>
              <w:gridCol w:w="926"/>
              <w:gridCol w:w="937"/>
              <w:gridCol w:w="1968"/>
              <w:gridCol w:w="1423"/>
              <w:gridCol w:w="2005"/>
              <w:gridCol w:w="2486"/>
            </w:tblGrid>
            <w:tr w14:paraId="561BC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restart"/>
                  <w:tcBorders>
                    <w:tl2br w:val="nil"/>
                    <w:tr2bl w:val="nil"/>
                  </w:tcBorders>
                  <w:noWrap w:val="0"/>
                  <w:vAlign w:val="center"/>
                </w:tcPr>
                <w:p w14:paraId="6552AE0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序号</w:t>
                  </w:r>
                </w:p>
              </w:tc>
              <w:tc>
                <w:tcPr>
                  <w:tcW w:w="622" w:type="pct"/>
                  <w:vMerge w:val="restart"/>
                  <w:tcBorders>
                    <w:tl2br w:val="nil"/>
                    <w:tr2bl w:val="nil"/>
                  </w:tcBorders>
                  <w:noWrap w:val="0"/>
                  <w:vAlign w:val="center"/>
                </w:tcPr>
                <w:p w14:paraId="0A1EA99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声源</w:t>
                  </w:r>
                  <w:r>
                    <w:rPr>
                      <w:rFonts w:hint="eastAsia" w:cs="Times New Roman"/>
                      <w:b/>
                      <w:bCs/>
                      <w:color w:val="auto"/>
                      <w:sz w:val="21"/>
                      <w:szCs w:val="21"/>
                      <w:highlight w:val="none"/>
                      <w:lang w:val="en-US" w:eastAsia="zh-CN"/>
                    </w:rPr>
                    <w:t>名称</w:t>
                  </w:r>
                </w:p>
              </w:tc>
              <w:tc>
                <w:tcPr>
                  <w:tcW w:w="474" w:type="pct"/>
                  <w:vMerge w:val="restart"/>
                  <w:tcBorders>
                    <w:tl2br w:val="nil"/>
                    <w:tr2bl w:val="nil"/>
                  </w:tcBorders>
                  <w:noWrap w:val="0"/>
                  <w:vAlign w:val="center"/>
                </w:tcPr>
                <w:p w14:paraId="62BCC60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型号</w:t>
                  </w:r>
                </w:p>
              </w:tc>
              <w:tc>
                <w:tcPr>
                  <w:tcW w:w="958" w:type="pct"/>
                  <w:gridSpan w:val="3"/>
                  <w:tcBorders>
                    <w:tl2br w:val="nil"/>
                    <w:tr2bl w:val="nil"/>
                  </w:tcBorders>
                  <w:noWrap w:val="0"/>
                  <w:vAlign w:val="center"/>
                </w:tcPr>
                <w:p w14:paraId="450EC29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空间相对位置</w:t>
                  </w:r>
                </w:p>
              </w:tc>
              <w:tc>
                <w:tcPr>
                  <w:tcW w:w="1165" w:type="pct"/>
                  <w:gridSpan w:val="2"/>
                  <w:tcBorders>
                    <w:tl2br w:val="nil"/>
                    <w:tr2bl w:val="nil"/>
                  </w:tcBorders>
                  <w:noWrap w:val="0"/>
                  <w:vAlign w:val="center"/>
                </w:tcPr>
                <w:p w14:paraId="70C2D55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噪声源强</w:t>
                  </w:r>
                  <w:r>
                    <w:rPr>
                      <w:rFonts w:hint="eastAsia" w:cs="Times New Roman"/>
                      <w:b/>
                      <w:bCs/>
                      <w:color w:val="auto"/>
                      <w:sz w:val="21"/>
                      <w:szCs w:val="21"/>
                      <w:highlight w:val="none"/>
                      <w:lang w:eastAsia="zh-CN"/>
                    </w:rPr>
                    <w:t>（</w:t>
                  </w:r>
                  <w:r>
                    <w:rPr>
                      <w:rFonts w:hint="eastAsia" w:cs="Times New Roman"/>
                      <w:b/>
                      <w:bCs/>
                      <w:color w:val="auto"/>
                      <w:sz w:val="21"/>
                      <w:szCs w:val="21"/>
                      <w:highlight w:val="none"/>
                      <w:lang w:val="en-US" w:eastAsia="zh-CN"/>
                    </w:rPr>
                    <w:t>任选一种</w:t>
                  </w:r>
                  <w:r>
                    <w:rPr>
                      <w:rFonts w:hint="eastAsia" w:cs="Times New Roman"/>
                      <w:b/>
                      <w:bCs/>
                      <w:color w:val="auto"/>
                      <w:sz w:val="21"/>
                      <w:szCs w:val="21"/>
                      <w:highlight w:val="none"/>
                      <w:lang w:eastAsia="zh-CN"/>
                    </w:rPr>
                    <w:t>）</w:t>
                  </w:r>
                </w:p>
              </w:tc>
              <w:tc>
                <w:tcPr>
                  <w:tcW w:w="689" w:type="pct"/>
                  <w:vMerge w:val="restart"/>
                  <w:tcBorders>
                    <w:tl2br w:val="nil"/>
                    <w:tr2bl w:val="nil"/>
                  </w:tcBorders>
                  <w:noWrap w:val="0"/>
                  <w:vAlign w:val="center"/>
                </w:tcPr>
                <w:p w14:paraId="5348FB2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声源控制措施</w:t>
                  </w:r>
                </w:p>
              </w:tc>
              <w:tc>
                <w:tcPr>
                  <w:tcW w:w="851" w:type="pct"/>
                  <w:vMerge w:val="restart"/>
                  <w:tcBorders>
                    <w:tl2br w:val="nil"/>
                    <w:tr2bl w:val="nil"/>
                  </w:tcBorders>
                  <w:noWrap w:val="0"/>
                  <w:vAlign w:val="center"/>
                </w:tcPr>
                <w:p w14:paraId="0831CD7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运行时段</w:t>
                  </w:r>
                </w:p>
              </w:tc>
            </w:tr>
            <w:tr w14:paraId="77F61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continue"/>
                  <w:tcBorders>
                    <w:tl2br w:val="nil"/>
                    <w:tr2bl w:val="nil"/>
                  </w:tcBorders>
                  <w:noWrap w:val="0"/>
                  <w:vAlign w:val="center"/>
                </w:tcPr>
                <w:p w14:paraId="41FF6EC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22" w:type="pct"/>
                  <w:vMerge w:val="continue"/>
                  <w:tcBorders>
                    <w:tl2br w:val="nil"/>
                    <w:tr2bl w:val="nil"/>
                  </w:tcBorders>
                  <w:noWrap w:val="0"/>
                  <w:vAlign w:val="center"/>
                </w:tcPr>
                <w:p w14:paraId="03860E8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74" w:type="pct"/>
                  <w:vMerge w:val="continue"/>
                  <w:tcBorders>
                    <w:tl2br w:val="nil"/>
                    <w:tr2bl w:val="nil"/>
                  </w:tcBorders>
                  <w:noWrap w:val="0"/>
                  <w:vAlign w:val="center"/>
                </w:tcPr>
                <w:p w14:paraId="656345B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318" w:type="pct"/>
                  <w:tcBorders>
                    <w:tl2br w:val="nil"/>
                    <w:tr2bl w:val="nil"/>
                  </w:tcBorders>
                  <w:noWrap w:val="0"/>
                  <w:vAlign w:val="center"/>
                </w:tcPr>
                <w:p w14:paraId="7C6C72D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X</w:t>
                  </w:r>
                </w:p>
              </w:tc>
              <w:tc>
                <w:tcPr>
                  <w:tcW w:w="318" w:type="pct"/>
                  <w:tcBorders>
                    <w:tl2br w:val="nil"/>
                    <w:tr2bl w:val="nil"/>
                  </w:tcBorders>
                  <w:noWrap w:val="0"/>
                  <w:vAlign w:val="center"/>
                </w:tcPr>
                <w:p w14:paraId="2F0E233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Y</w:t>
                  </w:r>
                </w:p>
              </w:tc>
              <w:tc>
                <w:tcPr>
                  <w:tcW w:w="320" w:type="pct"/>
                  <w:tcBorders>
                    <w:tl2br w:val="nil"/>
                    <w:tr2bl w:val="nil"/>
                  </w:tcBorders>
                  <w:noWrap w:val="0"/>
                  <w:vAlign w:val="center"/>
                </w:tcPr>
                <w:p w14:paraId="008F651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Z</w:t>
                  </w:r>
                </w:p>
              </w:tc>
              <w:tc>
                <w:tcPr>
                  <w:tcW w:w="676" w:type="pct"/>
                  <w:tcBorders>
                    <w:tl2br w:val="nil"/>
                    <w:tr2bl w:val="nil"/>
                  </w:tcBorders>
                  <w:noWrap w:val="0"/>
                  <w:vAlign w:val="center"/>
                </w:tcPr>
                <w:p w14:paraId="2F63A83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（声压级/距声源距离）/（dB（A）/m）</w:t>
                  </w:r>
                </w:p>
              </w:tc>
              <w:tc>
                <w:tcPr>
                  <w:tcW w:w="488" w:type="pct"/>
                  <w:tcBorders>
                    <w:tl2br w:val="nil"/>
                    <w:tr2bl w:val="nil"/>
                  </w:tcBorders>
                  <w:noWrap w:val="0"/>
                  <w:vAlign w:val="center"/>
                </w:tcPr>
                <w:p w14:paraId="285C4DA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声功率级/</w:t>
                  </w:r>
                  <w:r>
                    <w:rPr>
                      <w:rFonts w:hint="default" w:ascii="Times New Roman" w:hAnsi="Times New Roman" w:cs="Times New Roman"/>
                      <w:b/>
                      <w:bCs/>
                      <w:color w:val="auto"/>
                      <w:sz w:val="21"/>
                      <w:szCs w:val="21"/>
                      <w:highlight w:val="none"/>
                    </w:rPr>
                    <w:t>dB</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A</w:t>
                  </w:r>
                  <w:r>
                    <w:rPr>
                      <w:rFonts w:hint="default" w:ascii="Times New Roman" w:hAnsi="Times New Roman" w:cs="Times New Roman"/>
                      <w:b/>
                      <w:bCs/>
                      <w:color w:val="auto"/>
                      <w:sz w:val="21"/>
                      <w:szCs w:val="21"/>
                      <w:highlight w:val="none"/>
                      <w:lang w:eastAsia="zh-CN"/>
                    </w:rPr>
                    <w:t>）</w:t>
                  </w:r>
                </w:p>
              </w:tc>
              <w:tc>
                <w:tcPr>
                  <w:tcW w:w="689" w:type="pct"/>
                  <w:vMerge w:val="continue"/>
                  <w:tcBorders>
                    <w:tl2br w:val="nil"/>
                    <w:tr2bl w:val="nil"/>
                  </w:tcBorders>
                  <w:noWrap w:val="0"/>
                  <w:vAlign w:val="center"/>
                </w:tcPr>
                <w:p w14:paraId="0D4719C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b/>
                      <w:bCs/>
                      <w:color w:val="auto"/>
                      <w:sz w:val="21"/>
                      <w:szCs w:val="21"/>
                      <w:highlight w:val="none"/>
                      <w:lang w:val="en-US" w:eastAsia="zh-CN"/>
                    </w:rPr>
                  </w:pPr>
                </w:p>
              </w:tc>
              <w:tc>
                <w:tcPr>
                  <w:tcW w:w="851" w:type="pct"/>
                  <w:vMerge w:val="continue"/>
                  <w:tcBorders>
                    <w:tl2br w:val="nil"/>
                    <w:tr2bl w:val="nil"/>
                  </w:tcBorders>
                  <w:noWrap w:val="0"/>
                  <w:vAlign w:val="center"/>
                </w:tcPr>
                <w:p w14:paraId="4A58234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b/>
                      <w:bCs/>
                      <w:color w:val="auto"/>
                      <w:sz w:val="21"/>
                      <w:szCs w:val="21"/>
                      <w:highlight w:val="none"/>
                      <w:lang w:val="en-US" w:eastAsia="zh-CN"/>
                    </w:rPr>
                  </w:pPr>
                </w:p>
              </w:tc>
            </w:tr>
            <w:tr w14:paraId="5F46B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238" w:type="pct"/>
                  <w:vMerge w:val="restart"/>
                  <w:tcBorders>
                    <w:tl2br w:val="nil"/>
                    <w:tr2bl w:val="nil"/>
                  </w:tcBorders>
                  <w:noWrap w:val="0"/>
                  <w:vAlign w:val="center"/>
                </w:tcPr>
                <w:p w14:paraId="0D8C6C2F">
                  <w:pPr>
                    <w:keepNext w:val="0"/>
                    <w:keepLines w:val="0"/>
                    <w:suppressLineNumbers w:val="0"/>
                    <w:spacing w:before="0" w:beforeAutospacing="0" w:after="0" w:afterAutospacing="0"/>
                    <w:ind w:left="0" w:right="0"/>
                    <w:jc w:val="center"/>
                    <w:textAlignment w:val="baseline"/>
                    <w:rPr>
                      <w:rFonts w:hint="eastAsia" w:ascii="Times New Roman" w:hAnsi="Times New Roman" w:eastAsia="宋体" w:cs="Times New Roman"/>
                      <w:color w:val="auto"/>
                      <w:sz w:val="21"/>
                      <w:szCs w:val="21"/>
                      <w:highlight w:val="none"/>
                      <w:lang w:val="en-US" w:eastAsia="zh-CN" w:bidi="ar"/>
                    </w:rPr>
                  </w:pPr>
                  <w:r>
                    <w:rPr>
                      <w:rFonts w:hint="eastAsia"/>
                      <w:color w:val="auto"/>
                      <w:sz w:val="21"/>
                      <w:szCs w:val="21"/>
                      <w:highlight w:val="none"/>
                      <w:lang w:bidi="ar"/>
                    </w:rPr>
                    <w:t>1</w:t>
                  </w:r>
                </w:p>
              </w:tc>
              <w:tc>
                <w:tcPr>
                  <w:tcW w:w="622" w:type="pct"/>
                  <w:vMerge w:val="restart"/>
                  <w:tcBorders>
                    <w:tl2br w:val="nil"/>
                    <w:tr2bl w:val="nil"/>
                  </w:tcBorders>
                  <w:noWrap w:val="0"/>
                  <w:vAlign w:val="center"/>
                </w:tcPr>
                <w:p w14:paraId="7227A7C8">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b w:val="0"/>
                      <w:i w:val="0"/>
                      <w:caps w:val="0"/>
                      <w:color w:val="auto"/>
                      <w:spacing w:val="0"/>
                      <w:w w:val="100"/>
                      <w:kern w:val="2"/>
                      <w:sz w:val="21"/>
                      <w:szCs w:val="21"/>
                      <w:highlight w:val="none"/>
                      <w:lang w:val="en-US" w:eastAsia="zh-CN" w:bidi="ar-SA"/>
                    </w:rPr>
                  </w:pPr>
                  <w:r>
                    <w:rPr>
                      <w:rFonts w:hint="eastAsia"/>
                      <w:bCs/>
                      <w:color w:val="auto"/>
                      <w:sz w:val="21"/>
                      <w:szCs w:val="21"/>
                      <w:highlight w:val="none"/>
                    </w:rPr>
                    <w:t>储罐区油泵</w:t>
                  </w:r>
                </w:p>
              </w:tc>
              <w:tc>
                <w:tcPr>
                  <w:tcW w:w="474" w:type="pct"/>
                  <w:vMerge w:val="restart"/>
                  <w:tcBorders>
                    <w:tl2br w:val="nil"/>
                    <w:tr2bl w:val="nil"/>
                  </w:tcBorders>
                  <w:noWrap w:val="0"/>
                  <w:vAlign w:val="center"/>
                </w:tcPr>
                <w:p w14:paraId="6B2CC8A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318" w:type="pct"/>
                  <w:vMerge w:val="restart"/>
                  <w:tcBorders>
                    <w:tl2br w:val="nil"/>
                    <w:tr2bl w:val="nil"/>
                  </w:tcBorders>
                  <w:noWrap w:val="0"/>
                  <w:vAlign w:val="center"/>
                </w:tcPr>
                <w:p w14:paraId="6BEA3CE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rPr>
                    <w:t>2</w:t>
                  </w:r>
                  <w:r>
                    <w:rPr>
                      <w:rFonts w:hint="eastAsia"/>
                      <w:color w:val="auto"/>
                      <w:sz w:val="21"/>
                      <w:szCs w:val="21"/>
                      <w:highlight w:val="none"/>
                      <w:lang w:val="en-US" w:eastAsia="zh-CN"/>
                    </w:rPr>
                    <w:t>7</w:t>
                  </w:r>
                </w:p>
              </w:tc>
              <w:tc>
                <w:tcPr>
                  <w:tcW w:w="318" w:type="pct"/>
                  <w:vMerge w:val="restart"/>
                  <w:tcBorders>
                    <w:tl2br w:val="nil"/>
                    <w:tr2bl w:val="nil"/>
                  </w:tcBorders>
                  <w:noWrap w:val="0"/>
                  <w:vAlign w:val="center"/>
                </w:tcPr>
                <w:p w14:paraId="415E4BD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color w:val="auto"/>
                      <w:sz w:val="21"/>
                      <w:szCs w:val="21"/>
                      <w:highlight w:val="none"/>
                    </w:rPr>
                    <w:t>6</w:t>
                  </w:r>
                  <w:r>
                    <w:rPr>
                      <w:rFonts w:hint="eastAsia"/>
                      <w:color w:val="auto"/>
                      <w:sz w:val="21"/>
                      <w:szCs w:val="21"/>
                      <w:highlight w:val="none"/>
                      <w:lang w:val="en-US" w:eastAsia="zh-CN"/>
                    </w:rPr>
                    <w:t>5</w:t>
                  </w:r>
                </w:p>
              </w:tc>
              <w:tc>
                <w:tcPr>
                  <w:tcW w:w="320" w:type="pct"/>
                  <w:vMerge w:val="restart"/>
                  <w:tcBorders>
                    <w:tl2br w:val="nil"/>
                    <w:tr2bl w:val="nil"/>
                  </w:tcBorders>
                  <w:noWrap w:val="0"/>
                  <w:vAlign w:val="center"/>
                </w:tcPr>
                <w:p w14:paraId="68846A4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2</w:t>
                  </w:r>
                </w:p>
              </w:tc>
              <w:tc>
                <w:tcPr>
                  <w:tcW w:w="676" w:type="pct"/>
                  <w:vMerge w:val="restart"/>
                  <w:tcBorders>
                    <w:tl2br w:val="nil"/>
                    <w:tr2bl w:val="nil"/>
                  </w:tcBorders>
                  <w:noWrap w:val="0"/>
                  <w:vAlign w:val="center"/>
                </w:tcPr>
                <w:p w14:paraId="75E91FD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488" w:type="pct"/>
                  <w:vMerge w:val="restart"/>
                  <w:tcBorders>
                    <w:tl2br w:val="nil"/>
                    <w:tr2bl w:val="nil"/>
                  </w:tcBorders>
                  <w:noWrap w:val="0"/>
                  <w:vAlign w:val="center"/>
                </w:tcPr>
                <w:p w14:paraId="4BB388B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89" w:type="pct"/>
                  <w:vMerge w:val="restart"/>
                  <w:tcBorders>
                    <w:tl2br w:val="nil"/>
                    <w:tr2bl w:val="nil"/>
                  </w:tcBorders>
                  <w:noWrap w:val="0"/>
                  <w:vAlign w:val="center"/>
                </w:tcPr>
                <w:p w14:paraId="5509321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选用低噪声设备，合理布置设备，设备基础减振，定期加强设备维护等</w:t>
                  </w:r>
                </w:p>
              </w:tc>
              <w:tc>
                <w:tcPr>
                  <w:tcW w:w="851" w:type="pct"/>
                  <w:tcBorders>
                    <w:tl2br w:val="nil"/>
                    <w:tr2bl w:val="nil"/>
                  </w:tcBorders>
                  <w:noWrap w:val="0"/>
                  <w:vAlign w:val="center"/>
                </w:tcPr>
                <w:p w14:paraId="34AE1E9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rPr>
                    <w:t>昼间</w:t>
                  </w:r>
                </w:p>
              </w:tc>
            </w:tr>
            <w:tr w14:paraId="43AD7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jc w:val="center"/>
              </w:trPr>
              <w:tc>
                <w:tcPr>
                  <w:tcW w:w="238" w:type="pct"/>
                  <w:vMerge w:val="continue"/>
                  <w:tcBorders>
                    <w:tl2br w:val="nil"/>
                    <w:tr2bl w:val="nil"/>
                  </w:tcBorders>
                  <w:noWrap w:val="0"/>
                  <w:vAlign w:val="center"/>
                </w:tcPr>
                <w:p w14:paraId="42AF1DF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22" w:type="pct"/>
                  <w:vMerge w:val="continue"/>
                  <w:tcBorders>
                    <w:tl2br w:val="nil"/>
                    <w:tr2bl w:val="nil"/>
                  </w:tcBorders>
                  <w:noWrap w:val="0"/>
                  <w:vAlign w:val="center"/>
                </w:tcPr>
                <w:p w14:paraId="50D7C39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74" w:type="pct"/>
                  <w:vMerge w:val="continue"/>
                  <w:tcBorders>
                    <w:tl2br w:val="nil"/>
                    <w:tr2bl w:val="nil"/>
                  </w:tcBorders>
                  <w:noWrap w:val="0"/>
                  <w:vAlign w:val="center"/>
                </w:tcPr>
                <w:p w14:paraId="3C3D986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3E997B8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515693B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20" w:type="pct"/>
                  <w:vMerge w:val="continue"/>
                  <w:tcBorders>
                    <w:tl2br w:val="nil"/>
                    <w:tr2bl w:val="nil"/>
                  </w:tcBorders>
                  <w:noWrap w:val="0"/>
                  <w:vAlign w:val="center"/>
                </w:tcPr>
                <w:p w14:paraId="02794AE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76" w:type="pct"/>
                  <w:vMerge w:val="continue"/>
                  <w:tcBorders>
                    <w:tl2br w:val="nil"/>
                    <w:tr2bl w:val="nil"/>
                  </w:tcBorders>
                  <w:noWrap w:val="0"/>
                  <w:vAlign w:val="center"/>
                </w:tcPr>
                <w:p w14:paraId="07CF2C0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88" w:type="pct"/>
                  <w:vMerge w:val="continue"/>
                  <w:tcBorders>
                    <w:tl2br w:val="nil"/>
                    <w:tr2bl w:val="nil"/>
                  </w:tcBorders>
                  <w:noWrap w:val="0"/>
                  <w:vAlign w:val="center"/>
                </w:tcPr>
                <w:p w14:paraId="7A8A727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89" w:type="pct"/>
                  <w:vMerge w:val="continue"/>
                  <w:tcBorders>
                    <w:tl2br w:val="nil"/>
                    <w:tr2bl w:val="nil"/>
                  </w:tcBorders>
                  <w:noWrap w:val="0"/>
                  <w:vAlign w:val="center"/>
                </w:tcPr>
                <w:p w14:paraId="3194EC3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851" w:type="pct"/>
                  <w:tcBorders>
                    <w:tl2br w:val="nil"/>
                    <w:tr2bl w:val="nil"/>
                  </w:tcBorders>
                  <w:noWrap w:val="0"/>
                  <w:vAlign w:val="center"/>
                </w:tcPr>
                <w:p w14:paraId="7791667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夜间</w:t>
                  </w:r>
                </w:p>
              </w:tc>
            </w:tr>
            <w:tr w14:paraId="087D6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238" w:type="pct"/>
                  <w:vMerge w:val="restart"/>
                  <w:tcBorders>
                    <w:tl2br w:val="nil"/>
                    <w:tr2bl w:val="nil"/>
                  </w:tcBorders>
                  <w:noWrap w:val="0"/>
                  <w:vAlign w:val="center"/>
                </w:tcPr>
                <w:p w14:paraId="67F713B9">
                  <w:pPr>
                    <w:keepNext w:val="0"/>
                    <w:keepLines w:val="0"/>
                    <w:suppressLineNumbers w:val="0"/>
                    <w:spacing w:before="0" w:beforeAutospacing="0" w:after="0" w:afterAutospacing="0"/>
                    <w:ind w:left="0" w:right="0"/>
                    <w:jc w:val="center"/>
                    <w:textAlignment w:val="baseline"/>
                    <w:rPr>
                      <w:rFonts w:hint="default" w:cs="Times New Roman"/>
                      <w:color w:val="auto"/>
                      <w:sz w:val="21"/>
                      <w:szCs w:val="21"/>
                      <w:highlight w:val="none"/>
                      <w:lang w:val="en-US" w:eastAsia="zh-CN" w:bidi="ar"/>
                    </w:rPr>
                  </w:pPr>
                  <w:r>
                    <w:rPr>
                      <w:rFonts w:hint="eastAsia"/>
                      <w:color w:val="auto"/>
                      <w:sz w:val="21"/>
                      <w:szCs w:val="21"/>
                      <w:highlight w:val="none"/>
                      <w:lang w:bidi="ar"/>
                    </w:rPr>
                    <w:t>2</w:t>
                  </w:r>
                </w:p>
              </w:tc>
              <w:tc>
                <w:tcPr>
                  <w:tcW w:w="622" w:type="pct"/>
                  <w:vMerge w:val="restart"/>
                  <w:tcBorders>
                    <w:tl2br w:val="nil"/>
                    <w:tr2bl w:val="nil"/>
                  </w:tcBorders>
                  <w:noWrap w:val="0"/>
                  <w:vAlign w:val="center"/>
                </w:tcPr>
                <w:p w14:paraId="5489E659">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bCs/>
                      <w:color w:val="auto"/>
                      <w:sz w:val="21"/>
                      <w:szCs w:val="21"/>
                      <w:highlight w:val="none"/>
                    </w:rPr>
                    <w:t>LNG潜液泵</w:t>
                  </w:r>
                </w:p>
              </w:tc>
              <w:tc>
                <w:tcPr>
                  <w:tcW w:w="474" w:type="pct"/>
                  <w:vMerge w:val="restart"/>
                  <w:tcBorders>
                    <w:tl2br w:val="nil"/>
                    <w:tr2bl w:val="nil"/>
                  </w:tcBorders>
                  <w:noWrap w:val="0"/>
                  <w:vAlign w:val="center"/>
                </w:tcPr>
                <w:p w14:paraId="200182D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18" w:type="pct"/>
                  <w:vMerge w:val="restart"/>
                  <w:tcBorders>
                    <w:tl2br w:val="nil"/>
                    <w:tr2bl w:val="nil"/>
                  </w:tcBorders>
                  <w:noWrap w:val="0"/>
                  <w:vAlign w:val="center"/>
                </w:tcPr>
                <w:p w14:paraId="394E2AF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rPr>
                    <w:t>3</w:t>
                  </w:r>
                  <w:r>
                    <w:rPr>
                      <w:rFonts w:hint="eastAsia"/>
                      <w:color w:val="auto"/>
                      <w:sz w:val="21"/>
                      <w:szCs w:val="21"/>
                      <w:highlight w:val="none"/>
                      <w:lang w:val="en-US" w:eastAsia="zh-CN"/>
                    </w:rPr>
                    <w:t>9</w:t>
                  </w:r>
                </w:p>
              </w:tc>
              <w:tc>
                <w:tcPr>
                  <w:tcW w:w="318" w:type="pct"/>
                  <w:vMerge w:val="restart"/>
                  <w:tcBorders>
                    <w:tl2br w:val="nil"/>
                    <w:tr2bl w:val="nil"/>
                  </w:tcBorders>
                  <w:noWrap w:val="0"/>
                  <w:vAlign w:val="center"/>
                </w:tcPr>
                <w:p w14:paraId="436661A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rPr>
                    <w:t>37</w:t>
                  </w:r>
                </w:p>
              </w:tc>
              <w:tc>
                <w:tcPr>
                  <w:tcW w:w="320" w:type="pct"/>
                  <w:vMerge w:val="restart"/>
                  <w:tcBorders>
                    <w:tl2br w:val="nil"/>
                    <w:tr2bl w:val="nil"/>
                  </w:tcBorders>
                  <w:noWrap w:val="0"/>
                  <w:vAlign w:val="center"/>
                </w:tcPr>
                <w:p w14:paraId="40C33AE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676" w:type="pct"/>
                  <w:vMerge w:val="restart"/>
                  <w:tcBorders>
                    <w:tl2br w:val="nil"/>
                    <w:tr2bl w:val="nil"/>
                  </w:tcBorders>
                  <w:noWrap w:val="0"/>
                  <w:vAlign w:val="center"/>
                </w:tcPr>
                <w:p w14:paraId="4D7119B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88" w:type="pct"/>
                  <w:vMerge w:val="restart"/>
                  <w:tcBorders>
                    <w:tl2br w:val="nil"/>
                    <w:tr2bl w:val="nil"/>
                  </w:tcBorders>
                  <w:noWrap w:val="0"/>
                  <w:vAlign w:val="center"/>
                </w:tcPr>
                <w:p w14:paraId="111D80D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89" w:type="pct"/>
                  <w:vMerge w:val="continue"/>
                  <w:tcBorders>
                    <w:tl2br w:val="nil"/>
                    <w:tr2bl w:val="nil"/>
                  </w:tcBorders>
                  <w:noWrap w:val="0"/>
                  <w:vAlign w:val="center"/>
                </w:tcPr>
                <w:p w14:paraId="326C265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color w:val="auto"/>
                      <w:sz w:val="21"/>
                      <w:szCs w:val="21"/>
                      <w:highlight w:val="none"/>
                      <w:lang w:val="en-US" w:eastAsia="zh-CN"/>
                    </w:rPr>
                  </w:pPr>
                </w:p>
              </w:tc>
              <w:tc>
                <w:tcPr>
                  <w:tcW w:w="851" w:type="pct"/>
                  <w:tcBorders>
                    <w:tl2br w:val="nil"/>
                    <w:tr2bl w:val="nil"/>
                  </w:tcBorders>
                  <w:noWrap w:val="0"/>
                  <w:vAlign w:val="center"/>
                </w:tcPr>
                <w:p w14:paraId="79FAAD7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昼间</w:t>
                  </w:r>
                </w:p>
              </w:tc>
            </w:tr>
            <w:tr w14:paraId="45CF6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238" w:type="pct"/>
                  <w:vMerge w:val="continue"/>
                  <w:tcBorders>
                    <w:tl2br w:val="nil"/>
                    <w:tr2bl w:val="nil"/>
                  </w:tcBorders>
                  <w:noWrap w:val="0"/>
                  <w:vAlign w:val="center"/>
                </w:tcPr>
                <w:p w14:paraId="7E0DC69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22" w:type="pct"/>
                  <w:vMerge w:val="continue"/>
                  <w:tcBorders>
                    <w:tl2br w:val="nil"/>
                    <w:tr2bl w:val="nil"/>
                  </w:tcBorders>
                  <w:noWrap w:val="0"/>
                  <w:vAlign w:val="center"/>
                </w:tcPr>
                <w:p w14:paraId="424A0A8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74" w:type="pct"/>
                  <w:vMerge w:val="continue"/>
                  <w:tcBorders>
                    <w:tl2br w:val="nil"/>
                    <w:tr2bl w:val="nil"/>
                  </w:tcBorders>
                  <w:noWrap w:val="0"/>
                  <w:vAlign w:val="center"/>
                </w:tcPr>
                <w:p w14:paraId="66056BC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0CF59A1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6936CCA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20" w:type="pct"/>
                  <w:vMerge w:val="continue"/>
                  <w:tcBorders>
                    <w:tl2br w:val="nil"/>
                    <w:tr2bl w:val="nil"/>
                  </w:tcBorders>
                  <w:noWrap w:val="0"/>
                  <w:vAlign w:val="center"/>
                </w:tcPr>
                <w:p w14:paraId="4B88049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76" w:type="pct"/>
                  <w:vMerge w:val="continue"/>
                  <w:tcBorders>
                    <w:tl2br w:val="nil"/>
                    <w:tr2bl w:val="nil"/>
                  </w:tcBorders>
                  <w:noWrap w:val="0"/>
                  <w:vAlign w:val="center"/>
                </w:tcPr>
                <w:p w14:paraId="36CCFCF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88" w:type="pct"/>
                  <w:vMerge w:val="continue"/>
                  <w:tcBorders>
                    <w:tl2br w:val="nil"/>
                    <w:tr2bl w:val="nil"/>
                  </w:tcBorders>
                  <w:noWrap w:val="0"/>
                  <w:vAlign w:val="center"/>
                </w:tcPr>
                <w:p w14:paraId="0D993C8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89" w:type="pct"/>
                  <w:vMerge w:val="continue"/>
                  <w:tcBorders>
                    <w:tl2br w:val="nil"/>
                    <w:tr2bl w:val="nil"/>
                  </w:tcBorders>
                  <w:noWrap w:val="0"/>
                  <w:vAlign w:val="center"/>
                </w:tcPr>
                <w:p w14:paraId="3B689F3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851" w:type="pct"/>
                  <w:tcBorders>
                    <w:tl2br w:val="nil"/>
                    <w:tr2bl w:val="nil"/>
                  </w:tcBorders>
                  <w:noWrap w:val="0"/>
                  <w:vAlign w:val="center"/>
                </w:tcPr>
                <w:p w14:paraId="4E844FB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lang w:val="en-US" w:eastAsia="zh-CN"/>
                    </w:rPr>
                    <w:t>夜间</w:t>
                  </w:r>
                </w:p>
              </w:tc>
            </w:tr>
            <w:tr w14:paraId="137E1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238" w:type="pct"/>
                  <w:vMerge w:val="restart"/>
                  <w:tcBorders>
                    <w:tl2br w:val="nil"/>
                    <w:tr2bl w:val="nil"/>
                  </w:tcBorders>
                  <w:noWrap w:val="0"/>
                  <w:vAlign w:val="center"/>
                </w:tcPr>
                <w:p w14:paraId="26852DB4">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eastAsia"/>
                      <w:color w:val="auto"/>
                      <w:sz w:val="21"/>
                      <w:szCs w:val="21"/>
                      <w:highlight w:val="none"/>
                      <w:lang w:bidi="ar"/>
                    </w:rPr>
                    <w:t>3</w:t>
                  </w:r>
                </w:p>
              </w:tc>
              <w:tc>
                <w:tcPr>
                  <w:tcW w:w="622" w:type="pct"/>
                  <w:vMerge w:val="restart"/>
                  <w:tcBorders>
                    <w:tl2br w:val="nil"/>
                    <w:tr2bl w:val="nil"/>
                  </w:tcBorders>
                  <w:noWrap w:val="0"/>
                  <w:vAlign w:val="center"/>
                </w:tcPr>
                <w:p w14:paraId="41B682B4">
                  <w:pPr>
                    <w:keepNext w:val="0"/>
                    <w:keepLines w:val="0"/>
                    <w:suppressLineNumbers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bCs/>
                      <w:color w:val="auto"/>
                      <w:sz w:val="21"/>
                      <w:szCs w:val="21"/>
                      <w:highlight w:val="none"/>
                    </w:rPr>
                    <w:t>加气机1</w:t>
                  </w:r>
                </w:p>
              </w:tc>
              <w:tc>
                <w:tcPr>
                  <w:tcW w:w="474" w:type="pct"/>
                  <w:vMerge w:val="restart"/>
                  <w:tcBorders>
                    <w:tl2br w:val="nil"/>
                    <w:tr2bl w:val="nil"/>
                  </w:tcBorders>
                  <w:noWrap w:val="0"/>
                  <w:vAlign w:val="center"/>
                </w:tcPr>
                <w:p w14:paraId="47FD0FD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18" w:type="pct"/>
                  <w:vMerge w:val="restart"/>
                  <w:tcBorders>
                    <w:tl2br w:val="nil"/>
                    <w:tr2bl w:val="nil"/>
                  </w:tcBorders>
                  <w:noWrap w:val="0"/>
                  <w:vAlign w:val="center"/>
                </w:tcPr>
                <w:p w14:paraId="3786723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rPr>
                    <w:t>3</w:t>
                  </w:r>
                  <w:r>
                    <w:rPr>
                      <w:rFonts w:hint="eastAsia"/>
                      <w:color w:val="auto"/>
                      <w:sz w:val="21"/>
                      <w:szCs w:val="21"/>
                      <w:highlight w:val="none"/>
                      <w:lang w:val="en-US" w:eastAsia="zh-CN"/>
                    </w:rPr>
                    <w:t>2</w:t>
                  </w:r>
                </w:p>
              </w:tc>
              <w:tc>
                <w:tcPr>
                  <w:tcW w:w="318" w:type="pct"/>
                  <w:vMerge w:val="restart"/>
                  <w:tcBorders>
                    <w:tl2br w:val="nil"/>
                    <w:tr2bl w:val="nil"/>
                  </w:tcBorders>
                  <w:noWrap w:val="0"/>
                  <w:vAlign w:val="center"/>
                </w:tcPr>
                <w:p w14:paraId="5BC6C9E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rPr>
                    <w:t>59</w:t>
                  </w:r>
                </w:p>
              </w:tc>
              <w:tc>
                <w:tcPr>
                  <w:tcW w:w="320" w:type="pct"/>
                  <w:vMerge w:val="restart"/>
                  <w:tcBorders>
                    <w:tl2br w:val="nil"/>
                    <w:tr2bl w:val="nil"/>
                  </w:tcBorders>
                  <w:noWrap w:val="0"/>
                  <w:vAlign w:val="center"/>
                </w:tcPr>
                <w:p w14:paraId="0E12009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rPr>
                    <w:t>1</w:t>
                  </w:r>
                </w:p>
              </w:tc>
              <w:tc>
                <w:tcPr>
                  <w:tcW w:w="676" w:type="pct"/>
                  <w:vMerge w:val="restart"/>
                  <w:tcBorders>
                    <w:tl2br w:val="nil"/>
                    <w:tr2bl w:val="nil"/>
                  </w:tcBorders>
                  <w:noWrap w:val="0"/>
                  <w:vAlign w:val="center"/>
                </w:tcPr>
                <w:p w14:paraId="2E7A1D2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88" w:type="pct"/>
                  <w:vMerge w:val="restart"/>
                  <w:tcBorders>
                    <w:tl2br w:val="nil"/>
                    <w:tr2bl w:val="nil"/>
                  </w:tcBorders>
                  <w:noWrap w:val="0"/>
                  <w:vAlign w:val="center"/>
                </w:tcPr>
                <w:p w14:paraId="4F2D19A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89" w:type="pct"/>
                  <w:vMerge w:val="continue"/>
                  <w:tcBorders>
                    <w:tl2br w:val="nil"/>
                    <w:tr2bl w:val="nil"/>
                  </w:tcBorders>
                  <w:noWrap w:val="0"/>
                  <w:vAlign w:val="center"/>
                </w:tcPr>
                <w:p w14:paraId="634C15A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color w:val="auto"/>
                      <w:sz w:val="21"/>
                      <w:szCs w:val="21"/>
                      <w:highlight w:val="none"/>
                      <w:lang w:val="en-US" w:eastAsia="zh-CN"/>
                    </w:rPr>
                  </w:pPr>
                </w:p>
              </w:tc>
              <w:tc>
                <w:tcPr>
                  <w:tcW w:w="851" w:type="pct"/>
                  <w:tcBorders>
                    <w:tl2br w:val="nil"/>
                    <w:tr2bl w:val="nil"/>
                  </w:tcBorders>
                  <w:noWrap w:val="0"/>
                  <w:vAlign w:val="center"/>
                </w:tcPr>
                <w:p w14:paraId="795669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昼间</w:t>
                  </w:r>
                </w:p>
              </w:tc>
            </w:tr>
            <w:tr w14:paraId="7D6E9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238" w:type="pct"/>
                  <w:vMerge w:val="continue"/>
                  <w:tcBorders>
                    <w:tl2br w:val="nil"/>
                    <w:tr2bl w:val="nil"/>
                  </w:tcBorders>
                  <w:noWrap w:val="0"/>
                  <w:vAlign w:val="center"/>
                </w:tcPr>
                <w:p w14:paraId="1149B38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22" w:type="pct"/>
                  <w:vMerge w:val="continue"/>
                  <w:tcBorders>
                    <w:tl2br w:val="nil"/>
                    <w:tr2bl w:val="nil"/>
                  </w:tcBorders>
                  <w:noWrap w:val="0"/>
                  <w:vAlign w:val="center"/>
                </w:tcPr>
                <w:p w14:paraId="2BFC188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74" w:type="pct"/>
                  <w:vMerge w:val="continue"/>
                  <w:tcBorders>
                    <w:tl2br w:val="nil"/>
                    <w:tr2bl w:val="nil"/>
                  </w:tcBorders>
                  <w:noWrap w:val="0"/>
                  <w:vAlign w:val="center"/>
                </w:tcPr>
                <w:p w14:paraId="42EFC5D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5A4FDD6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396E5DA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20" w:type="pct"/>
                  <w:vMerge w:val="continue"/>
                  <w:tcBorders>
                    <w:tl2br w:val="nil"/>
                    <w:tr2bl w:val="nil"/>
                  </w:tcBorders>
                  <w:noWrap w:val="0"/>
                  <w:vAlign w:val="center"/>
                </w:tcPr>
                <w:p w14:paraId="719AB12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76" w:type="pct"/>
                  <w:vMerge w:val="continue"/>
                  <w:tcBorders>
                    <w:tl2br w:val="nil"/>
                    <w:tr2bl w:val="nil"/>
                  </w:tcBorders>
                  <w:noWrap w:val="0"/>
                  <w:vAlign w:val="center"/>
                </w:tcPr>
                <w:p w14:paraId="2608EA9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88" w:type="pct"/>
                  <w:vMerge w:val="continue"/>
                  <w:tcBorders>
                    <w:tl2br w:val="nil"/>
                    <w:tr2bl w:val="nil"/>
                  </w:tcBorders>
                  <w:noWrap w:val="0"/>
                  <w:vAlign w:val="center"/>
                </w:tcPr>
                <w:p w14:paraId="15B3EBE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89" w:type="pct"/>
                  <w:vMerge w:val="continue"/>
                  <w:tcBorders>
                    <w:tl2br w:val="nil"/>
                    <w:tr2bl w:val="nil"/>
                  </w:tcBorders>
                  <w:noWrap w:val="0"/>
                  <w:vAlign w:val="center"/>
                </w:tcPr>
                <w:p w14:paraId="30E5DF1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851" w:type="pct"/>
                  <w:tcBorders>
                    <w:tl2br w:val="nil"/>
                    <w:tr2bl w:val="nil"/>
                  </w:tcBorders>
                  <w:noWrap w:val="0"/>
                  <w:vAlign w:val="center"/>
                </w:tcPr>
                <w:p w14:paraId="6DA1E48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lang w:val="en-US" w:eastAsia="zh-CN"/>
                    </w:rPr>
                    <w:t>夜间</w:t>
                  </w:r>
                </w:p>
              </w:tc>
            </w:tr>
            <w:tr w14:paraId="1F047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238" w:type="pct"/>
                  <w:vMerge w:val="restart"/>
                  <w:tcBorders>
                    <w:tl2br w:val="nil"/>
                    <w:tr2bl w:val="nil"/>
                  </w:tcBorders>
                  <w:noWrap w:val="0"/>
                  <w:vAlign w:val="center"/>
                </w:tcPr>
                <w:p w14:paraId="38644D57">
                  <w:pPr>
                    <w:keepNext w:val="0"/>
                    <w:keepLines w:val="0"/>
                    <w:suppressLineNumbers w:val="0"/>
                    <w:spacing w:before="0" w:beforeAutospacing="0" w:after="0" w:afterAutospacing="0"/>
                    <w:ind w:left="0" w:right="0"/>
                    <w:jc w:val="center"/>
                    <w:textAlignment w:val="baseline"/>
                    <w:rPr>
                      <w:rFonts w:hint="default" w:cs="Times New Roman"/>
                      <w:color w:val="auto"/>
                      <w:sz w:val="21"/>
                      <w:szCs w:val="21"/>
                      <w:highlight w:val="none"/>
                      <w:lang w:val="en-US" w:eastAsia="zh-CN" w:bidi="ar"/>
                    </w:rPr>
                  </w:pPr>
                  <w:r>
                    <w:rPr>
                      <w:rFonts w:hint="eastAsia"/>
                      <w:color w:val="auto"/>
                      <w:sz w:val="21"/>
                      <w:szCs w:val="21"/>
                      <w:highlight w:val="none"/>
                      <w:lang w:bidi="ar"/>
                    </w:rPr>
                    <w:t>4</w:t>
                  </w:r>
                </w:p>
              </w:tc>
              <w:tc>
                <w:tcPr>
                  <w:tcW w:w="622" w:type="pct"/>
                  <w:vMerge w:val="restart"/>
                  <w:tcBorders>
                    <w:tl2br w:val="nil"/>
                    <w:tr2bl w:val="nil"/>
                  </w:tcBorders>
                  <w:noWrap w:val="0"/>
                  <w:vAlign w:val="center"/>
                </w:tcPr>
                <w:p w14:paraId="53278BAD">
                  <w:pPr>
                    <w:keepNext w:val="0"/>
                    <w:keepLines w:val="0"/>
                    <w:suppressLineNumbers w:val="0"/>
                    <w:spacing w:before="0" w:beforeAutospacing="0" w:after="0" w:afterAutospacing="0"/>
                    <w:ind w:left="0" w:right="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bCs/>
                      <w:color w:val="auto"/>
                      <w:sz w:val="21"/>
                      <w:szCs w:val="21"/>
                      <w:highlight w:val="none"/>
                    </w:rPr>
                    <w:t>加气机2</w:t>
                  </w:r>
                </w:p>
              </w:tc>
              <w:tc>
                <w:tcPr>
                  <w:tcW w:w="474" w:type="pct"/>
                  <w:vMerge w:val="restart"/>
                  <w:tcBorders>
                    <w:tl2br w:val="nil"/>
                    <w:tr2bl w:val="nil"/>
                  </w:tcBorders>
                  <w:noWrap w:val="0"/>
                  <w:vAlign w:val="center"/>
                </w:tcPr>
                <w:p w14:paraId="641074C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18" w:type="pct"/>
                  <w:vMerge w:val="restart"/>
                  <w:tcBorders>
                    <w:tl2br w:val="nil"/>
                    <w:tr2bl w:val="nil"/>
                  </w:tcBorders>
                  <w:noWrap w:val="0"/>
                  <w:vAlign w:val="center"/>
                </w:tcPr>
                <w:p w14:paraId="31298F0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rPr>
                    <w:t>4</w:t>
                  </w:r>
                  <w:r>
                    <w:rPr>
                      <w:rFonts w:hint="eastAsia"/>
                      <w:color w:val="auto"/>
                      <w:sz w:val="21"/>
                      <w:szCs w:val="21"/>
                      <w:highlight w:val="none"/>
                      <w:lang w:val="en-US" w:eastAsia="zh-CN"/>
                    </w:rPr>
                    <w:t>5</w:t>
                  </w:r>
                </w:p>
              </w:tc>
              <w:tc>
                <w:tcPr>
                  <w:tcW w:w="318" w:type="pct"/>
                  <w:vMerge w:val="restart"/>
                  <w:tcBorders>
                    <w:tl2br w:val="nil"/>
                    <w:tr2bl w:val="nil"/>
                  </w:tcBorders>
                  <w:noWrap w:val="0"/>
                  <w:vAlign w:val="center"/>
                </w:tcPr>
                <w:p w14:paraId="53D9AE8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rPr>
                    <w:t>6</w:t>
                  </w:r>
                  <w:r>
                    <w:rPr>
                      <w:rFonts w:hint="eastAsia"/>
                      <w:color w:val="auto"/>
                      <w:sz w:val="21"/>
                      <w:szCs w:val="21"/>
                      <w:highlight w:val="none"/>
                      <w:lang w:val="en-US" w:eastAsia="zh-CN"/>
                    </w:rPr>
                    <w:t>5</w:t>
                  </w:r>
                </w:p>
              </w:tc>
              <w:tc>
                <w:tcPr>
                  <w:tcW w:w="320" w:type="pct"/>
                  <w:vMerge w:val="restart"/>
                  <w:tcBorders>
                    <w:tl2br w:val="nil"/>
                    <w:tr2bl w:val="nil"/>
                  </w:tcBorders>
                  <w:noWrap w:val="0"/>
                  <w:vAlign w:val="center"/>
                </w:tcPr>
                <w:p w14:paraId="6D49CA3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676" w:type="pct"/>
                  <w:vMerge w:val="restart"/>
                  <w:tcBorders>
                    <w:tl2br w:val="nil"/>
                    <w:tr2bl w:val="nil"/>
                  </w:tcBorders>
                  <w:noWrap w:val="0"/>
                  <w:vAlign w:val="center"/>
                </w:tcPr>
                <w:p w14:paraId="1F731A8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88" w:type="pct"/>
                  <w:vMerge w:val="restart"/>
                  <w:tcBorders>
                    <w:tl2br w:val="nil"/>
                    <w:tr2bl w:val="nil"/>
                  </w:tcBorders>
                  <w:noWrap w:val="0"/>
                  <w:vAlign w:val="center"/>
                </w:tcPr>
                <w:p w14:paraId="00724AF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89" w:type="pct"/>
                  <w:vMerge w:val="continue"/>
                  <w:tcBorders>
                    <w:tl2br w:val="nil"/>
                    <w:tr2bl w:val="nil"/>
                  </w:tcBorders>
                  <w:noWrap w:val="0"/>
                  <w:vAlign w:val="center"/>
                </w:tcPr>
                <w:p w14:paraId="1071806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color w:val="auto"/>
                      <w:sz w:val="21"/>
                      <w:szCs w:val="21"/>
                      <w:highlight w:val="none"/>
                      <w:lang w:val="en-US" w:eastAsia="zh-CN"/>
                    </w:rPr>
                  </w:pPr>
                </w:p>
              </w:tc>
              <w:tc>
                <w:tcPr>
                  <w:tcW w:w="851" w:type="pct"/>
                  <w:tcBorders>
                    <w:tl2br w:val="nil"/>
                    <w:tr2bl w:val="nil"/>
                  </w:tcBorders>
                  <w:noWrap w:val="0"/>
                  <w:vAlign w:val="center"/>
                </w:tcPr>
                <w:p w14:paraId="67B94AA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昼间</w:t>
                  </w:r>
                </w:p>
              </w:tc>
            </w:tr>
            <w:tr w14:paraId="2B0F2E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238" w:type="pct"/>
                  <w:vMerge w:val="continue"/>
                  <w:tcBorders>
                    <w:tl2br w:val="nil"/>
                    <w:tr2bl w:val="nil"/>
                  </w:tcBorders>
                  <w:noWrap w:val="0"/>
                  <w:vAlign w:val="center"/>
                </w:tcPr>
                <w:p w14:paraId="7EC7F5D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22" w:type="pct"/>
                  <w:vMerge w:val="continue"/>
                  <w:tcBorders>
                    <w:tl2br w:val="nil"/>
                    <w:tr2bl w:val="nil"/>
                  </w:tcBorders>
                  <w:noWrap w:val="0"/>
                  <w:vAlign w:val="center"/>
                </w:tcPr>
                <w:p w14:paraId="0197A81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74" w:type="pct"/>
                  <w:vMerge w:val="continue"/>
                  <w:tcBorders>
                    <w:tl2br w:val="nil"/>
                    <w:tr2bl w:val="nil"/>
                  </w:tcBorders>
                  <w:noWrap w:val="0"/>
                  <w:vAlign w:val="center"/>
                </w:tcPr>
                <w:p w14:paraId="2DF4D43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0817134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20B50A6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20" w:type="pct"/>
                  <w:vMerge w:val="continue"/>
                  <w:tcBorders>
                    <w:tl2br w:val="nil"/>
                    <w:tr2bl w:val="nil"/>
                  </w:tcBorders>
                  <w:noWrap w:val="0"/>
                  <w:vAlign w:val="center"/>
                </w:tcPr>
                <w:p w14:paraId="0B00394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76" w:type="pct"/>
                  <w:vMerge w:val="continue"/>
                  <w:tcBorders>
                    <w:tl2br w:val="nil"/>
                    <w:tr2bl w:val="nil"/>
                  </w:tcBorders>
                  <w:noWrap w:val="0"/>
                  <w:vAlign w:val="center"/>
                </w:tcPr>
                <w:p w14:paraId="2CEBD4B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88" w:type="pct"/>
                  <w:vMerge w:val="continue"/>
                  <w:tcBorders>
                    <w:tl2br w:val="nil"/>
                    <w:tr2bl w:val="nil"/>
                  </w:tcBorders>
                  <w:noWrap w:val="0"/>
                  <w:vAlign w:val="center"/>
                </w:tcPr>
                <w:p w14:paraId="6389288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89" w:type="pct"/>
                  <w:vMerge w:val="continue"/>
                  <w:tcBorders>
                    <w:tl2br w:val="nil"/>
                    <w:tr2bl w:val="nil"/>
                  </w:tcBorders>
                  <w:noWrap w:val="0"/>
                  <w:vAlign w:val="center"/>
                </w:tcPr>
                <w:p w14:paraId="040CA58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851" w:type="pct"/>
                  <w:tcBorders>
                    <w:tl2br w:val="nil"/>
                    <w:tr2bl w:val="nil"/>
                  </w:tcBorders>
                  <w:noWrap w:val="0"/>
                  <w:vAlign w:val="center"/>
                </w:tcPr>
                <w:p w14:paraId="1B59C6C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lang w:val="en-US" w:eastAsia="zh-CN"/>
                    </w:rPr>
                    <w:t>夜间</w:t>
                  </w:r>
                </w:p>
              </w:tc>
            </w:tr>
            <w:tr w14:paraId="3E494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238" w:type="pct"/>
                  <w:vMerge w:val="restart"/>
                  <w:tcBorders>
                    <w:tl2br w:val="nil"/>
                    <w:tr2bl w:val="nil"/>
                  </w:tcBorders>
                  <w:noWrap w:val="0"/>
                  <w:vAlign w:val="center"/>
                </w:tcPr>
                <w:p w14:paraId="7C897012">
                  <w:pPr>
                    <w:keepNext w:val="0"/>
                    <w:keepLines w:val="0"/>
                    <w:suppressLineNumbers w:val="0"/>
                    <w:spacing w:before="0" w:beforeAutospacing="0" w:after="0" w:afterAutospacing="0"/>
                    <w:ind w:left="0" w:right="0"/>
                    <w:jc w:val="center"/>
                    <w:textAlignment w:val="baseline"/>
                    <w:rPr>
                      <w:rFonts w:hint="default" w:cs="Times New Roman"/>
                      <w:color w:val="auto"/>
                      <w:sz w:val="21"/>
                      <w:szCs w:val="21"/>
                      <w:highlight w:val="none"/>
                      <w:lang w:val="en-US" w:eastAsia="zh-CN" w:bidi="ar"/>
                    </w:rPr>
                  </w:pPr>
                  <w:r>
                    <w:rPr>
                      <w:rFonts w:hint="eastAsia"/>
                      <w:color w:val="auto"/>
                      <w:sz w:val="21"/>
                      <w:szCs w:val="21"/>
                      <w:highlight w:val="none"/>
                      <w:lang w:bidi="ar"/>
                    </w:rPr>
                    <w:t>5</w:t>
                  </w:r>
                </w:p>
              </w:tc>
              <w:tc>
                <w:tcPr>
                  <w:tcW w:w="622" w:type="pct"/>
                  <w:vMerge w:val="restart"/>
                  <w:tcBorders>
                    <w:tl2br w:val="nil"/>
                    <w:tr2bl w:val="nil"/>
                  </w:tcBorders>
                  <w:noWrap w:val="0"/>
                  <w:vAlign w:val="center"/>
                </w:tcPr>
                <w:p w14:paraId="7F732C25">
                  <w:pPr>
                    <w:keepNext w:val="0"/>
                    <w:keepLines w:val="0"/>
                    <w:suppressLineNumbers w:val="0"/>
                    <w:spacing w:before="0" w:beforeAutospacing="0" w:after="0" w:afterAutospacing="0"/>
                    <w:ind w:left="0" w:right="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bCs/>
                      <w:color w:val="auto"/>
                      <w:sz w:val="21"/>
                      <w:szCs w:val="21"/>
                      <w:highlight w:val="none"/>
                    </w:rPr>
                    <w:t>加油机1</w:t>
                  </w:r>
                </w:p>
              </w:tc>
              <w:tc>
                <w:tcPr>
                  <w:tcW w:w="474" w:type="pct"/>
                  <w:vMerge w:val="restart"/>
                  <w:tcBorders>
                    <w:tl2br w:val="nil"/>
                    <w:tr2bl w:val="nil"/>
                  </w:tcBorders>
                  <w:noWrap w:val="0"/>
                  <w:vAlign w:val="center"/>
                </w:tcPr>
                <w:p w14:paraId="6102B1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18" w:type="pct"/>
                  <w:vMerge w:val="restart"/>
                  <w:tcBorders>
                    <w:tl2br w:val="nil"/>
                    <w:tr2bl w:val="nil"/>
                  </w:tcBorders>
                  <w:noWrap w:val="0"/>
                  <w:vAlign w:val="center"/>
                </w:tcPr>
                <w:p w14:paraId="1218AD5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rPr>
                    <w:t>2</w:t>
                  </w:r>
                  <w:r>
                    <w:rPr>
                      <w:rFonts w:hint="eastAsia"/>
                      <w:color w:val="auto"/>
                      <w:sz w:val="21"/>
                      <w:szCs w:val="21"/>
                      <w:highlight w:val="none"/>
                      <w:lang w:val="en-US" w:eastAsia="zh-CN"/>
                    </w:rPr>
                    <w:t>2</w:t>
                  </w:r>
                </w:p>
              </w:tc>
              <w:tc>
                <w:tcPr>
                  <w:tcW w:w="318" w:type="pct"/>
                  <w:vMerge w:val="restart"/>
                  <w:tcBorders>
                    <w:tl2br w:val="nil"/>
                    <w:tr2bl w:val="nil"/>
                  </w:tcBorders>
                  <w:noWrap w:val="0"/>
                  <w:vAlign w:val="center"/>
                </w:tcPr>
                <w:p w14:paraId="5060064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rPr>
                    <w:t>8</w:t>
                  </w:r>
                  <w:r>
                    <w:rPr>
                      <w:rFonts w:hint="eastAsia"/>
                      <w:color w:val="auto"/>
                      <w:sz w:val="21"/>
                      <w:szCs w:val="21"/>
                      <w:highlight w:val="none"/>
                      <w:lang w:val="en-US" w:eastAsia="zh-CN"/>
                    </w:rPr>
                    <w:t>3</w:t>
                  </w:r>
                </w:p>
              </w:tc>
              <w:tc>
                <w:tcPr>
                  <w:tcW w:w="320" w:type="pct"/>
                  <w:vMerge w:val="restart"/>
                  <w:tcBorders>
                    <w:tl2br w:val="nil"/>
                    <w:tr2bl w:val="nil"/>
                  </w:tcBorders>
                  <w:noWrap w:val="0"/>
                  <w:vAlign w:val="center"/>
                </w:tcPr>
                <w:p w14:paraId="6CBA242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676" w:type="pct"/>
                  <w:vMerge w:val="restart"/>
                  <w:tcBorders>
                    <w:tl2br w:val="nil"/>
                    <w:tr2bl w:val="nil"/>
                  </w:tcBorders>
                  <w:noWrap w:val="0"/>
                  <w:vAlign w:val="center"/>
                </w:tcPr>
                <w:p w14:paraId="6121F64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88" w:type="pct"/>
                  <w:vMerge w:val="restart"/>
                  <w:tcBorders>
                    <w:tl2br w:val="nil"/>
                    <w:tr2bl w:val="nil"/>
                  </w:tcBorders>
                  <w:noWrap w:val="0"/>
                  <w:vAlign w:val="center"/>
                </w:tcPr>
                <w:p w14:paraId="57B0E96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89" w:type="pct"/>
                  <w:vMerge w:val="continue"/>
                  <w:tcBorders>
                    <w:tl2br w:val="nil"/>
                    <w:tr2bl w:val="nil"/>
                  </w:tcBorders>
                  <w:noWrap w:val="0"/>
                  <w:vAlign w:val="center"/>
                </w:tcPr>
                <w:p w14:paraId="7149761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s="Times New Roman"/>
                      <w:color w:val="auto"/>
                      <w:sz w:val="21"/>
                      <w:szCs w:val="21"/>
                      <w:highlight w:val="none"/>
                      <w:lang w:val="en-US" w:eastAsia="zh-CN"/>
                    </w:rPr>
                  </w:pPr>
                </w:p>
              </w:tc>
              <w:tc>
                <w:tcPr>
                  <w:tcW w:w="851" w:type="pct"/>
                  <w:tcBorders>
                    <w:tl2br w:val="nil"/>
                    <w:tr2bl w:val="nil"/>
                  </w:tcBorders>
                  <w:noWrap w:val="0"/>
                  <w:vAlign w:val="center"/>
                </w:tcPr>
                <w:p w14:paraId="454BA22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昼间</w:t>
                  </w:r>
                </w:p>
              </w:tc>
            </w:tr>
            <w:tr w14:paraId="1A4EB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238" w:type="pct"/>
                  <w:vMerge w:val="continue"/>
                  <w:tcBorders>
                    <w:tl2br w:val="nil"/>
                    <w:tr2bl w:val="nil"/>
                  </w:tcBorders>
                  <w:noWrap w:val="0"/>
                  <w:vAlign w:val="center"/>
                </w:tcPr>
                <w:p w14:paraId="6D29144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22" w:type="pct"/>
                  <w:vMerge w:val="continue"/>
                  <w:tcBorders>
                    <w:tl2br w:val="nil"/>
                    <w:tr2bl w:val="nil"/>
                  </w:tcBorders>
                  <w:noWrap w:val="0"/>
                  <w:vAlign w:val="center"/>
                </w:tcPr>
                <w:p w14:paraId="2FAAD02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74" w:type="pct"/>
                  <w:vMerge w:val="continue"/>
                  <w:tcBorders>
                    <w:tl2br w:val="nil"/>
                    <w:tr2bl w:val="nil"/>
                  </w:tcBorders>
                  <w:noWrap w:val="0"/>
                  <w:vAlign w:val="center"/>
                </w:tcPr>
                <w:p w14:paraId="72E23B8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37E6DBE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29E08B4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20" w:type="pct"/>
                  <w:vMerge w:val="continue"/>
                  <w:tcBorders>
                    <w:tl2br w:val="nil"/>
                    <w:tr2bl w:val="nil"/>
                  </w:tcBorders>
                  <w:noWrap w:val="0"/>
                  <w:vAlign w:val="center"/>
                </w:tcPr>
                <w:p w14:paraId="3750435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76" w:type="pct"/>
                  <w:vMerge w:val="continue"/>
                  <w:tcBorders>
                    <w:tl2br w:val="nil"/>
                    <w:tr2bl w:val="nil"/>
                  </w:tcBorders>
                  <w:noWrap w:val="0"/>
                  <w:vAlign w:val="center"/>
                </w:tcPr>
                <w:p w14:paraId="4EA7850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88" w:type="pct"/>
                  <w:vMerge w:val="continue"/>
                  <w:tcBorders>
                    <w:tl2br w:val="nil"/>
                    <w:tr2bl w:val="nil"/>
                  </w:tcBorders>
                  <w:noWrap w:val="0"/>
                  <w:vAlign w:val="center"/>
                </w:tcPr>
                <w:p w14:paraId="031F58A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89" w:type="pct"/>
                  <w:vMerge w:val="continue"/>
                  <w:tcBorders>
                    <w:tl2br w:val="nil"/>
                    <w:tr2bl w:val="nil"/>
                  </w:tcBorders>
                  <w:noWrap w:val="0"/>
                  <w:vAlign w:val="center"/>
                </w:tcPr>
                <w:p w14:paraId="4C8CC9C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851" w:type="pct"/>
                  <w:tcBorders>
                    <w:tl2br w:val="nil"/>
                    <w:tr2bl w:val="nil"/>
                  </w:tcBorders>
                  <w:noWrap w:val="0"/>
                  <w:vAlign w:val="center"/>
                </w:tcPr>
                <w:p w14:paraId="55F7BA2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lang w:val="en-US" w:eastAsia="zh-CN"/>
                    </w:rPr>
                    <w:t>夜间</w:t>
                  </w:r>
                </w:p>
              </w:tc>
            </w:tr>
            <w:tr w14:paraId="63D7B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238" w:type="pct"/>
                  <w:vMerge w:val="restart"/>
                  <w:tcBorders>
                    <w:tl2br w:val="nil"/>
                    <w:tr2bl w:val="nil"/>
                  </w:tcBorders>
                  <w:noWrap w:val="0"/>
                  <w:vAlign w:val="center"/>
                </w:tcPr>
                <w:p w14:paraId="3C07F71F">
                  <w:pPr>
                    <w:keepNext w:val="0"/>
                    <w:keepLines w:val="0"/>
                    <w:suppressLineNumbers w:val="0"/>
                    <w:spacing w:before="0" w:beforeAutospacing="0" w:after="0" w:afterAutospacing="0"/>
                    <w:ind w:left="0" w:right="0"/>
                    <w:jc w:val="center"/>
                    <w:textAlignment w:val="baseline"/>
                    <w:rPr>
                      <w:rFonts w:hint="eastAsia" w:eastAsia="宋体"/>
                      <w:color w:val="auto"/>
                      <w:sz w:val="21"/>
                      <w:szCs w:val="21"/>
                      <w:highlight w:val="none"/>
                      <w:lang w:val="en-US" w:eastAsia="zh-CN"/>
                    </w:rPr>
                  </w:pPr>
                  <w:r>
                    <w:rPr>
                      <w:rFonts w:hint="eastAsia"/>
                      <w:color w:val="auto"/>
                      <w:sz w:val="21"/>
                      <w:szCs w:val="21"/>
                      <w:highlight w:val="none"/>
                      <w:lang w:bidi="ar"/>
                    </w:rPr>
                    <w:t>6</w:t>
                  </w:r>
                </w:p>
              </w:tc>
              <w:tc>
                <w:tcPr>
                  <w:tcW w:w="622" w:type="pct"/>
                  <w:vMerge w:val="restart"/>
                  <w:tcBorders>
                    <w:tl2br w:val="nil"/>
                    <w:tr2bl w:val="nil"/>
                  </w:tcBorders>
                  <w:noWrap w:val="0"/>
                  <w:vAlign w:val="center"/>
                </w:tcPr>
                <w:p w14:paraId="7D88C096">
                  <w:pPr>
                    <w:keepNext w:val="0"/>
                    <w:keepLines w:val="0"/>
                    <w:suppressLineNumbers w:val="0"/>
                    <w:spacing w:before="0" w:beforeAutospacing="0" w:after="0" w:afterAutospacing="0"/>
                    <w:ind w:left="0" w:right="0"/>
                    <w:jc w:val="center"/>
                    <w:textAlignment w:val="baseline"/>
                    <w:rPr>
                      <w:rFonts w:hint="default" w:eastAsia="宋体"/>
                      <w:color w:val="auto"/>
                      <w:sz w:val="21"/>
                      <w:szCs w:val="21"/>
                      <w:highlight w:val="none"/>
                      <w:lang w:val="en-US" w:eastAsia="zh-CN"/>
                    </w:rPr>
                  </w:pPr>
                  <w:r>
                    <w:rPr>
                      <w:rFonts w:hint="eastAsia"/>
                      <w:bCs/>
                      <w:color w:val="auto"/>
                      <w:sz w:val="21"/>
                      <w:szCs w:val="21"/>
                      <w:highlight w:val="none"/>
                    </w:rPr>
                    <w:t>加油机2</w:t>
                  </w:r>
                </w:p>
              </w:tc>
              <w:tc>
                <w:tcPr>
                  <w:tcW w:w="474" w:type="pct"/>
                  <w:vMerge w:val="restart"/>
                  <w:tcBorders>
                    <w:tl2br w:val="nil"/>
                    <w:tr2bl w:val="nil"/>
                  </w:tcBorders>
                  <w:noWrap w:val="0"/>
                  <w:vAlign w:val="center"/>
                </w:tcPr>
                <w:p w14:paraId="5524212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r>
                    <w:rPr>
                      <w:rFonts w:hint="eastAsia" w:cs="Times New Roman"/>
                      <w:color w:val="auto"/>
                      <w:sz w:val="21"/>
                      <w:szCs w:val="21"/>
                      <w:highlight w:val="none"/>
                      <w:lang w:val="en-US" w:eastAsia="zh-CN"/>
                    </w:rPr>
                    <w:t>/</w:t>
                  </w:r>
                </w:p>
              </w:tc>
              <w:tc>
                <w:tcPr>
                  <w:tcW w:w="318" w:type="pct"/>
                  <w:vMerge w:val="restart"/>
                  <w:tcBorders>
                    <w:tl2br w:val="nil"/>
                    <w:tr2bl w:val="nil"/>
                  </w:tcBorders>
                  <w:noWrap w:val="0"/>
                  <w:vAlign w:val="center"/>
                </w:tcPr>
                <w:p w14:paraId="6F81B7D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27</w:t>
                  </w:r>
                </w:p>
              </w:tc>
              <w:tc>
                <w:tcPr>
                  <w:tcW w:w="318" w:type="pct"/>
                  <w:vMerge w:val="restart"/>
                  <w:tcBorders>
                    <w:tl2br w:val="nil"/>
                    <w:tr2bl w:val="nil"/>
                  </w:tcBorders>
                  <w:noWrap w:val="0"/>
                  <w:vAlign w:val="center"/>
                </w:tcPr>
                <w:p w14:paraId="456FD35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rPr>
                    <w:t>71</w:t>
                  </w:r>
                </w:p>
              </w:tc>
              <w:tc>
                <w:tcPr>
                  <w:tcW w:w="320" w:type="pct"/>
                  <w:vMerge w:val="restart"/>
                  <w:tcBorders>
                    <w:tl2br w:val="nil"/>
                    <w:tr2bl w:val="nil"/>
                  </w:tcBorders>
                  <w:noWrap w:val="0"/>
                  <w:vAlign w:val="center"/>
                </w:tcPr>
                <w:p w14:paraId="7273CB9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676" w:type="pct"/>
                  <w:vMerge w:val="restart"/>
                  <w:tcBorders>
                    <w:tl2br w:val="nil"/>
                    <w:tr2bl w:val="nil"/>
                  </w:tcBorders>
                  <w:noWrap w:val="0"/>
                  <w:vAlign w:val="center"/>
                </w:tcPr>
                <w:p w14:paraId="7F019E5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r>
                    <w:rPr>
                      <w:rFonts w:hint="eastAsia" w:cs="Times New Roman"/>
                      <w:color w:val="auto"/>
                      <w:sz w:val="21"/>
                      <w:szCs w:val="21"/>
                      <w:highlight w:val="none"/>
                      <w:lang w:val="en-US" w:eastAsia="zh-CN"/>
                    </w:rPr>
                    <w:t>/</w:t>
                  </w:r>
                </w:p>
              </w:tc>
              <w:tc>
                <w:tcPr>
                  <w:tcW w:w="488" w:type="pct"/>
                  <w:vMerge w:val="restart"/>
                  <w:tcBorders>
                    <w:tl2br w:val="nil"/>
                    <w:tr2bl w:val="nil"/>
                  </w:tcBorders>
                  <w:noWrap w:val="0"/>
                  <w:vAlign w:val="center"/>
                </w:tcPr>
                <w:p w14:paraId="5EA7BB2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s="Times New Roman"/>
                      <w:color w:val="auto"/>
                      <w:sz w:val="21"/>
                      <w:szCs w:val="21"/>
                      <w:highlight w:val="none"/>
                      <w:lang w:val="en-US" w:eastAsia="zh-CN"/>
                    </w:rPr>
                    <w:t>60</w:t>
                  </w:r>
                </w:p>
              </w:tc>
              <w:tc>
                <w:tcPr>
                  <w:tcW w:w="689" w:type="pct"/>
                  <w:vMerge w:val="continue"/>
                  <w:tcBorders>
                    <w:tl2br w:val="nil"/>
                    <w:tr2bl w:val="nil"/>
                  </w:tcBorders>
                  <w:noWrap w:val="0"/>
                  <w:vAlign w:val="center"/>
                </w:tcPr>
                <w:p w14:paraId="4A1893A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851" w:type="pct"/>
                  <w:tcBorders>
                    <w:tl2br w:val="nil"/>
                    <w:tr2bl w:val="nil"/>
                  </w:tcBorders>
                  <w:noWrap w:val="0"/>
                  <w:vAlign w:val="center"/>
                </w:tcPr>
                <w:p w14:paraId="54E2962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rPr>
                    <w:t>昼间</w:t>
                  </w:r>
                </w:p>
              </w:tc>
            </w:tr>
            <w:tr w14:paraId="59744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238" w:type="pct"/>
                  <w:vMerge w:val="continue"/>
                  <w:tcBorders>
                    <w:tl2br w:val="nil"/>
                    <w:tr2bl w:val="nil"/>
                  </w:tcBorders>
                  <w:noWrap w:val="0"/>
                  <w:vAlign w:val="center"/>
                </w:tcPr>
                <w:p w14:paraId="14C0418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22" w:type="pct"/>
                  <w:vMerge w:val="continue"/>
                  <w:tcBorders>
                    <w:tl2br w:val="nil"/>
                    <w:tr2bl w:val="nil"/>
                  </w:tcBorders>
                  <w:noWrap w:val="0"/>
                  <w:vAlign w:val="center"/>
                </w:tcPr>
                <w:p w14:paraId="3D909AD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74" w:type="pct"/>
                  <w:vMerge w:val="continue"/>
                  <w:tcBorders>
                    <w:tl2br w:val="nil"/>
                    <w:tr2bl w:val="nil"/>
                  </w:tcBorders>
                  <w:noWrap w:val="0"/>
                  <w:vAlign w:val="center"/>
                </w:tcPr>
                <w:p w14:paraId="33B0DDF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594B35B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00EF0A8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20" w:type="pct"/>
                  <w:vMerge w:val="continue"/>
                  <w:tcBorders>
                    <w:tl2br w:val="nil"/>
                    <w:tr2bl w:val="nil"/>
                  </w:tcBorders>
                  <w:noWrap w:val="0"/>
                  <w:vAlign w:val="center"/>
                </w:tcPr>
                <w:p w14:paraId="65E9B36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76" w:type="pct"/>
                  <w:vMerge w:val="continue"/>
                  <w:tcBorders>
                    <w:tl2br w:val="nil"/>
                    <w:tr2bl w:val="nil"/>
                  </w:tcBorders>
                  <w:noWrap w:val="0"/>
                  <w:vAlign w:val="center"/>
                </w:tcPr>
                <w:p w14:paraId="1E0C054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88" w:type="pct"/>
                  <w:vMerge w:val="continue"/>
                  <w:tcBorders>
                    <w:tl2br w:val="nil"/>
                    <w:tr2bl w:val="nil"/>
                  </w:tcBorders>
                  <w:noWrap w:val="0"/>
                  <w:vAlign w:val="center"/>
                </w:tcPr>
                <w:p w14:paraId="18ECE2C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89" w:type="pct"/>
                  <w:vMerge w:val="continue"/>
                  <w:tcBorders>
                    <w:tl2br w:val="nil"/>
                    <w:tr2bl w:val="nil"/>
                  </w:tcBorders>
                  <w:noWrap w:val="0"/>
                  <w:vAlign w:val="center"/>
                </w:tcPr>
                <w:p w14:paraId="67FF53B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851" w:type="pct"/>
                  <w:tcBorders>
                    <w:tl2br w:val="nil"/>
                    <w:tr2bl w:val="nil"/>
                  </w:tcBorders>
                  <w:noWrap w:val="0"/>
                  <w:vAlign w:val="center"/>
                </w:tcPr>
                <w:p w14:paraId="118D18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夜间</w:t>
                  </w:r>
                </w:p>
              </w:tc>
            </w:tr>
            <w:tr w14:paraId="6AD1D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238" w:type="pct"/>
                  <w:vMerge w:val="restart"/>
                  <w:tcBorders>
                    <w:tl2br w:val="nil"/>
                    <w:tr2bl w:val="nil"/>
                  </w:tcBorders>
                  <w:noWrap w:val="0"/>
                  <w:vAlign w:val="center"/>
                </w:tcPr>
                <w:p w14:paraId="73AB1096">
                  <w:pPr>
                    <w:keepNext w:val="0"/>
                    <w:keepLines w:val="0"/>
                    <w:suppressLineNumbers w:val="0"/>
                    <w:spacing w:before="0" w:beforeAutospacing="0" w:after="0" w:afterAutospacing="0"/>
                    <w:ind w:left="0" w:right="0"/>
                    <w:jc w:val="center"/>
                    <w:textAlignment w:val="baseline"/>
                    <w:rPr>
                      <w:rFonts w:hint="eastAsia" w:eastAsia="宋体"/>
                      <w:color w:val="auto"/>
                      <w:sz w:val="21"/>
                      <w:szCs w:val="21"/>
                      <w:highlight w:val="none"/>
                      <w:lang w:val="en-US" w:eastAsia="zh-CN"/>
                    </w:rPr>
                  </w:pPr>
                  <w:r>
                    <w:rPr>
                      <w:rFonts w:hint="eastAsia"/>
                      <w:color w:val="auto"/>
                      <w:sz w:val="21"/>
                      <w:szCs w:val="21"/>
                      <w:highlight w:val="none"/>
                      <w:lang w:bidi="ar"/>
                    </w:rPr>
                    <w:t>7</w:t>
                  </w:r>
                </w:p>
              </w:tc>
              <w:tc>
                <w:tcPr>
                  <w:tcW w:w="622" w:type="pct"/>
                  <w:vMerge w:val="restart"/>
                  <w:tcBorders>
                    <w:tl2br w:val="nil"/>
                    <w:tr2bl w:val="nil"/>
                  </w:tcBorders>
                  <w:noWrap w:val="0"/>
                  <w:vAlign w:val="center"/>
                </w:tcPr>
                <w:p w14:paraId="1057D32F">
                  <w:pPr>
                    <w:keepNext w:val="0"/>
                    <w:keepLines w:val="0"/>
                    <w:suppressLineNumbers w:val="0"/>
                    <w:spacing w:before="0" w:beforeAutospacing="0" w:after="0" w:afterAutospacing="0"/>
                    <w:ind w:left="0" w:right="0"/>
                    <w:jc w:val="center"/>
                    <w:textAlignment w:val="baseline"/>
                    <w:rPr>
                      <w:rFonts w:hint="default" w:eastAsia="宋体"/>
                      <w:color w:val="auto"/>
                      <w:sz w:val="21"/>
                      <w:szCs w:val="21"/>
                      <w:highlight w:val="none"/>
                      <w:lang w:val="en-US" w:eastAsia="zh-CN"/>
                    </w:rPr>
                  </w:pPr>
                  <w:r>
                    <w:rPr>
                      <w:rFonts w:hint="eastAsia"/>
                      <w:bCs/>
                      <w:color w:val="auto"/>
                      <w:sz w:val="21"/>
                      <w:szCs w:val="21"/>
                      <w:highlight w:val="none"/>
                    </w:rPr>
                    <w:t>加油机3</w:t>
                  </w:r>
                </w:p>
              </w:tc>
              <w:tc>
                <w:tcPr>
                  <w:tcW w:w="474" w:type="pct"/>
                  <w:vMerge w:val="restart"/>
                  <w:tcBorders>
                    <w:tl2br w:val="nil"/>
                    <w:tr2bl w:val="nil"/>
                  </w:tcBorders>
                  <w:noWrap w:val="0"/>
                  <w:vAlign w:val="center"/>
                </w:tcPr>
                <w:p w14:paraId="750603E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r>
                    <w:rPr>
                      <w:rFonts w:hint="eastAsia" w:cs="Times New Roman"/>
                      <w:color w:val="auto"/>
                      <w:sz w:val="21"/>
                      <w:szCs w:val="21"/>
                      <w:highlight w:val="none"/>
                      <w:lang w:val="en-US" w:eastAsia="zh-CN"/>
                    </w:rPr>
                    <w:t>/</w:t>
                  </w:r>
                </w:p>
              </w:tc>
              <w:tc>
                <w:tcPr>
                  <w:tcW w:w="318" w:type="pct"/>
                  <w:vMerge w:val="restart"/>
                  <w:tcBorders>
                    <w:tl2br w:val="nil"/>
                    <w:tr2bl w:val="nil"/>
                  </w:tcBorders>
                  <w:noWrap w:val="0"/>
                  <w:vAlign w:val="center"/>
                </w:tcPr>
                <w:p w14:paraId="73D9023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rPr>
                    <w:t>2</w:t>
                  </w:r>
                  <w:r>
                    <w:rPr>
                      <w:rFonts w:hint="eastAsia"/>
                      <w:color w:val="auto"/>
                      <w:sz w:val="21"/>
                      <w:szCs w:val="21"/>
                      <w:highlight w:val="none"/>
                      <w:lang w:val="en-US" w:eastAsia="zh-CN"/>
                    </w:rPr>
                    <w:t>9</w:t>
                  </w:r>
                </w:p>
              </w:tc>
              <w:tc>
                <w:tcPr>
                  <w:tcW w:w="318" w:type="pct"/>
                  <w:vMerge w:val="restart"/>
                  <w:tcBorders>
                    <w:tl2br w:val="nil"/>
                    <w:tr2bl w:val="nil"/>
                  </w:tcBorders>
                  <w:noWrap w:val="0"/>
                  <w:vAlign w:val="center"/>
                </w:tcPr>
                <w:p w14:paraId="2F62D01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rPr>
                    <w:t>5</w:t>
                  </w:r>
                  <w:r>
                    <w:rPr>
                      <w:rFonts w:hint="eastAsia"/>
                      <w:color w:val="auto"/>
                      <w:sz w:val="21"/>
                      <w:szCs w:val="21"/>
                      <w:highlight w:val="none"/>
                      <w:lang w:val="en-US" w:eastAsia="zh-CN"/>
                    </w:rPr>
                    <w:t>8</w:t>
                  </w:r>
                </w:p>
              </w:tc>
              <w:tc>
                <w:tcPr>
                  <w:tcW w:w="320" w:type="pct"/>
                  <w:vMerge w:val="restart"/>
                  <w:tcBorders>
                    <w:tl2br w:val="nil"/>
                    <w:tr2bl w:val="nil"/>
                  </w:tcBorders>
                  <w:noWrap w:val="0"/>
                  <w:vAlign w:val="center"/>
                </w:tcPr>
                <w:p w14:paraId="7243E33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676" w:type="pct"/>
                  <w:vMerge w:val="restart"/>
                  <w:tcBorders>
                    <w:tl2br w:val="nil"/>
                    <w:tr2bl w:val="nil"/>
                  </w:tcBorders>
                  <w:noWrap w:val="0"/>
                  <w:vAlign w:val="center"/>
                </w:tcPr>
                <w:p w14:paraId="2E2A643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r>
                    <w:rPr>
                      <w:rFonts w:hint="eastAsia" w:cs="Times New Roman"/>
                      <w:color w:val="auto"/>
                      <w:sz w:val="21"/>
                      <w:szCs w:val="21"/>
                      <w:highlight w:val="none"/>
                      <w:lang w:val="en-US" w:eastAsia="zh-CN"/>
                    </w:rPr>
                    <w:t>/</w:t>
                  </w:r>
                </w:p>
              </w:tc>
              <w:tc>
                <w:tcPr>
                  <w:tcW w:w="488" w:type="pct"/>
                  <w:vMerge w:val="restart"/>
                  <w:tcBorders>
                    <w:tl2br w:val="nil"/>
                    <w:tr2bl w:val="nil"/>
                  </w:tcBorders>
                  <w:noWrap w:val="0"/>
                  <w:vAlign w:val="center"/>
                </w:tcPr>
                <w:p w14:paraId="7AC2C42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s="Times New Roman"/>
                      <w:color w:val="auto"/>
                      <w:sz w:val="21"/>
                      <w:szCs w:val="21"/>
                      <w:highlight w:val="none"/>
                      <w:lang w:val="en-US" w:eastAsia="zh-CN"/>
                    </w:rPr>
                    <w:t>60</w:t>
                  </w:r>
                </w:p>
              </w:tc>
              <w:tc>
                <w:tcPr>
                  <w:tcW w:w="689" w:type="pct"/>
                  <w:vMerge w:val="continue"/>
                  <w:tcBorders>
                    <w:tl2br w:val="nil"/>
                    <w:tr2bl w:val="nil"/>
                  </w:tcBorders>
                  <w:noWrap w:val="0"/>
                  <w:vAlign w:val="center"/>
                </w:tcPr>
                <w:p w14:paraId="708010D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851" w:type="pct"/>
                  <w:tcBorders>
                    <w:tl2br w:val="nil"/>
                    <w:tr2bl w:val="nil"/>
                  </w:tcBorders>
                  <w:noWrap w:val="0"/>
                  <w:vAlign w:val="center"/>
                </w:tcPr>
                <w:p w14:paraId="075A989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rPr>
                    <w:t>昼间</w:t>
                  </w:r>
                </w:p>
              </w:tc>
            </w:tr>
            <w:tr w14:paraId="01484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238" w:type="pct"/>
                  <w:vMerge w:val="continue"/>
                  <w:tcBorders>
                    <w:tl2br w:val="nil"/>
                    <w:tr2bl w:val="nil"/>
                  </w:tcBorders>
                  <w:noWrap w:val="0"/>
                  <w:vAlign w:val="center"/>
                </w:tcPr>
                <w:p w14:paraId="419937E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22" w:type="pct"/>
                  <w:vMerge w:val="continue"/>
                  <w:tcBorders>
                    <w:tl2br w:val="nil"/>
                    <w:tr2bl w:val="nil"/>
                  </w:tcBorders>
                  <w:noWrap w:val="0"/>
                  <w:vAlign w:val="center"/>
                </w:tcPr>
                <w:p w14:paraId="372419A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74" w:type="pct"/>
                  <w:vMerge w:val="continue"/>
                  <w:tcBorders>
                    <w:tl2br w:val="nil"/>
                    <w:tr2bl w:val="nil"/>
                  </w:tcBorders>
                  <w:noWrap w:val="0"/>
                  <w:vAlign w:val="center"/>
                </w:tcPr>
                <w:p w14:paraId="5A54B19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7351FF9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0964E8F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20" w:type="pct"/>
                  <w:vMerge w:val="continue"/>
                  <w:tcBorders>
                    <w:tl2br w:val="nil"/>
                    <w:tr2bl w:val="nil"/>
                  </w:tcBorders>
                  <w:noWrap w:val="0"/>
                  <w:vAlign w:val="center"/>
                </w:tcPr>
                <w:p w14:paraId="2A628C6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76" w:type="pct"/>
                  <w:vMerge w:val="continue"/>
                  <w:tcBorders>
                    <w:tl2br w:val="nil"/>
                    <w:tr2bl w:val="nil"/>
                  </w:tcBorders>
                  <w:noWrap w:val="0"/>
                  <w:vAlign w:val="center"/>
                </w:tcPr>
                <w:p w14:paraId="39AA000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88" w:type="pct"/>
                  <w:vMerge w:val="continue"/>
                  <w:tcBorders>
                    <w:tl2br w:val="nil"/>
                    <w:tr2bl w:val="nil"/>
                  </w:tcBorders>
                  <w:noWrap w:val="0"/>
                  <w:vAlign w:val="center"/>
                </w:tcPr>
                <w:p w14:paraId="68A6E82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89" w:type="pct"/>
                  <w:vMerge w:val="continue"/>
                  <w:tcBorders>
                    <w:tl2br w:val="nil"/>
                    <w:tr2bl w:val="nil"/>
                  </w:tcBorders>
                  <w:noWrap w:val="0"/>
                  <w:vAlign w:val="center"/>
                </w:tcPr>
                <w:p w14:paraId="2F8F1890">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851" w:type="pct"/>
                  <w:tcBorders>
                    <w:tl2br w:val="nil"/>
                    <w:tr2bl w:val="nil"/>
                  </w:tcBorders>
                  <w:noWrap w:val="0"/>
                  <w:vAlign w:val="center"/>
                </w:tcPr>
                <w:p w14:paraId="5EAE756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夜间</w:t>
                  </w:r>
                </w:p>
              </w:tc>
            </w:tr>
            <w:tr w14:paraId="5DB17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238" w:type="pct"/>
                  <w:vMerge w:val="restart"/>
                  <w:tcBorders>
                    <w:tl2br w:val="nil"/>
                    <w:tr2bl w:val="nil"/>
                  </w:tcBorders>
                  <w:noWrap w:val="0"/>
                  <w:vAlign w:val="center"/>
                </w:tcPr>
                <w:p w14:paraId="1A10067F">
                  <w:pPr>
                    <w:keepNext w:val="0"/>
                    <w:keepLines w:val="0"/>
                    <w:suppressLineNumbers w:val="0"/>
                    <w:spacing w:before="0" w:beforeAutospacing="0" w:after="0" w:afterAutospacing="0"/>
                    <w:ind w:left="0" w:right="0"/>
                    <w:jc w:val="center"/>
                    <w:textAlignment w:val="baseline"/>
                    <w:rPr>
                      <w:rFonts w:hint="eastAsia" w:eastAsia="宋体"/>
                      <w:color w:val="auto"/>
                      <w:sz w:val="21"/>
                      <w:szCs w:val="21"/>
                      <w:highlight w:val="none"/>
                      <w:lang w:val="en-US" w:eastAsia="zh-CN"/>
                    </w:rPr>
                  </w:pPr>
                  <w:r>
                    <w:rPr>
                      <w:rFonts w:hint="eastAsia"/>
                      <w:color w:val="auto"/>
                      <w:sz w:val="21"/>
                      <w:szCs w:val="21"/>
                      <w:highlight w:val="none"/>
                      <w:lang w:bidi="ar"/>
                    </w:rPr>
                    <w:t>8</w:t>
                  </w:r>
                </w:p>
              </w:tc>
              <w:tc>
                <w:tcPr>
                  <w:tcW w:w="622" w:type="pct"/>
                  <w:vMerge w:val="restart"/>
                  <w:tcBorders>
                    <w:tl2br w:val="nil"/>
                    <w:tr2bl w:val="nil"/>
                  </w:tcBorders>
                  <w:noWrap w:val="0"/>
                  <w:vAlign w:val="center"/>
                </w:tcPr>
                <w:p w14:paraId="3BE224E8">
                  <w:pPr>
                    <w:keepNext w:val="0"/>
                    <w:keepLines w:val="0"/>
                    <w:suppressLineNumbers w:val="0"/>
                    <w:spacing w:before="0" w:beforeAutospacing="0" w:after="0" w:afterAutospacing="0"/>
                    <w:ind w:left="0" w:right="0"/>
                    <w:jc w:val="center"/>
                    <w:textAlignment w:val="baseline"/>
                    <w:rPr>
                      <w:rFonts w:hint="eastAsia" w:eastAsia="宋体"/>
                      <w:color w:val="auto"/>
                      <w:sz w:val="21"/>
                      <w:szCs w:val="21"/>
                      <w:highlight w:val="none"/>
                      <w:lang w:val="en-US" w:eastAsia="zh-CN"/>
                    </w:rPr>
                  </w:pPr>
                  <w:r>
                    <w:rPr>
                      <w:rFonts w:hint="eastAsia"/>
                      <w:bCs/>
                      <w:color w:val="auto"/>
                      <w:sz w:val="21"/>
                      <w:szCs w:val="21"/>
                      <w:highlight w:val="none"/>
                    </w:rPr>
                    <w:t>加油机4</w:t>
                  </w:r>
                </w:p>
              </w:tc>
              <w:tc>
                <w:tcPr>
                  <w:tcW w:w="474" w:type="pct"/>
                  <w:vMerge w:val="restart"/>
                  <w:tcBorders>
                    <w:tl2br w:val="nil"/>
                    <w:tr2bl w:val="nil"/>
                  </w:tcBorders>
                  <w:noWrap w:val="0"/>
                  <w:vAlign w:val="center"/>
                </w:tcPr>
                <w:p w14:paraId="69DB4E52">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r>
                    <w:rPr>
                      <w:rFonts w:hint="eastAsia" w:cs="Times New Roman"/>
                      <w:color w:val="auto"/>
                      <w:sz w:val="21"/>
                      <w:szCs w:val="21"/>
                      <w:highlight w:val="none"/>
                      <w:lang w:val="en-US" w:eastAsia="zh-CN"/>
                    </w:rPr>
                    <w:t>/</w:t>
                  </w:r>
                </w:p>
              </w:tc>
              <w:tc>
                <w:tcPr>
                  <w:tcW w:w="318" w:type="pct"/>
                  <w:vMerge w:val="restart"/>
                  <w:tcBorders>
                    <w:tl2br w:val="nil"/>
                    <w:tr2bl w:val="nil"/>
                  </w:tcBorders>
                  <w:noWrap w:val="0"/>
                  <w:vAlign w:val="center"/>
                </w:tcPr>
                <w:p w14:paraId="74F4A8B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rPr>
                    <w:t>4</w:t>
                  </w:r>
                  <w:r>
                    <w:rPr>
                      <w:rFonts w:hint="eastAsia"/>
                      <w:color w:val="auto"/>
                      <w:sz w:val="21"/>
                      <w:szCs w:val="21"/>
                      <w:highlight w:val="none"/>
                      <w:lang w:val="en-US" w:eastAsia="zh-CN"/>
                    </w:rPr>
                    <w:t>8</w:t>
                  </w:r>
                </w:p>
              </w:tc>
              <w:tc>
                <w:tcPr>
                  <w:tcW w:w="318" w:type="pct"/>
                  <w:vMerge w:val="restart"/>
                  <w:tcBorders>
                    <w:tl2br w:val="nil"/>
                    <w:tr2bl w:val="nil"/>
                  </w:tcBorders>
                  <w:noWrap w:val="0"/>
                  <w:vAlign w:val="center"/>
                </w:tcPr>
                <w:p w14:paraId="571F558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rPr>
                    <w:t>66</w:t>
                  </w:r>
                </w:p>
              </w:tc>
              <w:tc>
                <w:tcPr>
                  <w:tcW w:w="320" w:type="pct"/>
                  <w:vMerge w:val="restart"/>
                  <w:tcBorders>
                    <w:tl2br w:val="nil"/>
                    <w:tr2bl w:val="nil"/>
                  </w:tcBorders>
                  <w:noWrap w:val="0"/>
                  <w:vAlign w:val="center"/>
                </w:tcPr>
                <w:p w14:paraId="21B0E70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676" w:type="pct"/>
                  <w:vMerge w:val="restart"/>
                  <w:tcBorders>
                    <w:tl2br w:val="nil"/>
                    <w:tr2bl w:val="nil"/>
                  </w:tcBorders>
                  <w:noWrap w:val="0"/>
                  <w:vAlign w:val="center"/>
                </w:tcPr>
                <w:p w14:paraId="03882EA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r>
                    <w:rPr>
                      <w:rFonts w:hint="eastAsia" w:cs="Times New Roman"/>
                      <w:color w:val="auto"/>
                      <w:sz w:val="21"/>
                      <w:szCs w:val="21"/>
                      <w:highlight w:val="none"/>
                      <w:lang w:val="en-US" w:eastAsia="zh-CN"/>
                    </w:rPr>
                    <w:t>/</w:t>
                  </w:r>
                </w:p>
              </w:tc>
              <w:tc>
                <w:tcPr>
                  <w:tcW w:w="488" w:type="pct"/>
                  <w:vMerge w:val="restart"/>
                  <w:tcBorders>
                    <w:tl2br w:val="nil"/>
                    <w:tr2bl w:val="nil"/>
                  </w:tcBorders>
                  <w:noWrap w:val="0"/>
                  <w:vAlign w:val="center"/>
                </w:tcPr>
                <w:p w14:paraId="277F0A4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s="Times New Roman"/>
                      <w:color w:val="auto"/>
                      <w:sz w:val="21"/>
                      <w:szCs w:val="21"/>
                      <w:highlight w:val="none"/>
                      <w:lang w:val="en-US" w:eastAsia="zh-CN"/>
                    </w:rPr>
                    <w:t>60</w:t>
                  </w:r>
                </w:p>
              </w:tc>
              <w:tc>
                <w:tcPr>
                  <w:tcW w:w="689" w:type="pct"/>
                  <w:vMerge w:val="continue"/>
                  <w:tcBorders>
                    <w:tl2br w:val="nil"/>
                    <w:tr2bl w:val="nil"/>
                  </w:tcBorders>
                  <w:noWrap w:val="0"/>
                  <w:vAlign w:val="center"/>
                </w:tcPr>
                <w:p w14:paraId="62C2A84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851" w:type="pct"/>
                  <w:tcBorders>
                    <w:tl2br w:val="nil"/>
                    <w:tr2bl w:val="nil"/>
                  </w:tcBorders>
                  <w:noWrap w:val="0"/>
                  <w:vAlign w:val="center"/>
                </w:tcPr>
                <w:p w14:paraId="23E1EAE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rPr>
                    <w:t>昼间</w:t>
                  </w:r>
                </w:p>
              </w:tc>
            </w:tr>
            <w:tr w14:paraId="3F88D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238" w:type="pct"/>
                  <w:vMerge w:val="continue"/>
                  <w:tcBorders>
                    <w:tl2br w:val="nil"/>
                    <w:tr2bl w:val="nil"/>
                  </w:tcBorders>
                  <w:noWrap w:val="0"/>
                  <w:vAlign w:val="center"/>
                </w:tcPr>
                <w:p w14:paraId="3C2BD517">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22" w:type="pct"/>
                  <w:vMerge w:val="continue"/>
                  <w:tcBorders>
                    <w:tl2br w:val="nil"/>
                    <w:tr2bl w:val="nil"/>
                  </w:tcBorders>
                  <w:noWrap w:val="0"/>
                  <w:vAlign w:val="center"/>
                </w:tcPr>
                <w:p w14:paraId="5FB3BC3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74" w:type="pct"/>
                  <w:vMerge w:val="continue"/>
                  <w:tcBorders>
                    <w:tl2br w:val="nil"/>
                    <w:tr2bl w:val="nil"/>
                  </w:tcBorders>
                  <w:noWrap w:val="0"/>
                  <w:vAlign w:val="center"/>
                </w:tcPr>
                <w:p w14:paraId="66660C3D">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7C51AD1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continue"/>
                  <w:tcBorders>
                    <w:tl2br w:val="nil"/>
                    <w:tr2bl w:val="nil"/>
                  </w:tcBorders>
                  <w:noWrap w:val="0"/>
                  <w:vAlign w:val="center"/>
                </w:tcPr>
                <w:p w14:paraId="19CC7E3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20" w:type="pct"/>
                  <w:vMerge w:val="continue"/>
                  <w:tcBorders>
                    <w:tl2br w:val="nil"/>
                    <w:tr2bl w:val="nil"/>
                  </w:tcBorders>
                  <w:noWrap w:val="0"/>
                  <w:vAlign w:val="center"/>
                </w:tcPr>
                <w:p w14:paraId="743DC3B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76" w:type="pct"/>
                  <w:vMerge w:val="continue"/>
                  <w:tcBorders>
                    <w:tl2br w:val="nil"/>
                    <w:tr2bl w:val="nil"/>
                  </w:tcBorders>
                  <w:noWrap w:val="0"/>
                  <w:vAlign w:val="center"/>
                </w:tcPr>
                <w:p w14:paraId="4A30A86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88" w:type="pct"/>
                  <w:vMerge w:val="continue"/>
                  <w:tcBorders>
                    <w:tl2br w:val="nil"/>
                    <w:tr2bl w:val="nil"/>
                  </w:tcBorders>
                  <w:noWrap w:val="0"/>
                  <w:vAlign w:val="center"/>
                </w:tcPr>
                <w:p w14:paraId="71FAF88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689" w:type="pct"/>
                  <w:vMerge w:val="continue"/>
                  <w:tcBorders>
                    <w:tl2br w:val="nil"/>
                    <w:tr2bl w:val="nil"/>
                  </w:tcBorders>
                  <w:noWrap w:val="0"/>
                  <w:vAlign w:val="center"/>
                </w:tcPr>
                <w:p w14:paraId="061F9F3E">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851" w:type="pct"/>
                  <w:tcBorders>
                    <w:tl2br w:val="nil"/>
                    <w:tr2bl w:val="nil"/>
                  </w:tcBorders>
                  <w:noWrap w:val="0"/>
                  <w:vAlign w:val="center"/>
                </w:tcPr>
                <w:p w14:paraId="1F13874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夜间</w:t>
                  </w:r>
                </w:p>
              </w:tc>
            </w:tr>
            <w:tr w14:paraId="0F295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1" w:hRule="atLeast"/>
                <w:jc w:val="center"/>
              </w:trPr>
              <w:tc>
                <w:tcPr>
                  <w:tcW w:w="238" w:type="pct"/>
                  <w:vMerge w:val="restart"/>
                  <w:tcBorders>
                    <w:tl2br w:val="nil"/>
                    <w:tr2bl w:val="nil"/>
                  </w:tcBorders>
                  <w:noWrap w:val="0"/>
                  <w:vAlign w:val="center"/>
                </w:tcPr>
                <w:p w14:paraId="7D9ED33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w:t>
                  </w:r>
                </w:p>
              </w:tc>
              <w:tc>
                <w:tcPr>
                  <w:tcW w:w="622" w:type="pct"/>
                  <w:vMerge w:val="restart"/>
                  <w:tcBorders>
                    <w:tl2br w:val="nil"/>
                    <w:tr2bl w:val="nil"/>
                  </w:tcBorders>
                  <w:noWrap w:val="0"/>
                  <w:vAlign w:val="center"/>
                </w:tcPr>
                <w:p w14:paraId="62708E7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s="Times New Roman"/>
                      <w:i w:val="0"/>
                      <w:iCs w:val="0"/>
                      <w:color w:val="auto"/>
                      <w:sz w:val="21"/>
                      <w:szCs w:val="21"/>
                      <w:highlight w:val="none"/>
                      <w:lang w:val="en-US" w:eastAsia="zh-CN"/>
                    </w:rPr>
                    <w:t>撬装柴油发电机</w:t>
                  </w:r>
                </w:p>
              </w:tc>
              <w:tc>
                <w:tcPr>
                  <w:tcW w:w="474" w:type="pct"/>
                  <w:vMerge w:val="restart"/>
                  <w:tcBorders>
                    <w:tl2br w:val="nil"/>
                    <w:tr2bl w:val="nil"/>
                  </w:tcBorders>
                  <w:noWrap w:val="0"/>
                  <w:vAlign w:val="center"/>
                </w:tcPr>
                <w:p w14:paraId="585E526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318" w:type="pct"/>
                  <w:vMerge w:val="restart"/>
                  <w:tcBorders>
                    <w:tl2br w:val="nil"/>
                    <w:tr2bl w:val="nil"/>
                  </w:tcBorders>
                  <w:noWrap w:val="0"/>
                  <w:vAlign w:val="center"/>
                </w:tcPr>
                <w:p w14:paraId="127FECA3">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11</w:t>
                  </w:r>
                </w:p>
              </w:tc>
              <w:tc>
                <w:tcPr>
                  <w:tcW w:w="318" w:type="pct"/>
                  <w:vMerge w:val="restart"/>
                  <w:tcBorders>
                    <w:tl2br w:val="nil"/>
                    <w:tr2bl w:val="nil"/>
                  </w:tcBorders>
                  <w:noWrap w:val="0"/>
                  <w:vAlign w:val="center"/>
                </w:tcPr>
                <w:p w14:paraId="5068B05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320" w:type="pct"/>
                  <w:vMerge w:val="restart"/>
                  <w:tcBorders>
                    <w:tl2br w:val="nil"/>
                    <w:tr2bl w:val="nil"/>
                  </w:tcBorders>
                  <w:noWrap w:val="0"/>
                  <w:vAlign w:val="center"/>
                </w:tcPr>
                <w:p w14:paraId="4D557589">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1</w:t>
                  </w:r>
                </w:p>
              </w:tc>
              <w:tc>
                <w:tcPr>
                  <w:tcW w:w="676" w:type="pct"/>
                  <w:vMerge w:val="restart"/>
                  <w:tcBorders>
                    <w:tl2br w:val="nil"/>
                    <w:tr2bl w:val="nil"/>
                  </w:tcBorders>
                  <w:noWrap w:val="0"/>
                  <w:vAlign w:val="center"/>
                </w:tcPr>
                <w:p w14:paraId="77E64C7A">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488" w:type="pct"/>
                  <w:vMerge w:val="restart"/>
                  <w:tcBorders>
                    <w:tl2br w:val="nil"/>
                    <w:tr2bl w:val="nil"/>
                  </w:tcBorders>
                  <w:noWrap w:val="0"/>
                  <w:vAlign w:val="center"/>
                </w:tcPr>
                <w:p w14:paraId="3FD19181">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689" w:type="pct"/>
                  <w:vMerge w:val="continue"/>
                  <w:tcBorders>
                    <w:tl2br w:val="nil"/>
                    <w:tr2bl w:val="nil"/>
                  </w:tcBorders>
                  <w:noWrap w:val="0"/>
                  <w:vAlign w:val="center"/>
                </w:tcPr>
                <w:p w14:paraId="07E22C3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color w:val="auto"/>
                      <w:sz w:val="21"/>
                      <w:szCs w:val="21"/>
                      <w:highlight w:val="none"/>
                    </w:rPr>
                  </w:pPr>
                </w:p>
              </w:tc>
              <w:tc>
                <w:tcPr>
                  <w:tcW w:w="2486" w:type="dxa"/>
                  <w:tcBorders>
                    <w:tl2br w:val="nil"/>
                    <w:tr2bl w:val="nil"/>
                  </w:tcBorders>
                  <w:noWrap w:val="0"/>
                  <w:vAlign w:val="center"/>
                </w:tcPr>
                <w:p w14:paraId="54E37D66">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rPr>
                    <w:t>昼间</w:t>
                  </w:r>
                </w:p>
              </w:tc>
            </w:tr>
            <w:tr w14:paraId="4FD82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1" w:hRule="atLeast"/>
                <w:jc w:val="center"/>
              </w:trPr>
              <w:tc>
                <w:tcPr>
                  <w:tcW w:w="238" w:type="pct"/>
                  <w:vMerge w:val="continue"/>
                  <w:tcBorders>
                    <w:tl2br w:val="nil"/>
                    <w:tr2bl w:val="nil"/>
                  </w:tcBorders>
                  <w:noWrap w:val="0"/>
                  <w:vAlign w:val="center"/>
                </w:tcPr>
                <w:p w14:paraId="79E20954">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rPr>
                  </w:pPr>
                </w:p>
              </w:tc>
              <w:tc>
                <w:tcPr>
                  <w:tcW w:w="622" w:type="pct"/>
                  <w:vMerge w:val="continue"/>
                  <w:tcBorders>
                    <w:tl2br w:val="nil"/>
                    <w:tr2bl w:val="nil"/>
                  </w:tcBorders>
                  <w:noWrap w:val="0"/>
                  <w:vAlign w:val="center"/>
                </w:tcPr>
                <w:p w14:paraId="5C7FC1C6">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rPr>
                  </w:pPr>
                </w:p>
              </w:tc>
              <w:tc>
                <w:tcPr>
                  <w:tcW w:w="474" w:type="pct"/>
                  <w:vMerge w:val="continue"/>
                  <w:tcBorders>
                    <w:tl2br w:val="nil"/>
                    <w:tr2bl w:val="nil"/>
                  </w:tcBorders>
                  <w:noWrap w:val="0"/>
                  <w:vAlign w:val="center"/>
                </w:tcPr>
                <w:p w14:paraId="1DDFD33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rPr>
                  </w:pPr>
                </w:p>
              </w:tc>
              <w:tc>
                <w:tcPr>
                  <w:tcW w:w="318" w:type="pct"/>
                  <w:vMerge w:val="continue"/>
                  <w:tcBorders>
                    <w:tl2br w:val="nil"/>
                    <w:tr2bl w:val="nil"/>
                  </w:tcBorders>
                  <w:noWrap w:val="0"/>
                  <w:vAlign w:val="center"/>
                </w:tcPr>
                <w:p w14:paraId="0F28D40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rPr>
                  </w:pPr>
                </w:p>
              </w:tc>
              <w:tc>
                <w:tcPr>
                  <w:tcW w:w="318" w:type="pct"/>
                  <w:vMerge w:val="continue"/>
                  <w:tcBorders>
                    <w:tl2br w:val="nil"/>
                    <w:tr2bl w:val="nil"/>
                  </w:tcBorders>
                  <w:noWrap w:val="0"/>
                  <w:vAlign w:val="center"/>
                </w:tcPr>
                <w:p w14:paraId="36205B08">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rPr>
                  </w:pPr>
                </w:p>
              </w:tc>
              <w:tc>
                <w:tcPr>
                  <w:tcW w:w="320" w:type="pct"/>
                  <w:vMerge w:val="continue"/>
                  <w:tcBorders>
                    <w:tl2br w:val="nil"/>
                    <w:tr2bl w:val="nil"/>
                  </w:tcBorders>
                  <w:noWrap w:val="0"/>
                  <w:vAlign w:val="center"/>
                </w:tcPr>
                <w:p w14:paraId="25870E1F">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rPr>
                  </w:pPr>
                </w:p>
              </w:tc>
              <w:tc>
                <w:tcPr>
                  <w:tcW w:w="676" w:type="pct"/>
                  <w:vMerge w:val="continue"/>
                  <w:tcBorders>
                    <w:tl2br w:val="nil"/>
                    <w:tr2bl w:val="nil"/>
                  </w:tcBorders>
                  <w:noWrap w:val="0"/>
                  <w:vAlign w:val="center"/>
                </w:tcPr>
                <w:p w14:paraId="114FA90B">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rPr>
                  </w:pPr>
                </w:p>
              </w:tc>
              <w:tc>
                <w:tcPr>
                  <w:tcW w:w="488" w:type="pct"/>
                  <w:vMerge w:val="continue"/>
                  <w:tcBorders>
                    <w:tl2br w:val="nil"/>
                    <w:tr2bl w:val="nil"/>
                  </w:tcBorders>
                  <w:noWrap w:val="0"/>
                  <w:vAlign w:val="center"/>
                </w:tcPr>
                <w:p w14:paraId="7F3156DC">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rPr>
                  </w:pPr>
                </w:p>
              </w:tc>
              <w:tc>
                <w:tcPr>
                  <w:tcW w:w="689" w:type="pct"/>
                  <w:vMerge w:val="continue"/>
                  <w:tcBorders>
                    <w:tl2br w:val="nil"/>
                    <w:tr2bl w:val="nil"/>
                  </w:tcBorders>
                  <w:noWrap w:val="0"/>
                  <w:vAlign w:val="center"/>
                </w:tcPr>
                <w:p w14:paraId="193B6915">
                  <w:pPr>
                    <w:keepNext w:val="0"/>
                    <w:keepLines w:val="0"/>
                    <w:pageBreakBefore w:val="0"/>
                    <w:suppressLineNumbers w:val="0"/>
                    <w:kinsoku/>
                    <w:wordWrap/>
                    <w:overflowPunct/>
                    <w:topLinePunct w:val="0"/>
                    <w:autoSpaceDE/>
                    <w:autoSpaceDN/>
                    <w:bidi w:val="0"/>
                    <w:spacing w:before="0" w:beforeAutospacing="0" w:after="0" w:afterAutospacing="0"/>
                    <w:ind w:left="0" w:right="0"/>
                    <w:jc w:val="center"/>
                    <w:rPr>
                      <w:rFonts w:hint="default"/>
                    </w:rPr>
                  </w:pPr>
                </w:p>
              </w:tc>
              <w:tc>
                <w:tcPr>
                  <w:tcW w:w="2486" w:type="dxa"/>
                  <w:tcBorders>
                    <w:tl2br w:val="nil"/>
                    <w:tr2bl w:val="nil"/>
                  </w:tcBorders>
                  <w:noWrap w:val="0"/>
                  <w:vAlign w:val="center"/>
                </w:tcPr>
                <w:p w14:paraId="31613CC3">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夜间</w:t>
                  </w:r>
                </w:p>
              </w:tc>
            </w:tr>
            <w:tr w14:paraId="3DBFC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7" w:hRule="atLeast"/>
                <w:jc w:val="center"/>
              </w:trPr>
              <w:tc>
                <w:tcPr>
                  <w:tcW w:w="5000" w:type="pct"/>
                  <w:gridSpan w:val="10"/>
                  <w:tcBorders>
                    <w:tl2br w:val="nil"/>
                    <w:tr2bl w:val="nil"/>
                  </w:tcBorders>
                  <w:noWrap w:val="0"/>
                  <w:vAlign w:val="center"/>
                </w:tcPr>
                <w:p w14:paraId="445B559B">
                  <w:pPr>
                    <w:keepNext w:val="0"/>
                    <w:keepLines w:val="0"/>
                    <w:pageBreakBefore w:val="0"/>
                    <w:suppressLineNumbers w:val="0"/>
                    <w:kinsoku/>
                    <w:wordWrap/>
                    <w:overflowPunct/>
                    <w:topLinePunct w:val="0"/>
                    <w:autoSpaceDE/>
                    <w:autoSpaceDN/>
                    <w:bidi w:val="0"/>
                    <w:spacing w:before="0" w:beforeAutospacing="0" w:after="0" w:afterAutospacing="0"/>
                    <w:ind w:left="0" w:right="0"/>
                    <w:jc w:val="left"/>
                    <w:rPr>
                      <w:rFonts w:hint="eastAsia"/>
                      <w:color w:val="auto"/>
                      <w:sz w:val="21"/>
                      <w:szCs w:val="21"/>
                      <w:highlight w:val="none"/>
                      <w:lang w:val="en-US" w:eastAsia="zh-CN"/>
                    </w:rPr>
                  </w:pPr>
                  <w:r>
                    <w:rPr>
                      <w:rFonts w:hint="eastAsia"/>
                      <w:color w:val="auto"/>
                      <w:sz w:val="21"/>
                      <w:szCs w:val="21"/>
                      <w:highlight w:val="none"/>
                      <w:lang w:val="en-US" w:eastAsia="zh-CN"/>
                    </w:rPr>
                    <w:t>注：项目以厂区边界西南角为原点</w:t>
                  </w:r>
                </w:p>
              </w:tc>
            </w:tr>
          </w:tbl>
          <w:p w14:paraId="17438F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right="0" w:firstLine="480" w:firstLineChars="200"/>
              <w:textAlignment w:val="auto"/>
              <w:rPr>
                <w:rFonts w:hint="eastAsia" w:eastAsia="宋体"/>
                <w:i w:val="0"/>
                <w:iCs w:val="0"/>
                <w:color w:val="auto"/>
                <w:szCs w:val="21"/>
                <w:highlight w:val="none"/>
                <w:vertAlign w:val="baseline"/>
                <w:lang w:eastAsia="zh-CN"/>
              </w:rPr>
            </w:pPr>
          </w:p>
        </w:tc>
      </w:tr>
    </w:tbl>
    <w:p w14:paraId="0E6596B2">
      <w:pPr>
        <w:pStyle w:val="29"/>
        <w:rPr>
          <w:color w:val="auto"/>
          <w:highlight w:val="none"/>
        </w:rPr>
        <w:sectPr>
          <w:pgSz w:w="16838" w:h="11906" w:orient="landscape"/>
          <w:pgMar w:top="1134" w:right="1134" w:bottom="1418" w:left="1134" w:header="851" w:footer="992" w:gutter="0"/>
          <w:pgBorders>
            <w:top w:val="none" w:sz="0" w:space="0"/>
            <w:left w:val="none" w:sz="0" w:space="0"/>
            <w:bottom w:val="none" w:sz="0" w:space="0"/>
            <w:right w:val="none" w:sz="0" w:space="0"/>
          </w:pgBorders>
          <w:cols w:space="720" w:num="1"/>
          <w:docGrid w:type="lines" w:linePitch="312" w:charSpace="0"/>
        </w:sectPr>
      </w:pPr>
    </w:p>
    <w:tbl>
      <w:tblPr>
        <w:tblStyle w:val="24"/>
        <w:tblW w:w="9572" w:type="dxa"/>
        <w:tblInd w:w="-8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8884"/>
      </w:tblGrid>
      <w:tr w14:paraId="550A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tcPr>
          <w:p w14:paraId="23488FA2">
            <w:pPr>
              <w:keepNext w:val="0"/>
              <w:keepLines w:val="0"/>
              <w:suppressLineNumbers w:val="0"/>
              <w:spacing w:before="0" w:beforeAutospacing="0" w:after="0" w:afterAutospacing="0" w:line="276" w:lineRule="auto"/>
              <w:ind w:left="0" w:right="0" w:firstLine="480" w:firstLineChars="200"/>
              <w:rPr>
                <w:rFonts w:hint="default"/>
                <w:color w:val="auto"/>
                <w:szCs w:val="21"/>
                <w:highlight w:val="none"/>
                <w:vertAlign w:val="baseline"/>
              </w:rPr>
            </w:pPr>
            <w:r>
              <w:rPr>
                <w:rFonts w:hint="default"/>
                <w:color w:val="auto"/>
                <w:szCs w:val="21"/>
                <w:highlight w:val="none"/>
              </w:rPr>
              <w:tab/>
            </w:r>
          </w:p>
        </w:tc>
        <w:tc>
          <w:tcPr>
            <w:tcW w:w="9054" w:type="dxa"/>
          </w:tcPr>
          <w:p w14:paraId="0F1C06EF">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val="en-US" w:eastAsia="zh-CN"/>
              </w:rPr>
              <w:t>2</w:t>
            </w:r>
            <w:r>
              <w:rPr>
                <w:rFonts w:hint="eastAsia" w:ascii="Times New Roman" w:hAnsi="Times New Roman" w:eastAsia="宋体" w:cs="Times New Roman"/>
                <w:b w:val="0"/>
                <w:bCs/>
                <w:color w:val="auto"/>
                <w:sz w:val="24"/>
                <w:szCs w:val="24"/>
                <w:highlight w:val="none"/>
                <w:lang w:val="en-US" w:eastAsia="zh-CN"/>
              </w:rPr>
              <w:t>）达标情况分析</w:t>
            </w:r>
          </w:p>
          <w:p w14:paraId="18EDE4E7">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1）预测模式</w:t>
            </w:r>
          </w:p>
          <w:p w14:paraId="23BE4019">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本次评价采用《环境影响评价技术导则一声环境》（HJ2.4-2021）中推荐模式进行预测，用A声级计算，模式如下：</w:t>
            </w:r>
          </w:p>
          <w:p w14:paraId="0DCA07B2">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①室外声源</w:t>
            </w:r>
          </w:p>
          <w:p w14:paraId="6666EA52">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在预测点的声压级计算：</w:t>
            </w:r>
          </w:p>
          <w:p w14:paraId="7F9FACA8">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L</w:t>
            </w:r>
            <w:r>
              <w:rPr>
                <w:rFonts w:hint="eastAsia" w:ascii="Times New Roman" w:hAnsi="Times New Roman" w:eastAsia="宋体" w:cs="Times New Roman"/>
                <w:b w:val="0"/>
                <w:bCs/>
                <w:color w:val="auto"/>
                <w:sz w:val="24"/>
                <w:szCs w:val="24"/>
                <w:highlight w:val="none"/>
                <w:vertAlign w:val="subscript"/>
                <w:lang w:val="en-US" w:eastAsia="zh-CN"/>
              </w:rPr>
              <w:t>p</w:t>
            </w:r>
            <w:r>
              <w:rPr>
                <w:rFonts w:hint="eastAsia" w:ascii="Times New Roman" w:hAnsi="Times New Roman" w:eastAsia="宋体" w:cs="Times New Roman"/>
                <w:b w:val="0"/>
                <w:bCs/>
                <w:color w:val="auto"/>
                <w:sz w:val="24"/>
                <w:szCs w:val="24"/>
                <w:highlight w:val="none"/>
                <w:lang w:val="en-US" w:eastAsia="zh-CN"/>
              </w:rPr>
              <w:t>(r)＝L</w:t>
            </w:r>
            <w:r>
              <w:rPr>
                <w:rFonts w:hint="eastAsia" w:ascii="Times New Roman" w:hAnsi="Times New Roman" w:eastAsia="宋体" w:cs="Times New Roman"/>
                <w:b w:val="0"/>
                <w:bCs/>
                <w:color w:val="auto"/>
                <w:sz w:val="24"/>
                <w:szCs w:val="24"/>
                <w:highlight w:val="none"/>
                <w:vertAlign w:val="subscript"/>
                <w:lang w:val="en-US" w:eastAsia="zh-CN"/>
              </w:rPr>
              <w:t>w</w:t>
            </w:r>
            <w:r>
              <w:rPr>
                <w:rFonts w:hint="eastAsia" w:ascii="Times New Roman" w:hAnsi="Times New Roman" w:eastAsia="宋体" w:cs="Times New Roman"/>
                <w:b w:val="0"/>
                <w:bCs/>
                <w:color w:val="auto"/>
                <w:sz w:val="24"/>
                <w:szCs w:val="24"/>
                <w:highlight w:val="none"/>
                <w:lang w:val="en-US" w:eastAsia="zh-CN"/>
              </w:rPr>
              <w:t>+D</w:t>
            </w:r>
            <w:r>
              <w:rPr>
                <w:rFonts w:hint="eastAsia" w:ascii="Times New Roman" w:hAnsi="Times New Roman" w:eastAsia="宋体" w:cs="Times New Roman"/>
                <w:b w:val="0"/>
                <w:bCs/>
                <w:color w:val="auto"/>
                <w:sz w:val="24"/>
                <w:szCs w:val="24"/>
                <w:highlight w:val="none"/>
                <w:vertAlign w:val="subscript"/>
                <w:lang w:val="en-US" w:eastAsia="zh-CN"/>
              </w:rPr>
              <w:t>C</w:t>
            </w:r>
            <w:r>
              <w:rPr>
                <w:rFonts w:hint="eastAsia"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vertAlign w:val="subscript"/>
                <w:lang w:val="en-US" w:eastAsia="zh-CN"/>
              </w:rPr>
              <w:t>div</w:t>
            </w:r>
            <w:r>
              <w:rPr>
                <w:rFonts w:hint="eastAsia"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vertAlign w:val="subscript"/>
                <w:lang w:val="en-US" w:eastAsia="zh-CN"/>
              </w:rPr>
              <w:t>atm</w:t>
            </w:r>
            <w:r>
              <w:rPr>
                <w:rFonts w:hint="eastAsia"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vertAlign w:val="subscript"/>
                <w:lang w:val="en-US" w:eastAsia="zh-CN"/>
              </w:rPr>
              <w:t>gr</w:t>
            </w:r>
            <w:r>
              <w:rPr>
                <w:rFonts w:hint="eastAsia"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vertAlign w:val="subscript"/>
                <w:lang w:val="en-US" w:eastAsia="zh-CN"/>
              </w:rPr>
              <w:t>bar</w:t>
            </w:r>
            <w:r>
              <w:rPr>
                <w:rFonts w:hint="eastAsia"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vertAlign w:val="subscript"/>
                <w:lang w:val="en-US" w:eastAsia="zh-CN"/>
              </w:rPr>
              <w:t>misc</w:t>
            </w:r>
            <w:r>
              <w:rPr>
                <w:rFonts w:hint="eastAsia" w:ascii="Times New Roman" w:hAnsi="Times New Roman" w:eastAsia="宋体" w:cs="Times New Roman"/>
                <w:b w:val="0"/>
                <w:bCs/>
                <w:color w:val="auto"/>
                <w:sz w:val="24"/>
                <w:szCs w:val="24"/>
                <w:highlight w:val="none"/>
                <w:lang w:val="en-US" w:eastAsia="zh-CN"/>
              </w:rPr>
              <w:t>)</w:t>
            </w:r>
          </w:p>
          <w:p w14:paraId="353A4E10">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式中：L</w:t>
            </w:r>
            <w:r>
              <w:rPr>
                <w:rFonts w:hint="eastAsia" w:ascii="Times New Roman" w:hAnsi="Times New Roman" w:eastAsia="宋体" w:cs="Times New Roman"/>
                <w:b w:val="0"/>
                <w:bCs/>
                <w:color w:val="auto"/>
                <w:sz w:val="24"/>
                <w:szCs w:val="24"/>
                <w:highlight w:val="none"/>
                <w:vertAlign w:val="subscript"/>
                <w:lang w:val="en-US" w:eastAsia="zh-CN"/>
              </w:rPr>
              <w:t>p</w:t>
            </w:r>
            <w:r>
              <w:rPr>
                <w:rFonts w:hint="eastAsia" w:ascii="Times New Roman" w:hAnsi="Times New Roman" w:eastAsia="宋体" w:cs="Times New Roman"/>
                <w:b w:val="0"/>
                <w:bCs/>
                <w:color w:val="auto"/>
                <w:sz w:val="24"/>
                <w:szCs w:val="24"/>
                <w:highlight w:val="none"/>
                <w:lang w:val="en-US" w:eastAsia="zh-CN"/>
              </w:rPr>
              <w:t>(r)——预测点处声压级，dB；</w:t>
            </w:r>
          </w:p>
          <w:p w14:paraId="1E8666B8">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L</w:t>
            </w:r>
            <w:r>
              <w:rPr>
                <w:rFonts w:hint="eastAsia" w:ascii="Times New Roman" w:hAnsi="Times New Roman" w:eastAsia="宋体" w:cs="Times New Roman"/>
                <w:b w:val="0"/>
                <w:bCs/>
                <w:color w:val="auto"/>
                <w:sz w:val="24"/>
                <w:szCs w:val="24"/>
                <w:highlight w:val="none"/>
                <w:vertAlign w:val="subscript"/>
                <w:lang w:val="en-US" w:eastAsia="zh-CN"/>
              </w:rPr>
              <w:t>w</w:t>
            </w:r>
            <w:r>
              <w:rPr>
                <w:rFonts w:hint="eastAsia" w:ascii="Times New Roman" w:hAnsi="Times New Roman" w:eastAsia="宋体" w:cs="Times New Roman"/>
                <w:b w:val="0"/>
                <w:bCs/>
                <w:color w:val="auto"/>
                <w:sz w:val="24"/>
                <w:szCs w:val="24"/>
                <w:highlight w:val="none"/>
                <w:lang w:val="en-US" w:eastAsia="zh-CN"/>
              </w:rPr>
              <w:t>——由点声源产生的声功率级（A计权或倍频带），dB；</w:t>
            </w:r>
          </w:p>
          <w:p w14:paraId="3BB2E4AE">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D</w:t>
            </w:r>
            <w:r>
              <w:rPr>
                <w:rFonts w:hint="eastAsia" w:ascii="Times New Roman" w:hAnsi="Times New Roman" w:eastAsia="宋体" w:cs="Times New Roman"/>
                <w:b w:val="0"/>
                <w:bCs/>
                <w:color w:val="auto"/>
                <w:sz w:val="24"/>
                <w:szCs w:val="24"/>
                <w:highlight w:val="none"/>
                <w:vertAlign w:val="subscript"/>
                <w:lang w:val="en-US" w:eastAsia="zh-CN"/>
              </w:rPr>
              <w:t>C</w:t>
            </w:r>
            <w:r>
              <w:rPr>
                <w:rFonts w:hint="eastAsia" w:ascii="Times New Roman" w:hAnsi="Times New Roman" w:eastAsia="宋体" w:cs="Times New Roman"/>
                <w:b w:val="0"/>
                <w:bCs/>
                <w:color w:val="auto"/>
                <w:sz w:val="24"/>
                <w:szCs w:val="24"/>
                <w:highlight w:val="none"/>
                <w:lang w:val="en-US" w:eastAsia="zh-CN"/>
              </w:rPr>
              <w:t>——指向性校正，它描述点声源的等效连续声压级与产生声功率级Lw的全向点声源在规定方向的声级的偏差程度，dB；</w:t>
            </w:r>
          </w:p>
          <w:p w14:paraId="47AF1D5C">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vertAlign w:val="subscript"/>
                <w:lang w:val="en-US" w:eastAsia="zh-CN"/>
              </w:rPr>
              <w:t>div</w:t>
            </w:r>
            <w:r>
              <w:rPr>
                <w:rFonts w:hint="eastAsia" w:ascii="Times New Roman" w:hAnsi="Times New Roman" w:eastAsia="宋体" w:cs="Times New Roman"/>
                <w:b w:val="0"/>
                <w:bCs/>
                <w:color w:val="auto"/>
                <w:sz w:val="24"/>
                <w:szCs w:val="24"/>
                <w:highlight w:val="none"/>
                <w:lang w:val="en-US" w:eastAsia="zh-CN"/>
              </w:rPr>
              <w:t>——几何发散引起的衰减，dB；</w:t>
            </w:r>
          </w:p>
          <w:p w14:paraId="6B47EC7A">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vertAlign w:val="subscript"/>
                <w:lang w:val="en-US" w:eastAsia="zh-CN"/>
              </w:rPr>
              <w:t>atm</w:t>
            </w:r>
            <w:r>
              <w:rPr>
                <w:rFonts w:hint="eastAsia" w:ascii="Times New Roman" w:hAnsi="Times New Roman" w:eastAsia="宋体" w:cs="Times New Roman"/>
                <w:b w:val="0"/>
                <w:bCs/>
                <w:color w:val="auto"/>
                <w:sz w:val="24"/>
                <w:szCs w:val="24"/>
                <w:highlight w:val="none"/>
                <w:lang w:val="en-US" w:eastAsia="zh-CN"/>
              </w:rPr>
              <w:t>——大气吸收引起的衰减，dB；</w:t>
            </w:r>
          </w:p>
          <w:p w14:paraId="20EDC31D">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vertAlign w:val="subscript"/>
                <w:lang w:val="en-US" w:eastAsia="zh-CN"/>
              </w:rPr>
              <w:t>gr</w:t>
            </w:r>
            <w:r>
              <w:rPr>
                <w:rFonts w:hint="eastAsia" w:ascii="Times New Roman" w:hAnsi="Times New Roman" w:eastAsia="宋体" w:cs="Times New Roman"/>
                <w:b w:val="0"/>
                <w:bCs/>
                <w:color w:val="auto"/>
                <w:sz w:val="24"/>
                <w:szCs w:val="24"/>
                <w:highlight w:val="none"/>
                <w:lang w:val="en-US" w:eastAsia="zh-CN"/>
              </w:rPr>
              <w:t>——地面效应引起的衰减，dB；</w:t>
            </w:r>
          </w:p>
          <w:p w14:paraId="7EFC22CA">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vertAlign w:val="subscript"/>
                <w:lang w:val="en-US" w:eastAsia="zh-CN"/>
              </w:rPr>
              <w:t>bar</w:t>
            </w:r>
            <w:r>
              <w:rPr>
                <w:rFonts w:hint="eastAsia" w:ascii="Times New Roman" w:hAnsi="Times New Roman" w:eastAsia="宋体" w:cs="Times New Roman"/>
                <w:b w:val="0"/>
                <w:bCs/>
                <w:color w:val="auto"/>
                <w:sz w:val="24"/>
                <w:szCs w:val="24"/>
                <w:highlight w:val="none"/>
                <w:lang w:val="en-US" w:eastAsia="zh-CN"/>
              </w:rPr>
              <w:t>——障碍物屏蔽引起的衰减，dB；</w:t>
            </w:r>
          </w:p>
          <w:p w14:paraId="2320B25D">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A</w:t>
            </w:r>
            <w:r>
              <w:rPr>
                <w:rFonts w:hint="eastAsia" w:ascii="Times New Roman" w:hAnsi="Times New Roman" w:eastAsia="宋体" w:cs="Times New Roman"/>
                <w:b w:val="0"/>
                <w:bCs/>
                <w:color w:val="auto"/>
                <w:sz w:val="24"/>
                <w:szCs w:val="24"/>
                <w:highlight w:val="none"/>
                <w:vertAlign w:val="subscript"/>
                <w:lang w:val="en-US" w:eastAsia="zh-CN"/>
              </w:rPr>
              <w:t>misc</w:t>
            </w:r>
            <w:r>
              <w:rPr>
                <w:rFonts w:hint="eastAsia" w:ascii="Times New Roman" w:hAnsi="Times New Roman" w:eastAsia="宋体" w:cs="Times New Roman"/>
                <w:b w:val="0"/>
                <w:bCs/>
                <w:color w:val="auto"/>
                <w:sz w:val="24"/>
                <w:szCs w:val="24"/>
                <w:highlight w:val="none"/>
                <w:lang w:val="en-US" w:eastAsia="zh-CN"/>
              </w:rPr>
              <w:t>——其他多方面效应引起的衰减，dB。</w:t>
            </w:r>
          </w:p>
          <w:p w14:paraId="121D9129">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②室内声源在预测点的声压级计算：</w:t>
            </w:r>
          </w:p>
          <w:p w14:paraId="0C397641">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（一）首先计算某个室内声源在靠近围护结构处的声压级：</w:t>
            </w:r>
          </w:p>
          <w:p w14:paraId="3CCF3D76">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drawing>
                <wp:inline distT="0" distB="0" distL="114300" distR="114300">
                  <wp:extent cx="3068955" cy="721360"/>
                  <wp:effectExtent l="0" t="0" r="17145" b="2540"/>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30"/>
                          <a:stretch>
                            <a:fillRect/>
                          </a:stretch>
                        </pic:blipFill>
                        <pic:spPr>
                          <a:xfrm>
                            <a:off x="0" y="0"/>
                            <a:ext cx="3068955" cy="721360"/>
                          </a:xfrm>
                          <a:prstGeom prst="rect">
                            <a:avLst/>
                          </a:prstGeom>
                          <a:noFill/>
                          <a:ln>
                            <a:noFill/>
                          </a:ln>
                        </pic:spPr>
                      </pic:pic>
                    </a:graphicData>
                  </a:graphic>
                </wp:inline>
              </w:drawing>
            </w:r>
          </w:p>
          <w:p w14:paraId="20689150">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式中：L</w:t>
            </w:r>
            <w:r>
              <w:rPr>
                <w:rFonts w:hint="eastAsia" w:ascii="Times New Roman" w:hAnsi="Times New Roman" w:eastAsia="宋体" w:cs="Times New Roman"/>
                <w:b w:val="0"/>
                <w:bCs/>
                <w:color w:val="auto"/>
                <w:sz w:val="24"/>
                <w:szCs w:val="24"/>
                <w:highlight w:val="none"/>
                <w:vertAlign w:val="subscript"/>
                <w:lang w:val="en-US" w:eastAsia="zh-CN"/>
              </w:rPr>
              <w:t>p1</w:t>
            </w:r>
            <w:r>
              <w:rPr>
                <w:rFonts w:hint="eastAsia" w:ascii="Times New Roman" w:hAnsi="Times New Roman" w:eastAsia="宋体" w:cs="Times New Roman"/>
                <w:b w:val="0"/>
                <w:bCs/>
                <w:color w:val="auto"/>
                <w:sz w:val="24"/>
                <w:szCs w:val="24"/>
                <w:highlight w:val="none"/>
                <w:lang w:val="en-US" w:eastAsia="zh-CN"/>
              </w:rPr>
              <w:t>——靠近开口处（或窗户）室内某倍频带的声压级或A声级，dB；</w:t>
            </w:r>
          </w:p>
          <w:p w14:paraId="71686621">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L</w:t>
            </w:r>
            <w:r>
              <w:rPr>
                <w:rFonts w:hint="eastAsia" w:ascii="Times New Roman" w:hAnsi="Times New Roman" w:eastAsia="宋体" w:cs="Times New Roman"/>
                <w:b w:val="0"/>
                <w:bCs/>
                <w:color w:val="auto"/>
                <w:sz w:val="24"/>
                <w:szCs w:val="24"/>
                <w:highlight w:val="none"/>
                <w:vertAlign w:val="subscript"/>
                <w:lang w:val="en-US" w:eastAsia="zh-CN"/>
              </w:rPr>
              <w:t>w</w:t>
            </w:r>
            <w:r>
              <w:rPr>
                <w:rFonts w:hint="eastAsia" w:ascii="Times New Roman" w:hAnsi="Times New Roman" w:eastAsia="宋体" w:cs="Times New Roman"/>
                <w:b w:val="0"/>
                <w:bCs/>
                <w:color w:val="auto"/>
                <w:sz w:val="24"/>
                <w:szCs w:val="24"/>
                <w:highlight w:val="none"/>
                <w:lang w:val="en-US" w:eastAsia="zh-CN"/>
              </w:rPr>
              <w:t>——点声源声功率级（A计权或倍频带），dB；</w:t>
            </w:r>
          </w:p>
          <w:p w14:paraId="6AA0864F">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Q——指向性因数；通常对无指向性声源，当声源放在房间中心时，Q=1；当放在一面墙的中心时，Q=2；当放在两面墙夹角处时，Q=4；当放在三面墙夹角处时，Q=8；</w:t>
            </w:r>
          </w:p>
          <w:p w14:paraId="7E0A85C5">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R——房间常数；R=Sα/（1-α），S为房间内表面面积，m</w:t>
            </w:r>
            <w:r>
              <w:rPr>
                <w:rFonts w:hint="default" w:ascii="Times New Roman" w:hAnsi="Times New Roman" w:eastAsia="宋体" w:cs="Times New Roman"/>
                <w:b w:val="0"/>
                <w:bCs/>
                <w:color w:val="auto"/>
                <w:sz w:val="24"/>
                <w:szCs w:val="24"/>
                <w:highlight w:val="none"/>
                <w:vertAlign w:val="superscript"/>
                <w:lang w:val="en-US" w:eastAsia="zh-CN"/>
              </w:rPr>
              <w:t>2</w:t>
            </w:r>
            <w:r>
              <w:rPr>
                <w:rFonts w:hint="default" w:ascii="Times New Roman" w:hAnsi="Times New Roman" w:eastAsia="宋体" w:cs="Times New Roman"/>
                <w:b w:val="0"/>
                <w:bCs/>
                <w:color w:val="auto"/>
                <w:sz w:val="24"/>
                <w:szCs w:val="24"/>
                <w:highlight w:val="none"/>
                <w:lang w:val="en-US" w:eastAsia="zh-CN"/>
              </w:rPr>
              <w:t>；α为平均吸声系数；</w:t>
            </w:r>
          </w:p>
          <w:p w14:paraId="3D45A1B4">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r——声源到靠近围护结构某点处的距离，m。</w:t>
            </w:r>
          </w:p>
          <w:p w14:paraId="04A0A0A3">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（二）然后计算出所有室内声源在围护结构处产生的i倍频带叠加声压级：</w:t>
            </w:r>
          </w:p>
          <w:p w14:paraId="4D51F9A4">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eastAsia"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drawing>
                <wp:inline distT="0" distB="0" distL="114300" distR="114300">
                  <wp:extent cx="2703830" cy="701675"/>
                  <wp:effectExtent l="0" t="0" r="1270" b="3175"/>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31"/>
                          <a:stretch>
                            <a:fillRect/>
                          </a:stretch>
                        </pic:blipFill>
                        <pic:spPr>
                          <a:xfrm>
                            <a:off x="0" y="0"/>
                            <a:ext cx="2703830" cy="701675"/>
                          </a:xfrm>
                          <a:prstGeom prst="rect">
                            <a:avLst/>
                          </a:prstGeom>
                          <a:noFill/>
                          <a:ln>
                            <a:noFill/>
                          </a:ln>
                        </pic:spPr>
                      </pic:pic>
                    </a:graphicData>
                  </a:graphic>
                </wp:inline>
              </w:drawing>
            </w:r>
          </w:p>
          <w:p w14:paraId="1C9B97D9">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式中：</w:t>
            </w:r>
          </w:p>
          <w:p w14:paraId="1914D07A">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L</w:t>
            </w:r>
            <w:r>
              <w:rPr>
                <w:rFonts w:hint="eastAsia" w:ascii="Times New Roman" w:hAnsi="Times New Roman" w:eastAsia="宋体" w:cs="Times New Roman"/>
                <w:b w:val="0"/>
                <w:bCs/>
                <w:color w:val="auto"/>
                <w:sz w:val="24"/>
                <w:szCs w:val="24"/>
                <w:highlight w:val="none"/>
                <w:vertAlign w:val="subscript"/>
                <w:lang w:val="en-US" w:eastAsia="zh-CN"/>
              </w:rPr>
              <w:t>pli</w:t>
            </w:r>
            <w:r>
              <w:rPr>
                <w:rFonts w:hint="eastAsia" w:ascii="Times New Roman" w:hAnsi="Times New Roman" w:eastAsia="宋体" w:cs="Times New Roman"/>
                <w:b w:val="0"/>
                <w:bCs/>
                <w:color w:val="auto"/>
                <w:sz w:val="24"/>
                <w:szCs w:val="24"/>
                <w:highlight w:val="none"/>
                <w:lang w:val="en-US" w:eastAsia="zh-CN"/>
              </w:rPr>
              <w:t>（T）——靠近围护结构处室内N个声源i倍频带的叠加声压级，dB；</w:t>
            </w:r>
          </w:p>
          <w:p w14:paraId="14F22127">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L</w:t>
            </w:r>
            <w:r>
              <w:rPr>
                <w:rFonts w:hint="eastAsia" w:ascii="Times New Roman" w:hAnsi="Times New Roman" w:eastAsia="宋体" w:cs="Times New Roman"/>
                <w:b w:val="0"/>
                <w:bCs/>
                <w:color w:val="auto"/>
                <w:sz w:val="24"/>
                <w:szCs w:val="24"/>
                <w:highlight w:val="none"/>
                <w:vertAlign w:val="subscript"/>
                <w:lang w:val="en-US" w:eastAsia="zh-CN"/>
              </w:rPr>
              <w:t>pli</w:t>
            </w:r>
            <w:r>
              <w:rPr>
                <w:rFonts w:hint="eastAsia" w:ascii="Times New Roman" w:hAnsi="Times New Roman" w:eastAsia="宋体" w:cs="Times New Roman"/>
                <w:b w:val="0"/>
                <w:bCs/>
                <w:color w:val="auto"/>
                <w:sz w:val="24"/>
                <w:szCs w:val="24"/>
                <w:highlight w:val="none"/>
                <w:lang w:val="en-US" w:eastAsia="zh-CN"/>
              </w:rPr>
              <w:t>——室内j声源i倍频带的声压级，dB；</w:t>
            </w:r>
          </w:p>
          <w:p w14:paraId="3FF867B8">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N——室内声源总数。</w:t>
            </w:r>
          </w:p>
          <w:p w14:paraId="555255EB">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（三）计算出室外靠近围护结构处的声压级：</w:t>
            </w:r>
          </w:p>
          <w:p w14:paraId="4C293A51">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L</w:t>
            </w:r>
            <w:r>
              <w:rPr>
                <w:rFonts w:hint="eastAsia" w:ascii="Times New Roman" w:hAnsi="Times New Roman" w:eastAsia="宋体" w:cs="Times New Roman"/>
                <w:b w:val="0"/>
                <w:bCs/>
                <w:color w:val="auto"/>
                <w:sz w:val="24"/>
                <w:szCs w:val="24"/>
                <w:highlight w:val="none"/>
                <w:vertAlign w:val="subscript"/>
                <w:lang w:val="en-US" w:eastAsia="zh-CN"/>
              </w:rPr>
              <w:t>p2i</w:t>
            </w:r>
            <w:r>
              <w:rPr>
                <w:rFonts w:hint="eastAsia" w:ascii="Times New Roman" w:hAnsi="Times New Roman" w:eastAsia="宋体" w:cs="Times New Roman"/>
                <w:b w:val="0"/>
                <w:bCs/>
                <w:color w:val="auto"/>
                <w:sz w:val="24"/>
                <w:szCs w:val="24"/>
                <w:highlight w:val="none"/>
                <w:lang w:val="en-US" w:eastAsia="zh-CN"/>
              </w:rPr>
              <w:t>（T）=L</w:t>
            </w:r>
            <w:r>
              <w:rPr>
                <w:rFonts w:hint="eastAsia" w:ascii="Times New Roman" w:hAnsi="Times New Roman" w:eastAsia="宋体" w:cs="Times New Roman"/>
                <w:b w:val="0"/>
                <w:bCs/>
                <w:color w:val="auto"/>
                <w:sz w:val="24"/>
                <w:szCs w:val="24"/>
                <w:highlight w:val="none"/>
                <w:vertAlign w:val="subscript"/>
                <w:lang w:val="en-US" w:eastAsia="zh-CN"/>
              </w:rPr>
              <w:t>pli</w:t>
            </w:r>
            <w:r>
              <w:rPr>
                <w:rFonts w:hint="eastAsia" w:ascii="Times New Roman" w:hAnsi="Times New Roman" w:eastAsia="宋体" w:cs="Times New Roman"/>
                <w:b w:val="0"/>
                <w:bCs/>
                <w:color w:val="auto"/>
                <w:sz w:val="24"/>
                <w:szCs w:val="24"/>
                <w:highlight w:val="none"/>
                <w:lang w:val="en-US" w:eastAsia="zh-CN"/>
              </w:rPr>
              <w:t>（T）-（TL</w:t>
            </w:r>
            <w:r>
              <w:rPr>
                <w:rFonts w:hint="eastAsia" w:ascii="Times New Roman" w:hAnsi="Times New Roman" w:eastAsia="宋体" w:cs="Times New Roman"/>
                <w:b w:val="0"/>
                <w:bCs/>
                <w:color w:val="auto"/>
                <w:sz w:val="24"/>
                <w:szCs w:val="24"/>
                <w:highlight w:val="none"/>
                <w:vertAlign w:val="subscript"/>
                <w:lang w:val="en-US" w:eastAsia="zh-CN"/>
              </w:rPr>
              <w:t>i</w:t>
            </w:r>
            <w:r>
              <w:rPr>
                <w:rFonts w:hint="eastAsia" w:ascii="Times New Roman" w:hAnsi="Times New Roman" w:eastAsia="宋体" w:cs="Times New Roman"/>
                <w:b w:val="0"/>
                <w:bCs/>
                <w:color w:val="auto"/>
                <w:sz w:val="24"/>
                <w:szCs w:val="24"/>
                <w:highlight w:val="none"/>
                <w:lang w:val="en-US" w:eastAsia="zh-CN"/>
              </w:rPr>
              <w:t>+6）</w:t>
            </w:r>
          </w:p>
          <w:p w14:paraId="1FB357CB">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式中：</w:t>
            </w:r>
          </w:p>
          <w:p w14:paraId="707DB86A">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L</w:t>
            </w:r>
            <w:r>
              <w:rPr>
                <w:rFonts w:hint="eastAsia" w:ascii="Times New Roman" w:hAnsi="Times New Roman" w:eastAsia="宋体" w:cs="Times New Roman"/>
                <w:b w:val="0"/>
                <w:bCs/>
                <w:color w:val="auto"/>
                <w:sz w:val="24"/>
                <w:szCs w:val="24"/>
                <w:highlight w:val="none"/>
                <w:vertAlign w:val="subscript"/>
                <w:lang w:val="en-US" w:eastAsia="zh-CN"/>
              </w:rPr>
              <w:t>p2i</w:t>
            </w:r>
            <w:r>
              <w:rPr>
                <w:rFonts w:hint="eastAsia" w:ascii="Times New Roman" w:hAnsi="Times New Roman" w:eastAsia="宋体" w:cs="Times New Roman"/>
                <w:b w:val="0"/>
                <w:bCs/>
                <w:color w:val="auto"/>
                <w:sz w:val="24"/>
                <w:szCs w:val="24"/>
                <w:highlight w:val="none"/>
                <w:lang w:val="en-US" w:eastAsia="zh-CN"/>
              </w:rPr>
              <w:t>（T）——靠近围护结构处室外N个声源i倍频带的叠加声压级，dB；</w:t>
            </w:r>
          </w:p>
          <w:p w14:paraId="6A5F2D82">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L</w:t>
            </w:r>
            <w:r>
              <w:rPr>
                <w:rFonts w:hint="eastAsia" w:ascii="Times New Roman" w:hAnsi="Times New Roman" w:eastAsia="宋体" w:cs="Times New Roman"/>
                <w:b w:val="0"/>
                <w:bCs/>
                <w:color w:val="auto"/>
                <w:sz w:val="24"/>
                <w:szCs w:val="24"/>
                <w:highlight w:val="none"/>
                <w:vertAlign w:val="subscript"/>
                <w:lang w:val="en-US" w:eastAsia="zh-CN"/>
              </w:rPr>
              <w:t>pli</w:t>
            </w:r>
            <w:r>
              <w:rPr>
                <w:rFonts w:hint="eastAsia" w:ascii="Times New Roman" w:hAnsi="Times New Roman" w:eastAsia="宋体" w:cs="Times New Roman"/>
                <w:b w:val="0"/>
                <w:bCs/>
                <w:color w:val="auto"/>
                <w:sz w:val="24"/>
                <w:szCs w:val="24"/>
                <w:highlight w:val="none"/>
                <w:lang w:val="en-US" w:eastAsia="zh-CN"/>
              </w:rPr>
              <w:t>（T）——靠近围护结构处室内N个声源i倍频带的叠加声压级，dB；</w:t>
            </w:r>
          </w:p>
          <w:p w14:paraId="47E6D1C7">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TL</w:t>
            </w:r>
            <w:r>
              <w:rPr>
                <w:rFonts w:hint="eastAsia" w:ascii="Times New Roman" w:hAnsi="Times New Roman" w:eastAsia="宋体" w:cs="Times New Roman"/>
                <w:b w:val="0"/>
                <w:bCs/>
                <w:color w:val="auto"/>
                <w:sz w:val="24"/>
                <w:szCs w:val="24"/>
                <w:highlight w:val="none"/>
                <w:vertAlign w:val="subscript"/>
                <w:lang w:val="en-US" w:eastAsia="zh-CN"/>
              </w:rPr>
              <w:t>i</w:t>
            </w:r>
            <w:r>
              <w:rPr>
                <w:rFonts w:hint="eastAsia" w:ascii="Times New Roman" w:hAnsi="Times New Roman" w:eastAsia="宋体" w:cs="Times New Roman"/>
                <w:b w:val="0"/>
                <w:bCs/>
                <w:color w:val="auto"/>
                <w:sz w:val="24"/>
                <w:szCs w:val="24"/>
                <w:highlight w:val="none"/>
                <w:lang w:val="en-US" w:eastAsia="zh-CN"/>
              </w:rPr>
              <w:t>——围护结构i倍频带的隔声量，dB。</w:t>
            </w:r>
          </w:p>
          <w:p w14:paraId="428DC39B">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（四）将室外声级和透声面积换算成等效的室外声源，计算出等效声源第i个倍频带的声功率级：</w:t>
            </w:r>
          </w:p>
          <w:p w14:paraId="762D2488">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L</w:t>
            </w:r>
            <w:r>
              <w:rPr>
                <w:rFonts w:hint="eastAsia" w:ascii="Times New Roman" w:hAnsi="Times New Roman" w:eastAsia="宋体" w:cs="Times New Roman"/>
                <w:b w:val="0"/>
                <w:bCs/>
                <w:color w:val="auto"/>
                <w:sz w:val="24"/>
                <w:szCs w:val="24"/>
                <w:highlight w:val="none"/>
                <w:vertAlign w:val="subscript"/>
                <w:lang w:val="en-US" w:eastAsia="zh-CN"/>
              </w:rPr>
              <w:t>w</w:t>
            </w:r>
            <w:r>
              <w:rPr>
                <w:rFonts w:hint="eastAsia" w:ascii="Times New Roman" w:hAnsi="Times New Roman" w:eastAsia="宋体" w:cs="Times New Roman"/>
                <w:b w:val="0"/>
                <w:bCs/>
                <w:color w:val="auto"/>
                <w:sz w:val="24"/>
                <w:szCs w:val="24"/>
                <w:highlight w:val="none"/>
                <w:lang w:val="en-US" w:eastAsia="zh-CN"/>
              </w:rPr>
              <w:t>=L</w:t>
            </w:r>
            <w:r>
              <w:rPr>
                <w:rFonts w:hint="eastAsia" w:ascii="Times New Roman" w:hAnsi="Times New Roman" w:eastAsia="宋体" w:cs="Times New Roman"/>
                <w:b w:val="0"/>
                <w:bCs/>
                <w:color w:val="auto"/>
                <w:sz w:val="24"/>
                <w:szCs w:val="24"/>
                <w:highlight w:val="none"/>
                <w:vertAlign w:val="subscript"/>
                <w:lang w:val="en-US" w:eastAsia="zh-CN"/>
              </w:rPr>
              <w:t>p2</w:t>
            </w:r>
            <w:r>
              <w:rPr>
                <w:rFonts w:hint="eastAsia" w:ascii="Times New Roman" w:hAnsi="Times New Roman" w:eastAsia="宋体" w:cs="Times New Roman"/>
                <w:b w:val="0"/>
                <w:bCs/>
                <w:color w:val="auto"/>
                <w:sz w:val="24"/>
                <w:szCs w:val="24"/>
                <w:highlight w:val="none"/>
                <w:lang w:val="en-US" w:eastAsia="zh-CN"/>
              </w:rPr>
              <w:t>（T）+10lgS</w:t>
            </w:r>
          </w:p>
          <w:p w14:paraId="771EEAA6">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式中：</w:t>
            </w:r>
          </w:p>
          <w:p w14:paraId="2563A270">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L</w:t>
            </w:r>
            <w:r>
              <w:rPr>
                <w:rFonts w:hint="eastAsia" w:ascii="Times New Roman" w:hAnsi="Times New Roman" w:eastAsia="宋体" w:cs="Times New Roman"/>
                <w:b w:val="0"/>
                <w:bCs/>
                <w:color w:val="auto"/>
                <w:sz w:val="24"/>
                <w:szCs w:val="24"/>
                <w:highlight w:val="none"/>
                <w:vertAlign w:val="subscript"/>
                <w:lang w:val="en-US" w:eastAsia="zh-CN"/>
              </w:rPr>
              <w:t>w</w:t>
            </w:r>
            <w:r>
              <w:rPr>
                <w:rFonts w:hint="eastAsia" w:ascii="Times New Roman" w:hAnsi="Times New Roman" w:eastAsia="宋体" w:cs="Times New Roman"/>
                <w:b w:val="0"/>
                <w:bCs/>
                <w:color w:val="auto"/>
                <w:sz w:val="24"/>
                <w:szCs w:val="24"/>
                <w:highlight w:val="none"/>
                <w:lang w:val="en-US" w:eastAsia="zh-CN"/>
              </w:rPr>
              <w:t>——中心位置位于透声面积（S）处的等效声源的倍频带声功率级，dB；</w:t>
            </w:r>
          </w:p>
          <w:p w14:paraId="75F58851">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L</w:t>
            </w:r>
            <w:r>
              <w:rPr>
                <w:rFonts w:hint="eastAsia" w:ascii="Times New Roman" w:hAnsi="Times New Roman" w:eastAsia="宋体" w:cs="Times New Roman"/>
                <w:b w:val="0"/>
                <w:bCs/>
                <w:color w:val="auto"/>
                <w:sz w:val="24"/>
                <w:szCs w:val="24"/>
                <w:highlight w:val="none"/>
                <w:vertAlign w:val="subscript"/>
                <w:lang w:val="en-US" w:eastAsia="zh-CN"/>
              </w:rPr>
              <w:t>p2</w:t>
            </w:r>
            <w:r>
              <w:rPr>
                <w:rFonts w:hint="eastAsia" w:ascii="Times New Roman" w:hAnsi="Times New Roman" w:eastAsia="宋体" w:cs="Times New Roman"/>
                <w:b w:val="0"/>
                <w:bCs/>
                <w:color w:val="auto"/>
                <w:sz w:val="24"/>
                <w:szCs w:val="24"/>
                <w:highlight w:val="none"/>
                <w:lang w:val="en-US" w:eastAsia="zh-CN"/>
              </w:rPr>
              <w:t>（T）——靠近围护结构处室外声源的声压级，dB；</w:t>
            </w:r>
          </w:p>
          <w:p w14:paraId="4446AB86">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S——透声面积，m</w:t>
            </w:r>
            <w:r>
              <w:rPr>
                <w:rFonts w:hint="eastAsia" w:ascii="Times New Roman" w:hAnsi="Times New Roman" w:eastAsia="宋体" w:cs="Times New Roman"/>
                <w:b w:val="0"/>
                <w:bCs/>
                <w:color w:val="auto"/>
                <w:sz w:val="24"/>
                <w:szCs w:val="24"/>
                <w:highlight w:val="none"/>
                <w:vertAlign w:val="superscript"/>
                <w:lang w:val="en-US" w:eastAsia="zh-CN"/>
              </w:rPr>
              <w:t>2</w:t>
            </w:r>
            <w:r>
              <w:rPr>
                <w:rFonts w:hint="eastAsia" w:ascii="Times New Roman" w:hAnsi="Times New Roman" w:eastAsia="宋体" w:cs="Times New Roman"/>
                <w:b w:val="0"/>
                <w:bCs/>
                <w:color w:val="auto"/>
                <w:sz w:val="24"/>
                <w:szCs w:val="24"/>
                <w:highlight w:val="none"/>
                <w:lang w:val="en-US" w:eastAsia="zh-CN"/>
              </w:rPr>
              <w:t>。</w:t>
            </w:r>
          </w:p>
          <w:p w14:paraId="2BA2F9F5">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等效室外声源的位置为围护结构的位置，其声功率级为L</w:t>
            </w:r>
            <w:r>
              <w:rPr>
                <w:rFonts w:hint="eastAsia" w:ascii="Times New Roman" w:hAnsi="Times New Roman" w:eastAsia="宋体" w:cs="Times New Roman"/>
                <w:b w:val="0"/>
                <w:bCs/>
                <w:color w:val="auto"/>
                <w:sz w:val="24"/>
                <w:szCs w:val="24"/>
                <w:highlight w:val="none"/>
                <w:vertAlign w:val="subscript"/>
                <w:lang w:val="en-US" w:eastAsia="zh-CN"/>
              </w:rPr>
              <w:t>w</w:t>
            </w:r>
            <w:r>
              <w:rPr>
                <w:rFonts w:hint="eastAsia" w:ascii="Times New Roman" w:hAnsi="Times New Roman" w:eastAsia="宋体" w:cs="Times New Roman"/>
                <w:b w:val="0"/>
                <w:bCs/>
                <w:color w:val="auto"/>
                <w:sz w:val="24"/>
                <w:szCs w:val="24"/>
                <w:highlight w:val="none"/>
                <w:lang w:val="en-US" w:eastAsia="zh-CN"/>
              </w:rPr>
              <w:t>，由此计算</w:t>
            </w:r>
            <w:r>
              <w:rPr>
                <w:rFonts w:hint="eastAsia" w:cs="Times New Roman"/>
                <w:b w:val="0"/>
                <w:bCs/>
                <w:color w:val="auto"/>
                <w:sz w:val="24"/>
                <w:szCs w:val="24"/>
                <w:highlight w:val="none"/>
                <w:lang w:val="en-US" w:eastAsia="zh-CN"/>
              </w:rPr>
              <w:t>等效声级</w:t>
            </w:r>
            <w:r>
              <w:rPr>
                <w:rFonts w:hint="eastAsia" w:ascii="Times New Roman" w:hAnsi="Times New Roman" w:eastAsia="宋体" w:cs="Times New Roman"/>
                <w:b w:val="0"/>
                <w:bCs/>
                <w:color w:val="auto"/>
                <w:sz w:val="24"/>
                <w:szCs w:val="24"/>
                <w:highlight w:val="none"/>
                <w:lang w:val="en-US" w:eastAsia="zh-CN"/>
              </w:rPr>
              <w:t>在预测点产生的声级。</w:t>
            </w:r>
          </w:p>
          <w:p w14:paraId="7BAD2698">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③总声级的计算</w:t>
            </w:r>
          </w:p>
          <w:p w14:paraId="19F708F9">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设第i个室外声源在预测点产生的A声级为L</w:t>
            </w:r>
            <w:r>
              <w:rPr>
                <w:rFonts w:hint="eastAsia" w:ascii="Times New Roman" w:hAnsi="Times New Roman" w:eastAsia="宋体" w:cs="Times New Roman"/>
                <w:b w:val="0"/>
                <w:bCs/>
                <w:color w:val="auto"/>
                <w:sz w:val="24"/>
                <w:szCs w:val="24"/>
                <w:highlight w:val="none"/>
                <w:vertAlign w:val="subscript"/>
                <w:lang w:val="en-US" w:eastAsia="zh-CN"/>
              </w:rPr>
              <w:t>Ai</w:t>
            </w:r>
            <w:r>
              <w:rPr>
                <w:rFonts w:hint="eastAsia" w:ascii="Times New Roman" w:hAnsi="Times New Roman" w:eastAsia="宋体" w:cs="Times New Roman"/>
                <w:b w:val="0"/>
                <w:bCs/>
                <w:color w:val="auto"/>
                <w:sz w:val="24"/>
                <w:szCs w:val="24"/>
                <w:highlight w:val="none"/>
                <w:lang w:val="en-US" w:eastAsia="zh-CN"/>
              </w:rPr>
              <w:t>，在T时间内该声源工作时间为t</w:t>
            </w:r>
            <w:r>
              <w:rPr>
                <w:rFonts w:hint="eastAsia" w:ascii="Times New Roman" w:hAnsi="Times New Roman" w:eastAsia="宋体" w:cs="Times New Roman"/>
                <w:b w:val="0"/>
                <w:bCs/>
                <w:color w:val="auto"/>
                <w:sz w:val="24"/>
                <w:szCs w:val="24"/>
                <w:highlight w:val="none"/>
                <w:vertAlign w:val="subscript"/>
                <w:lang w:val="en-US" w:eastAsia="zh-CN"/>
              </w:rPr>
              <w:t>i</w:t>
            </w:r>
            <w:r>
              <w:rPr>
                <w:rFonts w:hint="eastAsia" w:ascii="Times New Roman" w:hAnsi="Times New Roman" w:eastAsia="宋体" w:cs="Times New Roman"/>
                <w:b w:val="0"/>
                <w:bCs/>
                <w:color w:val="auto"/>
                <w:sz w:val="24"/>
                <w:szCs w:val="24"/>
                <w:highlight w:val="none"/>
                <w:lang w:val="en-US" w:eastAsia="zh-CN"/>
              </w:rPr>
              <w:t>；第j个等效室外声源在预测点产生的A声级为L</w:t>
            </w:r>
            <w:r>
              <w:rPr>
                <w:rFonts w:hint="eastAsia" w:ascii="Times New Roman" w:hAnsi="Times New Roman" w:eastAsia="宋体" w:cs="Times New Roman"/>
                <w:b w:val="0"/>
                <w:bCs/>
                <w:color w:val="auto"/>
                <w:sz w:val="24"/>
                <w:szCs w:val="24"/>
                <w:highlight w:val="none"/>
                <w:vertAlign w:val="subscript"/>
                <w:lang w:val="en-US" w:eastAsia="zh-CN"/>
              </w:rPr>
              <w:t>Aj</w:t>
            </w:r>
            <w:r>
              <w:rPr>
                <w:rFonts w:hint="eastAsia" w:ascii="Times New Roman" w:hAnsi="Times New Roman" w:eastAsia="宋体" w:cs="Times New Roman"/>
                <w:b w:val="0"/>
                <w:bCs/>
                <w:color w:val="auto"/>
                <w:sz w:val="24"/>
                <w:szCs w:val="24"/>
                <w:highlight w:val="none"/>
                <w:lang w:val="en-US" w:eastAsia="zh-CN"/>
              </w:rPr>
              <w:t>，在T时间内该声源工作时间为t</w:t>
            </w:r>
            <w:r>
              <w:rPr>
                <w:rFonts w:hint="eastAsia" w:ascii="Times New Roman" w:hAnsi="Times New Roman" w:eastAsia="宋体" w:cs="Times New Roman"/>
                <w:b w:val="0"/>
                <w:bCs/>
                <w:color w:val="auto"/>
                <w:sz w:val="24"/>
                <w:szCs w:val="24"/>
                <w:highlight w:val="none"/>
                <w:vertAlign w:val="subscript"/>
                <w:lang w:val="en-US" w:eastAsia="zh-CN"/>
              </w:rPr>
              <w:t>j</w:t>
            </w:r>
            <w:r>
              <w:rPr>
                <w:rFonts w:hint="eastAsia" w:ascii="Times New Roman" w:hAnsi="Times New Roman" w:eastAsia="宋体" w:cs="Times New Roman"/>
                <w:b w:val="0"/>
                <w:bCs/>
                <w:color w:val="auto"/>
                <w:sz w:val="24"/>
                <w:szCs w:val="24"/>
                <w:highlight w:val="none"/>
                <w:lang w:val="en-US" w:eastAsia="zh-CN"/>
              </w:rPr>
              <w:t>，则拟建工程声源对预测点产生的贡献值（L</w:t>
            </w:r>
            <w:r>
              <w:rPr>
                <w:rFonts w:hint="eastAsia" w:ascii="Times New Roman" w:hAnsi="Times New Roman" w:eastAsia="宋体" w:cs="Times New Roman"/>
                <w:b w:val="0"/>
                <w:bCs/>
                <w:color w:val="auto"/>
                <w:sz w:val="24"/>
                <w:szCs w:val="24"/>
                <w:highlight w:val="none"/>
                <w:vertAlign w:val="subscript"/>
                <w:lang w:val="en-US" w:eastAsia="zh-CN"/>
              </w:rPr>
              <w:t>eqg</w:t>
            </w:r>
            <w:r>
              <w:rPr>
                <w:rFonts w:hint="eastAsia" w:ascii="Times New Roman" w:hAnsi="Times New Roman" w:eastAsia="宋体" w:cs="Times New Roman"/>
                <w:b w:val="0"/>
                <w:bCs/>
                <w:color w:val="auto"/>
                <w:sz w:val="24"/>
                <w:szCs w:val="24"/>
                <w:highlight w:val="none"/>
                <w:lang w:val="en-US" w:eastAsia="zh-CN"/>
              </w:rPr>
              <w:t>）为：</w:t>
            </w:r>
          </w:p>
          <w:p w14:paraId="271C0C0F">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eastAsia"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drawing>
                <wp:inline distT="0" distB="0" distL="114300" distR="114300">
                  <wp:extent cx="3295650" cy="686435"/>
                  <wp:effectExtent l="0" t="0" r="0" b="1841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2"/>
                          <a:stretch>
                            <a:fillRect/>
                          </a:stretch>
                        </pic:blipFill>
                        <pic:spPr>
                          <a:xfrm>
                            <a:off x="0" y="0"/>
                            <a:ext cx="3295650" cy="686435"/>
                          </a:xfrm>
                          <a:prstGeom prst="rect">
                            <a:avLst/>
                          </a:prstGeom>
                          <a:noFill/>
                          <a:ln>
                            <a:noFill/>
                          </a:ln>
                        </pic:spPr>
                      </pic:pic>
                    </a:graphicData>
                  </a:graphic>
                </wp:inline>
              </w:drawing>
            </w:r>
          </w:p>
          <w:p w14:paraId="004D0208">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式中：L</w:t>
            </w:r>
            <w:r>
              <w:rPr>
                <w:rFonts w:hint="eastAsia" w:ascii="Times New Roman" w:hAnsi="Times New Roman" w:eastAsia="宋体" w:cs="Times New Roman"/>
                <w:b w:val="0"/>
                <w:bCs/>
                <w:color w:val="auto"/>
                <w:sz w:val="24"/>
                <w:szCs w:val="24"/>
                <w:highlight w:val="none"/>
                <w:vertAlign w:val="subscript"/>
                <w:lang w:val="en-US" w:eastAsia="zh-CN"/>
              </w:rPr>
              <w:t>eqg</w:t>
            </w:r>
            <w:r>
              <w:rPr>
                <w:rFonts w:hint="eastAsia" w:ascii="Times New Roman" w:hAnsi="Times New Roman" w:eastAsia="宋体" w:cs="Times New Roman"/>
                <w:b w:val="0"/>
                <w:bCs/>
                <w:color w:val="auto"/>
                <w:sz w:val="24"/>
                <w:szCs w:val="24"/>
                <w:highlight w:val="none"/>
                <w:lang w:val="en-US" w:eastAsia="zh-CN"/>
              </w:rPr>
              <w:t>——建设项目声源在预测点产生的噪声贡献值，dB；</w:t>
            </w:r>
          </w:p>
          <w:p w14:paraId="5361EAC8">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T——用于计算等效声级的时间，s；</w:t>
            </w:r>
          </w:p>
          <w:p w14:paraId="0B239B1C">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N——室外声源个数；</w:t>
            </w:r>
          </w:p>
          <w:p w14:paraId="0FA432EE">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t</w:t>
            </w:r>
            <w:r>
              <w:rPr>
                <w:rFonts w:hint="eastAsia" w:ascii="Times New Roman" w:hAnsi="Times New Roman" w:eastAsia="宋体" w:cs="Times New Roman"/>
                <w:b w:val="0"/>
                <w:bCs/>
                <w:color w:val="auto"/>
                <w:sz w:val="24"/>
                <w:szCs w:val="24"/>
                <w:highlight w:val="none"/>
                <w:vertAlign w:val="subscript"/>
                <w:lang w:val="en-US" w:eastAsia="zh-CN"/>
              </w:rPr>
              <w:t>i</w:t>
            </w:r>
            <w:r>
              <w:rPr>
                <w:rFonts w:hint="eastAsia" w:ascii="Times New Roman" w:hAnsi="Times New Roman" w:eastAsia="宋体" w:cs="Times New Roman"/>
                <w:b w:val="0"/>
                <w:bCs/>
                <w:color w:val="auto"/>
                <w:sz w:val="24"/>
                <w:szCs w:val="24"/>
                <w:highlight w:val="none"/>
                <w:lang w:val="en-US" w:eastAsia="zh-CN"/>
              </w:rPr>
              <w:t>——在T时间内i声源工作时间，s；</w:t>
            </w:r>
          </w:p>
          <w:p w14:paraId="7DBCAB8D">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M——等效室外声源个数；</w:t>
            </w:r>
          </w:p>
          <w:p w14:paraId="05F1BD40">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t</w:t>
            </w:r>
            <w:r>
              <w:rPr>
                <w:rFonts w:hint="eastAsia" w:ascii="Times New Roman" w:hAnsi="Times New Roman" w:eastAsia="宋体" w:cs="Times New Roman"/>
                <w:b w:val="0"/>
                <w:bCs/>
                <w:color w:val="auto"/>
                <w:sz w:val="24"/>
                <w:szCs w:val="24"/>
                <w:highlight w:val="none"/>
                <w:vertAlign w:val="subscript"/>
                <w:lang w:val="en-US" w:eastAsia="zh-CN"/>
              </w:rPr>
              <w:t>j</w:t>
            </w:r>
            <w:r>
              <w:rPr>
                <w:rFonts w:hint="eastAsia" w:ascii="Times New Roman" w:hAnsi="Times New Roman" w:eastAsia="宋体" w:cs="Times New Roman"/>
                <w:b w:val="0"/>
                <w:bCs/>
                <w:color w:val="auto"/>
                <w:sz w:val="24"/>
                <w:szCs w:val="24"/>
                <w:highlight w:val="none"/>
                <w:lang w:val="en-US" w:eastAsia="zh-CN"/>
              </w:rPr>
              <w:t>——在T时间内j声源工作时间，s。</w:t>
            </w:r>
          </w:p>
          <w:p w14:paraId="1974D15E">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2）参数确定</w:t>
            </w:r>
          </w:p>
          <w:p w14:paraId="31A02E3D">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①声波几何发散引起的A声级衰减量：</w:t>
            </w:r>
          </w:p>
          <w:p w14:paraId="2B2386EF">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center"/>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点声源A</w:t>
            </w:r>
            <w:r>
              <w:rPr>
                <w:rFonts w:hint="eastAsia" w:ascii="Times New Roman" w:hAnsi="Times New Roman" w:eastAsia="宋体" w:cs="Times New Roman"/>
                <w:b w:val="0"/>
                <w:bCs/>
                <w:color w:val="auto"/>
                <w:sz w:val="24"/>
                <w:szCs w:val="24"/>
                <w:highlight w:val="none"/>
                <w:vertAlign w:val="subscript"/>
                <w:lang w:val="en-US" w:eastAsia="zh-CN"/>
              </w:rPr>
              <w:t>div</w:t>
            </w:r>
            <w:r>
              <w:rPr>
                <w:rFonts w:hint="eastAsia" w:ascii="Times New Roman" w:hAnsi="Times New Roman" w:eastAsia="宋体" w:cs="Times New Roman"/>
                <w:b w:val="0"/>
                <w:bCs/>
                <w:color w:val="auto"/>
                <w:sz w:val="24"/>
                <w:szCs w:val="24"/>
                <w:highlight w:val="none"/>
                <w:lang w:val="en-US" w:eastAsia="zh-CN"/>
              </w:rPr>
              <w:t>= 201g(r/r0)</w:t>
            </w:r>
          </w:p>
          <w:p w14:paraId="4B0D79C6">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②空气吸收衰减量A</w:t>
            </w:r>
            <w:r>
              <w:rPr>
                <w:rFonts w:hint="eastAsia" w:ascii="Times New Roman" w:hAnsi="Times New Roman" w:eastAsia="宋体" w:cs="Times New Roman"/>
                <w:b w:val="0"/>
                <w:bCs/>
                <w:color w:val="auto"/>
                <w:sz w:val="24"/>
                <w:szCs w:val="24"/>
                <w:highlight w:val="none"/>
                <w:vertAlign w:val="subscript"/>
                <w:lang w:val="en-US" w:eastAsia="zh-CN"/>
              </w:rPr>
              <w:t>atm</w:t>
            </w:r>
            <w:r>
              <w:rPr>
                <w:rFonts w:hint="eastAsia" w:ascii="Times New Roman" w:hAnsi="Times New Roman" w:eastAsia="宋体" w:cs="Times New Roman"/>
                <w:b w:val="0"/>
                <w:bCs/>
                <w:color w:val="auto"/>
                <w:sz w:val="24"/>
                <w:szCs w:val="24"/>
                <w:highlight w:val="none"/>
                <w:lang w:val="en-US" w:eastAsia="zh-CN"/>
              </w:rPr>
              <w:t>：</w:t>
            </w:r>
          </w:p>
          <w:p w14:paraId="50784205">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拟建项目噪声以中低频为主，空气吸收性衰减</w:t>
            </w:r>
            <w:r>
              <w:rPr>
                <w:rFonts w:hint="eastAsia" w:cs="Times New Roman"/>
                <w:b w:val="0"/>
                <w:bCs/>
                <w:color w:val="auto"/>
                <w:sz w:val="24"/>
                <w:szCs w:val="24"/>
                <w:highlight w:val="none"/>
                <w:lang w:val="en-US" w:eastAsia="zh-CN"/>
              </w:rPr>
              <w:t>很小</w:t>
            </w:r>
            <w:r>
              <w:rPr>
                <w:rFonts w:hint="eastAsia" w:ascii="Times New Roman" w:hAnsi="Times New Roman" w:eastAsia="宋体" w:cs="Times New Roman"/>
                <w:b w:val="0"/>
                <w:bCs/>
                <w:color w:val="auto"/>
                <w:sz w:val="24"/>
                <w:szCs w:val="24"/>
                <w:highlight w:val="none"/>
                <w:lang w:val="en-US" w:eastAsia="zh-CN"/>
              </w:rPr>
              <w:t>，预测时可忽略不计。</w:t>
            </w:r>
          </w:p>
          <w:p w14:paraId="74B9939F">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③遮挡物引起的衰减量A</w:t>
            </w:r>
            <w:r>
              <w:rPr>
                <w:rFonts w:hint="eastAsia" w:ascii="Times New Roman" w:hAnsi="Times New Roman" w:eastAsia="宋体" w:cs="Times New Roman"/>
                <w:b w:val="0"/>
                <w:bCs/>
                <w:color w:val="auto"/>
                <w:sz w:val="24"/>
                <w:szCs w:val="24"/>
                <w:highlight w:val="none"/>
                <w:vertAlign w:val="subscript"/>
                <w:lang w:val="en-US" w:eastAsia="zh-CN"/>
              </w:rPr>
              <w:t>bar</w:t>
            </w:r>
            <w:r>
              <w:rPr>
                <w:rFonts w:hint="eastAsia" w:ascii="Times New Roman" w:hAnsi="Times New Roman" w:eastAsia="宋体" w:cs="Times New Roman"/>
                <w:b w:val="0"/>
                <w:bCs/>
                <w:color w:val="auto"/>
                <w:sz w:val="24"/>
                <w:szCs w:val="24"/>
                <w:highlight w:val="none"/>
                <w:lang w:val="en-US" w:eastAsia="zh-CN"/>
              </w:rPr>
              <w:t>：</w:t>
            </w:r>
          </w:p>
          <w:p w14:paraId="13141625">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噪声在向外传播过程中将受到厂房或其他车间的阻挡影响，从而引起声能量的衰减，具体衰减根据不同声级的传播途径而定，一般取0~30dB（A），本次环评取15。</w:t>
            </w:r>
          </w:p>
          <w:p w14:paraId="112B4B29">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④地面效应引起的声级衰减量A</w:t>
            </w:r>
            <w:r>
              <w:rPr>
                <w:rFonts w:hint="eastAsia" w:ascii="Times New Roman" w:hAnsi="Times New Roman" w:eastAsia="宋体" w:cs="Times New Roman"/>
                <w:b w:val="0"/>
                <w:bCs/>
                <w:color w:val="auto"/>
                <w:sz w:val="24"/>
                <w:szCs w:val="24"/>
                <w:highlight w:val="none"/>
                <w:vertAlign w:val="subscript"/>
                <w:lang w:val="en-US" w:eastAsia="zh-CN"/>
              </w:rPr>
              <w:t>gr</w:t>
            </w:r>
            <w:r>
              <w:rPr>
                <w:rFonts w:hint="eastAsia" w:ascii="Times New Roman" w:hAnsi="Times New Roman" w:eastAsia="宋体" w:cs="Times New Roman"/>
                <w:b w:val="0"/>
                <w:bCs/>
                <w:color w:val="auto"/>
                <w:sz w:val="24"/>
                <w:szCs w:val="24"/>
                <w:highlight w:val="none"/>
                <w:lang w:val="en-US" w:eastAsia="zh-CN"/>
              </w:rPr>
              <w:t>：</w:t>
            </w:r>
          </w:p>
          <w:p w14:paraId="788A0C37">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根据项目总平面布置和噪声源强及外环境状况，可以忽略本项附加衰减量。</w:t>
            </w:r>
          </w:p>
          <w:p w14:paraId="4AD20B83">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⑤其他多方面效应引起的声级衰减量A</w:t>
            </w:r>
            <w:r>
              <w:rPr>
                <w:rFonts w:hint="eastAsia" w:ascii="Times New Roman" w:hAnsi="Times New Roman" w:eastAsia="宋体" w:cs="Times New Roman"/>
                <w:b w:val="0"/>
                <w:bCs/>
                <w:color w:val="auto"/>
                <w:sz w:val="24"/>
                <w:szCs w:val="24"/>
                <w:highlight w:val="none"/>
                <w:vertAlign w:val="subscript"/>
                <w:lang w:val="en-US" w:eastAsia="zh-CN"/>
              </w:rPr>
              <w:t>misc</w:t>
            </w:r>
            <w:r>
              <w:rPr>
                <w:rFonts w:hint="eastAsia" w:ascii="Times New Roman" w:hAnsi="Times New Roman" w:eastAsia="宋体" w:cs="Times New Roman"/>
                <w:b w:val="0"/>
                <w:bCs/>
                <w:color w:val="auto"/>
                <w:sz w:val="24"/>
                <w:szCs w:val="24"/>
                <w:highlight w:val="none"/>
                <w:lang w:val="en-US" w:eastAsia="zh-CN"/>
              </w:rPr>
              <w:t>：</w:t>
            </w:r>
          </w:p>
          <w:p w14:paraId="788007C5">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其他衰减包括通过工业场所的衰减，通过房屋群的衰减等。一般情况下，不考虑自然条件（如风、温度梯度、雾）变化引起的附加修正。</w:t>
            </w:r>
          </w:p>
          <w:p w14:paraId="3EA93205">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3）预测结果</w:t>
            </w:r>
          </w:p>
          <w:p w14:paraId="13460D51">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根据不同设备的噪声级、确定的预测模式以及拟采取的降噪措施计算出不同距离处的噪声值。项目厂界</w:t>
            </w:r>
            <w:r>
              <w:rPr>
                <w:rFonts w:hint="eastAsia" w:cs="Times New Roman"/>
                <w:b w:val="0"/>
                <w:bCs/>
                <w:color w:val="auto"/>
                <w:sz w:val="24"/>
                <w:szCs w:val="24"/>
                <w:highlight w:val="none"/>
                <w:lang w:val="en-US" w:eastAsia="zh-CN"/>
              </w:rPr>
              <w:t>噪声</w:t>
            </w:r>
            <w:r>
              <w:rPr>
                <w:rFonts w:hint="eastAsia" w:ascii="Times New Roman" w:hAnsi="Times New Roman" w:eastAsia="宋体" w:cs="Times New Roman"/>
                <w:b w:val="0"/>
                <w:bCs/>
                <w:color w:val="auto"/>
                <w:sz w:val="24"/>
                <w:szCs w:val="24"/>
                <w:highlight w:val="none"/>
                <w:lang w:val="en-US" w:eastAsia="zh-CN"/>
              </w:rPr>
              <w:t>预测结果如下表所示：</w:t>
            </w:r>
          </w:p>
          <w:p w14:paraId="03E34132">
            <w:pPr>
              <w:keepNext w:val="0"/>
              <w:keepLines w:val="0"/>
              <w:suppressLineNumbers w:val="0"/>
              <w:spacing w:before="0" w:beforeAutospacing="0" w:after="0" w:afterAutospacing="0" w:line="360" w:lineRule="auto"/>
              <w:ind w:left="0" w:right="0" w:firstLine="402" w:firstLineChars="200"/>
              <w:jc w:val="center"/>
              <w:rPr>
                <w:rFonts w:hint="eastAsia" w:ascii="Times New Roman" w:hAnsi="Times New Roman" w:eastAsia="黑体" w:cs="Times New Roman"/>
                <w:b/>
                <w:bCs/>
                <w:color w:val="auto"/>
                <w:kern w:val="0"/>
                <w:sz w:val="20"/>
                <w:szCs w:val="20"/>
                <w:highlight w:val="none"/>
                <w:lang w:val="en-US" w:eastAsia="zh-CN"/>
              </w:rPr>
            </w:pPr>
            <w:r>
              <w:rPr>
                <w:rFonts w:hint="eastAsia" w:ascii="Times New Roman" w:hAnsi="Times New Roman" w:eastAsia="黑体" w:cs="Times New Roman"/>
                <w:b/>
                <w:bCs/>
                <w:color w:val="auto"/>
                <w:kern w:val="0"/>
                <w:sz w:val="20"/>
                <w:szCs w:val="20"/>
                <w:highlight w:val="none"/>
                <w:lang w:val="en-US" w:eastAsia="zh-CN"/>
              </w:rPr>
              <w:t>表4-1</w:t>
            </w:r>
            <w:r>
              <w:rPr>
                <w:rFonts w:hint="eastAsia" w:eastAsia="黑体" w:cs="Times New Roman"/>
                <w:b/>
                <w:bCs/>
                <w:color w:val="auto"/>
                <w:kern w:val="0"/>
                <w:sz w:val="20"/>
                <w:szCs w:val="20"/>
                <w:highlight w:val="none"/>
                <w:lang w:val="en-US" w:eastAsia="zh-CN"/>
              </w:rPr>
              <w:t>4</w:t>
            </w:r>
            <w:r>
              <w:rPr>
                <w:rFonts w:hint="eastAsia" w:ascii="Times New Roman" w:hAnsi="Times New Roman" w:eastAsia="黑体" w:cs="Times New Roman"/>
                <w:b/>
                <w:bCs/>
                <w:color w:val="auto"/>
                <w:kern w:val="0"/>
                <w:sz w:val="20"/>
                <w:szCs w:val="20"/>
                <w:highlight w:val="none"/>
                <w:lang w:val="en-US" w:eastAsia="zh-CN"/>
              </w:rPr>
              <w:t xml:space="preserve"> 运营期</w:t>
            </w:r>
            <w:r>
              <w:rPr>
                <w:rFonts w:hint="eastAsia" w:eastAsia="黑体" w:cs="Times New Roman"/>
                <w:b/>
                <w:bCs/>
                <w:color w:val="auto"/>
                <w:kern w:val="0"/>
                <w:sz w:val="20"/>
                <w:szCs w:val="20"/>
                <w:highlight w:val="none"/>
                <w:lang w:val="en-US" w:eastAsia="zh-CN"/>
              </w:rPr>
              <w:t>加油加气站</w:t>
            </w:r>
            <w:r>
              <w:rPr>
                <w:rFonts w:hint="eastAsia" w:ascii="Times New Roman" w:hAnsi="Times New Roman" w:eastAsia="黑体" w:cs="Times New Roman"/>
                <w:b/>
                <w:bCs/>
                <w:color w:val="auto"/>
                <w:kern w:val="0"/>
                <w:sz w:val="20"/>
                <w:szCs w:val="20"/>
                <w:highlight w:val="none"/>
                <w:lang w:val="en-US" w:eastAsia="zh-CN"/>
              </w:rPr>
              <w:t>厂区域噪声预测结果</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1363"/>
              <w:gridCol w:w="652"/>
              <w:gridCol w:w="652"/>
              <w:gridCol w:w="615"/>
              <w:gridCol w:w="615"/>
              <w:gridCol w:w="550"/>
              <w:gridCol w:w="550"/>
              <w:gridCol w:w="615"/>
              <w:gridCol w:w="615"/>
              <w:gridCol w:w="550"/>
              <w:gridCol w:w="550"/>
              <w:gridCol w:w="792"/>
            </w:tblGrid>
            <w:tr w14:paraId="57099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0" w:type="auto"/>
                  <w:vMerge w:val="restart"/>
                  <w:tcBorders>
                    <w:tl2br w:val="nil"/>
                    <w:tr2bl w:val="nil"/>
                  </w:tcBorders>
                  <w:shd w:val="clear" w:color="000000" w:themeColor="text1" w:fill="auto"/>
                  <w:vAlign w:val="center"/>
                </w:tcPr>
                <w:p w14:paraId="2FB033E9">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auto"/>
                      <w:sz w:val="21"/>
                      <w:szCs w:val="21"/>
                      <w:highlight w:val="none"/>
                    </w:rPr>
                  </w:pPr>
                  <w:r>
                    <w:rPr>
                      <w:rFonts w:hint="eastAsia" w:cs="Times New Roman"/>
                      <w:b/>
                      <w:bCs/>
                      <w:color w:val="auto"/>
                      <w:sz w:val="21"/>
                      <w:szCs w:val="21"/>
                      <w:highlight w:val="none"/>
                    </w:rPr>
                    <w:t>编号</w:t>
                  </w:r>
                </w:p>
              </w:tc>
              <w:tc>
                <w:tcPr>
                  <w:tcW w:w="0" w:type="auto"/>
                  <w:vMerge w:val="restart"/>
                  <w:tcBorders>
                    <w:tl2br w:val="nil"/>
                    <w:tr2bl w:val="nil"/>
                  </w:tcBorders>
                  <w:shd w:val="clear" w:color="000000" w:themeColor="text1" w:fill="auto"/>
                  <w:vAlign w:val="center"/>
                </w:tcPr>
                <w:p w14:paraId="0A9CC625">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auto"/>
                      <w:sz w:val="21"/>
                      <w:szCs w:val="21"/>
                      <w:highlight w:val="none"/>
                    </w:rPr>
                  </w:pPr>
                  <w:r>
                    <w:rPr>
                      <w:rFonts w:hint="eastAsia" w:cs="Times New Roman"/>
                      <w:b/>
                      <w:bCs/>
                      <w:color w:val="auto"/>
                      <w:sz w:val="21"/>
                      <w:szCs w:val="21"/>
                      <w:highlight w:val="none"/>
                    </w:rPr>
                    <w:t>预测点位置</w:t>
                  </w:r>
                </w:p>
              </w:tc>
              <w:tc>
                <w:tcPr>
                  <w:tcW w:w="0" w:type="auto"/>
                  <w:gridSpan w:val="2"/>
                  <w:tcBorders>
                    <w:tl2br w:val="nil"/>
                    <w:tr2bl w:val="nil"/>
                  </w:tcBorders>
                  <w:shd w:val="clear" w:color="000000" w:themeColor="text1" w:fill="auto"/>
                  <w:vAlign w:val="center"/>
                </w:tcPr>
                <w:p w14:paraId="1493A2AA">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空间相对位置</w:t>
                  </w:r>
                </w:p>
              </w:tc>
              <w:tc>
                <w:tcPr>
                  <w:tcW w:w="0" w:type="auto"/>
                  <w:gridSpan w:val="2"/>
                  <w:tcBorders>
                    <w:tl2br w:val="nil"/>
                    <w:tr2bl w:val="nil"/>
                  </w:tcBorders>
                  <w:shd w:val="clear" w:color="000000" w:themeColor="text1" w:fill="auto"/>
                  <w:vAlign w:val="center"/>
                </w:tcPr>
                <w:p w14:paraId="1154C37D">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auto"/>
                      <w:sz w:val="21"/>
                      <w:szCs w:val="21"/>
                      <w:highlight w:val="none"/>
                    </w:rPr>
                  </w:pPr>
                  <w:r>
                    <w:rPr>
                      <w:rFonts w:hint="eastAsia" w:cs="Times New Roman"/>
                      <w:b/>
                      <w:bCs/>
                      <w:color w:val="auto"/>
                      <w:sz w:val="21"/>
                      <w:szCs w:val="21"/>
                      <w:highlight w:val="none"/>
                    </w:rPr>
                    <w:t>贡献值</w:t>
                  </w:r>
                </w:p>
                <w:p w14:paraId="5C6447AD">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auto"/>
                      <w:sz w:val="21"/>
                      <w:szCs w:val="21"/>
                      <w:highlight w:val="none"/>
                    </w:rPr>
                  </w:pPr>
                  <w:r>
                    <w:rPr>
                      <w:rFonts w:hint="eastAsia" w:cs="Times New Roman"/>
                      <w:b/>
                      <w:bCs/>
                      <w:color w:val="auto"/>
                      <w:sz w:val="21"/>
                      <w:szCs w:val="21"/>
                      <w:highlight w:val="none"/>
                    </w:rPr>
                    <w:t>[dB（A）]</w:t>
                  </w:r>
                </w:p>
              </w:tc>
              <w:tc>
                <w:tcPr>
                  <w:tcW w:w="0" w:type="auto"/>
                  <w:gridSpan w:val="2"/>
                  <w:tcBorders>
                    <w:tl2br w:val="nil"/>
                    <w:tr2bl w:val="nil"/>
                  </w:tcBorders>
                  <w:shd w:val="clear" w:color="000000" w:themeColor="text1" w:fill="auto"/>
                  <w:vAlign w:val="center"/>
                </w:tcPr>
                <w:p w14:paraId="70953775">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auto"/>
                      <w:sz w:val="21"/>
                      <w:szCs w:val="21"/>
                      <w:highlight w:val="none"/>
                    </w:rPr>
                  </w:pPr>
                  <w:r>
                    <w:rPr>
                      <w:rFonts w:hint="eastAsia" w:cs="Times New Roman"/>
                      <w:b/>
                      <w:bCs/>
                      <w:color w:val="auto"/>
                      <w:sz w:val="21"/>
                      <w:szCs w:val="21"/>
                      <w:highlight w:val="none"/>
                    </w:rPr>
                    <w:t>背景值</w:t>
                  </w:r>
                </w:p>
                <w:p w14:paraId="068DB15F">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auto"/>
                      <w:sz w:val="21"/>
                      <w:szCs w:val="21"/>
                      <w:highlight w:val="none"/>
                    </w:rPr>
                  </w:pPr>
                  <w:r>
                    <w:rPr>
                      <w:rFonts w:hint="eastAsia" w:cs="Times New Roman"/>
                      <w:b/>
                      <w:bCs/>
                      <w:color w:val="auto"/>
                      <w:sz w:val="21"/>
                      <w:szCs w:val="21"/>
                      <w:highlight w:val="none"/>
                    </w:rPr>
                    <w:t>[dB（A）]</w:t>
                  </w:r>
                </w:p>
              </w:tc>
              <w:tc>
                <w:tcPr>
                  <w:tcW w:w="0" w:type="auto"/>
                  <w:gridSpan w:val="2"/>
                  <w:tcBorders>
                    <w:tl2br w:val="nil"/>
                    <w:tr2bl w:val="nil"/>
                  </w:tcBorders>
                  <w:shd w:val="clear" w:color="000000" w:themeColor="text1" w:fill="auto"/>
                  <w:vAlign w:val="center"/>
                </w:tcPr>
                <w:p w14:paraId="7A675B97">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auto"/>
                      <w:sz w:val="21"/>
                      <w:szCs w:val="21"/>
                      <w:highlight w:val="none"/>
                    </w:rPr>
                  </w:pPr>
                  <w:r>
                    <w:rPr>
                      <w:rFonts w:hint="eastAsia" w:cs="Times New Roman"/>
                      <w:b/>
                      <w:bCs/>
                      <w:color w:val="auto"/>
                      <w:sz w:val="21"/>
                      <w:szCs w:val="21"/>
                      <w:highlight w:val="none"/>
                    </w:rPr>
                    <w:t>预测值</w:t>
                  </w:r>
                </w:p>
                <w:p w14:paraId="02237B47">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auto"/>
                      <w:sz w:val="21"/>
                      <w:szCs w:val="21"/>
                      <w:highlight w:val="none"/>
                    </w:rPr>
                  </w:pPr>
                  <w:r>
                    <w:rPr>
                      <w:rFonts w:hint="eastAsia" w:cs="Times New Roman"/>
                      <w:b/>
                      <w:bCs/>
                      <w:color w:val="auto"/>
                      <w:sz w:val="21"/>
                      <w:szCs w:val="21"/>
                      <w:highlight w:val="none"/>
                    </w:rPr>
                    <w:t>[dB（A）]</w:t>
                  </w:r>
                </w:p>
              </w:tc>
              <w:tc>
                <w:tcPr>
                  <w:tcW w:w="0" w:type="auto"/>
                  <w:gridSpan w:val="2"/>
                  <w:tcBorders>
                    <w:tl2br w:val="nil"/>
                    <w:tr2bl w:val="nil"/>
                  </w:tcBorders>
                  <w:shd w:val="clear" w:color="000000" w:themeColor="text1" w:fill="auto"/>
                  <w:vAlign w:val="center"/>
                </w:tcPr>
                <w:p w14:paraId="3EB24602">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auto"/>
                      <w:sz w:val="21"/>
                      <w:szCs w:val="21"/>
                      <w:highlight w:val="none"/>
                    </w:rPr>
                  </w:pPr>
                  <w:r>
                    <w:rPr>
                      <w:rFonts w:hint="eastAsia" w:cs="Times New Roman"/>
                      <w:b/>
                      <w:bCs/>
                      <w:color w:val="auto"/>
                      <w:sz w:val="21"/>
                      <w:szCs w:val="21"/>
                      <w:highlight w:val="none"/>
                    </w:rPr>
                    <w:t>标准值</w:t>
                  </w:r>
                </w:p>
                <w:p w14:paraId="5F806B14">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auto"/>
                      <w:sz w:val="21"/>
                      <w:szCs w:val="21"/>
                      <w:highlight w:val="none"/>
                    </w:rPr>
                  </w:pPr>
                  <w:r>
                    <w:rPr>
                      <w:rFonts w:hint="eastAsia" w:eastAsia="仿宋" w:cs="Times New Roman"/>
                      <w:b/>
                      <w:bCs/>
                      <w:color w:val="auto"/>
                      <w:sz w:val="21"/>
                      <w:szCs w:val="21"/>
                      <w:highlight w:val="none"/>
                    </w:rPr>
                    <w:t>[</w:t>
                  </w:r>
                  <w:r>
                    <w:rPr>
                      <w:rFonts w:hint="default" w:cs="Times New Roman"/>
                      <w:b/>
                      <w:bCs/>
                      <w:color w:val="auto"/>
                      <w:sz w:val="21"/>
                      <w:szCs w:val="21"/>
                      <w:highlight w:val="none"/>
                    </w:rPr>
                    <w:t>dB（A）</w:t>
                  </w:r>
                  <w:r>
                    <w:rPr>
                      <w:rFonts w:hint="eastAsia" w:eastAsia="仿宋" w:cs="Times New Roman"/>
                      <w:b/>
                      <w:bCs/>
                      <w:color w:val="auto"/>
                      <w:sz w:val="21"/>
                      <w:szCs w:val="21"/>
                      <w:highlight w:val="none"/>
                    </w:rPr>
                    <w:t>]</w:t>
                  </w:r>
                </w:p>
              </w:tc>
              <w:tc>
                <w:tcPr>
                  <w:tcW w:w="0" w:type="auto"/>
                  <w:vMerge w:val="restart"/>
                  <w:tcBorders>
                    <w:tl2br w:val="nil"/>
                    <w:tr2bl w:val="nil"/>
                  </w:tcBorders>
                  <w:shd w:val="clear" w:color="000000" w:themeColor="text1" w:fill="auto"/>
                  <w:vAlign w:val="center"/>
                </w:tcPr>
                <w:p w14:paraId="1F86B371">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b/>
                      <w:bCs/>
                      <w:color w:val="auto"/>
                      <w:sz w:val="21"/>
                      <w:szCs w:val="21"/>
                      <w:highlight w:val="none"/>
                    </w:rPr>
                  </w:pPr>
                  <w:r>
                    <w:rPr>
                      <w:rFonts w:hint="eastAsia" w:cs="Times New Roman"/>
                      <w:b/>
                      <w:bCs/>
                      <w:color w:val="auto"/>
                      <w:sz w:val="21"/>
                      <w:szCs w:val="21"/>
                      <w:highlight w:val="none"/>
                    </w:rPr>
                    <w:t>预测</w:t>
                  </w:r>
                  <w:r>
                    <w:rPr>
                      <w:rFonts w:hint="default" w:cs="Times New Roman"/>
                      <w:b/>
                      <w:bCs/>
                      <w:color w:val="auto"/>
                      <w:sz w:val="21"/>
                      <w:szCs w:val="21"/>
                      <w:highlight w:val="none"/>
                    </w:rPr>
                    <w:t>结果</w:t>
                  </w:r>
                </w:p>
              </w:tc>
            </w:tr>
            <w:tr w14:paraId="25E68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vAlign w:val="center"/>
                </w:tcPr>
                <w:p w14:paraId="7F0C22C2">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p>
              </w:tc>
              <w:tc>
                <w:tcPr>
                  <w:tcW w:w="0" w:type="auto"/>
                  <w:vMerge w:val="continue"/>
                  <w:tcBorders>
                    <w:tl2br w:val="nil"/>
                    <w:tr2bl w:val="nil"/>
                  </w:tcBorders>
                  <w:vAlign w:val="center"/>
                </w:tcPr>
                <w:p w14:paraId="2AC39F6B">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p>
              </w:tc>
              <w:tc>
                <w:tcPr>
                  <w:tcW w:w="0" w:type="auto"/>
                  <w:tcBorders>
                    <w:tl2br w:val="nil"/>
                    <w:tr2bl w:val="nil"/>
                  </w:tcBorders>
                  <w:shd w:val="clear" w:color="000000" w:themeColor="text1" w:fill="auto"/>
                  <w:vAlign w:val="center"/>
                </w:tcPr>
                <w:p w14:paraId="660C87DA">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X</w:t>
                  </w:r>
                </w:p>
              </w:tc>
              <w:tc>
                <w:tcPr>
                  <w:tcW w:w="0" w:type="auto"/>
                  <w:tcBorders>
                    <w:tl2br w:val="nil"/>
                    <w:tr2bl w:val="nil"/>
                  </w:tcBorders>
                  <w:shd w:val="clear" w:color="000000" w:themeColor="text1" w:fill="auto"/>
                  <w:vAlign w:val="center"/>
                </w:tcPr>
                <w:p w14:paraId="3CCAC54A">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Y</w:t>
                  </w:r>
                </w:p>
              </w:tc>
              <w:tc>
                <w:tcPr>
                  <w:tcW w:w="0" w:type="auto"/>
                  <w:tcBorders>
                    <w:tl2br w:val="nil"/>
                    <w:tr2bl w:val="nil"/>
                  </w:tcBorders>
                  <w:shd w:val="clear" w:color="000000" w:themeColor="text1" w:fill="auto"/>
                  <w:vAlign w:val="center"/>
                </w:tcPr>
                <w:p w14:paraId="5AB81D8F">
                  <w:pPr>
                    <w:pStyle w:val="4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firstLine="0" w:firstLineChars="0"/>
                    <w:jc w:val="center"/>
                    <w:textAlignment w:val="auto"/>
                    <w:rPr>
                      <w:rFonts w:hint="default"/>
                      <w:b/>
                      <w:bCs/>
                      <w:color w:val="auto"/>
                      <w:sz w:val="21"/>
                      <w:szCs w:val="21"/>
                      <w:highlight w:val="none"/>
                    </w:rPr>
                  </w:pPr>
                  <w:r>
                    <w:rPr>
                      <w:rFonts w:hint="eastAsia"/>
                      <w:b/>
                      <w:bCs/>
                      <w:color w:val="auto"/>
                      <w:sz w:val="21"/>
                      <w:szCs w:val="21"/>
                      <w:highlight w:val="none"/>
                    </w:rPr>
                    <w:t>昼间</w:t>
                  </w:r>
                </w:p>
              </w:tc>
              <w:tc>
                <w:tcPr>
                  <w:tcW w:w="0" w:type="auto"/>
                  <w:tcBorders>
                    <w:tl2br w:val="nil"/>
                    <w:tr2bl w:val="nil"/>
                  </w:tcBorders>
                  <w:shd w:val="clear" w:color="000000" w:themeColor="text1" w:fill="auto"/>
                  <w:vAlign w:val="center"/>
                </w:tcPr>
                <w:p w14:paraId="40A6E898">
                  <w:pPr>
                    <w:pStyle w:val="4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firstLine="0" w:firstLineChars="0"/>
                    <w:jc w:val="center"/>
                    <w:textAlignment w:val="auto"/>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夜间</w:t>
                  </w:r>
                </w:p>
              </w:tc>
              <w:tc>
                <w:tcPr>
                  <w:tcW w:w="0" w:type="auto"/>
                  <w:tcBorders>
                    <w:tl2br w:val="nil"/>
                    <w:tr2bl w:val="nil"/>
                  </w:tcBorders>
                  <w:shd w:val="clear" w:color="000000" w:themeColor="text1" w:fill="auto"/>
                  <w:vAlign w:val="center"/>
                </w:tcPr>
                <w:p w14:paraId="3A4B2B76">
                  <w:pPr>
                    <w:pStyle w:val="4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firstLine="0" w:firstLineChars="0"/>
                    <w:jc w:val="center"/>
                    <w:textAlignment w:val="auto"/>
                    <w:rPr>
                      <w:rFonts w:hint="default"/>
                      <w:b/>
                      <w:bCs/>
                      <w:color w:val="auto"/>
                      <w:sz w:val="21"/>
                      <w:szCs w:val="21"/>
                      <w:highlight w:val="none"/>
                    </w:rPr>
                  </w:pPr>
                  <w:r>
                    <w:rPr>
                      <w:rFonts w:hint="eastAsia"/>
                      <w:b/>
                      <w:bCs/>
                      <w:color w:val="auto"/>
                      <w:sz w:val="21"/>
                      <w:szCs w:val="21"/>
                      <w:highlight w:val="none"/>
                    </w:rPr>
                    <w:t>昼间</w:t>
                  </w:r>
                </w:p>
              </w:tc>
              <w:tc>
                <w:tcPr>
                  <w:tcW w:w="0" w:type="auto"/>
                  <w:tcBorders>
                    <w:tl2br w:val="nil"/>
                    <w:tr2bl w:val="nil"/>
                  </w:tcBorders>
                  <w:shd w:val="clear" w:color="000000" w:themeColor="text1" w:fill="auto"/>
                  <w:vAlign w:val="center"/>
                </w:tcPr>
                <w:p w14:paraId="219DDFAC">
                  <w:pPr>
                    <w:pStyle w:val="4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firstLine="0" w:firstLineChars="0"/>
                    <w:jc w:val="center"/>
                    <w:textAlignment w:val="auto"/>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夜间</w:t>
                  </w:r>
                </w:p>
              </w:tc>
              <w:tc>
                <w:tcPr>
                  <w:tcW w:w="0" w:type="auto"/>
                  <w:tcBorders>
                    <w:tl2br w:val="nil"/>
                    <w:tr2bl w:val="nil"/>
                  </w:tcBorders>
                  <w:shd w:val="clear" w:color="000000" w:themeColor="text1" w:fill="auto"/>
                  <w:vAlign w:val="center"/>
                </w:tcPr>
                <w:p w14:paraId="43A5BE3E">
                  <w:pPr>
                    <w:pStyle w:val="4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firstLine="0" w:firstLineChars="0"/>
                    <w:jc w:val="center"/>
                    <w:textAlignment w:val="auto"/>
                    <w:rPr>
                      <w:rFonts w:hint="default"/>
                      <w:b/>
                      <w:bCs/>
                      <w:color w:val="auto"/>
                      <w:sz w:val="21"/>
                      <w:szCs w:val="21"/>
                      <w:highlight w:val="none"/>
                    </w:rPr>
                  </w:pPr>
                  <w:r>
                    <w:rPr>
                      <w:rFonts w:hint="eastAsia"/>
                      <w:b/>
                      <w:bCs/>
                      <w:color w:val="auto"/>
                      <w:sz w:val="21"/>
                      <w:szCs w:val="21"/>
                      <w:highlight w:val="none"/>
                    </w:rPr>
                    <w:t>昼间</w:t>
                  </w:r>
                </w:p>
              </w:tc>
              <w:tc>
                <w:tcPr>
                  <w:tcW w:w="0" w:type="auto"/>
                  <w:tcBorders>
                    <w:tl2br w:val="nil"/>
                    <w:tr2bl w:val="nil"/>
                  </w:tcBorders>
                  <w:shd w:val="clear" w:color="000000" w:themeColor="text1" w:fill="auto"/>
                  <w:vAlign w:val="center"/>
                </w:tcPr>
                <w:p w14:paraId="28EFBDEB">
                  <w:pPr>
                    <w:pStyle w:val="4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夜间</w:t>
                  </w:r>
                </w:p>
              </w:tc>
              <w:tc>
                <w:tcPr>
                  <w:tcW w:w="0" w:type="auto"/>
                  <w:tcBorders>
                    <w:tl2br w:val="nil"/>
                    <w:tr2bl w:val="nil"/>
                  </w:tcBorders>
                  <w:shd w:val="clear" w:color="000000" w:themeColor="text1" w:fill="auto"/>
                  <w:vAlign w:val="center"/>
                </w:tcPr>
                <w:p w14:paraId="752AAD17">
                  <w:pPr>
                    <w:pStyle w:val="4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firstLine="0" w:firstLineChars="0"/>
                    <w:jc w:val="center"/>
                    <w:textAlignment w:val="auto"/>
                    <w:rPr>
                      <w:rFonts w:hint="default"/>
                      <w:b/>
                      <w:bCs/>
                      <w:color w:val="auto"/>
                      <w:sz w:val="21"/>
                      <w:szCs w:val="21"/>
                      <w:highlight w:val="none"/>
                    </w:rPr>
                  </w:pPr>
                  <w:r>
                    <w:rPr>
                      <w:rFonts w:hint="eastAsia"/>
                      <w:b/>
                      <w:bCs/>
                      <w:color w:val="auto"/>
                      <w:sz w:val="21"/>
                      <w:szCs w:val="21"/>
                      <w:highlight w:val="none"/>
                    </w:rPr>
                    <w:t>昼间</w:t>
                  </w:r>
                </w:p>
              </w:tc>
              <w:tc>
                <w:tcPr>
                  <w:tcW w:w="0" w:type="auto"/>
                  <w:tcBorders>
                    <w:tl2br w:val="nil"/>
                    <w:tr2bl w:val="nil"/>
                  </w:tcBorders>
                  <w:shd w:val="clear" w:color="000000" w:themeColor="text1" w:fill="auto"/>
                  <w:vAlign w:val="center"/>
                </w:tcPr>
                <w:p w14:paraId="09BAAD68">
                  <w:pPr>
                    <w:pStyle w:val="4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firstLine="0" w:firstLineChars="0"/>
                    <w:jc w:val="center"/>
                    <w:textAlignment w:val="auto"/>
                    <w:rPr>
                      <w:rFonts w:hint="eastAsia"/>
                      <w:b/>
                      <w:bCs/>
                      <w:color w:val="auto"/>
                      <w:sz w:val="21"/>
                      <w:szCs w:val="21"/>
                      <w:highlight w:val="none"/>
                    </w:rPr>
                  </w:pPr>
                  <w:r>
                    <w:rPr>
                      <w:rFonts w:hint="eastAsia"/>
                      <w:b/>
                      <w:bCs/>
                      <w:color w:val="auto"/>
                      <w:sz w:val="21"/>
                      <w:szCs w:val="21"/>
                      <w:highlight w:val="none"/>
                      <w:lang w:val="en-US" w:eastAsia="zh-CN"/>
                    </w:rPr>
                    <w:t>夜间</w:t>
                  </w:r>
                </w:p>
              </w:tc>
              <w:tc>
                <w:tcPr>
                  <w:tcW w:w="0" w:type="auto"/>
                  <w:vMerge w:val="continue"/>
                  <w:tcBorders>
                    <w:tl2br w:val="nil"/>
                    <w:tr2bl w:val="nil"/>
                  </w:tcBorders>
                  <w:vAlign w:val="center"/>
                </w:tcPr>
                <w:p w14:paraId="5CBE896E">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p>
              </w:tc>
            </w:tr>
            <w:tr w14:paraId="422A1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vAlign w:val="center"/>
                </w:tcPr>
                <w:p w14:paraId="40694E8F">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rPr>
                    <w:t>1</w:t>
                  </w:r>
                  <w:r>
                    <w:rPr>
                      <w:rFonts w:hint="default" w:cs="Times New Roman"/>
                      <w:color w:val="auto"/>
                      <w:sz w:val="21"/>
                      <w:szCs w:val="21"/>
                      <w:highlight w:val="none"/>
                    </w:rPr>
                    <w:t>#</w:t>
                  </w:r>
                </w:p>
              </w:tc>
              <w:tc>
                <w:tcPr>
                  <w:tcW w:w="0" w:type="auto"/>
                  <w:tcBorders>
                    <w:tl2br w:val="nil"/>
                    <w:tr2bl w:val="nil"/>
                  </w:tcBorders>
                  <w:vAlign w:val="center"/>
                </w:tcPr>
                <w:p w14:paraId="0C14C52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项目</w:t>
                  </w:r>
                  <w:r>
                    <w:rPr>
                      <w:rFonts w:hint="eastAsia" w:cs="Times New Roman"/>
                      <w:color w:val="auto"/>
                      <w:sz w:val="21"/>
                      <w:szCs w:val="21"/>
                      <w:highlight w:val="none"/>
                    </w:rPr>
                    <w:t>北面</w:t>
                  </w:r>
                  <w:r>
                    <w:rPr>
                      <w:rFonts w:hint="default" w:cs="Times New Roman"/>
                      <w:color w:val="auto"/>
                      <w:sz w:val="21"/>
                      <w:szCs w:val="21"/>
                      <w:highlight w:val="none"/>
                    </w:rPr>
                    <w:t>厂界</w:t>
                  </w:r>
                  <w:r>
                    <w:rPr>
                      <w:rFonts w:hint="eastAsia" w:cs="Times New Roman"/>
                      <w:color w:val="auto"/>
                      <w:sz w:val="21"/>
                      <w:szCs w:val="21"/>
                      <w:highlight w:val="none"/>
                    </w:rPr>
                    <w:t>外1m</w:t>
                  </w:r>
                </w:p>
              </w:tc>
              <w:tc>
                <w:tcPr>
                  <w:tcW w:w="0" w:type="auto"/>
                  <w:tcBorders>
                    <w:tl2br w:val="nil"/>
                    <w:tr2bl w:val="nil"/>
                  </w:tcBorders>
                  <w:vAlign w:val="center"/>
                </w:tcPr>
                <w:p w14:paraId="3F87834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rPr>
                    <w:t>4</w:t>
                  </w:r>
                  <w:r>
                    <w:rPr>
                      <w:rFonts w:hint="eastAsia"/>
                      <w:color w:val="auto"/>
                      <w:sz w:val="21"/>
                      <w:szCs w:val="21"/>
                      <w:highlight w:val="none"/>
                      <w:lang w:val="en-US" w:eastAsia="zh-CN"/>
                    </w:rPr>
                    <w:t>9</w:t>
                  </w:r>
                </w:p>
              </w:tc>
              <w:tc>
                <w:tcPr>
                  <w:tcW w:w="0" w:type="auto"/>
                  <w:tcBorders>
                    <w:tl2br w:val="nil"/>
                    <w:tr2bl w:val="nil"/>
                  </w:tcBorders>
                  <w:vAlign w:val="center"/>
                </w:tcPr>
                <w:p w14:paraId="2EDE9EA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rPr>
                    <w:t>12</w:t>
                  </w:r>
                  <w:r>
                    <w:rPr>
                      <w:rFonts w:hint="eastAsia"/>
                      <w:color w:val="auto"/>
                      <w:sz w:val="21"/>
                      <w:szCs w:val="21"/>
                      <w:highlight w:val="none"/>
                      <w:lang w:val="en-US" w:eastAsia="zh-CN"/>
                    </w:rPr>
                    <w:t>2</w:t>
                  </w:r>
                </w:p>
              </w:tc>
              <w:tc>
                <w:tcPr>
                  <w:tcW w:w="0" w:type="auto"/>
                  <w:tcBorders>
                    <w:tl2br w:val="nil"/>
                    <w:tr2bl w:val="nil"/>
                  </w:tcBorders>
                  <w:vAlign w:val="center"/>
                </w:tcPr>
                <w:p w14:paraId="0A83E17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35.7</w:t>
                  </w:r>
                </w:p>
              </w:tc>
              <w:tc>
                <w:tcPr>
                  <w:tcW w:w="0" w:type="auto"/>
                  <w:tcBorders>
                    <w:tl2br w:val="nil"/>
                    <w:tr2bl w:val="nil"/>
                  </w:tcBorders>
                  <w:shd w:val="clear" w:color="auto" w:fill="auto"/>
                  <w:vAlign w:val="center"/>
                </w:tcPr>
                <w:p w14:paraId="2E740DF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35.7</w:t>
                  </w:r>
                </w:p>
              </w:tc>
              <w:tc>
                <w:tcPr>
                  <w:tcW w:w="0" w:type="auto"/>
                  <w:tcBorders>
                    <w:tl2br w:val="nil"/>
                    <w:tr2bl w:val="nil"/>
                  </w:tcBorders>
                  <w:vAlign w:val="center"/>
                </w:tcPr>
                <w:p w14:paraId="31DE1504">
                  <w:pPr>
                    <w:pStyle w:val="4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0" w:type="auto"/>
                  <w:tcBorders>
                    <w:tl2br w:val="nil"/>
                    <w:tr2bl w:val="nil"/>
                  </w:tcBorders>
                  <w:vAlign w:val="center"/>
                </w:tcPr>
                <w:p w14:paraId="0516B125">
                  <w:pPr>
                    <w:pStyle w:val="40"/>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jc w:val="center"/>
                    <w:textAlignment w:val="auto"/>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615" w:type="dxa"/>
                  <w:tcBorders>
                    <w:tl2br w:val="nil"/>
                    <w:tr2bl w:val="nil"/>
                  </w:tcBorders>
                  <w:vAlign w:val="center"/>
                </w:tcPr>
                <w:p w14:paraId="581F849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35.7</w:t>
                  </w:r>
                </w:p>
              </w:tc>
              <w:tc>
                <w:tcPr>
                  <w:tcW w:w="615" w:type="dxa"/>
                  <w:tcBorders>
                    <w:tl2br w:val="nil"/>
                    <w:tr2bl w:val="nil"/>
                  </w:tcBorders>
                  <w:shd w:val="clear" w:color="auto" w:fill="auto"/>
                  <w:vAlign w:val="center"/>
                </w:tcPr>
                <w:p w14:paraId="3ACFEB5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35.7</w:t>
                  </w:r>
                </w:p>
              </w:tc>
              <w:tc>
                <w:tcPr>
                  <w:tcW w:w="0" w:type="auto"/>
                  <w:tcBorders>
                    <w:tl2br w:val="nil"/>
                    <w:tr2bl w:val="nil"/>
                  </w:tcBorders>
                  <w:vAlign w:val="center"/>
                </w:tcPr>
                <w:p w14:paraId="18D9FF8D">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0" w:type="auto"/>
                  <w:tcBorders>
                    <w:tl2br w:val="nil"/>
                    <w:tr2bl w:val="nil"/>
                  </w:tcBorders>
                  <w:vAlign w:val="center"/>
                </w:tcPr>
                <w:p w14:paraId="637CDFC2">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0" w:type="auto"/>
                  <w:tcBorders>
                    <w:tl2br w:val="nil"/>
                    <w:tr2bl w:val="nil"/>
                  </w:tcBorders>
                  <w:vAlign w:val="center"/>
                </w:tcPr>
                <w:p w14:paraId="333E5F49">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rPr>
                    <w:t>达标</w:t>
                  </w:r>
                </w:p>
              </w:tc>
            </w:tr>
            <w:tr w14:paraId="5BA3F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vAlign w:val="center"/>
                </w:tcPr>
                <w:p w14:paraId="77D38CFC">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rPr>
                    <w:t>2</w:t>
                  </w:r>
                  <w:r>
                    <w:rPr>
                      <w:rFonts w:hint="default" w:cs="Times New Roman"/>
                      <w:color w:val="auto"/>
                      <w:sz w:val="21"/>
                      <w:szCs w:val="21"/>
                      <w:highlight w:val="none"/>
                    </w:rPr>
                    <w:t>#</w:t>
                  </w:r>
                </w:p>
              </w:tc>
              <w:tc>
                <w:tcPr>
                  <w:tcW w:w="0" w:type="auto"/>
                  <w:tcBorders>
                    <w:tl2br w:val="nil"/>
                    <w:tr2bl w:val="nil"/>
                  </w:tcBorders>
                  <w:vAlign w:val="center"/>
                </w:tcPr>
                <w:p w14:paraId="73FE1A2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项目</w:t>
                  </w:r>
                  <w:r>
                    <w:rPr>
                      <w:rFonts w:hint="eastAsia" w:cs="Times New Roman"/>
                      <w:color w:val="auto"/>
                      <w:sz w:val="21"/>
                      <w:szCs w:val="21"/>
                      <w:highlight w:val="none"/>
                    </w:rPr>
                    <w:t>东面</w:t>
                  </w:r>
                  <w:r>
                    <w:rPr>
                      <w:rFonts w:hint="default" w:cs="Times New Roman"/>
                      <w:color w:val="auto"/>
                      <w:sz w:val="21"/>
                      <w:szCs w:val="21"/>
                      <w:highlight w:val="none"/>
                    </w:rPr>
                    <w:t>厂界</w:t>
                  </w:r>
                  <w:r>
                    <w:rPr>
                      <w:rFonts w:hint="eastAsia" w:cs="Times New Roman"/>
                      <w:color w:val="auto"/>
                      <w:sz w:val="21"/>
                      <w:szCs w:val="21"/>
                      <w:highlight w:val="none"/>
                    </w:rPr>
                    <w:t>外1m</w:t>
                  </w:r>
                </w:p>
              </w:tc>
              <w:tc>
                <w:tcPr>
                  <w:tcW w:w="0" w:type="auto"/>
                  <w:tcBorders>
                    <w:tl2br w:val="nil"/>
                    <w:tr2bl w:val="nil"/>
                  </w:tcBorders>
                  <w:vAlign w:val="center"/>
                </w:tcPr>
                <w:p w14:paraId="1205E38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rPr>
                    <w:t>13</w:t>
                  </w:r>
                  <w:r>
                    <w:rPr>
                      <w:rFonts w:hint="eastAsia"/>
                      <w:color w:val="auto"/>
                      <w:sz w:val="21"/>
                      <w:szCs w:val="21"/>
                      <w:highlight w:val="none"/>
                      <w:lang w:val="en-US" w:eastAsia="zh-CN"/>
                    </w:rPr>
                    <w:t>6</w:t>
                  </w:r>
                </w:p>
              </w:tc>
              <w:tc>
                <w:tcPr>
                  <w:tcW w:w="0" w:type="auto"/>
                  <w:tcBorders>
                    <w:tl2br w:val="nil"/>
                    <w:tr2bl w:val="nil"/>
                  </w:tcBorders>
                  <w:vAlign w:val="center"/>
                </w:tcPr>
                <w:p w14:paraId="025013B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rPr>
                    <w:t>123</w:t>
                  </w:r>
                </w:p>
              </w:tc>
              <w:tc>
                <w:tcPr>
                  <w:tcW w:w="615" w:type="dxa"/>
                  <w:tcBorders>
                    <w:tl2br w:val="nil"/>
                    <w:tr2bl w:val="nil"/>
                  </w:tcBorders>
                  <w:vAlign w:val="center"/>
                </w:tcPr>
                <w:p w14:paraId="19898A5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25.6</w:t>
                  </w:r>
                </w:p>
              </w:tc>
              <w:tc>
                <w:tcPr>
                  <w:tcW w:w="0" w:type="auto"/>
                  <w:tcBorders>
                    <w:tl2br w:val="nil"/>
                    <w:tr2bl w:val="nil"/>
                  </w:tcBorders>
                  <w:shd w:val="clear" w:color="auto" w:fill="auto"/>
                  <w:vAlign w:val="center"/>
                </w:tcPr>
                <w:p w14:paraId="2CA8CD6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25.6</w:t>
                  </w:r>
                </w:p>
              </w:tc>
              <w:tc>
                <w:tcPr>
                  <w:tcW w:w="0" w:type="auto"/>
                  <w:tcBorders>
                    <w:tl2br w:val="nil"/>
                    <w:tr2bl w:val="nil"/>
                  </w:tcBorders>
                  <w:vAlign w:val="center"/>
                </w:tcPr>
                <w:p w14:paraId="17D9F57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0" w:type="auto"/>
                  <w:tcBorders>
                    <w:tl2br w:val="nil"/>
                    <w:tr2bl w:val="nil"/>
                  </w:tcBorders>
                  <w:vAlign w:val="center"/>
                </w:tcPr>
                <w:p w14:paraId="4954BB1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jc w:val="center"/>
                    <w:textAlignment w:val="auto"/>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615" w:type="dxa"/>
                  <w:tcBorders>
                    <w:tl2br w:val="nil"/>
                    <w:tr2bl w:val="nil"/>
                  </w:tcBorders>
                  <w:vAlign w:val="center"/>
                </w:tcPr>
                <w:p w14:paraId="01E65CE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25.6</w:t>
                  </w:r>
                </w:p>
              </w:tc>
              <w:tc>
                <w:tcPr>
                  <w:tcW w:w="615" w:type="dxa"/>
                  <w:tcBorders>
                    <w:tl2br w:val="nil"/>
                    <w:tr2bl w:val="nil"/>
                  </w:tcBorders>
                  <w:shd w:val="clear" w:color="auto" w:fill="auto"/>
                  <w:vAlign w:val="center"/>
                </w:tcPr>
                <w:p w14:paraId="342BB36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25.6</w:t>
                  </w:r>
                </w:p>
              </w:tc>
              <w:tc>
                <w:tcPr>
                  <w:tcW w:w="0" w:type="auto"/>
                  <w:tcBorders>
                    <w:tl2br w:val="nil"/>
                    <w:tr2bl w:val="nil"/>
                  </w:tcBorders>
                  <w:vAlign w:val="center"/>
                </w:tcPr>
                <w:p w14:paraId="01757F8D">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lang w:val="en-US" w:eastAsia="zh-CN"/>
                    </w:rPr>
                    <w:t>60</w:t>
                  </w:r>
                </w:p>
              </w:tc>
              <w:tc>
                <w:tcPr>
                  <w:tcW w:w="0" w:type="auto"/>
                  <w:tcBorders>
                    <w:tl2br w:val="nil"/>
                    <w:tr2bl w:val="nil"/>
                  </w:tcBorders>
                  <w:vAlign w:val="center"/>
                </w:tcPr>
                <w:p w14:paraId="2446E37E">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0" w:type="auto"/>
                  <w:tcBorders>
                    <w:tl2br w:val="nil"/>
                    <w:tr2bl w:val="nil"/>
                  </w:tcBorders>
                  <w:vAlign w:val="center"/>
                </w:tcPr>
                <w:p w14:paraId="14CD3F76">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rPr>
                    <w:t>达标</w:t>
                  </w:r>
                </w:p>
              </w:tc>
            </w:tr>
            <w:tr w14:paraId="70D3C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vAlign w:val="center"/>
                </w:tcPr>
                <w:p w14:paraId="481CFA43">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rPr>
                    <w:t>3#</w:t>
                  </w:r>
                </w:p>
              </w:tc>
              <w:tc>
                <w:tcPr>
                  <w:tcW w:w="0" w:type="auto"/>
                  <w:tcBorders>
                    <w:tl2br w:val="nil"/>
                    <w:tr2bl w:val="nil"/>
                  </w:tcBorders>
                  <w:vAlign w:val="center"/>
                </w:tcPr>
                <w:p w14:paraId="7BCC7D21">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项目</w:t>
                  </w:r>
                  <w:r>
                    <w:rPr>
                      <w:rFonts w:hint="eastAsia" w:cs="Times New Roman"/>
                      <w:color w:val="auto"/>
                      <w:sz w:val="21"/>
                      <w:szCs w:val="21"/>
                      <w:highlight w:val="none"/>
                    </w:rPr>
                    <w:t>南面</w:t>
                  </w:r>
                  <w:r>
                    <w:rPr>
                      <w:rFonts w:hint="default" w:cs="Times New Roman"/>
                      <w:color w:val="auto"/>
                      <w:sz w:val="21"/>
                      <w:szCs w:val="21"/>
                      <w:highlight w:val="none"/>
                    </w:rPr>
                    <w:t>厂界</w:t>
                  </w:r>
                  <w:r>
                    <w:rPr>
                      <w:rFonts w:hint="eastAsia" w:cs="Times New Roman"/>
                      <w:color w:val="auto"/>
                      <w:sz w:val="21"/>
                      <w:szCs w:val="21"/>
                      <w:highlight w:val="none"/>
                    </w:rPr>
                    <w:t>外1m</w:t>
                  </w:r>
                </w:p>
              </w:tc>
              <w:tc>
                <w:tcPr>
                  <w:tcW w:w="0" w:type="auto"/>
                  <w:tcBorders>
                    <w:tl2br w:val="nil"/>
                    <w:tr2bl w:val="nil"/>
                  </w:tcBorders>
                  <w:vAlign w:val="center"/>
                </w:tcPr>
                <w:p w14:paraId="00DE6CD1">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85</w:t>
                  </w:r>
                </w:p>
              </w:tc>
              <w:tc>
                <w:tcPr>
                  <w:tcW w:w="0" w:type="auto"/>
                  <w:tcBorders>
                    <w:tl2br w:val="nil"/>
                    <w:tr2bl w:val="nil"/>
                  </w:tcBorders>
                  <w:vAlign w:val="center"/>
                </w:tcPr>
                <w:p w14:paraId="00907AE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rPr>
                    <w:t>50</w:t>
                  </w:r>
                </w:p>
              </w:tc>
              <w:tc>
                <w:tcPr>
                  <w:tcW w:w="615" w:type="dxa"/>
                  <w:tcBorders>
                    <w:tl2br w:val="nil"/>
                    <w:tr2bl w:val="nil"/>
                  </w:tcBorders>
                  <w:vAlign w:val="center"/>
                </w:tcPr>
                <w:p w14:paraId="5CA8578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29.6</w:t>
                  </w:r>
                </w:p>
              </w:tc>
              <w:tc>
                <w:tcPr>
                  <w:tcW w:w="0" w:type="auto"/>
                  <w:tcBorders>
                    <w:tl2br w:val="nil"/>
                    <w:tr2bl w:val="nil"/>
                  </w:tcBorders>
                  <w:shd w:val="clear" w:color="auto" w:fill="auto"/>
                  <w:vAlign w:val="center"/>
                </w:tcPr>
                <w:p w14:paraId="78266A9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29.6</w:t>
                  </w:r>
                </w:p>
              </w:tc>
              <w:tc>
                <w:tcPr>
                  <w:tcW w:w="0" w:type="auto"/>
                  <w:tcBorders>
                    <w:tl2br w:val="nil"/>
                    <w:tr2bl w:val="nil"/>
                  </w:tcBorders>
                  <w:vAlign w:val="center"/>
                </w:tcPr>
                <w:p w14:paraId="70E9BBF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0" w:type="auto"/>
                  <w:tcBorders>
                    <w:tl2br w:val="nil"/>
                    <w:tr2bl w:val="nil"/>
                  </w:tcBorders>
                  <w:vAlign w:val="center"/>
                </w:tcPr>
                <w:p w14:paraId="0AD1C15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jc w:val="center"/>
                    <w:textAlignment w:val="auto"/>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615" w:type="dxa"/>
                  <w:tcBorders>
                    <w:tl2br w:val="nil"/>
                    <w:tr2bl w:val="nil"/>
                  </w:tcBorders>
                  <w:vAlign w:val="center"/>
                </w:tcPr>
                <w:p w14:paraId="41DB17C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29.6</w:t>
                  </w:r>
                </w:p>
              </w:tc>
              <w:tc>
                <w:tcPr>
                  <w:tcW w:w="615" w:type="dxa"/>
                  <w:tcBorders>
                    <w:tl2br w:val="nil"/>
                    <w:tr2bl w:val="nil"/>
                  </w:tcBorders>
                  <w:shd w:val="clear" w:color="auto" w:fill="auto"/>
                  <w:vAlign w:val="center"/>
                </w:tcPr>
                <w:p w14:paraId="601A741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29.6</w:t>
                  </w:r>
                </w:p>
              </w:tc>
              <w:tc>
                <w:tcPr>
                  <w:tcW w:w="0" w:type="auto"/>
                  <w:tcBorders>
                    <w:tl2br w:val="nil"/>
                    <w:tr2bl w:val="nil"/>
                  </w:tcBorders>
                  <w:vAlign w:val="center"/>
                </w:tcPr>
                <w:p w14:paraId="5E895936">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lang w:val="en-US" w:eastAsia="zh-CN"/>
                    </w:rPr>
                    <w:t>60</w:t>
                  </w:r>
                </w:p>
              </w:tc>
              <w:tc>
                <w:tcPr>
                  <w:tcW w:w="0" w:type="auto"/>
                  <w:tcBorders>
                    <w:tl2br w:val="nil"/>
                    <w:tr2bl w:val="nil"/>
                  </w:tcBorders>
                  <w:vAlign w:val="center"/>
                </w:tcPr>
                <w:p w14:paraId="11719EFE">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0" w:type="auto"/>
                  <w:tcBorders>
                    <w:tl2br w:val="nil"/>
                    <w:tr2bl w:val="nil"/>
                  </w:tcBorders>
                  <w:vAlign w:val="center"/>
                </w:tcPr>
                <w:p w14:paraId="03717A9D">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rPr>
                    <w:t>达标</w:t>
                  </w:r>
                </w:p>
              </w:tc>
            </w:tr>
            <w:tr w14:paraId="16889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vAlign w:val="center"/>
                </w:tcPr>
                <w:p w14:paraId="465F6451">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rPr>
                    <w:t>4</w:t>
                  </w:r>
                  <w:r>
                    <w:rPr>
                      <w:rFonts w:hint="default" w:cs="Times New Roman"/>
                      <w:color w:val="auto"/>
                      <w:sz w:val="21"/>
                      <w:szCs w:val="21"/>
                      <w:highlight w:val="none"/>
                    </w:rPr>
                    <w:t>#</w:t>
                  </w:r>
                </w:p>
              </w:tc>
              <w:tc>
                <w:tcPr>
                  <w:tcW w:w="0" w:type="auto"/>
                  <w:tcBorders>
                    <w:tl2br w:val="nil"/>
                    <w:tr2bl w:val="nil"/>
                  </w:tcBorders>
                  <w:vAlign w:val="center"/>
                </w:tcPr>
                <w:p w14:paraId="1963B83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项目</w:t>
                  </w:r>
                  <w:r>
                    <w:rPr>
                      <w:rFonts w:hint="eastAsia" w:cs="Times New Roman"/>
                      <w:color w:val="auto"/>
                      <w:sz w:val="21"/>
                      <w:szCs w:val="21"/>
                      <w:highlight w:val="none"/>
                    </w:rPr>
                    <w:t>西面</w:t>
                  </w:r>
                  <w:r>
                    <w:rPr>
                      <w:rFonts w:hint="default" w:cs="Times New Roman"/>
                      <w:color w:val="auto"/>
                      <w:sz w:val="21"/>
                      <w:szCs w:val="21"/>
                      <w:highlight w:val="none"/>
                    </w:rPr>
                    <w:t>厂界</w:t>
                  </w:r>
                  <w:r>
                    <w:rPr>
                      <w:rFonts w:hint="eastAsia" w:cs="Times New Roman"/>
                      <w:color w:val="auto"/>
                      <w:sz w:val="21"/>
                      <w:szCs w:val="21"/>
                      <w:highlight w:val="none"/>
                    </w:rPr>
                    <w:t>外1m</w:t>
                  </w:r>
                </w:p>
              </w:tc>
              <w:tc>
                <w:tcPr>
                  <w:tcW w:w="0" w:type="auto"/>
                  <w:tcBorders>
                    <w:tl2br w:val="nil"/>
                    <w:tr2bl w:val="nil"/>
                  </w:tcBorders>
                  <w:vAlign w:val="center"/>
                </w:tcPr>
                <w:p w14:paraId="0FCDD1A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rPr>
                    <w:t>-</w:t>
                  </w:r>
                  <w:r>
                    <w:rPr>
                      <w:rFonts w:hint="eastAsia"/>
                      <w:color w:val="auto"/>
                      <w:sz w:val="21"/>
                      <w:szCs w:val="21"/>
                      <w:highlight w:val="none"/>
                      <w:lang w:val="en-US" w:eastAsia="zh-CN"/>
                    </w:rPr>
                    <w:t>6</w:t>
                  </w:r>
                </w:p>
              </w:tc>
              <w:tc>
                <w:tcPr>
                  <w:tcW w:w="0" w:type="auto"/>
                  <w:tcBorders>
                    <w:tl2br w:val="nil"/>
                    <w:tr2bl w:val="nil"/>
                  </w:tcBorders>
                  <w:vAlign w:val="center"/>
                </w:tcPr>
                <w:p w14:paraId="664D9B7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rPr>
                    <w:t>50</w:t>
                  </w:r>
                </w:p>
              </w:tc>
              <w:tc>
                <w:tcPr>
                  <w:tcW w:w="615" w:type="dxa"/>
                  <w:tcBorders>
                    <w:tl2br w:val="nil"/>
                    <w:tr2bl w:val="nil"/>
                  </w:tcBorders>
                  <w:vAlign w:val="center"/>
                </w:tcPr>
                <w:p w14:paraId="42FA3E4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34.2</w:t>
                  </w:r>
                </w:p>
              </w:tc>
              <w:tc>
                <w:tcPr>
                  <w:tcW w:w="0" w:type="auto"/>
                  <w:tcBorders>
                    <w:tl2br w:val="nil"/>
                    <w:tr2bl w:val="nil"/>
                  </w:tcBorders>
                  <w:shd w:val="clear" w:color="auto" w:fill="auto"/>
                  <w:vAlign w:val="center"/>
                </w:tcPr>
                <w:p w14:paraId="0390AD5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34.2</w:t>
                  </w:r>
                </w:p>
              </w:tc>
              <w:tc>
                <w:tcPr>
                  <w:tcW w:w="0" w:type="auto"/>
                  <w:tcBorders>
                    <w:tl2br w:val="nil"/>
                    <w:tr2bl w:val="nil"/>
                  </w:tcBorders>
                  <w:vAlign w:val="center"/>
                </w:tcPr>
                <w:p w14:paraId="2E0D88F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0" w:type="auto"/>
                  <w:tcBorders>
                    <w:tl2br w:val="nil"/>
                    <w:tr2bl w:val="nil"/>
                  </w:tcBorders>
                  <w:vAlign w:val="center"/>
                </w:tcPr>
                <w:p w14:paraId="191D7A0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80" w:lineRule="exact"/>
                    <w:ind w:left="0" w:right="0"/>
                    <w:jc w:val="center"/>
                    <w:textAlignment w:val="auto"/>
                    <w:rPr>
                      <w:rFonts w:hint="default"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w:t>
                  </w:r>
                </w:p>
              </w:tc>
              <w:tc>
                <w:tcPr>
                  <w:tcW w:w="615" w:type="dxa"/>
                  <w:tcBorders>
                    <w:tl2br w:val="nil"/>
                    <w:tr2bl w:val="nil"/>
                  </w:tcBorders>
                  <w:vAlign w:val="center"/>
                </w:tcPr>
                <w:p w14:paraId="793DC68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34.2</w:t>
                  </w:r>
                </w:p>
              </w:tc>
              <w:tc>
                <w:tcPr>
                  <w:tcW w:w="615" w:type="dxa"/>
                  <w:tcBorders>
                    <w:tl2br w:val="nil"/>
                    <w:tr2bl w:val="nil"/>
                  </w:tcBorders>
                  <w:shd w:val="clear" w:color="auto" w:fill="auto"/>
                  <w:vAlign w:val="center"/>
                </w:tcPr>
                <w:p w14:paraId="71A6E6A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28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34.2</w:t>
                  </w:r>
                </w:p>
              </w:tc>
              <w:tc>
                <w:tcPr>
                  <w:tcW w:w="0" w:type="auto"/>
                  <w:tcBorders>
                    <w:tl2br w:val="nil"/>
                    <w:tr2bl w:val="nil"/>
                  </w:tcBorders>
                  <w:vAlign w:val="center"/>
                </w:tcPr>
                <w:p w14:paraId="7397E631">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lang w:val="en-US" w:eastAsia="zh-CN"/>
                    </w:rPr>
                    <w:t>60</w:t>
                  </w:r>
                </w:p>
              </w:tc>
              <w:tc>
                <w:tcPr>
                  <w:tcW w:w="0" w:type="auto"/>
                  <w:tcBorders>
                    <w:tl2br w:val="nil"/>
                    <w:tr2bl w:val="nil"/>
                  </w:tcBorders>
                  <w:vAlign w:val="center"/>
                </w:tcPr>
                <w:p w14:paraId="10F647A5">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0" w:type="auto"/>
                  <w:tcBorders>
                    <w:tl2br w:val="nil"/>
                    <w:tr2bl w:val="nil"/>
                  </w:tcBorders>
                  <w:vAlign w:val="center"/>
                </w:tcPr>
                <w:p w14:paraId="24AB2F31">
                  <w:pPr>
                    <w:keepNext w:val="0"/>
                    <w:keepLines w:val="0"/>
                    <w:pageBreakBefore w:val="0"/>
                    <w:widowControl w:val="0"/>
                    <w:suppressLineNumbers w:val="0"/>
                    <w:kinsoku/>
                    <w:wordWrap/>
                    <w:overflowPunct/>
                    <w:topLinePunct w:val="0"/>
                    <w:autoSpaceDE/>
                    <w:autoSpaceDN/>
                    <w:bidi w:val="0"/>
                    <w:spacing w:before="0" w:beforeAutospacing="0" w:after="0" w:afterAutospacing="0" w:line="28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rPr>
                    <w:t>达标</w:t>
                  </w:r>
                </w:p>
              </w:tc>
            </w:tr>
          </w:tbl>
          <w:p w14:paraId="65183A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pP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表4-1</w:t>
            </w:r>
            <w:r>
              <w:rPr>
                <w:rFonts w:hint="eastAsia" w:eastAsia="黑体" w:cs="Times New Roman"/>
                <w:b/>
                <w:bCs/>
                <w:color w:val="000000" w:themeColor="text1"/>
                <w:kern w:val="0"/>
                <w:sz w:val="20"/>
                <w:szCs w:val="20"/>
                <w:lang w:val="en-US" w:eastAsia="zh-CN" w:bidi="ar-SA"/>
                <w14:textFill>
                  <w14:solidFill>
                    <w14:schemeClr w14:val="tx1"/>
                  </w14:solidFill>
                </w14:textFill>
              </w:rPr>
              <w:t>5</w:t>
            </w:r>
            <w:r>
              <w:rPr>
                <w:rFonts w:hint="eastAsia" w:ascii="Times New Roman" w:hAnsi="Times New Roman" w:eastAsia="黑体" w:cs="Times New Roman"/>
                <w:b/>
                <w:bCs/>
                <w:color w:val="000000" w:themeColor="text1"/>
                <w:kern w:val="0"/>
                <w:sz w:val="20"/>
                <w:szCs w:val="20"/>
                <w:lang w:val="en-US" w:eastAsia="zh-CN" w:bidi="ar-SA"/>
                <w14:textFill>
                  <w14:solidFill>
                    <w14:schemeClr w14:val="tx1"/>
                  </w14:solidFill>
                </w14:textFill>
              </w:rPr>
              <w:t xml:space="preserve"> 加油加气站声环境保护目标噪声预测结果</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587"/>
              <w:gridCol w:w="677"/>
              <w:gridCol w:w="543"/>
              <w:gridCol w:w="611"/>
              <w:gridCol w:w="611"/>
              <w:gridCol w:w="535"/>
              <w:gridCol w:w="534"/>
              <w:gridCol w:w="611"/>
              <w:gridCol w:w="611"/>
              <w:gridCol w:w="535"/>
              <w:gridCol w:w="534"/>
              <w:gridCol w:w="746"/>
            </w:tblGrid>
            <w:tr w14:paraId="02C2F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0" w:type="auto"/>
                  <w:vMerge w:val="restart"/>
                  <w:tcBorders>
                    <w:tl2br w:val="nil"/>
                    <w:tr2bl w:val="nil"/>
                  </w:tcBorders>
                  <w:shd w:val="clear" w:color="000000" w:themeColor="text1" w:fill="auto"/>
                  <w:vAlign w:val="center"/>
                </w:tcPr>
                <w:p w14:paraId="12C7A12A">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auto"/>
                      <w:sz w:val="21"/>
                      <w:szCs w:val="21"/>
                      <w:highlight w:val="none"/>
                    </w:rPr>
                  </w:pPr>
                  <w:r>
                    <w:rPr>
                      <w:rFonts w:hint="eastAsia" w:cs="Times New Roman"/>
                      <w:b/>
                      <w:bCs/>
                      <w:color w:val="auto"/>
                      <w:sz w:val="21"/>
                      <w:szCs w:val="21"/>
                      <w:highlight w:val="none"/>
                    </w:rPr>
                    <w:t>编号</w:t>
                  </w:r>
                </w:p>
              </w:tc>
              <w:tc>
                <w:tcPr>
                  <w:tcW w:w="0" w:type="auto"/>
                  <w:vMerge w:val="restart"/>
                  <w:tcBorders>
                    <w:tl2br w:val="nil"/>
                    <w:tr2bl w:val="nil"/>
                  </w:tcBorders>
                  <w:shd w:val="clear" w:color="000000" w:themeColor="text1" w:fill="auto"/>
                  <w:vAlign w:val="center"/>
                </w:tcPr>
                <w:p w14:paraId="7801A808">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auto"/>
                      <w:sz w:val="21"/>
                      <w:szCs w:val="21"/>
                      <w:highlight w:val="none"/>
                    </w:rPr>
                  </w:pPr>
                  <w:r>
                    <w:rPr>
                      <w:rFonts w:hint="eastAsia" w:cs="Times New Roman"/>
                      <w:b/>
                      <w:bCs/>
                      <w:color w:val="auto"/>
                      <w:sz w:val="21"/>
                      <w:szCs w:val="21"/>
                      <w:highlight w:val="none"/>
                    </w:rPr>
                    <w:t>预测点位置</w:t>
                  </w:r>
                </w:p>
              </w:tc>
              <w:tc>
                <w:tcPr>
                  <w:tcW w:w="0" w:type="auto"/>
                  <w:gridSpan w:val="2"/>
                  <w:tcBorders>
                    <w:tl2br w:val="nil"/>
                    <w:tr2bl w:val="nil"/>
                  </w:tcBorders>
                  <w:shd w:val="clear" w:color="000000" w:themeColor="text1" w:fill="auto"/>
                  <w:vAlign w:val="center"/>
                </w:tcPr>
                <w:p w14:paraId="5B2DC6A6">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空间相对位置</w:t>
                  </w:r>
                </w:p>
              </w:tc>
              <w:tc>
                <w:tcPr>
                  <w:tcW w:w="0" w:type="auto"/>
                  <w:gridSpan w:val="2"/>
                  <w:tcBorders>
                    <w:tl2br w:val="nil"/>
                    <w:tr2bl w:val="nil"/>
                  </w:tcBorders>
                  <w:shd w:val="clear" w:color="000000" w:themeColor="text1" w:fill="auto"/>
                  <w:vAlign w:val="center"/>
                </w:tcPr>
                <w:p w14:paraId="6FC8E023">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auto"/>
                      <w:sz w:val="21"/>
                      <w:szCs w:val="21"/>
                      <w:highlight w:val="none"/>
                    </w:rPr>
                  </w:pPr>
                  <w:r>
                    <w:rPr>
                      <w:rFonts w:hint="eastAsia" w:cs="Times New Roman"/>
                      <w:b/>
                      <w:bCs/>
                      <w:color w:val="auto"/>
                      <w:sz w:val="21"/>
                      <w:szCs w:val="21"/>
                      <w:highlight w:val="none"/>
                    </w:rPr>
                    <w:t>贡献值</w:t>
                  </w:r>
                </w:p>
                <w:p w14:paraId="53CCCAA5">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auto"/>
                      <w:sz w:val="21"/>
                      <w:szCs w:val="21"/>
                      <w:highlight w:val="none"/>
                    </w:rPr>
                  </w:pPr>
                  <w:r>
                    <w:rPr>
                      <w:rFonts w:hint="eastAsia" w:cs="Times New Roman"/>
                      <w:b/>
                      <w:bCs/>
                      <w:color w:val="auto"/>
                      <w:sz w:val="21"/>
                      <w:szCs w:val="21"/>
                      <w:highlight w:val="none"/>
                    </w:rPr>
                    <w:t>[dB（A）]</w:t>
                  </w:r>
                </w:p>
              </w:tc>
              <w:tc>
                <w:tcPr>
                  <w:tcW w:w="0" w:type="auto"/>
                  <w:gridSpan w:val="2"/>
                  <w:tcBorders>
                    <w:tl2br w:val="nil"/>
                    <w:tr2bl w:val="nil"/>
                  </w:tcBorders>
                  <w:shd w:val="clear" w:color="000000" w:themeColor="text1" w:fill="auto"/>
                  <w:vAlign w:val="center"/>
                </w:tcPr>
                <w:p w14:paraId="19AEDA88">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auto"/>
                      <w:sz w:val="21"/>
                      <w:szCs w:val="21"/>
                      <w:highlight w:val="none"/>
                    </w:rPr>
                  </w:pPr>
                  <w:r>
                    <w:rPr>
                      <w:rFonts w:hint="eastAsia" w:cs="Times New Roman"/>
                      <w:b/>
                      <w:bCs/>
                      <w:color w:val="auto"/>
                      <w:sz w:val="21"/>
                      <w:szCs w:val="21"/>
                      <w:highlight w:val="none"/>
                    </w:rPr>
                    <w:t>背景值</w:t>
                  </w:r>
                </w:p>
                <w:p w14:paraId="27855EA3">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auto"/>
                      <w:sz w:val="21"/>
                      <w:szCs w:val="21"/>
                      <w:highlight w:val="none"/>
                    </w:rPr>
                  </w:pPr>
                  <w:r>
                    <w:rPr>
                      <w:rFonts w:hint="eastAsia" w:cs="Times New Roman"/>
                      <w:b/>
                      <w:bCs/>
                      <w:color w:val="auto"/>
                      <w:sz w:val="21"/>
                      <w:szCs w:val="21"/>
                      <w:highlight w:val="none"/>
                    </w:rPr>
                    <w:t>[dB（A）]</w:t>
                  </w:r>
                </w:p>
              </w:tc>
              <w:tc>
                <w:tcPr>
                  <w:tcW w:w="0" w:type="auto"/>
                  <w:gridSpan w:val="2"/>
                  <w:tcBorders>
                    <w:tl2br w:val="nil"/>
                    <w:tr2bl w:val="nil"/>
                  </w:tcBorders>
                  <w:shd w:val="clear" w:color="000000" w:themeColor="text1" w:fill="auto"/>
                  <w:vAlign w:val="center"/>
                </w:tcPr>
                <w:p w14:paraId="074C29DC">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auto"/>
                      <w:sz w:val="21"/>
                      <w:szCs w:val="21"/>
                      <w:highlight w:val="none"/>
                    </w:rPr>
                  </w:pPr>
                  <w:r>
                    <w:rPr>
                      <w:rFonts w:hint="eastAsia" w:cs="Times New Roman"/>
                      <w:b/>
                      <w:bCs/>
                      <w:color w:val="auto"/>
                      <w:sz w:val="21"/>
                      <w:szCs w:val="21"/>
                      <w:highlight w:val="none"/>
                    </w:rPr>
                    <w:t>预测值</w:t>
                  </w:r>
                </w:p>
                <w:p w14:paraId="68102F49">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auto"/>
                      <w:sz w:val="21"/>
                      <w:szCs w:val="21"/>
                      <w:highlight w:val="none"/>
                    </w:rPr>
                  </w:pPr>
                  <w:r>
                    <w:rPr>
                      <w:rFonts w:hint="eastAsia" w:cs="Times New Roman"/>
                      <w:b/>
                      <w:bCs/>
                      <w:color w:val="auto"/>
                      <w:sz w:val="21"/>
                      <w:szCs w:val="21"/>
                      <w:highlight w:val="none"/>
                    </w:rPr>
                    <w:t>[dB（A）]</w:t>
                  </w:r>
                </w:p>
              </w:tc>
              <w:tc>
                <w:tcPr>
                  <w:tcW w:w="0" w:type="auto"/>
                  <w:gridSpan w:val="2"/>
                  <w:tcBorders>
                    <w:tl2br w:val="nil"/>
                    <w:tr2bl w:val="nil"/>
                  </w:tcBorders>
                  <w:shd w:val="clear" w:color="000000" w:themeColor="text1" w:fill="auto"/>
                  <w:vAlign w:val="center"/>
                </w:tcPr>
                <w:p w14:paraId="79A84914">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auto"/>
                      <w:sz w:val="21"/>
                      <w:szCs w:val="21"/>
                      <w:highlight w:val="none"/>
                    </w:rPr>
                  </w:pPr>
                  <w:r>
                    <w:rPr>
                      <w:rFonts w:hint="eastAsia" w:cs="Times New Roman"/>
                      <w:b/>
                      <w:bCs/>
                      <w:color w:val="auto"/>
                      <w:sz w:val="21"/>
                      <w:szCs w:val="21"/>
                      <w:highlight w:val="none"/>
                    </w:rPr>
                    <w:t>标准值</w:t>
                  </w:r>
                </w:p>
                <w:p w14:paraId="1ACADF9E">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auto"/>
                      <w:sz w:val="21"/>
                      <w:szCs w:val="21"/>
                      <w:highlight w:val="none"/>
                    </w:rPr>
                  </w:pPr>
                  <w:r>
                    <w:rPr>
                      <w:rFonts w:hint="eastAsia" w:eastAsia="仿宋" w:cs="Times New Roman"/>
                      <w:b/>
                      <w:bCs/>
                      <w:color w:val="auto"/>
                      <w:sz w:val="21"/>
                      <w:szCs w:val="21"/>
                      <w:highlight w:val="none"/>
                    </w:rPr>
                    <w:t>[</w:t>
                  </w:r>
                  <w:r>
                    <w:rPr>
                      <w:rFonts w:hint="default" w:cs="Times New Roman"/>
                      <w:b/>
                      <w:bCs/>
                      <w:color w:val="auto"/>
                      <w:sz w:val="21"/>
                      <w:szCs w:val="21"/>
                      <w:highlight w:val="none"/>
                    </w:rPr>
                    <w:t>dB（A）</w:t>
                  </w:r>
                  <w:r>
                    <w:rPr>
                      <w:rFonts w:hint="eastAsia" w:eastAsia="仿宋" w:cs="Times New Roman"/>
                      <w:b/>
                      <w:bCs/>
                      <w:color w:val="auto"/>
                      <w:sz w:val="21"/>
                      <w:szCs w:val="21"/>
                      <w:highlight w:val="none"/>
                    </w:rPr>
                    <w:t>]</w:t>
                  </w:r>
                </w:p>
              </w:tc>
              <w:tc>
                <w:tcPr>
                  <w:tcW w:w="0" w:type="auto"/>
                  <w:vMerge w:val="restart"/>
                  <w:tcBorders>
                    <w:tl2br w:val="nil"/>
                    <w:tr2bl w:val="nil"/>
                  </w:tcBorders>
                  <w:shd w:val="clear" w:color="000000" w:themeColor="text1" w:fill="auto"/>
                  <w:vAlign w:val="center"/>
                </w:tcPr>
                <w:p w14:paraId="30F6FA1C">
                  <w:pPr>
                    <w:keepNext w:val="0"/>
                    <w:keepLines w:val="0"/>
                    <w:suppressLineNumbers w:val="0"/>
                    <w:spacing w:before="0" w:beforeAutospacing="0" w:after="0" w:afterAutospacing="0" w:line="240" w:lineRule="auto"/>
                    <w:ind w:left="0" w:right="0" w:firstLine="0" w:firstLineChars="0"/>
                    <w:jc w:val="center"/>
                    <w:rPr>
                      <w:rFonts w:hint="default" w:cs="Times New Roman"/>
                      <w:b/>
                      <w:bCs/>
                      <w:color w:val="auto"/>
                      <w:sz w:val="21"/>
                      <w:szCs w:val="21"/>
                      <w:highlight w:val="none"/>
                    </w:rPr>
                  </w:pPr>
                  <w:r>
                    <w:rPr>
                      <w:rFonts w:hint="eastAsia" w:cs="Times New Roman"/>
                      <w:b/>
                      <w:bCs/>
                      <w:color w:val="auto"/>
                      <w:sz w:val="21"/>
                      <w:szCs w:val="21"/>
                      <w:highlight w:val="none"/>
                    </w:rPr>
                    <w:t>预测</w:t>
                  </w:r>
                  <w:r>
                    <w:rPr>
                      <w:rFonts w:hint="default" w:cs="Times New Roman"/>
                      <w:b/>
                      <w:bCs/>
                      <w:color w:val="auto"/>
                      <w:sz w:val="21"/>
                      <w:szCs w:val="21"/>
                      <w:highlight w:val="none"/>
                    </w:rPr>
                    <w:t>结果</w:t>
                  </w:r>
                </w:p>
              </w:tc>
            </w:tr>
            <w:tr w14:paraId="50BC9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vAlign w:val="center"/>
                </w:tcPr>
                <w:p w14:paraId="46AACC67">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highlight w:val="none"/>
                    </w:rPr>
                  </w:pPr>
                </w:p>
              </w:tc>
              <w:tc>
                <w:tcPr>
                  <w:tcW w:w="0" w:type="auto"/>
                  <w:vMerge w:val="continue"/>
                  <w:tcBorders>
                    <w:tl2br w:val="nil"/>
                    <w:tr2bl w:val="nil"/>
                  </w:tcBorders>
                  <w:vAlign w:val="center"/>
                </w:tcPr>
                <w:p w14:paraId="07485C36">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highlight w:val="none"/>
                    </w:rPr>
                  </w:pPr>
                </w:p>
              </w:tc>
              <w:tc>
                <w:tcPr>
                  <w:tcW w:w="0" w:type="auto"/>
                  <w:tcBorders>
                    <w:tl2br w:val="nil"/>
                    <w:tr2bl w:val="nil"/>
                  </w:tcBorders>
                  <w:shd w:val="clear" w:color="000000" w:themeColor="text1" w:fill="auto"/>
                  <w:vAlign w:val="center"/>
                </w:tcPr>
                <w:p w14:paraId="401F6473">
                  <w:pPr>
                    <w:keepNext w:val="0"/>
                    <w:keepLines w:val="0"/>
                    <w:suppressLineNumbers w:val="0"/>
                    <w:spacing w:before="0" w:beforeAutospacing="0" w:after="0" w:afterAutospacing="0" w:line="240" w:lineRule="auto"/>
                    <w:ind w:left="0" w:leftChars="0" w:right="0" w:rightChars="0" w:firstLine="0" w:firstLineChars="0"/>
                    <w:jc w:val="center"/>
                    <w:rPr>
                      <w:rFonts w:hint="eastAsia"/>
                      <w:b/>
                      <w:bCs/>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X</w:t>
                  </w:r>
                </w:p>
              </w:tc>
              <w:tc>
                <w:tcPr>
                  <w:tcW w:w="0" w:type="auto"/>
                  <w:tcBorders>
                    <w:tl2br w:val="nil"/>
                    <w:tr2bl w:val="nil"/>
                  </w:tcBorders>
                  <w:shd w:val="clear" w:color="000000" w:themeColor="text1" w:fill="auto"/>
                  <w:vAlign w:val="center"/>
                </w:tcPr>
                <w:p w14:paraId="680FD53C">
                  <w:pPr>
                    <w:keepNext w:val="0"/>
                    <w:keepLines w:val="0"/>
                    <w:suppressLineNumbers w:val="0"/>
                    <w:spacing w:before="0" w:beforeAutospacing="0" w:after="0" w:afterAutospacing="0" w:line="240" w:lineRule="auto"/>
                    <w:ind w:left="0" w:leftChars="0" w:right="0" w:rightChars="0" w:firstLine="0" w:firstLineChars="0"/>
                    <w:jc w:val="center"/>
                    <w:rPr>
                      <w:rFonts w:hint="eastAsia"/>
                      <w:b/>
                      <w:bCs/>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Y</w:t>
                  </w:r>
                </w:p>
              </w:tc>
              <w:tc>
                <w:tcPr>
                  <w:tcW w:w="0" w:type="auto"/>
                  <w:tcBorders>
                    <w:tl2br w:val="nil"/>
                    <w:tr2bl w:val="nil"/>
                  </w:tcBorders>
                  <w:shd w:val="clear" w:color="000000" w:themeColor="text1" w:fill="auto"/>
                  <w:vAlign w:val="center"/>
                </w:tcPr>
                <w:p w14:paraId="587D36A9">
                  <w:pPr>
                    <w:pStyle w:val="40"/>
                    <w:keepNext w:val="0"/>
                    <w:keepLines w:val="0"/>
                    <w:suppressLineNumbers w:val="0"/>
                    <w:snapToGrid w:val="0"/>
                    <w:spacing w:before="0" w:beforeAutospacing="0" w:after="0" w:afterAutospacing="0" w:line="240" w:lineRule="auto"/>
                    <w:ind w:left="0" w:right="0" w:firstLine="0" w:firstLineChars="0"/>
                    <w:rPr>
                      <w:rFonts w:hint="eastAsia"/>
                      <w:b/>
                      <w:bCs/>
                      <w:color w:val="auto"/>
                      <w:sz w:val="21"/>
                      <w:szCs w:val="21"/>
                      <w:highlight w:val="none"/>
                    </w:rPr>
                  </w:pPr>
                  <w:r>
                    <w:rPr>
                      <w:rFonts w:hint="eastAsia"/>
                      <w:b/>
                      <w:bCs/>
                      <w:color w:val="auto"/>
                      <w:sz w:val="21"/>
                      <w:szCs w:val="21"/>
                      <w:highlight w:val="none"/>
                    </w:rPr>
                    <w:t>昼间</w:t>
                  </w:r>
                </w:p>
              </w:tc>
              <w:tc>
                <w:tcPr>
                  <w:tcW w:w="0" w:type="auto"/>
                  <w:tcBorders>
                    <w:tl2br w:val="nil"/>
                    <w:tr2bl w:val="nil"/>
                  </w:tcBorders>
                  <w:shd w:val="clear" w:color="000000" w:themeColor="text1" w:fill="auto"/>
                  <w:vAlign w:val="center"/>
                </w:tcPr>
                <w:p w14:paraId="3678309C">
                  <w:pPr>
                    <w:pStyle w:val="40"/>
                    <w:keepNext w:val="0"/>
                    <w:keepLines w:val="0"/>
                    <w:suppressLineNumbers w:val="0"/>
                    <w:snapToGrid w:val="0"/>
                    <w:spacing w:before="0" w:beforeAutospacing="0" w:after="0" w:afterAutospacing="0" w:line="240" w:lineRule="auto"/>
                    <w:ind w:left="0" w:right="0" w:firstLine="0" w:firstLineChars="0"/>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夜间</w:t>
                  </w:r>
                </w:p>
              </w:tc>
              <w:tc>
                <w:tcPr>
                  <w:tcW w:w="0" w:type="auto"/>
                  <w:tcBorders>
                    <w:tl2br w:val="nil"/>
                    <w:tr2bl w:val="nil"/>
                  </w:tcBorders>
                  <w:shd w:val="clear" w:color="000000" w:themeColor="text1" w:fill="auto"/>
                  <w:vAlign w:val="center"/>
                </w:tcPr>
                <w:p w14:paraId="656B93C9">
                  <w:pPr>
                    <w:pStyle w:val="40"/>
                    <w:keepNext w:val="0"/>
                    <w:keepLines w:val="0"/>
                    <w:suppressLineNumbers w:val="0"/>
                    <w:snapToGrid w:val="0"/>
                    <w:spacing w:before="0" w:beforeAutospacing="0" w:after="0" w:afterAutospacing="0" w:line="240" w:lineRule="auto"/>
                    <w:ind w:left="0" w:right="0" w:firstLine="0" w:firstLineChars="0"/>
                    <w:rPr>
                      <w:rFonts w:hint="eastAsia"/>
                      <w:b/>
                      <w:bCs/>
                      <w:color w:val="auto"/>
                      <w:sz w:val="21"/>
                      <w:szCs w:val="21"/>
                      <w:highlight w:val="none"/>
                    </w:rPr>
                  </w:pPr>
                  <w:r>
                    <w:rPr>
                      <w:rFonts w:hint="eastAsia"/>
                      <w:b/>
                      <w:bCs/>
                      <w:color w:val="auto"/>
                      <w:sz w:val="21"/>
                      <w:szCs w:val="21"/>
                      <w:highlight w:val="none"/>
                    </w:rPr>
                    <w:t>昼间</w:t>
                  </w:r>
                </w:p>
              </w:tc>
              <w:tc>
                <w:tcPr>
                  <w:tcW w:w="0" w:type="auto"/>
                  <w:tcBorders>
                    <w:tl2br w:val="nil"/>
                    <w:tr2bl w:val="nil"/>
                  </w:tcBorders>
                  <w:shd w:val="clear" w:color="000000" w:themeColor="text1" w:fill="auto"/>
                  <w:vAlign w:val="center"/>
                </w:tcPr>
                <w:p w14:paraId="6148F8AA">
                  <w:pPr>
                    <w:pStyle w:val="40"/>
                    <w:keepNext w:val="0"/>
                    <w:keepLines w:val="0"/>
                    <w:suppressLineNumbers w:val="0"/>
                    <w:snapToGrid w:val="0"/>
                    <w:spacing w:before="0" w:beforeAutospacing="0" w:after="0" w:afterAutospacing="0" w:line="240" w:lineRule="auto"/>
                    <w:ind w:left="0" w:right="0" w:firstLine="0" w:firstLineChars="0"/>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夜间</w:t>
                  </w:r>
                </w:p>
              </w:tc>
              <w:tc>
                <w:tcPr>
                  <w:tcW w:w="0" w:type="auto"/>
                  <w:tcBorders>
                    <w:tl2br w:val="nil"/>
                    <w:tr2bl w:val="nil"/>
                  </w:tcBorders>
                  <w:shd w:val="clear" w:color="000000" w:themeColor="text1" w:fill="auto"/>
                  <w:vAlign w:val="center"/>
                </w:tcPr>
                <w:p w14:paraId="6D59782B">
                  <w:pPr>
                    <w:pStyle w:val="40"/>
                    <w:keepNext w:val="0"/>
                    <w:keepLines w:val="0"/>
                    <w:suppressLineNumbers w:val="0"/>
                    <w:snapToGrid w:val="0"/>
                    <w:spacing w:before="0" w:beforeAutospacing="0" w:after="0" w:afterAutospacing="0" w:line="240" w:lineRule="auto"/>
                    <w:ind w:left="0" w:right="0" w:firstLine="0" w:firstLineChars="0"/>
                    <w:rPr>
                      <w:rFonts w:hint="eastAsia"/>
                      <w:b/>
                      <w:bCs/>
                      <w:color w:val="auto"/>
                      <w:sz w:val="21"/>
                      <w:szCs w:val="21"/>
                      <w:highlight w:val="none"/>
                    </w:rPr>
                  </w:pPr>
                  <w:r>
                    <w:rPr>
                      <w:rFonts w:hint="eastAsia"/>
                      <w:b/>
                      <w:bCs/>
                      <w:color w:val="auto"/>
                      <w:sz w:val="21"/>
                      <w:szCs w:val="21"/>
                      <w:highlight w:val="none"/>
                    </w:rPr>
                    <w:t>昼间</w:t>
                  </w:r>
                </w:p>
              </w:tc>
              <w:tc>
                <w:tcPr>
                  <w:tcW w:w="0" w:type="auto"/>
                  <w:tcBorders>
                    <w:tl2br w:val="nil"/>
                    <w:tr2bl w:val="nil"/>
                  </w:tcBorders>
                  <w:shd w:val="clear" w:color="000000" w:themeColor="text1" w:fill="auto"/>
                  <w:vAlign w:val="center"/>
                </w:tcPr>
                <w:p w14:paraId="6CEBB0C3">
                  <w:pPr>
                    <w:pStyle w:val="40"/>
                    <w:keepNext w:val="0"/>
                    <w:keepLines w:val="0"/>
                    <w:suppressLineNumbers w:val="0"/>
                    <w:snapToGrid w:val="0"/>
                    <w:spacing w:before="0" w:beforeAutospacing="0" w:after="0" w:afterAutospacing="0" w:line="240" w:lineRule="auto"/>
                    <w:ind w:left="0" w:right="0" w:firstLine="0" w:firstLineChars="0"/>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夜间</w:t>
                  </w:r>
                </w:p>
              </w:tc>
              <w:tc>
                <w:tcPr>
                  <w:tcW w:w="0" w:type="auto"/>
                  <w:tcBorders>
                    <w:tl2br w:val="nil"/>
                    <w:tr2bl w:val="nil"/>
                  </w:tcBorders>
                  <w:shd w:val="clear" w:color="000000" w:themeColor="text1" w:fill="auto"/>
                  <w:vAlign w:val="center"/>
                </w:tcPr>
                <w:p w14:paraId="351A4346">
                  <w:pPr>
                    <w:pStyle w:val="40"/>
                    <w:keepNext w:val="0"/>
                    <w:keepLines w:val="0"/>
                    <w:suppressLineNumbers w:val="0"/>
                    <w:snapToGrid w:val="0"/>
                    <w:spacing w:before="0" w:beforeAutospacing="0" w:after="0" w:afterAutospacing="0" w:line="240" w:lineRule="auto"/>
                    <w:ind w:left="0" w:right="0" w:firstLine="0" w:firstLineChars="0"/>
                    <w:rPr>
                      <w:rFonts w:hint="eastAsia" w:eastAsia="宋体"/>
                      <w:b/>
                      <w:bCs/>
                      <w:color w:val="auto"/>
                      <w:sz w:val="21"/>
                      <w:szCs w:val="21"/>
                      <w:highlight w:val="none"/>
                      <w:lang w:val="en-US" w:eastAsia="zh-CN"/>
                    </w:rPr>
                  </w:pPr>
                  <w:r>
                    <w:rPr>
                      <w:rFonts w:hint="eastAsia"/>
                      <w:b/>
                      <w:bCs/>
                      <w:color w:val="auto"/>
                      <w:sz w:val="21"/>
                      <w:szCs w:val="21"/>
                      <w:highlight w:val="none"/>
                    </w:rPr>
                    <w:t>昼间</w:t>
                  </w:r>
                </w:p>
              </w:tc>
              <w:tc>
                <w:tcPr>
                  <w:tcW w:w="0" w:type="auto"/>
                  <w:tcBorders>
                    <w:tl2br w:val="nil"/>
                    <w:tr2bl w:val="nil"/>
                  </w:tcBorders>
                  <w:shd w:val="clear" w:color="000000" w:themeColor="text1" w:fill="auto"/>
                  <w:vAlign w:val="center"/>
                </w:tcPr>
                <w:p w14:paraId="2160ABB8">
                  <w:pPr>
                    <w:pStyle w:val="40"/>
                    <w:keepNext w:val="0"/>
                    <w:keepLines w:val="0"/>
                    <w:suppressLineNumbers w:val="0"/>
                    <w:snapToGrid w:val="0"/>
                    <w:spacing w:before="0" w:beforeAutospacing="0" w:after="0" w:afterAutospacing="0" w:line="240" w:lineRule="auto"/>
                    <w:ind w:left="0" w:right="0" w:firstLine="0" w:firstLineChars="0"/>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夜间</w:t>
                  </w:r>
                </w:p>
              </w:tc>
              <w:tc>
                <w:tcPr>
                  <w:tcW w:w="0" w:type="auto"/>
                  <w:vMerge w:val="continue"/>
                  <w:tcBorders>
                    <w:tl2br w:val="nil"/>
                    <w:tr2bl w:val="nil"/>
                  </w:tcBorders>
                  <w:vAlign w:val="center"/>
                </w:tcPr>
                <w:p w14:paraId="58088076">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highlight w:val="none"/>
                    </w:rPr>
                  </w:pPr>
                </w:p>
              </w:tc>
            </w:tr>
            <w:tr w14:paraId="3B064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vAlign w:val="center"/>
                </w:tcPr>
                <w:p w14:paraId="42C12554">
                  <w:pPr>
                    <w:keepNext w:val="0"/>
                    <w:keepLines w:val="0"/>
                    <w:suppressLineNumbers w:val="0"/>
                    <w:spacing w:before="0" w:beforeAutospacing="0" w:after="0" w:afterAutospacing="0" w:line="240" w:lineRule="auto"/>
                    <w:ind w:left="0" w:right="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0" w:type="auto"/>
                  <w:tcBorders>
                    <w:tl2br w:val="nil"/>
                    <w:tr2bl w:val="nil"/>
                  </w:tcBorders>
                  <w:vAlign w:val="center"/>
                </w:tcPr>
                <w:p w14:paraId="15516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项目南侧紧邻东岳收费站处</w:t>
                  </w:r>
                </w:p>
              </w:tc>
              <w:tc>
                <w:tcPr>
                  <w:tcW w:w="0" w:type="auto"/>
                  <w:tcBorders>
                    <w:tl2br w:val="nil"/>
                    <w:tr2bl w:val="nil"/>
                  </w:tcBorders>
                  <w:vAlign w:val="center"/>
                </w:tcPr>
                <w:p w14:paraId="66F4623F">
                  <w:pPr>
                    <w:keepNext w:val="0"/>
                    <w:keepLines w:val="0"/>
                    <w:suppressLineNumbers w:val="0"/>
                    <w:adjustRightInd w:val="0"/>
                    <w:spacing w:before="0" w:beforeAutospacing="0" w:after="0" w:afterAutospacing="0" w:line="240" w:lineRule="auto"/>
                    <w:ind w:left="0" w:leftChars="0" w:right="0" w:rightChars="0" w:firstLine="0" w:firstLineChars="0"/>
                    <w:jc w:val="center"/>
                    <w:rPr>
                      <w:rFonts w:hint="eastAsia" w:cs="Times New Roman"/>
                      <w:color w:val="auto"/>
                      <w:sz w:val="21"/>
                      <w:szCs w:val="21"/>
                      <w:highlight w:val="none"/>
                      <w:lang w:val="en-US" w:eastAsia="zh-CN"/>
                    </w:rPr>
                  </w:pPr>
                  <w:r>
                    <w:rPr>
                      <w:rFonts w:hint="eastAsia"/>
                      <w:sz w:val="21"/>
                      <w:szCs w:val="21"/>
                    </w:rPr>
                    <w:t>140</w:t>
                  </w:r>
                </w:p>
              </w:tc>
              <w:tc>
                <w:tcPr>
                  <w:tcW w:w="0" w:type="auto"/>
                  <w:tcBorders>
                    <w:tl2br w:val="nil"/>
                    <w:tr2bl w:val="nil"/>
                  </w:tcBorders>
                  <w:vAlign w:val="center"/>
                </w:tcPr>
                <w:p w14:paraId="234B002E">
                  <w:pPr>
                    <w:keepNext w:val="0"/>
                    <w:keepLines w:val="0"/>
                    <w:suppressLineNumbers w:val="0"/>
                    <w:adjustRightInd w:val="0"/>
                    <w:spacing w:before="0" w:beforeAutospacing="0" w:after="0" w:afterAutospacing="0" w:line="240" w:lineRule="auto"/>
                    <w:ind w:left="0" w:leftChars="0" w:right="0" w:rightChars="0" w:firstLine="0" w:firstLineChars="0"/>
                    <w:jc w:val="center"/>
                    <w:rPr>
                      <w:rFonts w:hint="eastAsia" w:eastAsia="宋体" w:cs="Times New Roman"/>
                      <w:color w:val="auto"/>
                      <w:sz w:val="21"/>
                      <w:szCs w:val="21"/>
                      <w:highlight w:val="none"/>
                      <w:lang w:val="en-US" w:eastAsia="zh-CN"/>
                    </w:rPr>
                  </w:pPr>
                  <w:r>
                    <w:rPr>
                      <w:rFonts w:hint="eastAsia"/>
                      <w:sz w:val="21"/>
                      <w:szCs w:val="21"/>
                    </w:rPr>
                    <w:t>8</w:t>
                  </w:r>
                  <w:r>
                    <w:rPr>
                      <w:rFonts w:hint="eastAsia"/>
                      <w:sz w:val="21"/>
                      <w:szCs w:val="21"/>
                      <w:lang w:val="en-US" w:eastAsia="zh-CN"/>
                    </w:rPr>
                    <w:t>1</w:t>
                  </w:r>
                </w:p>
              </w:tc>
              <w:tc>
                <w:tcPr>
                  <w:tcW w:w="0" w:type="auto"/>
                  <w:tcBorders>
                    <w:tl2br w:val="nil"/>
                    <w:tr2bl w:val="nil"/>
                  </w:tcBorders>
                  <w:vAlign w:val="center"/>
                </w:tcPr>
                <w:p w14:paraId="0128600E">
                  <w:pPr>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25.1</w:t>
                  </w:r>
                </w:p>
              </w:tc>
              <w:tc>
                <w:tcPr>
                  <w:tcW w:w="0" w:type="auto"/>
                  <w:tcBorders>
                    <w:tl2br w:val="nil"/>
                    <w:tr2bl w:val="nil"/>
                  </w:tcBorders>
                  <w:vAlign w:val="center"/>
                </w:tcPr>
                <w:p w14:paraId="5C659229">
                  <w:pPr>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25.1</w:t>
                  </w:r>
                </w:p>
              </w:tc>
              <w:tc>
                <w:tcPr>
                  <w:tcW w:w="0" w:type="auto"/>
                  <w:tcBorders>
                    <w:tl2br w:val="nil"/>
                    <w:tr2bl w:val="nil"/>
                  </w:tcBorders>
                  <w:vAlign w:val="center"/>
                </w:tcPr>
                <w:p w14:paraId="228194F4">
                  <w:pPr>
                    <w:keepNext w:val="0"/>
                    <w:keepLines w:val="0"/>
                    <w:suppressLineNumbers w:val="0"/>
                    <w:snapToGrid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0" w:type="auto"/>
                  <w:tcBorders>
                    <w:tl2br w:val="nil"/>
                    <w:tr2bl w:val="nil"/>
                  </w:tcBorders>
                  <w:vAlign w:val="center"/>
                </w:tcPr>
                <w:p w14:paraId="7E3C99E8">
                  <w:pPr>
                    <w:keepNext w:val="0"/>
                    <w:keepLines w:val="0"/>
                    <w:suppressLineNumbers w:val="0"/>
                    <w:snapToGrid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0" w:type="auto"/>
                  <w:tcBorders>
                    <w:tl2br w:val="nil"/>
                    <w:tr2bl w:val="nil"/>
                  </w:tcBorders>
                  <w:vAlign w:val="center"/>
                </w:tcPr>
                <w:p w14:paraId="772F6F70">
                  <w:pPr>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58.0</w:t>
                  </w:r>
                </w:p>
              </w:tc>
              <w:tc>
                <w:tcPr>
                  <w:tcW w:w="0" w:type="auto"/>
                  <w:tcBorders>
                    <w:tl2br w:val="nil"/>
                    <w:tr2bl w:val="nil"/>
                  </w:tcBorders>
                  <w:vAlign w:val="center"/>
                </w:tcPr>
                <w:p w14:paraId="3F8850BD">
                  <w:pPr>
                    <w:keepNext w:val="0"/>
                    <w:keepLines w:val="0"/>
                    <w:suppressLineNumbers w:val="0"/>
                    <w:adjustRightInd w:val="0"/>
                    <w:spacing w:before="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46.0</w:t>
                  </w:r>
                </w:p>
              </w:tc>
              <w:tc>
                <w:tcPr>
                  <w:tcW w:w="0" w:type="auto"/>
                  <w:tcBorders>
                    <w:tl2br w:val="nil"/>
                    <w:tr2bl w:val="nil"/>
                  </w:tcBorders>
                  <w:vAlign w:val="center"/>
                </w:tcPr>
                <w:p w14:paraId="60512AC6">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0" w:type="auto"/>
                  <w:tcBorders>
                    <w:tl2br w:val="nil"/>
                    <w:tr2bl w:val="nil"/>
                  </w:tcBorders>
                  <w:vAlign w:val="center"/>
                </w:tcPr>
                <w:p w14:paraId="1CF9B375">
                  <w:pPr>
                    <w:keepNext w:val="0"/>
                    <w:keepLines w:val="0"/>
                    <w:suppressLineNumbers w:val="0"/>
                    <w:spacing w:before="0" w:beforeAutospacing="0" w:after="0" w:afterAutospacing="0" w:line="240" w:lineRule="auto"/>
                    <w:ind w:left="0" w:right="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0" w:type="auto"/>
                  <w:tcBorders>
                    <w:tl2br w:val="nil"/>
                    <w:tr2bl w:val="nil"/>
                  </w:tcBorders>
                  <w:vAlign w:val="center"/>
                </w:tcPr>
                <w:p w14:paraId="56592A9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达标</w:t>
                  </w:r>
                </w:p>
              </w:tc>
            </w:tr>
          </w:tbl>
          <w:p w14:paraId="0273CC99">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由预测结果可知，营运期厂界四周预测点噪声排放值均满足《工业企业厂界环境噪声排放标准》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GB12348-2008</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2类标准，可实现达标排放</w:t>
            </w:r>
            <w:r>
              <w:rPr>
                <w:rFonts w:hint="eastAsia" w:cs="Times New Roman"/>
                <w:color w:val="000000" w:themeColor="text1"/>
                <w:sz w:val="24"/>
                <w:szCs w:val="24"/>
                <w:lang w:eastAsia="zh-CN"/>
                <w14:textFill>
                  <w14:solidFill>
                    <w14:schemeClr w14:val="tx1"/>
                  </w14:solidFill>
                </w14:textFill>
              </w:rPr>
              <w:t>；</w:t>
            </w:r>
            <w:r>
              <w:rPr>
                <w:rFonts w:hint="eastAsia"/>
                <w:color w:val="auto"/>
                <w:szCs w:val="21"/>
                <w:highlight w:val="none"/>
                <w:lang w:val="en-US" w:eastAsia="zh-CN"/>
              </w:rPr>
              <w:t>东岳收费站</w:t>
            </w:r>
            <w:r>
              <w:rPr>
                <w:rFonts w:hint="eastAsia"/>
                <w:color w:val="auto"/>
                <w:szCs w:val="21"/>
                <w:highlight w:val="none"/>
              </w:rPr>
              <w:t>噪声</w:t>
            </w:r>
            <w:r>
              <w:rPr>
                <w:rFonts w:hint="eastAsia"/>
                <w:color w:val="auto"/>
                <w:szCs w:val="21"/>
                <w:highlight w:val="none"/>
                <w:lang w:val="en-US" w:eastAsia="zh-CN"/>
              </w:rPr>
              <w:t>能</w:t>
            </w:r>
            <w:r>
              <w:rPr>
                <w:rFonts w:hint="eastAsia" w:ascii="Times New Roman" w:hAnsi="Times New Roman"/>
                <w:color w:val="auto"/>
                <w:highlight w:val="none"/>
              </w:rPr>
              <w:t>满足</w:t>
            </w:r>
            <w:r>
              <w:rPr>
                <w:rFonts w:hint="eastAsia"/>
                <w:color w:val="auto"/>
                <w:highlight w:val="none"/>
                <w:lang w:eastAsia="zh-CN"/>
              </w:rPr>
              <w:t>《</w:t>
            </w:r>
            <w:r>
              <w:rPr>
                <w:rFonts w:hint="eastAsia" w:ascii="Times New Roman" w:hAnsi="Times New Roman"/>
                <w:color w:val="auto"/>
                <w:highlight w:val="none"/>
              </w:rPr>
              <w:t>声环境质量标准</w:t>
            </w:r>
            <w:r>
              <w:rPr>
                <w:rFonts w:hint="eastAsia"/>
                <w:color w:val="auto"/>
                <w:highlight w:val="none"/>
                <w:lang w:eastAsia="zh-CN"/>
              </w:rPr>
              <w:t>》</w:t>
            </w:r>
            <w:r>
              <w:rPr>
                <w:rFonts w:hint="eastAsia" w:ascii="Times New Roman" w:hAnsi="Times New Roman"/>
                <w:color w:val="auto"/>
                <w:highlight w:val="none"/>
              </w:rPr>
              <w:t>GB3096－2008）</w:t>
            </w:r>
            <w:r>
              <w:rPr>
                <w:rFonts w:hint="default" w:ascii="Times New Roman" w:hAnsi="Times New Roman" w:eastAsia="宋体" w:cs="Times New Roman"/>
                <w:color w:val="000000" w:themeColor="text1"/>
                <w:sz w:val="24"/>
                <w:szCs w:val="24"/>
                <w14:textFill>
                  <w14:solidFill>
                    <w14:schemeClr w14:val="tx1"/>
                  </w14:solidFill>
                </w14:textFill>
              </w:rPr>
              <w:t>2类标准</w:t>
            </w:r>
            <w:r>
              <w:rPr>
                <w:rFonts w:hint="eastAsia" w:ascii="Times New Roman" w:hAnsi="Times New Roman"/>
                <w:color w:val="auto"/>
                <w:highlight w:val="none"/>
                <w:lang w:eastAsia="zh-CN"/>
              </w:rPr>
              <w:t>。</w:t>
            </w:r>
            <w:r>
              <w:rPr>
                <w:rFonts w:hint="default" w:ascii="Times New Roman" w:hAnsi="Times New Roman" w:eastAsia="宋体" w:cs="Times New Roman"/>
                <w:color w:val="000000" w:themeColor="text1"/>
                <w:sz w:val="24"/>
                <w:szCs w:val="24"/>
                <w14:textFill>
                  <w14:solidFill>
                    <w14:schemeClr w14:val="tx1"/>
                  </w14:solidFill>
                </w14:textFill>
              </w:rPr>
              <w:t>因此，本项目噪声不会对区域声环境造成影响</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1B203B39">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由预测结果可知，营运期厂界四周预测点噪声排放值均满足《工业企业厂界环境噪声排放标准》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GB12348-2008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2类标准，可实现达标排放</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因此，本项目噪声不会对区域声环境造成影响</w:t>
            </w:r>
            <w:r>
              <w:rPr>
                <w:rFonts w:hint="default" w:ascii="Times New Roman" w:hAnsi="Times New Roman" w:eastAsia="宋体" w:cs="Times New Roman"/>
                <w:color w:val="auto"/>
                <w:sz w:val="24"/>
                <w:szCs w:val="24"/>
                <w:highlight w:val="none"/>
                <w:lang w:eastAsia="zh-CN"/>
              </w:rPr>
              <w:t>。</w:t>
            </w:r>
          </w:p>
          <w:p w14:paraId="04A98A0D">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监测要求</w:t>
            </w:r>
          </w:p>
          <w:p w14:paraId="12753869">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本次环评根据《排污单位自行监测技术指南 总则》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HJ819-2017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提出项目生产运行阶段的污染源监测计划，详见下表：</w:t>
            </w:r>
          </w:p>
          <w:p w14:paraId="7A0121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表4-1</w:t>
            </w:r>
            <w:r>
              <w:rPr>
                <w:rFonts w:hint="eastAsia" w:eastAsia="黑体" w:cs="Times New Roman"/>
                <w:b/>
                <w:bCs/>
                <w:color w:val="auto"/>
                <w:kern w:val="0"/>
                <w:sz w:val="20"/>
                <w:szCs w:val="20"/>
                <w:highlight w:val="none"/>
                <w:lang w:val="en-US" w:eastAsia="zh-CN" w:bidi="ar-SA"/>
              </w:rPr>
              <w:t>6</w:t>
            </w:r>
            <w:r>
              <w:rPr>
                <w:rFonts w:hint="default" w:ascii="Times New Roman" w:hAnsi="Times New Roman" w:eastAsia="黑体" w:cs="Times New Roman"/>
                <w:b/>
                <w:bCs/>
                <w:color w:val="auto"/>
                <w:kern w:val="0"/>
                <w:sz w:val="20"/>
                <w:szCs w:val="20"/>
                <w:highlight w:val="none"/>
                <w:lang w:val="en-US" w:eastAsia="zh-CN" w:bidi="ar-SA"/>
              </w:rPr>
              <w:t xml:space="preserve"> 噪声监测方案</w:t>
            </w:r>
          </w:p>
          <w:tbl>
            <w:tblPr>
              <w:tblStyle w:val="23"/>
              <w:tblW w:w="86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2062"/>
              <w:gridCol w:w="1110"/>
              <w:gridCol w:w="3784"/>
            </w:tblGrid>
            <w:tr w14:paraId="2ECE9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12" w:type="dxa"/>
                  <w:tcBorders>
                    <w:tl2br w:val="nil"/>
                    <w:tr2bl w:val="nil"/>
                  </w:tcBorders>
                  <w:noWrap w:val="0"/>
                  <w:vAlign w:val="center"/>
                </w:tcPr>
                <w:p w14:paraId="78D51C7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2062" w:type="dxa"/>
                  <w:tcBorders>
                    <w:tl2br w:val="nil"/>
                    <w:tr2bl w:val="nil"/>
                  </w:tcBorders>
                  <w:noWrap w:val="0"/>
                  <w:vAlign w:val="center"/>
                </w:tcPr>
                <w:p w14:paraId="6B956C8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监测指标</w:t>
                  </w:r>
                </w:p>
              </w:tc>
              <w:tc>
                <w:tcPr>
                  <w:tcW w:w="1110" w:type="dxa"/>
                  <w:tcBorders>
                    <w:tl2br w:val="nil"/>
                    <w:tr2bl w:val="nil"/>
                  </w:tcBorders>
                  <w:noWrap w:val="0"/>
                  <w:vAlign w:val="center"/>
                </w:tcPr>
                <w:p w14:paraId="2ECC53D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3784" w:type="dxa"/>
                  <w:tcBorders>
                    <w:tl2br w:val="nil"/>
                    <w:tr2bl w:val="nil"/>
                  </w:tcBorders>
                  <w:noWrap w:val="0"/>
                  <w:vAlign w:val="top"/>
                </w:tcPr>
                <w:p w14:paraId="03559D2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执行排放标准</w:t>
                  </w:r>
                </w:p>
              </w:tc>
            </w:tr>
            <w:tr w14:paraId="0388A0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12" w:type="dxa"/>
                  <w:tcBorders>
                    <w:tl2br w:val="nil"/>
                    <w:tr2bl w:val="nil"/>
                  </w:tcBorders>
                  <w:noWrap w:val="0"/>
                  <w:vAlign w:val="center"/>
                </w:tcPr>
                <w:p w14:paraId="2B48819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厂界</w:t>
                  </w:r>
                  <w:r>
                    <w:rPr>
                      <w:rFonts w:hint="default" w:ascii="Times New Roman" w:hAnsi="Times New Roman" w:eastAsia="宋体" w:cs="Times New Roman"/>
                      <w:color w:val="auto"/>
                      <w:sz w:val="21"/>
                      <w:szCs w:val="21"/>
                      <w:highlight w:val="none"/>
                      <w:lang w:eastAsia="zh-CN"/>
                    </w:rPr>
                    <w:t>四周</w:t>
                  </w:r>
                </w:p>
              </w:tc>
              <w:tc>
                <w:tcPr>
                  <w:tcW w:w="2062" w:type="dxa"/>
                  <w:tcBorders>
                    <w:tl2br w:val="nil"/>
                    <w:tr2bl w:val="nil"/>
                  </w:tcBorders>
                  <w:noWrap w:val="0"/>
                  <w:vAlign w:val="center"/>
                </w:tcPr>
                <w:p w14:paraId="6CE990F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 A 声级</w:t>
                  </w:r>
                </w:p>
              </w:tc>
              <w:tc>
                <w:tcPr>
                  <w:tcW w:w="1110" w:type="dxa"/>
                  <w:tcBorders>
                    <w:tl2br w:val="nil"/>
                    <w:tr2bl w:val="nil"/>
                  </w:tcBorders>
                  <w:noWrap w:val="0"/>
                  <w:vAlign w:val="center"/>
                </w:tcPr>
                <w:p w14:paraId="5E0AF83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季度/次</w:t>
                  </w:r>
                </w:p>
              </w:tc>
              <w:tc>
                <w:tcPr>
                  <w:tcW w:w="3784" w:type="dxa"/>
                  <w:tcBorders>
                    <w:tl2br w:val="nil"/>
                    <w:tr2bl w:val="nil"/>
                  </w:tcBorders>
                  <w:noWrap w:val="0"/>
                  <w:vAlign w:val="center"/>
                </w:tcPr>
                <w:p w14:paraId="5A4695C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GB12348-2008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2类标准</w:t>
                  </w:r>
                </w:p>
              </w:tc>
            </w:tr>
          </w:tbl>
          <w:p w14:paraId="2C1D2C2C">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4、固体废物</w:t>
            </w:r>
          </w:p>
          <w:p w14:paraId="606A86E9">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1</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产生及处置措施</w:t>
            </w:r>
          </w:p>
          <w:p w14:paraId="495B4FA5">
            <w:pPr>
              <w:pStyle w:val="44"/>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480" w:leftChars="0" w:right="0" w:rightChars="0"/>
              <w:textAlignment w:val="auto"/>
              <w:rPr>
                <w:rFonts w:hint="eastAsia" w:ascii="Times New Roman" w:hAnsi="Times New Roman"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1）一般固废</w:t>
            </w:r>
          </w:p>
          <w:p w14:paraId="00ADE42B">
            <w:pPr>
              <w:pStyle w:val="44"/>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480" w:leftChars="0" w:right="0" w:rightChars="0"/>
              <w:textAlignment w:val="auto"/>
              <w:rPr>
                <w:rFonts w:hint="eastAsia" w:ascii="Times New Roman" w:hAnsi="Times New Roman" w:eastAsia="宋体" w:cs="Times New Roman"/>
                <w:b/>
                <w:color w:val="auto"/>
                <w:sz w:val="24"/>
                <w:szCs w:val="24"/>
                <w:highlight w:val="none"/>
                <w:lang w:eastAsia="zh-CN"/>
              </w:rPr>
            </w:pPr>
            <w:r>
              <w:rPr>
                <w:rFonts w:hint="eastAsia" w:ascii="Times New Roman" w:hAnsi="Times New Roman" w:cs="Times New Roman"/>
                <w:b/>
                <w:color w:val="auto"/>
                <w:sz w:val="24"/>
                <w:szCs w:val="24"/>
                <w:highlight w:val="none"/>
                <w:lang w:val="en-US" w:eastAsia="zh-CN"/>
              </w:rPr>
              <w:t>①</w:t>
            </w:r>
            <w:r>
              <w:rPr>
                <w:rFonts w:hint="default" w:ascii="Times New Roman" w:hAnsi="Times New Roman" w:eastAsia="宋体" w:cs="Times New Roman"/>
                <w:b/>
                <w:color w:val="auto"/>
                <w:sz w:val="24"/>
                <w:szCs w:val="24"/>
                <w:highlight w:val="none"/>
              </w:rPr>
              <w:t>生活垃圾</w:t>
            </w:r>
            <w:r>
              <w:rPr>
                <w:rFonts w:hint="eastAsia" w:ascii="Times New Roman" w:hAnsi="Times New Roman" w:cs="Times New Roman"/>
                <w:b/>
                <w:color w:val="auto"/>
                <w:sz w:val="24"/>
                <w:szCs w:val="24"/>
                <w:highlight w:val="none"/>
                <w:lang w:eastAsia="zh-CN"/>
              </w:rPr>
              <w:t>（SW64）</w:t>
            </w:r>
          </w:p>
          <w:p w14:paraId="26795170">
            <w:pPr>
              <w:pStyle w:val="44"/>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ascii="Times New Roman" w:hAnsi="Times New Roman" w:eastAsia="宋体"/>
                <w:color w:val="auto"/>
                <w:highlight w:val="none"/>
                <w:lang w:val="en-US" w:eastAsia="zh-CN"/>
              </w:rPr>
            </w:pPr>
            <w:r>
              <w:rPr>
                <w:rFonts w:hint="default" w:ascii="Times New Roman" w:hAnsi="Times New Roman"/>
                <w:color w:val="auto"/>
                <w:highlight w:val="none"/>
              </w:rPr>
              <w:t>项目产生的生活垃圾主要是员工生活垃圾，按0.5kg/人·日，本项目劳动定员</w:t>
            </w:r>
            <w:r>
              <w:rPr>
                <w:rFonts w:hint="eastAsia" w:ascii="Times New Roman" w:hAnsi="Times New Roman"/>
                <w:color w:val="auto"/>
                <w:highlight w:val="none"/>
                <w:lang w:val="en-US" w:eastAsia="zh-CN"/>
              </w:rPr>
              <w:t>10</w:t>
            </w:r>
            <w:r>
              <w:rPr>
                <w:rFonts w:hint="default" w:ascii="Times New Roman" w:hAnsi="Times New Roman"/>
                <w:color w:val="auto"/>
                <w:highlight w:val="none"/>
              </w:rPr>
              <w:t>人，则年生活垃圾产生量约</w:t>
            </w:r>
            <w:r>
              <w:rPr>
                <w:rFonts w:hint="eastAsia" w:ascii="Times New Roman" w:hAnsi="Times New Roman"/>
                <w:color w:val="auto"/>
                <w:highlight w:val="none"/>
                <w:lang w:val="en-US" w:eastAsia="zh-CN"/>
              </w:rPr>
              <w:t>1.83</w:t>
            </w:r>
            <w:r>
              <w:rPr>
                <w:rFonts w:hint="default" w:ascii="Times New Roman" w:hAnsi="Times New Roman"/>
                <w:color w:val="auto"/>
                <w:highlight w:val="none"/>
              </w:rPr>
              <w:t>t/a</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 xml:space="preserve">其属于“SW64 </w:t>
            </w:r>
            <w:r>
              <w:rPr>
                <w:rFonts w:hint="default" w:ascii="宋体" w:hAnsi="宋体" w:eastAsia="宋体" w:cs="宋体"/>
                <w:sz w:val="24"/>
                <w:szCs w:val="24"/>
              </w:rPr>
              <w:t>其他垃圾</w:t>
            </w:r>
            <w:r>
              <w:rPr>
                <w:rFonts w:hint="eastAsia" w:ascii="Times New Roman" w:hAnsi="Times New Roman"/>
                <w:color w:val="auto"/>
                <w:highlight w:val="none"/>
                <w:lang w:val="en-US" w:eastAsia="zh-CN"/>
              </w:rPr>
              <w:t>”</w:t>
            </w:r>
            <w:r>
              <w:rPr>
                <w:rFonts w:hint="default"/>
                <w:color w:val="auto"/>
                <w:sz w:val="24"/>
                <w:highlight w:val="none"/>
              </w:rPr>
              <w:t>类别中非特定行业</w:t>
            </w:r>
            <w:r>
              <w:rPr>
                <w:rFonts w:hint="default" w:ascii="Times New Roman" w:hAnsi="Times New Roman" w:cs="Times New Roman"/>
                <w:color w:val="auto"/>
                <w:sz w:val="24"/>
                <w:highlight w:val="none"/>
              </w:rPr>
              <w:t>900-099-S64</w:t>
            </w:r>
            <w:r>
              <w:rPr>
                <w:rFonts w:hint="eastAsia"/>
                <w:color w:val="auto"/>
                <w:sz w:val="24"/>
                <w:highlight w:val="none"/>
              </w:rPr>
              <w:t>“</w:t>
            </w:r>
            <w:r>
              <w:rPr>
                <w:rFonts w:hint="default" w:ascii="宋体" w:hAnsi="宋体" w:eastAsia="宋体" w:cs="宋体"/>
                <w:sz w:val="24"/>
                <w:szCs w:val="24"/>
              </w:rPr>
              <w:t>以上之外的生活垃圾</w:t>
            </w:r>
            <w:r>
              <w:rPr>
                <w:rFonts w:hint="eastAsia"/>
                <w:color w:val="auto"/>
                <w:sz w:val="24"/>
                <w:highlight w:val="none"/>
              </w:rPr>
              <w:t>”</w:t>
            </w:r>
            <w:r>
              <w:rPr>
                <w:rFonts w:hint="eastAsia" w:ascii="Times New Roman" w:hAnsi="Times New Roman"/>
                <w:color w:val="auto"/>
                <w:highlight w:val="none"/>
              </w:rPr>
              <w:t>。（工作时间按</w:t>
            </w:r>
            <w:r>
              <w:rPr>
                <w:rFonts w:hint="eastAsia" w:ascii="Times New Roman" w:hAnsi="Times New Roman"/>
                <w:color w:val="auto"/>
                <w:highlight w:val="none"/>
                <w:lang w:val="en-US" w:eastAsia="zh-CN"/>
              </w:rPr>
              <w:t>365</w:t>
            </w:r>
            <w:r>
              <w:rPr>
                <w:rFonts w:hint="eastAsia" w:ascii="Times New Roman" w:hAnsi="Times New Roman"/>
                <w:color w:val="auto"/>
                <w:highlight w:val="none"/>
              </w:rPr>
              <w:t>d/a）</w:t>
            </w:r>
            <w:r>
              <w:rPr>
                <w:rFonts w:hint="eastAsia" w:ascii="Times New Roman" w:hAnsi="Times New Roman"/>
                <w:color w:val="auto"/>
                <w:highlight w:val="none"/>
                <w:lang w:eastAsia="zh-CN"/>
              </w:rPr>
              <w:t>。</w:t>
            </w:r>
          </w:p>
          <w:p w14:paraId="43D39343">
            <w:pPr>
              <w:pStyle w:val="44"/>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kern w:val="0"/>
                <w:sz w:val="24"/>
                <w:szCs w:val="24"/>
                <w:highlight w:val="none"/>
              </w:rPr>
            </w:pPr>
            <w:r>
              <w:rPr>
                <w:rFonts w:hint="eastAsia" w:ascii="Times New Roman" w:hAnsi="Times New Roman" w:eastAsia="宋体" w:cs="Times New Roman"/>
                <w:b/>
                <w:bCs/>
                <w:color w:val="auto"/>
                <w:kern w:val="0"/>
                <w:sz w:val="24"/>
                <w:szCs w:val="24"/>
                <w:highlight w:val="none"/>
                <w:lang w:val="en-US" w:eastAsia="zh-CN"/>
              </w:rPr>
              <w:t>治理措施</w:t>
            </w:r>
            <w:r>
              <w:rPr>
                <w:rFonts w:hint="eastAsia" w:ascii="Times New Roman" w:hAnsi="Times New Roman" w:eastAsia="宋体" w:cs="Times New Roman"/>
                <w:color w:val="auto"/>
                <w:kern w:val="0"/>
                <w:sz w:val="24"/>
                <w:szCs w:val="24"/>
                <w:highlight w:val="none"/>
                <w:lang w:val="en-US" w:eastAsia="zh-CN"/>
              </w:rPr>
              <w:t>：在</w:t>
            </w:r>
            <w:r>
              <w:rPr>
                <w:rFonts w:hint="eastAsia" w:ascii="Times New Roman" w:hAnsi="Times New Roman" w:cs="Times New Roman"/>
                <w:color w:val="auto"/>
                <w:kern w:val="0"/>
                <w:sz w:val="24"/>
                <w:szCs w:val="24"/>
                <w:highlight w:val="none"/>
                <w:lang w:val="en-US" w:eastAsia="zh-CN"/>
              </w:rPr>
              <w:t>生活</w:t>
            </w:r>
            <w:r>
              <w:rPr>
                <w:rFonts w:hint="default" w:ascii="Times New Roman" w:hAnsi="Times New Roman" w:eastAsia="宋体" w:cs="Times New Roman"/>
                <w:color w:val="auto"/>
                <w:kern w:val="0"/>
                <w:sz w:val="24"/>
                <w:szCs w:val="24"/>
                <w:highlight w:val="none"/>
                <w:lang w:val="en-US" w:eastAsia="zh-CN"/>
              </w:rPr>
              <w:t>办公区设置垃圾桶，内衬垃圾专用袋，用于收集生活垃圾，定期</w:t>
            </w:r>
            <w:r>
              <w:rPr>
                <w:rFonts w:hint="eastAsia" w:ascii="Times New Roman" w:hAnsi="Times New Roman" w:cs="Times New Roman"/>
                <w:color w:val="auto"/>
                <w:kern w:val="0"/>
                <w:sz w:val="24"/>
                <w:szCs w:val="24"/>
                <w:highlight w:val="none"/>
                <w:lang w:val="en-US" w:eastAsia="zh-CN"/>
              </w:rPr>
              <w:t>交由环卫部门</w:t>
            </w:r>
            <w:r>
              <w:rPr>
                <w:rFonts w:hint="default" w:ascii="Times New Roman" w:hAnsi="Times New Roman" w:eastAsia="宋体" w:cs="Times New Roman"/>
                <w:color w:val="auto"/>
                <w:kern w:val="0"/>
                <w:sz w:val="24"/>
                <w:szCs w:val="24"/>
                <w:highlight w:val="none"/>
                <w:lang w:val="en-US" w:eastAsia="zh-CN"/>
              </w:rPr>
              <w:t>处理</w:t>
            </w:r>
            <w:r>
              <w:rPr>
                <w:rFonts w:hint="default" w:ascii="Times New Roman" w:hAnsi="Times New Roman" w:eastAsia="宋体" w:cs="Times New Roman"/>
                <w:color w:val="auto"/>
                <w:kern w:val="0"/>
                <w:sz w:val="24"/>
                <w:szCs w:val="24"/>
                <w:highlight w:val="none"/>
                <w:lang w:eastAsia="zh-CN"/>
              </w:rPr>
              <w:t>。</w:t>
            </w:r>
          </w:p>
          <w:p w14:paraId="0E4ECA9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2" w:firstLineChars="200"/>
              <w:jc w:val="left"/>
              <w:textAlignment w:val="auto"/>
              <w:rPr>
                <w:rFonts w:hint="default"/>
                <w:color w:val="auto"/>
                <w:sz w:val="24"/>
                <w:highlight w:val="none"/>
              </w:rPr>
            </w:pPr>
            <w:r>
              <w:rPr>
                <w:rFonts w:hint="eastAsia" w:cs="Times New Roman"/>
                <w:b/>
                <w:bCs/>
                <w:color w:val="auto"/>
                <w:sz w:val="24"/>
                <w:szCs w:val="24"/>
                <w:highlight w:val="none"/>
                <w:lang w:val="en-US" w:eastAsia="zh-CN"/>
              </w:rPr>
              <w:t>②</w:t>
            </w:r>
            <w:r>
              <w:rPr>
                <w:rFonts w:hint="eastAsia"/>
                <w:b/>
                <w:bCs/>
                <w:color w:val="auto"/>
                <w:sz w:val="24"/>
                <w:highlight w:val="none"/>
              </w:rPr>
              <w:t>化粪</w:t>
            </w:r>
            <w:r>
              <w:rPr>
                <w:rFonts w:hint="default"/>
                <w:b/>
                <w:bCs/>
                <w:color w:val="auto"/>
                <w:sz w:val="24"/>
                <w:highlight w:val="none"/>
              </w:rPr>
              <w:t>池污泥</w:t>
            </w:r>
          </w:p>
          <w:p w14:paraId="1D9AF06C">
            <w:pPr>
              <w:pStyle w:val="44"/>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0" w:firstLineChars="200"/>
              <w:textAlignment w:val="auto"/>
              <w:rPr>
                <w:rFonts w:hint="default"/>
                <w:color w:val="auto"/>
                <w:sz w:val="24"/>
                <w:highlight w:val="none"/>
              </w:rPr>
            </w:pPr>
            <w:r>
              <w:rPr>
                <w:rFonts w:hint="default"/>
                <w:color w:val="auto"/>
                <w:sz w:val="24"/>
                <w:highlight w:val="none"/>
              </w:rPr>
              <w:t>项目营运期</w:t>
            </w:r>
            <w:r>
              <w:rPr>
                <w:rFonts w:hint="eastAsia"/>
                <w:color w:val="auto"/>
                <w:sz w:val="24"/>
                <w:highlight w:val="none"/>
              </w:rPr>
              <w:t>化粪</w:t>
            </w:r>
            <w:r>
              <w:rPr>
                <w:rFonts w:hint="default"/>
                <w:color w:val="auto"/>
                <w:sz w:val="24"/>
                <w:highlight w:val="none"/>
              </w:rPr>
              <w:t>池污泥产生量约</w:t>
            </w:r>
            <w:r>
              <w:rPr>
                <w:rFonts w:hint="default" w:ascii="Times New Roman" w:hAnsi="Times New Roman" w:cs="Times New Roman"/>
                <w:color w:val="auto"/>
                <w:sz w:val="24"/>
                <w:highlight w:val="none"/>
              </w:rPr>
              <w:t>1.5t/a</w:t>
            </w:r>
            <w:r>
              <w:rPr>
                <w:rFonts w:hint="default"/>
                <w:color w:val="auto"/>
                <w:sz w:val="24"/>
                <w:highlight w:val="none"/>
              </w:rPr>
              <w:t>，</w:t>
            </w:r>
            <w:r>
              <w:rPr>
                <w:rFonts w:hint="eastAsia" w:ascii="Times New Roman" w:hAnsi="Times New Roman"/>
                <w:color w:val="auto"/>
                <w:highlight w:val="none"/>
                <w:lang w:val="en-US" w:eastAsia="zh-CN"/>
              </w:rPr>
              <w:t>属于“SW07 污泥”</w:t>
            </w:r>
            <w:r>
              <w:rPr>
                <w:rFonts w:hint="default"/>
                <w:color w:val="auto"/>
                <w:sz w:val="24"/>
                <w:highlight w:val="none"/>
              </w:rPr>
              <w:t>类别中非特定行业</w:t>
            </w:r>
            <w:r>
              <w:rPr>
                <w:rFonts w:hint="eastAsia"/>
                <w:color w:val="auto"/>
                <w:sz w:val="24"/>
                <w:highlight w:val="none"/>
                <w:lang w:val="en-US" w:eastAsia="zh-CN"/>
              </w:rPr>
              <w:t xml:space="preserve"> </w:t>
            </w:r>
            <w:r>
              <w:rPr>
                <w:rFonts w:hint="default" w:ascii="Times New Roman" w:hAnsi="Times New Roman" w:cs="Times New Roman"/>
                <w:color w:val="auto"/>
                <w:sz w:val="24"/>
                <w:highlight w:val="none"/>
                <w:lang w:val="en-US" w:eastAsia="zh-CN"/>
              </w:rPr>
              <w:t>900-099-S07</w:t>
            </w:r>
            <w:r>
              <w:rPr>
                <w:rFonts w:hint="eastAsia"/>
                <w:color w:val="auto"/>
                <w:sz w:val="24"/>
                <w:highlight w:val="none"/>
              </w:rPr>
              <w:t>“</w:t>
            </w:r>
            <w:r>
              <w:rPr>
                <w:rFonts w:hint="default" w:ascii="宋体" w:hAnsi="宋体" w:eastAsia="宋体" w:cs="宋体"/>
                <w:sz w:val="24"/>
                <w:szCs w:val="24"/>
              </w:rPr>
              <w:t>其他污泥。其他行业产生的废水处理污泥</w:t>
            </w:r>
            <w:r>
              <w:rPr>
                <w:rFonts w:hint="eastAsia"/>
                <w:color w:val="auto"/>
                <w:sz w:val="24"/>
                <w:highlight w:val="none"/>
              </w:rPr>
              <w:t>”</w:t>
            </w:r>
            <w:r>
              <w:rPr>
                <w:rFonts w:hint="default"/>
                <w:color w:val="auto"/>
                <w:sz w:val="24"/>
                <w:highlight w:val="none"/>
              </w:rPr>
              <w:t>。</w:t>
            </w:r>
          </w:p>
          <w:p w14:paraId="7279DFE2">
            <w:pPr>
              <w:pStyle w:val="44"/>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82" w:firstLineChars="200"/>
              <w:textAlignment w:val="auto"/>
              <w:rPr>
                <w:rFonts w:hint="eastAsia" w:ascii="Times New Roman" w:eastAsia="宋体" w:cs="Times New Roman"/>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治理措施</w:t>
            </w:r>
            <w:r>
              <w:rPr>
                <w:rFonts w:hint="eastAsia" w:ascii="Times New Roman" w:hAnsi="Times New Roman" w:eastAsia="宋体" w:cs="Times New Roman"/>
                <w:color w:val="auto"/>
                <w:kern w:val="0"/>
                <w:sz w:val="24"/>
                <w:szCs w:val="24"/>
                <w:highlight w:val="none"/>
                <w:lang w:val="en-US" w:eastAsia="zh-CN"/>
              </w:rPr>
              <w:t>：</w:t>
            </w:r>
            <w:r>
              <w:rPr>
                <w:rFonts w:hint="eastAsia" w:ascii="Times New Roman" w:eastAsia="宋体" w:cs="Times New Roman"/>
                <w:color w:val="auto"/>
                <w:kern w:val="0"/>
                <w:sz w:val="24"/>
                <w:szCs w:val="24"/>
                <w:highlight w:val="none"/>
                <w:lang w:val="en-US" w:eastAsia="zh-CN"/>
              </w:rPr>
              <w:t>产生的化粪池污泥委托环卫部门定期清掏处置。</w:t>
            </w:r>
          </w:p>
          <w:p w14:paraId="1014A67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b/>
                <w:bCs/>
                <w:color w:val="auto"/>
                <w:sz w:val="24"/>
                <w:szCs w:val="24"/>
                <w:highlight w:val="none"/>
                <w:lang w:val="en-US" w:eastAsia="zh-CN"/>
              </w:rPr>
              <w:t>2）危险废物</w:t>
            </w:r>
          </w:p>
          <w:p w14:paraId="632F8749">
            <w:pPr>
              <w:keepNext w:val="0"/>
              <w:keepLines w:val="0"/>
              <w:suppressLineNumbers w:val="0"/>
              <w:tabs>
                <w:tab w:val="left" w:pos="6832"/>
              </w:tabs>
              <w:spacing w:before="0" w:beforeAutospacing="0" w:after="0" w:afterAutospacing="0" w:line="360" w:lineRule="auto"/>
              <w:ind w:left="0" w:right="0" w:firstLine="480"/>
              <w:rPr>
                <w:rFonts w:hint="default"/>
                <w:b/>
                <w:bCs/>
                <w:color w:val="auto"/>
                <w:sz w:val="24"/>
                <w:highlight w:val="none"/>
              </w:rPr>
            </w:pPr>
            <w:r>
              <w:rPr>
                <w:rFonts w:hint="default"/>
                <w:b/>
                <w:bCs/>
                <w:color w:val="auto"/>
                <w:sz w:val="24"/>
                <w:highlight w:val="none"/>
              </w:rPr>
              <w:fldChar w:fldCharType="begin"/>
            </w:r>
            <w:r>
              <w:rPr>
                <w:rFonts w:hint="default"/>
                <w:b/>
                <w:bCs/>
                <w:color w:val="auto"/>
                <w:sz w:val="24"/>
                <w:highlight w:val="none"/>
              </w:rPr>
              <w:instrText xml:space="preserve"> </w:instrText>
            </w:r>
            <w:r>
              <w:rPr>
                <w:rFonts w:hint="eastAsia"/>
                <w:b/>
                <w:bCs/>
                <w:color w:val="auto"/>
                <w:sz w:val="24"/>
                <w:highlight w:val="none"/>
              </w:rPr>
              <w:instrText xml:space="preserve">= 1 \* GB3</w:instrText>
            </w:r>
            <w:r>
              <w:rPr>
                <w:rFonts w:hint="default"/>
                <w:b/>
                <w:bCs/>
                <w:color w:val="auto"/>
                <w:sz w:val="24"/>
                <w:highlight w:val="none"/>
              </w:rPr>
              <w:instrText xml:space="preserve"> </w:instrText>
            </w:r>
            <w:r>
              <w:rPr>
                <w:rFonts w:hint="default"/>
                <w:b/>
                <w:bCs/>
                <w:color w:val="auto"/>
                <w:sz w:val="24"/>
                <w:highlight w:val="none"/>
              </w:rPr>
              <w:fldChar w:fldCharType="separate"/>
            </w:r>
            <w:r>
              <w:rPr>
                <w:rFonts w:hint="eastAsia"/>
                <w:b/>
                <w:bCs/>
                <w:color w:val="auto"/>
                <w:sz w:val="24"/>
                <w:highlight w:val="none"/>
              </w:rPr>
              <w:t>①</w:t>
            </w:r>
            <w:r>
              <w:rPr>
                <w:rFonts w:hint="default"/>
                <w:b/>
                <w:bCs/>
                <w:color w:val="auto"/>
                <w:sz w:val="24"/>
                <w:highlight w:val="none"/>
              </w:rPr>
              <w:fldChar w:fldCharType="end"/>
            </w:r>
            <w:r>
              <w:rPr>
                <w:rFonts w:hint="default"/>
                <w:b/>
                <w:bCs/>
                <w:color w:val="auto"/>
                <w:sz w:val="24"/>
                <w:highlight w:val="none"/>
              </w:rPr>
              <w:t>隔油池废油</w:t>
            </w:r>
            <w:r>
              <w:rPr>
                <w:rFonts w:hint="eastAsia"/>
                <w:b/>
                <w:bCs/>
                <w:color w:val="auto"/>
                <w:sz w:val="24"/>
                <w:highlight w:val="none"/>
              </w:rPr>
              <w:t>（</w:t>
            </w:r>
            <w:r>
              <w:rPr>
                <w:rFonts w:hint="default"/>
                <w:b/>
                <w:bCs/>
                <w:color w:val="auto"/>
                <w:sz w:val="24"/>
                <w:highlight w:val="none"/>
              </w:rPr>
              <w:t>HW08</w:t>
            </w:r>
            <w:r>
              <w:rPr>
                <w:rFonts w:hint="eastAsia"/>
                <w:b/>
                <w:bCs/>
                <w:color w:val="auto"/>
                <w:sz w:val="24"/>
                <w:highlight w:val="none"/>
              </w:rPr>
              <w:t>）</w:t>
            </w:r>
          </w:p>
          <w:p w14:paraId="1186C17D">
            <w:pPr>
              <w:keepNext w:val="0"/>
              <w:keepLines w:val="0"/>
              <w:suppressLineNumbers w:val="0"/>
              <w:tabs>
                <w:tab w:val="left" w:pos="6832"/>
              </w:tabs>
              <w:spacing w:before="0" w:beforeAutospacing="0" w:after="0" w:afterAutospacing="0" w:line="360" w:lineRule="auto"/>
              <w:ind w:left="0" w:right="0" w:firstLine="480"/>
              <w:rPr>
                <w:rFonts w:hint="default"/>
                <w:color w:val="auto"/>
                <w:sz w:val="24"/>
                <w:highlight w:val="none"/>
              </w:rPr>
            </w:pPr>
            <w:r>
              <w:rPr>
                <w:rFonts w:hint="default"/>
                <w:color w:val="auto"/>
                <w:sz w:val="24"/>
                <w:highlight w:val="none"/>
              </w:rPr>
              <w:t>本项目设置隔油池</w:t>
            </w:r>
            <w:r>
              <w:rPr>
                <w:rFonts w:hint="eastAsia"/>
                <w:color w:val="auto"/>
                <w:sz w:val="24"/>
                <w:highlight w:val="none"/>
                <w:lang w:val="en-US" w:eastAsia="zh-CN"/>
              </w:rPr>
              <w:t>1</w:t>
            </w:r>
            <w:r>
              <w:rPr>
                <w:rFonts w:hint="default"/>
                <w:color w:val="auto"/>
                <w:sz w:val="24"/>
                <w:highlight w:val="none"/>
              </w:rPr>
              <w:t>座，</w:t>
            </w:r>
            <w:r>
              <w:rPr>
                <w:rFonts w:hint="eastAsia"/>
                <w:color w:val="auto"/>
                <w:sz w:val="24"/>
                <w:highlight w:val="none"/>
                <w:lang w:val="en-US" w:eastAsia="zh-CN"/>
              </w:rPr>
              <w:t>其中</w:t>
            </w:r>
            <w:r>
              <w:rPr>
                <w:rFonts w:hint="default"/>
                <w:color w:val="auto"/>
                <w:sz w:val="24"/>
                <w:highlight w:val="none"/>
              </w:rPr>
              <w:t>容积为</w:t>
            </w:r>
            <w:r>
              <w:rPr>
                <w:rFonts w:hint="eastAsia"/>
                <w:color w:val="auto"/>
                <w:sz w:val="24"/>
                <w:highlight w:val="none"/>
                <w:lang w:val="en-US" w:eastAsia="zh-CN"/>
              </w:rPr>
              <w:t>1</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用于</w:t>
            </w:r>
            <w:r>
              <w:rPr>
                <w:rFonts w:hint="eastAsia"/>
                <w:color w:val="auto"/>
                <w:sz w:val="24"/>
                <w:highlight w:val="none"/>
              </w:rPr>
              <w:t>地面冲洗废水</w:t>
            </w:r>
            <w:r>
              <w:rPr>
                <w:rFonts w:hint="eastAsia"/>
                <w:color w:val="auto"/>
                <w:sz w:val="24"/>
                <w:highlight w:val="none"/>
                <w:lang w:eastAsia="zh-CN"/>
              </w:rPr>
              <w:t>；</w:t>
            </w:r>
            <w:r>
              <w:rPr>
                <w:rFonts w:hint="eastAsia"/>
                <w:color w:val="auto"/>
                <w:sz w:val="24"/>
                <w:highlight w:val="none"/>
                <w:lang w:val="en-US" w:eastAsia="zh-CN"/>
              </w:rPr>
              <w:t>初期雨水隔油沉淀池1座，容积为7m</w:t>
            </w:r>
            <w:r>
              <w:rPr>
                <w:rFonts w:hint="eastAsia"/>
                <w:color w:val="auto"/>
                <w:sz w:val="24"/>
                <w:highlight w:val="none"/>
                <w:vertAlign w:val="superscript"/>
                <w:lang w:val="en-US" w:eastAsia="zh-CN"/>
              </w:rPr>
              <w:t>3</w:t>
            </w:r>
            <w:r>
              <w:rPr>
                <w:rFonts w:hint="eastAsia"/>
                <w:color w:val="auto"/>
                <w:sz w:val="24"/>
                <w:highlight w:val="none"/>
                <w:vertAlign w:val="baseline"/>
                <w:lang w:val="en-US" w:eastAsia="zh-CN"/>
              </w:rPr>
              <w:t>，</w:t>
            </w:r>
            <w:r>
              <w:rPr>
                <w:rFonts w:hint="eastAsia"/>
                <w:b w:val="0"/>
                <w:bCs w:val="0"/>
                <w:color w:val="auto"/>
                <w:sz w:val="24"/>
                <w:highlight w:val="none"/>
                <w:vertAlign w:val="baseline"/>
                <w:lang w:val="en-US" w:eastAsia="zh-CN"/>
              </w:rPr>
              <w:t>用于</w:t>
            </w:r>
            <w:r>
              <w:rPr>
                <w:rFonts w:hint="default"/>
                <w:color w:val="auto"/>
                <w:sz w:val="24"/>
                <w:highlight w:val="none"/>
              </w:rPr>
              <w:t>站内初期雨水的隔油沉淀处理</w:t>
            </w:r>
            <w:r>
              <w:rPr>
                <w:rFonts w:hint="eastAsia"/>
                <w:color w:val="auto"/>
                <w:sz w:val="24"/>
                <w:highlight w:val="none"/>
              </w:rPr>
              <w:t>；</w:t>
            </w:r>
            <w:r>
              <w:rPr>
                <w:rFonts w:hint="eastAsia"/>
                <w:color w:val="auto"/>
                <w:sz w:val="24"/>
                <w:highlight w:val="none"/>
                <w:lang w:val="en-US" w:eastAsia="zh-CN"/>
              </w:rPr>
              <w:t>洗车机</w:t>
            </w:r>
            <w:r>
              <w:rPr>
                <w:rFonts w:hint="eastAsia"/>
                <w:color w:val="auto"/>
                <w:sz w:val="24"/>
                <w:highlight w:val="none"/>
              </w:rPr>
              <w:t>隔油沉淀池1座，容积</w:t>
            </w:r>
            <w:r>
              <w:rPr>
                <w:rFonts w:hint="eastAsia"/>
                <w:color w:val="auto"/>
                <w:sz w:val="24"/>
                <w:highlight w:val="none"/>
                <w:lang w:val="en-US" w:eastAsia="zh-CN"/>
              </w:rPr>
              <w:t>为</w:t>
            </w:r>
            <w:r>
              <w:rPr>
                <w:rFonts w:hint="eastAsia"/>
                <w:color w:val="auto"/>
                <w:sz w:val="24"/>
                <w:highlight w:val="none"/>
              </w:rPr>
              <w:t>1</w:t>
            </w:r>
            <w:r>
              <w:rPr>
                <w:rFonts w:hint="default"/>
                <w:color w:val="auto"/>
                <w:sz w:val="24"/>
                <w:highlight w:val="none"/>
              </w:rPr>
              <w:t>m</w:t>
            </w:r>
            <w:r>
              <w:rPr>
                <w:rFonts w:hint="eastAsia"/>
                <w:color w:val="auto"/>
                <w:sz w:val="24"/>
                <w:highlight w:val="none"/>
                <w:vertAlign w:val="superscript"/>
              </w:rPr>
              <w:t>3</w:t>
            </w:r>
            <w:r>
              <w:rPr>
                <w:rFonts w:hint="eastAsia"/>
                <w:color w:val="auto"/>
                <w:sz w:val="24"/>
                <w:highlight w:val="none"/>
              </w:rPr>
              <w:t>，用于洗车废水的预处理。</w:t>
            </w:r>
            <w:r>
              <w:rPr>
                <w:rFonts w:hint="default"/>
                <w:color w:val="auto"/>
                <w:sz w:val="24"/>
                <w:highlight w:val="none"/>
              </w:rPr>
              <w:t>隔油池年收集废油量约0.0</w:t>
            </w:r>
            <w:r>
              <w:rPr>
                <w:rFonts w:hint="eastAsia"/>
                <w:color w:val="auto"/>
                <w:sz w:val="24"/>
                <w:highlight w:val="none"/>
              </w:rPr>
              <w:t>2</w:t>
            </w:r>
            <w:r>
              <w:rPr>
                <w:rFonts w:hint="default"/>
                <w:color w:val="auto"/>
                <w:sz w:val="24"/>
                <w:highlight w:val="none"/>
              </w:rPr>
              <w:t>t/a</w:t>
            </w:r>
            <w:r>
              <w:rPr>
                <w:rFonts w:hint="eastAsia"/>
                <w:color w:val="auto"/>
                <w:sz w:val="24"/>
                <w:highlight w:val="none"/>
              </w:rPr>
              <w:t>，</w:t>
            </w:r>
            <w:r>
              <w:rPr>
                <w:rFonts w:hint="default"/>
                <w:color w:val="auto"/>
                <w:sz w:val="24"/>
                <w:highlight w:val="none"/>
              </w:rPr>
              <w:t>属于</w:t>
            </w:r>
            <w:r>
              <w:rPr>
                <w:rFonts w:hint="eastAsia"/>
                <w:color w:val="auto"/>
                <w:sz w:val="24"/>
                <w:highlight w:val="none"/>
              </w:rPr>
              <w:t>“</w:t>
            </w:r>
            <w:r>
              <w:rPr>
                <w:rFonts w:hint="default"/>
                <w:color w:val="auto"/>
                <w:sz w:val="24"/>
                <w:highlight w:val="none"/>
              </w:rPr>
              <w:t>HW08废矿物油与含矿物油废物</w:t>
            </w:r>
            <w:r>
              <w:rPr>
                <w:rFonts w:hint="eastAsia"/>
                <w:color w:val="auto"/>
                <w:sz w:val="24"/>
                <w:highlight w:val="none"/>
              </w:rPr>
              <w:t>”</w:t>
            </w:r>
            <w:r>
              <w:rPr>
                <w:rFonts w:hint="default"/>
                <w:color w:val="auto"/>
                <w:sz w:val="24"/>
                <w:highlight w:val="none"/>
              </w:rPr>
              <w:t>类别中非特定行业 900-210-08</w:t>
            </w:r>
            <w:r>
              <w:rPr>
                <w:rFonts w:hint="eastAsia"/>
                <w:color w:val="auto"/>
                <w:sz w:val="24"/>
                <w:highlight w:val="none"/>
              </w:rPr>
              <w:t>“</w:t>
            </w:r>
            <w:r>
              <w:rPr>
                <w:rFonts w:hint="default"/>
                <w:color w:val="auto"/>
                <w:sz w:val="24"/>
                <w:highlight w:val="none"/>
              </w:rPr>
              <w:t>油/水分离设施产生的废油、油泥及废水处理产生的浮渣和污泥</w:t>
            </w:r>
            <w:r>
              <w:rPr>
                <w:rFonts w:hint="eastAsia"/>
                <w:color w:val="auto"/>
                <w:sz w:val="24"/>
                <w:highlight w:val="none"/>
              </w:rPr>
              <w:t>（</w:t>
            </w:r>
            <w:r>
              <w:rPr>
                <w:rFonts w:hint="default"/>
                <w:color w:val="auto"/>
                <w:sz w:val="24"/>
                <w:highlight w:val="none"/>
              </w:rPr>
              <w:t>不包括废水生化处理污泥</w:t>
            </w:r>
            <w:r>
              <w:rPr>
                <w:rFonts w:hint="eastAsia"/>
                <w:color w:val="auto"/>
                <w:sz w:val="24"/>
                <w:highlight w:val="none"/>
              </w:rPr>
              <w:t>）”</w:t>
            </w:r>
            <w:r>
              <w:rPr>
                <w:rFonts w:hint="default"/>
                <w:color w:val="auto"/>
                <w:sz w:val="24"/>
                <w:highlight w:val="none"/>
              </w:rPr>
              <w:t>。</w:t>
            </w:r>
          </w:p>
          <w:p w14:paraId="11A842BC">
            <w:pPr>
              <w:keepNext w:val="0"/>
              <w:keepLines w:val="0"/>
              <w:suppressLineNumbers w:val="0"/>
              <w:tabs>
                <w:tab w:val="left" w:pos="6832"/>
              </w:tabs>
              <w:spacing w:before="0" w:beforeAutospacing="0" w:after="0" w:afterAutospacing="0" w:line="360" w:lineRule="auto"/>
              <w:ind w:left="0" w:right="0" w:firstLine="480"/>
              <w:rPr>
                <w:rFonts w:hint="default"/>
                <w:b/>
                <w:bCs/>
                <w:color w:val="auto"/>
                <w:sz w:val="24"/>
                <w:highlight w:val="none"/>
              </w:rPr>
            </w:pPr>
            <w:r>
              <w:rPr>
                <w:rFonts w:hint="default"/>
                <w:b/>
                <w:bCs/>
                <w:color w:val="auto"/>
                <w:sz w:val="24"/>
                <w:highlight w:val="none"/>
              </w:rPr>
              <w:fldChar w:fldCharType="begin"/>
            </w:r>
            <w:r>
              <w:rPr>
                <w:rFonts w:hint="default"/>
                <w:b/>
                <w:bCs/>
                <w:color w:val="auto"/>
                <w:sz w:val="24"/>
                <w:highlight w:val="none"/>
              </w:rPr>
              <w:instrText xml:space="preserve"> </w:instrText>
            </w:r>
            <w:r>
              <w:rPr>
                <w:rFonts w:hint="eastAsia"/>
                <w:b/>
                <w:bCs/>
                <w:color w:val="auto"/>
                <w:sz w:val="24"/>
                <w:highlight w:val="none"/>
              </w:rPr>
              <w:instrText xml:space="preserve">= 2 \* GB3</w:instrText>
            </w:r>
            <w:r>
              <w:rPr>
                <w:rFonts w:hint="default"/>
                <w:b/>
                <w:bCs/>
                <w:color w:val="auto"/>
                <w:sz w:val="24"/>
                <w:highlight w:val="none"/>
              </w:rPr>
              <w:instrText xml:space="preserve"> </w:instrText>
            </w:r>
            <w:r>
              <w:rPr>
                <w:rFonts w:hint="default"/>
                <w:b/>
                <w:bCs/>
                <w:color w:val="auto"/>
                <w:sz w:val="24"/>
                <w:highlight w:val="none"/>
              </w:rPr>
              <w:fldChar w:fldCharType="separate"/>
            </w:r>
            <w:r>
              <w:rPr>
                <w:rFonts w:hint="eastAsia"/>
                <w:b/>
                <w:bCs/>
                <w:color w:val="auto"/>
                <w:sz w:val="24"/>
                <w:highlight w:val="none"/>
              </w:rPr>
              <w:t>②</w:t>
            </w:r>
            <w:r>
              <w:rPr>
                <w:rFonts w:hint="default"/>
                <w:b/>
                <w:bCs/>
                <w:color w:val="auto"/>
                <w:sz w:val="24"/>
                <w:highlight w:val="none"/>
              </w:rPr>
              <w:fldChar w:fldCharType="end"/>
            </w:r>
            <w:r>
              <w:rPr>
                <w:rFonts w:hint="default"/>
                <w:b/>
                <w:bCs/>
                <w:color w:val="auto"/>
                <w:sz w:val="24"/>
                <w:highlight w:val="none"/>
              </w:rPr>
              <w:t>清罐废水及废渣</w:t>
            </w:r>
            <w:r>
              <w:rPr>
                <w:rFonts w:hint="eastAsia"/>
                <w:b/>
                <w:bCs/>
                <w:color w:val="auto"/>
                <w:sz w:val="24"/>
                <w:highlight w:val="none"/>
              </w:rPr>
              <w:t>（</w:t>
            </w:r>
            <w:r>
              <w:rPr>
                <w:rFonts w:hint="default"/>
                <w:b/>
                <w:bCs/>
                <w:color w:val="auto"/>
                <w:sz w:val="24"/>
                <w:highlight w:val="none"/>
              </w:rPr>
              <w:t>HW08</w:t>
            </w:r>
            <w:r>
              <w:rPr>
                <w:rFonts w:hint="eastAsia"/>
                <w:b/>
                <w:bCs/>
                <w:color w:val="auto"/>
                <w:sz w:val="24"/>
                <w:highlight w:val="none"/>
              </w:rPr>
              <w:t>）</w:t>
            </w:r>
          </w:p>
          <w:p w14:paraId="15A46783">
            <w:pPr>
              <w:keepNext w:val="0"/>
              <w:keepLines w:val="0"/>
              <w:suppressLineNumbers w:val="0"/>
              <w:tabs>
                <w:tab w:val="left" w:pos="6832"/>
              </w:tabs>
              <w:spacing w:before="0" w:beforeAutospacing="0" w:after="0" w:afterAutospacing="0" w:line="360" w:lineRule="auto"/>
              <w:ind w:left="0" w:right="0" w:firstLine="480"/>
              <w:rPr>
                <w:rFonts w:hint="eastAsia"/>
                <w:color w:val="auto"/>
                <w:sz w:val="24"/>
                <w:highlight w:val="none"/>
              </w:rPr>
            </w:pPr>
            <w:r>
              <w:rPr>
                <w:rFonts w:hint="default"/>
                <w:color w:val="auto"/>
                <w:sz w:val="24"/>
                <w:highlight w:val="none"/>
              </w:rPr>
              <w:t>加油加气站拟采用隔爆型免维修油罐，使用时间较长，使用一定年限后直接报废。但由于地埋油罐长期储油会有少量油垢产生，须定期委托专业清罐公司对储油罐进行清洁，清除储罐产生的废渣</w:t>
            </w:r>
            <w:r>
              <w:rPr>
                <w:rFonts w:hint="eastAsia"/>
                <w:color w:val="auto"/>
                <w:sz w:val="24"/>
                <w:highlight w:val="none"/>
              </w:rPr>
              <w:t>（</w:t>
            </w:r>
            <w:r>
              <w:rPr>
                <w:rFonts w:hint="default"/>
                <w:color w:val="auto"/>
                <w:sz w:val="24"/>
                <w:highlight w:val="none"/>
              </w:rPr>
              <w:t>一般</w:t>
            </w:r>
            <w:r>
              <w:rPr>
                <w:rFonts w:hint="eastAsia"/>
                <w:color w:val="auto"/>
                <w:sz w:val="24"/>
                <w:highlight w:val="none"/>
              </w:rPr>
              <w:t>3</w:t>
            </w:r>
            <w:r>
              <w:rPr>
                <w:rFonts w:hint="default"/>
                <w:color w:val="auto"/>
                <w:sz w:val="24"/>
                <w:highlight w:val="none"/>
              </w:rPr>
              <w:t>年清洁一次，采用自来水机械清洁的方式</w:t>
            </w:r>
            <w:r>
              <w:rPr>
                <w:rFonts w:hint="eastAsia"/>
                <w:color w:val="auto"/>
                <w:sz w:val="24"/>
                <w:highlight w:val="none"/>
              </w:rPr>
              <w:t>）</w:t>
            </w:r>
            <w:r>
              <w:rPr>
                <w:rFonts w:hint="default"/>
                <w:color w:val="auto"/>
                <w:sz w:val="24"/>
                <w:highlight w:val="none"/>
              </w:rPr>
              <w:t>，清罐过程中含油废水及废渣产生量约0.</w:t>
            </w:r>
            <w:r>
              <w:rPr>
                <w:rFonts w:hint="eastAsia"/>
                <w:color w:val="auto"/>
                <w:sz w:val="24"/>
                <w:highlight w:val="none"/>
              </w:rPr>
              <w:t>3</w:t>
            </w:r>
            <w:r>
              <w:rPr>
                <w:rFonts w:hint="default"/>
                <w:color w:val="auto"/>
                <w:sz w:val="24"/>
                <w:highlight w:val="none"/>
              </w:rPr>
              <w:t>t/次，其属于</w:t>
            </w:r>
            <w:r>
              <w:rPr>
                <w:rFonts w:hint="eastAsia"/>
                <w:color w:val="auto"/>
                <w:sz w:val="24"/>
                <w:highlight w:val="none"/>
              </w:rPr>
              <w:t>“</w:t>
            </w:r>
            <w:r>
              <w:rPr>
                <w:rFonts w:hint="default"/>
                <w:color w:val="auto"/>
                <w:sz w:val="24"/>
                <w:highlight w:val="none"/>
              </w:rPr>
              <w:t>HW08 废矿物油与含矿物油废物</w:t>
            </w:r>
            <w:r>
              <w:rPr>
                <w:rFonts w:hint="eastAsia"/>
                <w:color w:val="auto"/>
                <w:sz w:val="24"/>
                <w:highlight w:val="none"/>
              </w:rPr>
              <w:t>”</w:t>
            </w:r>
            <w:r>
              <w:rPr>
                <w:rFonts w:hint="default"/>
                <w:color w:val="auto"/>
                <w:sz w:val="24"/>
                <w:highlight w:val="none"/>
              </w:rPr>
              <w:t>类别中非特定行业251-001-08</w:t>
            </w:r>
            <w:r>
              <w:rPr>
                <w:rFonts w:hint="eastAsia"/>
                <w:color w:val="auto"/>
                <w:sz w:val="24"/>
                <w:highlight w:val="none"/>
              </w:rPr>
              <w:t>“</w:t>
            </w:r>
            <w:r>
              <w:rPr>
                <w:rFonts w:hint="default"/>
                <w:color w:val="auto"/>
                <w:sz w:val="24"/>
                <w:highlight w:val="none"/>
              </w:rPr>
              <w:t>清洗矿物油储存、输送设施过程中产生的油/水和烃/水混合物</w:t>
            </w:r>
            <w:r>
              <w:rPr>
                <w:rFonts w:hint="eastAsia"/>
                <w:color w:val="auto"/>
                <w:sz w:val="24"/>
                <w:highlight w:val="none"/>
              </w:rPr>
              <w:t>”</w:t>
            </w:r>
            <w:r>
              <w:rPr>
                <w:rFonts w:hint="default"/>
                <w:color w:val="auto"/>
                <w:sz w:val="24"/>
                <w:highlight w:val="none"/>
              </w:rPr>
              <w:t>。</w:t>
            </w:r>
          </w:p>
          <w:p w14:paraId="5D24BC38">
            <w:pPr>
              <w:keepNext w:val="0"/>
              <w:keepLines w:val="0"/>
              <w:suppressLineNumbers w:val="0"/>
              <w:tabs>
                <w:tab w:val="left" w:pos="6832"/>
              </w:tabs>
              <w:spacing w:before="0" w:beforeAutospacing="0" w:after="0" w:afterAutospacing="0" w:line="360" w:lineRule="auto"/>
              <w:ind w:left="0" w:right="0" w:firstLine="480"/>
              <w:rPr>
                <w:rFonts w:hint="default" w:ascii="宋体" w:hAnsi="宋体" w:cs="宋体"/>
                <w:b/>
                <w:bCs/>
                <w:color w:val="auto"/>
                <w:sz w:val="24"/>
                <w:highlight w:val="none"/>
              </w:rPr>
            </w:pPr>
            <w:r>
              <w:rPr>
                <w:rFonts w:hint="default" w:ascii="宋体" w:hAnsi="宋体" w:cs="宋体"/>
                <w:b/>
                <w:bCs/>
                <w:color w:val="auto"/>
                <w:sz w:val="24"/>
                <w:highlight w:val="none"/>
              </w:rPr>
              <w:fldChar w:fldCharType="begin"/>
            </w:r>
            <w:r>
              <w:rPr>
                <w:rFonts w:hint="default" w:ascii="宋体" w:hAnsi="宋体" w:cs="宋体"/>
                <w:b/>
                <w:bCs/>
                <w:color w:val="auto"/>
                <w:sz w:val="24"/>
                <w:highlight w:val="none"/>
              </w:rPr>
              <w:instrText xml:space="preserve"> </w:instrText>
            </w:r>
            <w:r>
              <w:rPr>
                <w:rFonts w:hint="eastAsia" w:ascii="宋体" w:hAnsi="宋体" w:cs="宋体"/>
                <w:b/>
                <w:bCs/>
                <w:color w:val="auto"/>
                <w:sz w:val="24"/>
                <w:highlight w:val="none"/>
              </w:rPr>
              <w:instrText xml:space="preserve">= 3 \* GB3</w:instrText>
            </w:r>
            <w:r>
              <w:rPr>
                <w:rFonts w:hint="default" w:ascii="宋体" w:hAnsi="宋体" w:cs="宋体"/>
                <w:b/>
                <w:bCs/>
                <w:color w:val="auto"/>
                <w:sz w:val="24"/>
                <w:highlight w:val="none"/>
              </w:rPr>
              <w:instrText xml:space="preserve"> </w:instrText>
            </w:r>
            <w:r>
              <w:rPr>
                <w:rFonts w:hint="default" w:ascii="宋体" w:hAnsi="宋体" w:cs="宋体"/>
                <w:b/>
                <w:bCs/>
                <w:color w:val="auto"/>
                <w:sz w:val="24"/>
                <w:highlight w:val="none"/>
              </w:rPr>
              <w:fldChar w:fldCharType="separate"/>
            </w:r>
            <w:r>
              <w:rPr>
                <w:rFonts w:hint="eastAsia" w:ascii="宋体" w:hAnsi="宋体" w:cs="宋体"/>
                <w:b/>
                <w:bCs/>
                <w:color w:val="auto"/>
                <w:sz w:val="24"/>
                <w:highlight w:val="none"/>
              </w:rPr>
              <w:t>③</w:t>
            </w:r>
            <w:r>
              <w:rPr>
                <w:rFonts w:hint="default" w:ascii="宋体" w:hAnsi="宋体" w:cs="宋体"/>
                <w:b/>
                <w:bCs/>
                <w:color w:val="auto"/>
                <w:sz w:val="24"/>
                <w:highlight w:val="none"/>
              </w:rPr>
              <w:fldChar w:fldCharType="end"/>
            </w:r>
            <w:r>
              <w:rPr>
                <w:rFonts w:hint="eastAsia"/>
                <w:b/>
                <w:bCs/>
                <w:color w:val="auto"/>
                <w:sz w:val="24"/>
                <w:highlight w:val="none"/>
              </w:rPr>
              <w:t>油品检验过程中产生的废油（</w:t>
            </w:r>
            <w:r>
              <w:rPr>
                <w:rFonts w:hint="default"/>
                <w:b/>
                <w:bCs/>
                <w:color w:val="auto"/>
                <w:sz w:val="24"/>
                <w:highlight w:val="none"/>
              </w:rPr>
              <w:t>HW</w:t>
            </w:r>
            <w:r>
              <w:rPr>
                <w:rFonts w:hint="eastAsia"/>
                <w:b/>
                <w:bCs/>
                <w:color w:val="auto"/>
                <w:sz w:val="24"/>
                <w:highlight w:val="none"/>
                <w:lang w:val="en-US" w:eastAsia="zh-CN"/>
              </w:rPr>
              <w:t>08</w:t>
            </w:r>
            <w:r>
              <w:rPr>
                <w:rFonts w:hint="eastAsia"/>
                <w:b/>
                <w:bCs/>
                <w:color w:val="auto"/>
                <w:sz w:val="24"/>
                <w:highlight w:val="none"/>
              </w:rPr>
              <w:t>）</w:t>
            </w:r>
          </w:p>
          <w:p w14:paraId="7B9256E1">
            <w:pPr>
              <w:keepNext w:val="0"/>
              <w:keepLines w:val="0"/>
              <w:suppressLineNumbers w:val="0"/>
              <w:tabs>
                <w:tab w:val="left" w:pos="6832"/>
              </w:tabs>
              <w:spacing w:before="0" w:beforeAutospacing="0" w:after="0" w:afterAutospacing="0" w:line="360" w:lineRule="auto"/>
              <w:ind w:left="0" w:right="0" w:firstLine="480"/>
              <w:rPr>
                <w:rFonts w:hint="default" w:ascii="宋体" w:hAnsi="宋体" w:cs="宋体"/>
                <w:color w:val="auto"/>
                <w:sz w:val="24"/>
                <w:highlight w:val="none"/>
              </w:rPr>
            </w:pPr>
            <w:r>
              <w:rPr>
                <w:rFonts w:hint="eastAsia" w:ascii="宋体" w:hAnsi="宋体" w:cs="宋体"/>
                <w:color w:val="auto"/>
                <w:sz w:val="24"/>
                <w:highlight w:val="none"/>
              </w:rPr>
              <w:t>项目油品罐车运输进场后，需对油品质量进行检验，油品检验过程中废油产生量</w:t>
            </w:r>
            <w:r>
              <w:rPr>
                <w:rFonts w:hint="eastAsia"/>
                <w:color w:val="auto"/>
                <w:sz w:val="24"/>
                <w:highlight w:val="none"/>
              </w:rPr>
              <w:t>约为0.2t/a，</w:t>
            </w:r>
            <w:r>
              <w:rPr>
                <w:rFonts w:hint="default"/>
                <w:color w:val="auto"/>
                <w:sz w:val="24"/>
                <w:highlight w:val="none"/>
              </w:rPr>
              <w:t>属于</w:t>
            </w:r>
            <w:r>
              <w:rPr>
                <w:rFonts w:hint="eastAsia"/>
                <w:color w:val="auto"/>
                <w:sz w:val="24"/>
                <w:highlight w:val="none"/>
              </w:rPr>
              <w:t>“</w:t>
            </w:r>
            <w:r>
              <w:rPr>
                <w:rFonts w:hint="default"/>
                <w:color w:val="auto"/>
                <w:sz w:val="24"/>
                <w:highlight w:val="none"/>
              </w:rPr>
              <w:t>HW08废矿物油与含矿物油废物</w:t>
            </w:r>
            <w:r>
              <w:rPr>
                <w:rFonts w:hint="eastAsia"/>
                <w:color w:val="auto"/>
                <w:sz w:val="24"/>
                <w:highlight w:val="none"/>
              </w:rPr>
              <w:t>”</w:t>
            </w:r>
            <w:r>
              <w:rPr>
                <w:rFonts w:hint="default"/>
                <w:color w:val="auto"/>
                <w:sz w:val="24"/>
                <w:highlight w:val="none"/>
              </w:rPr>
              <w:t>类别中非特定行业 900-2</w:t>
            </w:r>
            <w:r>
              <w:rPr>
                <w:rFonts w:hint="eastAsia"/>
                <w:color w:val="auto"/>
                <w:sz w:val="24"/>
                <w:highlight w:val="none"/>
              </w:rPr>
              <w:t>49</w:t>
            </w:r>
            <w:r>
              <w:rPr>
                <w:rFonts w:hint="default"/>
                <w:color w:val="auto"/>
                <w:sz w:val="24"/>
                <w:highlight w:val="none"/>
              </w:rPr>
              <w:t>-08</w:t>
            </w:r>
            <w:r>
              <w:rPr>
                <w:rFonts w:hint="eastAsia"/>
                <w:color w:val="auto"/>
                <w:sz w:val="24"/>
                <w:highlight w:val="none"/>
              </w:rPr>
              <w:t>“其他生产、销售、使用过程中产生的废矿物油及沾染矿物油的废弃包装物”</w:t>
            </w:r>
            <w:r>
              <w:rPr>
                <w:rFonts w:hint="default"/>
                <w:color w:val="auto"/>
                <w:sz w:val="24"/>
                <w:highlight w:val="none"/>
              </w:rPr>
              <w:t>。</w:t>
            </w:r>
          </w:p>
          <w:p w14:paraId="5BED95F9">
            <w:pPr>
              <w:keepNext w:val="0"/>
              <w:keepLines w:val="0"/>
              <w:suppressLineNumbers w:val="0"/>
              <w:tabs>
                <w:tab w:val="left" w:pos="6832"/>
              </w:tabs>
              <w:spacing w:before="0" w:beforeAutospacing="0" w:after="0" w:afterAutospacing="0" w:line="360" w:lineRule="auto"/>
              <w:ind w:left="0" w:right="0" w:firstLine="480"/>
              <w:rPr>
                <w:rFonts w:hint="default"/>
                <w:b/>
                <w:bCs/>
                <w:color w:val="auto"/>
                <w:sz w:val="24"/>
                <w:highlight w:val="none"/>
              </w:rPr>
            </w:pPr>
            <w:r>
              <w:rPr>
                <w:rFonts w:hint="default" w:ascii="宋体" w:hAnsi="宋体" w:cs="宋体"/>
                <w:b/>
                <w:bCs/>
                <w:color w:val="auto"/>
                <w:sz w:val="24"/>
                <w:highlight w:val="none"/>
              </w:rPr>
              <w:fldChar w:fldCharType="begin"/>
            </w:r>
            <w:r>
              <w:rPr>
                <w:rFonts w:hint="default" w:ascii="宋体" w:hAnsi="宋体" w:cs="宋体"/>
                <w:b/>
                <w:bCs/>
                <w:color w:val="auto"/>
                <w:sz w:val="24"/>
                <w:highlight w:val="none"/>
              </w:rPr>
              <w:instrText xml:space="preserve"> </w:instrText>
            </w:r>
            <w:r>
              <w:rPr>
                <w:rFonts w:hint="eastAsia" w:ascii="宋体" w:hAnsi="宋体" w:cs="宋体"/>
                <w:b/>
                <w:bCs/>
                <w:color w:val="auto"/>
                <w:sz w:val="24"/>
                <w:highlight w:val="none"/>
              </w:rPr>
              <w:instrText xml:space="preserve">= 4 \* GB3</w:instrText>
            </w:r>
            <w:r>
              <w:rPr>
                <w:rFonts w:hint="default" w:ascii="宋体" w:hAnsi="宋体" w:cs="宋体"/>
                <w:b/>
                <w:bCs/>
                <w:color w:val="auto"/>
                <w:sz w:val="24"/>
                <w:highlight w:val="none"/>
              </w:rPr>
              <w:instrText xml:space="preserve"> </w:instrText>
            </w:r>
            <w:r>
              <w:rPr>
                <w:rFonts w:hint="default" w:ascii="宋体" w:hAnsi="宋体" w:cs="宋体"/>
                <w:b/>
                <w:bCs/>
                <w:color w:val="auto"/>
                <w:sz w:val="24"/>
                <w:highlight w:val="none"/>
              </w:rPr>
              <w:fldChar w:fldCharType="separate"/>
            </w:r>
            <w:r>
              <w:rPr>
                <w:rFonts w:hint="eastAsia" w:ascii="宋体" w:hAnsi="宋体" w:cs="宋体"/>
                <w:b/>
                <w:bCs/>
                <w:color w:val="auto"/>
                <w:sz w:val="24"/>
                <w:highlight w:val="none"/>
              </w:rPr>
              <w:t>④</w:t>
            </w:r>
            <w:r>
              <w:rPr>
                <w:rFonts w:hint="default" w:ascii="宋体" w:hAnsi="宋体" w:cs="宋体"/>
                <w:b/>
                <w:bCs/>
                <w:color w:val="auto"/>
                <w:sz w:val="24"/>
                <w:highlight w:val="none"/>
              </w:rPr>
              <w:fldChar w:fldCharType="end"/>
            </w:r>
            <w:r>
              <w:rPr>
                <w:rFonts w:hint="default"/>
                <w:b/>
                <w:bCs/>
                <w:color w:val="auto"/>
                <w:sz w:val="24"/>
                <w:highlight w:val="none"/>
              </w:rPr>
              <w:t>沾油废物</w:t>
            </w:r>
            <w:r>
              <w:rPr>
                <w:rFonts w:hint="eastAsia"/>
                <w:b/>
                <w:bCs/>
                <w:color w:val="auto"/>
                <w:sz w:val="24"/>
                <w:highlight w:val="none"/>
              </w:rPr>
              <w:t>（</w:t>
            </w:r>
            <w:r>
              <w:rPr>
                <w:rFonts w:hint="default"/>
                <w:b/>
                <w:bCs/>
                <w:color w:val="auto"/>
                <w:sz w:val="24"/>
                <w:highlight w:val="none"/>
              </w:rPr>
              <w:t>HW49</w:t>
            </w:r>
            <w:r>
              <w:rPr>
                <w:rFonts w:hint="eastAsia"/>
                <w:b/>
                <w:bCs/>
                <w:color w:val="auto"/>
                <w:sz w:val="24"/>
                <w:highlight w:val="none"/>
              </w:rPr>
              <w:t>）</w:t>
            </w:r>
          </w:p>
          <w:p w14:paraId="5DDDA0CA">
            <w:pPr>
              <w:keepNext w:val="0"/>
              <w:keepLines w:val="0"/>
              <w:suppressLineNumbers w:val="0"/>
              <w:tabs>
                <w:tab w:val="left" w:pos="6832"/>
              </w:tabs>
              <w:spacing w:before="0" w:beforeAutospacing="0" w:after="0" w:afterAutospacing="0" w:line="360" w:lineRule="auto"/>
              <w:ind w:left="0" w:right="0" w:firstLine="480"/>
              <w:rPr>
                <w:rFonts w:hint="default"/>
                <w:color w:val="auto"/>
                <w:sz w:val="24"/>
                <w:highlight w:val="none"/>
              </w:rPr>
            </w:pPr>
            <w:r>
              <w:rPr>
                <w:rFonts w:hint="default"/>
                <w:color w:val="auto"/>
                <w:sz w:val="24"/>
                <w:highlight w:val="none"/>
              </w:rPr>
              <w:t>加油加气站营运过程中会产生</w:t>
            </w:r>
            <w:r>
              <w:rPr>
                <w:rFonts w:hint="eastAsia"/>
                <w:color w:val="auto"/>
                <w:sz w:val="24"/>
                <w:highlight w:val="none"/>
              </w:rPr>
              <w:t>废</w:t>
            </w:r>
            <w:r>
              <w:rPr>
                <w:rFonts w:hint="default"/>
                <w:color w:val="auto"/>
                <w:sz w:val="24"/>
                <w:highlight w:val="none"/>
              </w:rPr>
              <w:t>含油</w:t>
            </w:r>
            <w:r>
              <w:rPr>
                <w:rFonts w:hint="eastAsia"/>
                <w:color w:val="auto"/>
                <w:sz w:val="24"/>
                <w:highlight w:val="none"/>
              </w:rPr>
              <w:t>棉纱</w:t>
            </w:r>
            <w:r>
              <w:rPr>
                <w:rFonts w:hint="default"/>
                <w:color w:val="auto"/>
                <w:sz w:val="24"/>
                <w:highlight w:val="none"/>
              </w:rPr>
              <w:t>和</w:t>
            </w:r>
            <w:r>
              <w:rPr>
                <w:rFonts w:hint="eastAsia"/>
                <w:color w:val="auto"/>
                <w:sz w:val="24"/>
                <w:highlight w:val="none"/>
              </w:rPr>
              <w:t>废含油手套</w:t>
            </w:r>
            <w:r>
              <w:rPr>
                <w:rFonts w:hint="default"/>
                <w:color w:val="auto"/>
                <w:sz w:val="24"/>
                <w:highlight w:val="none"/>
              </w:rPr>
              <w:t>等沾油废物，其产生量</w:t>
            </w:r>
            <w:r>
              <w:rPr>
                <w:rFonts w:hint="eastAsia"/>
                <w:color w:val="auto"/>
                <w:sz w:val="24"/>
                <w:highlight w:val="none"/>
              </w:rPr>
              <w:t>约为</w:t>
            </w:r>
            <w:r>
              <w:rPr>
                <w:rFonts w:hint="default"/>
                <w:color w:val="auto"/>
                <w:sz w:val="24"/>
                <w:highlight w:val="none"/>
              </w:rPr>
              <w:t>0.0</w:t>
            </w:r>
            <w:r>
              <w:rPr>
                <w:rFonts w:hint="eastAsia"/>
                <w:color w:val="auto"/>
                <w:sz w:val="24"/>
                <w:highlight w:val="none"/>
              </w:rPr>
              <w:t>5</w:t>
            </w:r>
            <w:r>
              <w:rPr>
                <w:rFonts w:hint="default"/>
                <w:color w:val="auto"/>
                <w:sz w:val="24"/>
                <w:highlight w:val="none"/>
              </w:rPr>
              <w:t>t/a，属于</w:t>
            </w:r>
            <w:r>
              <w:rPr>
                <w:rFonts w:hint="eastAsia"/>
                <w:color w:val="auto"/>
                <w:sz w:val="24"/>
                <w:highlight w:val="none"/>
              </w:rPr>
              <w:t>“</w:t>
            </w:r>
            <w:r>
              <w:rPr>
                <w:rFonts w:hint="default"/>
                <w:color w:val="auto"/>
                <w:sz w:val="24"/>
                <w:highlight w:val="none"/>
              </w:rPr>
              <w:t>HW49</w:t>
            </w:r>
            <w:r>
              <w:rPr>
                <w:rFonts w:hint="eastAsia"/>
                <w:color w:val="auto"/>
                <w:sz w:val="24"/>
                <w:highlight w:val="none"/>
              </w:rPr>
              <w:t>其他废物”类别中</w:t>
            </w:r>
            <w:r>
              <w:rPr>
                <w:rFonts w:hint="default"/>
                <w:color w:val="auto"/>
                <w:sz w:val="24"/>
                <w:highlight w:val="none"/>
              </w:rPr>
              <w:t>非特定行业900-041-49</w:t>
            </w:r>
            <w:r>
              <w:rPr>
                <w:rFonts w:hint="eastAsia"/>
                <w:color w:val="auto"/>
                <w:sz w:val="24"/>
                <w:highlight w:val="none"/>
              </w:rPr>
              <w:t>“</w:t>
            </w:r>
            <w:r>
              <w:rPr>
                <w:rFonts w:hint="default"/>
                <w:color w:val="auto"/>
                <w:sz w:val="24"/>
                <w:highlight w:val="none"/>
              </w:rPr>
              <w:t>含有或沾染毒性、感染性危险废物的废弃包装物、容器、过滤吸附介质</w:t>
            </w:r>
            <w:r>
              <w:rPr>
                <w:rFonts w:hint="eastAsia"/>
                <w:color w:val="auto"/>
                <w:sz w:val="24"/>
                <w:highlight w:val="none"/>
              </w:rPr>
              <w:t>”</w:t>
            </w:r>
            <w:r>
              <w:rPr>
                <w:rFonts w:hint="default"/>
                <w:color w:val="auto"/>
                <w:sz w:val="24"/>
                <w:highlight w:val="none"/>
              </w:rPr>
              <w:t>。</w:t>
            </w:r>
          </w:p>
          <w:p w14:paraId="1799356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2" w:firstLineChars="200"/>
              <w:textAlignment w:val="auto"/>
              <w:rPr>
                <w:rFonts w:hint="default"/>
                <w:color w:val="auto"/>
                <w:sz w:val="24"/>
                <w:szCs w:val="24"/>
                <w:highlight w:val="none"/>
                <w:lang w:val="en-US"/>
              </w:rPr>
            </w:pPr>
            <w:r>
              <w:rPr>
                <w:rFonts w:hint="eastAsia" w:ascii="Times New Roman" w:hAnsi="Times New Roman" w:eastAsia="宋体" w:cs="Times New Roman"/>
                <w:b/>
                <w:bCs/>
                <w:color w:val="auto"/>
                <w:sz w:val="24"/>
                <w:szCs w:val="24"/>
                <w:highlight w:val="none"/>
                <w:lang w:val="en-US" w:eastAsia="zh-CN"/>
              </w:rPr>
              <w:t>治理措施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cs="Times New Roman"/>
                <w:b w:val="0"/>
                <w:bCs/>
                <w:color w:val="auto"/>
                <w:sz w:val="24"/>
                <w:szCs w:val="24"/>
                <w:highlight w:val="none"/>
                <w:lang w:eastAsia="zh-CN"/>
              </w:rPr>
              <w:t>在</w:t>
            </w:r>
            <w:r>
              <w:rPr>
                <w:rFonts w:hint="eastAsia" w:cs="Times New Roman"/>
                <w:b w:val="0"/>
                <w:bCs/>
                <w:color w:val="auto"/>
                <w:sz w:val="24"/>
                <w:szCs w:val="24"/>
                <w:highlight w:val="none"/>
                <w:lang w:val="en-US" w:eastAsia="zh-CN"/>
              </w:rPr>
              <w:t>站房内北侧</w:t>
            </w:r>
            <w:r>
              <w:rPr>
                <w:rFonts w:hint="default" w:ascii="Times New Roman" w:hAnsi="Times New Roman" w:cs="Times New Roman"/>
                <w:b w:val="0"/>
                <w:bCs/>
                <w:color w:val="auto"/>
                <w:sz w:val="24"/>
                <w:szCs w:val="24"/>
                <w:highlight w:val="none"/>
                <w:lang w:eastAsia="zh-CN"/>
              </w:rPr>
              <w:t>新建</w:t>
            </w:r>
            <w:r>
              <w:rPr>
                <w:rFonts w:hint="default" w:ascii="Times New Roman" w:hAnsi="Times New Roman" w:cs="Times New Roman"/>
                <w:bCs/>
                <w:color w:val="auto"/>
                <w:sz w:val="24"/>
                <w:szCs w:val="24"/>
                <w:highlight w:val="none"/>
              </w:rPr>
              <w:t>1间</w:t>
            </w:r>
            <w:r>
              <w:rPr>
                <w:rFonts w:hint="default" w:ascii="Times New Roman" w:hAnsi="Times New Roman" w:cs="Times New Roman"/>
                <w:bCs/>
                <w:color w:val="auto"/>
                <w:sz w:val="24"/>
                <w:szCs w:val="24"/>
                <w:highlight w:val="none"/>
                <w:lang w:eastAsia="zh-CN"/>
              </w:rPr>
              <w:t>危废暂存间，</w:t>
            </w:r>
            <w:r>
              <w:rPr>
                <w:rFonts w:hint="default" w:ascii="Times New Roman" w:hAnsi="Times New Roman" w:cs="Times New Roman"/>
                <w:bCs/>
                <w:color w:val="auto"/>
                <w:sz w:val="24"/>
                <w:szCs w:val="24"/>
                <w:highlight w:val="none"/>
              </w:rPr>
              <w:t>面积</w:t>
            </w:r>
            <w:r>
              <w:rPr>
                <w:rFonts w:hint="default" w:ascii="Times New Roman" w:hAnsi="Times New Roman" w:cs="Times New Roman"/>
                <w:bCs/>
                <w:color w:val="auto"/>
                <w:sz w:val="24"/>
                <w:szCs w:val="24"/>
                <w:highlight w:val="none"/>
                <w:lang w:eastAsia="zh-CN"/>
              </w:rPr>
              <w:t>约</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bCs/>
                <w:color w:val="auto"/>
                <w:sz w:val="24"/>
                <w:szCs w:val="24"/>
                <w:highlight w:val="none"/>
                <w:lang w:eastAsia="zh-CN"/>
              </w:rPr>
              <w:t>，用于</w:t>
            </w:r>
            <w:r>
              <w:rPr>
                <w:rFonts w:hint="eastAsia" w:cs="Times New Roman"/>
                <w:bCs/>
                <w:color w:val="auto"/>
                <w:sz w:val="24"/>
                <w:szCs w:val="24"/>
                <w:highlight w:val="none"/>
                <w:lang w:val="en-US" w:eastAsia="zh-CN"/>
              </w:rPr>
              <w:t>收集运营</w:t>
            </w:r>
            <w:r>
              <w:rPr>
                <w:rFonts w:hint="default" w:ascii="Times New Roman" w:hAnsi="Times New Roman" w:cs="Times New Roman"/>
                <w:bCs/>
                <w:color w:val="auto"/>
                <w:sz w:val="24"/>
                <w:szCs w:val="24"/>
                <w:highlight w:val="none"/>
                <w:lang w:eastAsia="zh-CN"/>
              </w:rPr>
              <w:t>过程中产生的危险废物</w:t>
            </w:r>
            <w:r>
              <w:rPr>
                <w:rFonts w:hint="eastAsia"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eastAsia="zh-CN"/>
              </w:rPr>
              <w:t>定期交由有资质单位处理</w:t>
            </w:r>
            <w:r>
              <w:rPr>
                <w:rFonts w:hint="eastAsia" w:cs="Times New Roman"/>
                <w:bCs/>
                <w:color w:val="auto"/>
                <w:sz w:val="24"/>
                <w:szCs w:val="24"/>
                <w:highlight w:val="none"/>
                <w:lang w:val="en-US" w:eastAsia="zh-CN"/>
              </w:rPr>
              <w:t>。</w:t>
            </w:r>
          </w:p>
          <w:p w14:paraId="4E9C8740">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项目固体废物污染源强及处置措施见下表：</w:t>
            </w:r>
          </w:p>
          <w:p w14:paraId="48FB1E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黑体" w:cs="Times New Roman"/>
                <w:b/>
                <w:bCs/>
                <w:color w:val="auto"/>
                <w:kern w:val="0"/>
                <w:sz w:val="20"/>
                <w:szCs w:val="20"/>
                <w:highlight w:val="none"/>
                <w:lang w:val="en-US" w:eastAsia="zh-CN" w:bidi="ar-SA"/>
              </w:rPr>
            </w:pPr>
          </w:p>
          <w:p w14:paraId="72E004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表4-1</w:t>
            </w:r>
            <w:r>
              <w:rPr>
                <w:rFonts w:hint="eastAsia" w:eastAsia="黑体" w:cs="Times New Roman"/>
                <w:b/>
                <w:bCs/>
                <w:color w:val="auto"/>
                <w:kern w:val="0"/>
                <w:sz w:val="20"/>
                <w:szCs w:val="20"/>
                <w:highlight w:val="none"/>
                <w:lang w:val="en-US" w:eastAsia="zh-CN" w:bidi="ar-SA"/>
              </w:rPr>
              <w:t>7</w:t>
            </w:r>
            <w:r>
              <w:rPr>
                <w:rFonts w:hint="default" w:ascii="Times New Roman" w:hAnsi="Times New Roman" w:eastAsia="黑体" w:cs="Times New Roman"/>
                <w:b/>
                <w:bCs/>
                <w:color w:val="auto"/>
                <w:kern w:val="0"/>
                <w:sz w:val="20"/>
                <w:szCs w:val="20"/>
                <w:highlight w:val="none"/>
                <w:lang w:val="en-US" w:eastAsia="zh-CN" w:bidi="ar-SA"/>
              </w:rPr>
              <w:t xml:space="preserve">  固体废物污染源强及处置措施表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991"/>
              <w:gridCol w:w="818"/>
              <w:gridCol w:w="1410"/>
              <w:gridCol w:w="557"/>
              <w:gridCol w:w="1170"/>
              <w:gridCol w:w="673"/>
              <w:gridCol w:w="1127"/>
              <w:gridCol w:w="1183"/>
            </w:tblGrid>
            <w:tr w14:paraId="37A12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blHeader/>
                <w:jc w:val="center"/>
              </w:trPr>
              <w:tc>
                <w:tcPr>
                  <w:tcW w:w="734" w:type="dxa"/>
                  <w:vMerge w:val="restart"/>
                  <w:tcBorders>
                    <w:tl2br w:val="nil"/>
                    <w:tr2bl w:val="nil"/>
                  </w:tcBorders>
                  <w:noWrap w:val="0"/>
                  <w:vAlign w:val="center"/>
                </w:tcPr>
                <w:p w14:paraId="0FA9AFD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991" w:type="dxa"/>
                  <w:vMerge w:val="restart"/>
                  <w:tcBorders>
                    <w:tl2br w:val="nil"/>
                    <w:tr2bl w:val="nil"/>
                  </w:tcBorders>
                  <w:noWrap w:val="0"/>
                  <w:vAlign w:val="center"/>
                </w:tcPr>
                <w:p w14:paraId="7BCA021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固体废物名称</w:t>
                  </w:r>
                </w:p>
              </w:tc>
              <w:tc>
                <w:tcPr>
                  <w:tcW w:w="818" w:type="dxa"/>
                  <w:vMerge w:val="restart"/>
                  <w:tcBorders>
                    <w:tl2br w:val="nil"/>
                    <w:tr2bl w:val="nil"/>
                  </w:tcBorders>
                  <w:noWrap w:val="0"/>
                  <w:vAlign w:val="center"/>
                </w:tcPr>
                <w:p w14:paraId="52FF174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cs="Times New Roman"/>
                      <w:b/>
                      <w:bCs/>
                      <w:color w:val="auto"/>
                      <w:sz w:val="21"/>
                      <w:szCs w:val="21"/>
                      <w:highlight w:val="none"/>
                    </w:rPr>
                    <w:t>废物类别</w:t>
                  </w:r>
                </w:p>
              </w:tc>
              <w:tc>
                <w:tcPr>
                  <w:tcW w:w="1410" w:type="dxa"/>
                  <w:vMerge w:val="restart"/>
                  <w:tcBorders>
                    <w:tl2br w:val="nil"/>
                    <w:tr2bl w:val="nil"/>
                  </w:tcBorders>
                  <w:noWrap w:val="0"/>
                  <w:vAlign w:val="center"/>
                </w:tcPr>
                <w:p w14:paraId="4DF9E07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cs="Times New Roman"/>
                      <w:b/>
                      <w:bCs/>
                      <w:color w:val="auto"/>
                      <w:sz w:val="21"/>
                      <w:szCs w:val="21"/>
                      <w:highlight w:val="none"/>
                    </w:rPr>
                    <w:t>废物代码</w:t>
                  </w:r>
                </w:p>
              </w:tc>
              <w:tc>
                <w:tcPr>
                  <w:tcW w:w="557" w:type="dxa"/>
                  <w:vMerge w:val="restart"/>
                  <w:tcBorders>
                    <w:tl2br w:val="nil"/>
                    <w:tr2bl w:val="nil"/>
                  </w:tcBorders>
                  <w:noWrap w:val="0"/>
                  <w:vAlign w:val="center"/>
                </w:tcPr>
                <w:p w14:paraId="68D8D77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固废属性</w:t>
                  </w:r>
                </w:p>
              </w:tc>
              <w:tc>
                <w:tcPr>
                  <w:tcW w:w="1170" w:type="dxa"/>
                  <w:vMerge w:val="restart"/>
                  <w:tcBorders>
                    <w:tl2br w:val="nil"/>
                    <w:tr2bl w:val="nil"/>
                  </w:tcBorders>
                  <w:noWrap w:val="0"/>
                  <w:vAlign w:val="center"/>
                </w:tcPr>
                <w:p w14:paraId="5F0EEF9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产生量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sz w:val="21"/>
                      <w:szCs w:val="21"/>
                      <w:highlight w:val="none"/>
                      <w:lang w:eastAsia="zh-CN"/>
                    </w:rPr>
                    <w:t>）</w:t>
                  </w:r>
                </w:p>
              </w:tc>
              <w:tc>
                <w:tcPr>
                  <w:tcW w:w="1800" w:type="dxa"/>
                  <w:gridSpan w:val="2"/>
                  <w:tcBorders>
                    <w:tl2br w:val="nil"/>
                    <w:tr2bl w:val="nil"/>
                  </w:tcBorders>
                  <w:noWrap w:val="0"/>
                  <w:vAlign w:val="center"/>
                </w:tcPr>
                <w:p w14:paraId="1A38EC1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处置措施</w:t>
                  </w:r>
                </w:p>
              </w:tc>
              <w:tc>
                <w:tcPr>
                  <w:tcW w:w="1183" w:type="dxa"/>
                  <w:vMerge w:val="restart"/>
                  <w:tcBorders>
                    <w:tl2br w:val="nil"/>
                    <w:tr2bl w:val="nil"/>
                  </w:tcBorders>
                  <w:noWrap w:val="0"/>
                  <w:vAlign w:val="center"/>
                </w:tcPr>
                <w:p w14:paraId="5AFD21B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最终去向</w:t>
                  </w:r>
                </w:p>
              </w:tc>
            </w:tr>
            <w:tr w14:paraId="680F8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7" w:hRule="atLeast"/>
                <w:tblHeader/>
                <w:jc w:val="center"/>
              </w:trPr>
              <w:tc>
                <w:tcPr>
                  <w:tcW w:w="734" w:type="dxa"/>
                  <w:vMerge w:val="continue"/>
                  <w:tcBorders>
                    <w:tl2br w:val="nil"/>
                    <w:tr2bl w:val="nil"/>
                  </w:tcBorders>
                  <w:noWrap w:val="0"/>
                  <w:vAlign w:val="center"/>
                </w:tcPr>
                <w:p w14:paraId="1B688A4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991" w:type="dxa"/>
                  <w:vMerge w:val="continue"/>
                  <w:tcBorders>
                    <w:tl2br w:val="nil"/>
                    <w:tr2bl w:val="nil"/>
                  </w:tcBorders>
                  <w:noWrap w:val="0"/>
                  <w:vAlign w:val="center"/>
                </w:tcPr>
                <w:p w14:paraId="639BCB4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818" w:type="dxa"/>
                  <w:vMerge w:val="continue"/>
                  <w:tcBorders>
                    <w:tl2br w:val="nil"/>
                    <w:tr2bl w:val="nil"/>
                  </w:tcBorders>
                  <w:noWrap w:val="0"/>
                  <w:vAlign w:val="center"/>
                </w:tcPr>
                <w:p w14:paraId="5879226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410" w:type="dxa"/>
                  <w:vMerge w:val="continue"/>
                  <w:tcBorders>
                    <w:tl2br w:val="nil"/>
                    <w:tr2bl w:val="nil"/>
                  </w:tcBorders>
                  <w:noWrap w:val="0"/>
                  <w:vAlign w:val="center"/>
                </w:tcPr>
                <w:p w14:paraId="739E0BB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557" w:type="dxa"/>
                  <w:vMerge w:val="continue"/>
                  <w:tcBorders>
                    <w:tl2br w:val="nil"/>
                    <w:tr2bl w:val="nil"/>
                  </w:tcBorders>
                  <w:noWrap w:val="0"/>
                  <w:vAlign w:val="center"/>
                </w:tcPr>
                <w:p w14:paraId="6A27AEA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170" w:type="dxa"/>
                  <w:vMerge w:val="continue"/>
                  <w:tcBorders>
                    <w:tl2br w:val="nil"/>
                    <w:tr2bl w:val="nil"/>
                  </w:tcBorders>
                  <w:noWrap w:val="0"/>
                  <w:vAlign w:val="center"/>
                </w:tcPr>
                <w:p w14:paraId="23D16CB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p>
              </w:tc>
              <w:tc>
                <w:tcPr>
                  <w:tcW w:w="673" w:type="dxa"/>
                  <w:tcBorders>
                    <w:tl2br w:val="nil"/>
                    <w:tr2bl w:val="nil"/>
                  </w:tcBorders>
                  <w:noWrap w:val="0"/>
                  <w:vAlign w:val="center"/>
                </w:tcPr>
                <w:p w14:paraId="0C75A5C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工艺</w:t>
                  </w:r>
                </w:p>
              </w:tc>
              <w:tc>
                <w:tcPr>
                  <w:tcW w:w="1127" w:type="dxa"/>
                  <w:tcBorders>
                    <w:tl2br w:val="nil"/>
                    <w:tr2bl w:val="nil"/>
                  </w:tcBorders>
                  <w:noWrap w:val="0"/>
                  <w:vAlign w:val="center"/>
                </w:tcPr>
                <w:p w14:paraId="6C7384E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处置量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sz w:val="21"/>
                      <w:szCs w:val="21"/>
                      <w:highlight w:val="none"/>
                      <w:lang w:eastAsia="zh-CN"/>
                    </w:rPr>
                    <w:t>）</w:t>
                  </w:r>
                </w:p>
              </w:tc>
              <w:tc>
                <w:tcPr>
                  <w:tcW w:w="1183" w:type="dxa"/>
                  <w:vMerge w:val="continue"/>
                  <w:tcBorders>
                    <w:tl2br w:val="nil"/>
                    <w:tr2bl w:val="nil"/>
                  </w:tcBorders>
                  <w:noWrap w:val="0"/>
                  <w:vAlign w:val="center"/>
                </w:tcPr>
                <w:p w14:paraId="4D9622D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r>
            <w:tr w14:paraId="3A89D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34" w:type="dxa"/>
                  <w:tcBorders>
                    <w:tl2br w:val="nil"/>
                    <w:tr2bl w:val="nil"/>
                  </w:tcBorders>
                  <w:noWrap w:val="0"/>
                  <w:vAlign w:val="center"/>
                </w:tcPr>
                <w:p w14:paraId="3F8ACC1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员工</w:t>
                  </w:r>
                </w:p>
              </w:tc>
              <w:tc>
                <w:tcPr>
                  <w:tcW w:w="991" w:type="dxa"/>
                  <w:tcBorders>
                    <w:tl2br w:val="nil"/>
                    <w:tr2bl w:val="nil"/>
                  </w:tcBorders>
                  <w:noWrap w:val="0"/>
                  <w:vAlign w:val="center"/>
                </w:tcPr>
                <w:p w14:paraId="0E4CF1B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p>
              </w:tc>
              <w:tc>
                <w:tcPr>
                  <w:tcW w:w="818" w:type="dxa"/>
                  <w:tcBorders>
                    <w:tl2br w:val="nil"/>
                    <w:tr2bl w:val="nil"/>
                  </w:tcBorders>
                  <w:shd w:val="clear" w:color="auto" w:fill="auto"/>
                  <w:noWrap w:val="0"/>
                  <w:vAlign w:val="center"/>
                </w:tcPr>
                <w:p w14:paraId="102FA4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 xml:space="preserve">SW64 </w:t>
                  </w:r>
                </w:p>
              </w:tc>
              <w:tc>
                <w:tcPr>
                  <w:tcW w:w="1410" w:type="dxa"/>
                  <w:tcBorders>
                    <w:tl2br w:val="nil"/>
                    <w:tr2bl w:val="nil"/>
                  </w:tcBorders>
                  <w:shd w:val="clear" w:color="auto" w:fill="auto"/>
                  <w:noWrap w:val="0"/>
                  <w:vAlign w:val="center"/>
                </w:tcPr>
                <w:p w14:paraId="5137EE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rPr>
                    <w:t xml:space="preserve">900-099-S64 </w:t>
                  </w:r>
                </w:p>
              </w:tc>
              <w:tc>
                <w:tcPr>
                  <w:tcW w:w="557" w:type="dxa"/>
                  <w:vMerge w:val="restart"/>
                  <w:tcBorders>
                    <w:tl2br w:val="nil"/>
                    <w:tr2bl w:val="nil"/>
                  </w:tcBorders>
                  <w:noWrap w:val="0"/>
                  <w:vAlign w:val="center"/>
                </w:tcPr>
                <w:p w14:paraId="28DB03C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一般废物</w:t>
                  </w:r>
                </w:p>
              </w:tc>
              <w:tc>
                <w:tcPr>
                  <w:tcW w:w="1170" w:type="dxa"/>
                  <w:tcBorders>
                    <w:tl2br w:val="nil"/>
                    <w:tr2bl w:val="nil"/>
                  </w:tcBorders>
                  <w:noWrap w:val="0"/>
                  <w:vAlign w:val="center"/>
                </w:tcPr>
                <w:p w14:paraId="59206E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1.83</w:t>
                  </w:r>
                </w:p>
              </w:tc>
              <w:tc>
                <w:tcPr>
                  <w:tcW w:w="673" w:type="dxa"/>
                  <w:tcBorders>
                    <w:tl2br w:val="nil"/>
                    <w:tr2bl w:val="nil"/>
                  </w:tcBorders>
                  <w:noWrap w:val="0"/>
                  <w:vAlign w:val="center"/>
                </w:tcPr>
                <w:p w14:paraId="0CA2D98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委托处置</w:t>
                  </w:r>
                </w:p>
              </w:tc>
              <w:tc>
                <w:tcPr>
                  <w:tcW w:w="1127" w:type="dxa"/>
                  <w:tcBorders>
                    <w:tl2br w:val="nil"/>
                    <w:tr2bl w:val="nil"/>
                  </w:tcBorders>
                  <w:noWrap w:val="0"/>
                  <w:vAlign w:val="center"/>
                </w:tcPr>
                <w:p w14:paraId="3355D6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1.83</w:t>
                  </w:r>
                </w:p>
              </w:tc>
              <w:tc>
                <w:tcPr>
                  <w:tcW w:w="1183" w:type="dxa"/>
                  <w:tcBorders>
                    <w:tl2br w:val="nil"/>
                    <w:tr2bl w:val="nil"/>
                  </w:tcBorders>
                  <w:noWrap w:val="0"/>
                  <w:vAlign w:val="center"/>
                </w:tcPr>
                <w:p w14:paraId="25AA1D7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交由环卫部门清运</w:t>
                  </w:r>
                </w:p>
              </w:tc>
            </w:tr>
            <w:tr w14:paraId="315A2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34" w:type="dxa"/>
                  <w:tcBorders>
                    <w:tl2br w:val="nil"/>
                    <w:tr2bl w:val="nil"/>
                  </w:tcBorders>
                  <w:noWrap w:val="0"/>
                  <w:vAlign w:val="center"/>
                </w:tcPr>
                <w:p w14:paraId="555EFE6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污水处理</w:t>
                  </w:r>
                </w:p>
              </w:tc>
              <w:tc>
                <w:tcPr>
                  <w:tcW w:w="991" w:type="dxa"/>
                  <w:tcBorders>
                    <w:tl2br w:val="nil"/>
                    <w:tr2bl w:val="nil"/>
                  </w:tcBorders>
                  <w:noWrap w:val="0"/>
                  <w:vAlign w:val="center"/>
                </w:tcPr>
                <w:p w14:paraId="122FC3B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化粪池污泥</w:t>
                  </w:r>
                </w:p>
              </w:tc>
              <w:tc>
                <w:tcPr>
                  <w:tcW w:w="818" w:type="dxa"/>
                  <w:tcBorders>
                    <w:tl2br w:val="nil"/>
                    <w:tr2bl w:val="nil"/>
                  </w:tcBorders>
                  <w:shd w:val="clear" w:color="auto" w:fill="auto"/>
                  <w:noWrap w:val="0"/>
                  <w:vAlign w:val="center"/>
                </w:tcPr>
                <w:p w14:paraId="0D3E7D23">
                  <w:pPr>
                    <w:keepNext w:val="0"/>
                    <w:keepLines w:val="0"/>
                    <w:suppressLineNumbers w:val="0"/>
                    <w:spacing w:before="0" w:beforeAutospacing="0" w:after="0" w:afterAutospacing="0"/>
                    <w:ind w:left="0" w:right="0"/>
                    <w:jc w:val="center"/>
                    <w:rPr>
                      <w:rFonts w:hint="eastAsia" w:cs="Times New Roman"/>
                      <w:color w:val="auto"/>
                      <w:sz w:val="21"/>
                      <w:szCs w:val="21"/>
                      <w:highlight w:val="none"/>
                    </w:rPr>
                  </w:pPr>
                  <w:r>
                    <w:rPr>
                      <w:rFonts w:hint="eastAsia" w:cs="Times New Roman"/>
                      <w:color w:val="auto"/>
                      <w:sz w:val="21"/>
                      <w:szCs w:val="21"/>
                      <w:highlight w:val="none"/>
                    </w:rPr>
                    <w:t>SW07</w:t>
                  </w:r>
                </w:p>
              </w:tc>
              <w:tc>
                <w:tcPr>
                  <w:tcW w:w="1410" w:type="dxa"/>
                  <w:tcBorders>
                    <w:tl2br w:val="nil"/>
                    <w:tr2bl w:val="nil"/>
                  </w:tcBorders>
                  <w:shd w:val="clear" w:color="auto" w:fill="auto"/>
                  <w:noWrap w:val="0"/>
                  <w:vAlign w:val="center"/>
                </w:tcPr>
                <w:p w14:paraId="06463665">
                  <w:pPr>
                    <w:keepNext w:val="0"/>
                    <w:keepLines w:val="0"/>
                    <w:suppressLineNumbers w:val="0"/>
                    <w:spacing w:before="0" w:beforeAutospacing="0" w:after="0" w:afterAutospacing="0"/>
                    <w:ind w:left="0" w:right="0"/>
                    <w:jc w:val="center"/>
                    <w:rPr>
                      <w:rFonts w:hint="eastAsia" w:cs="Times New Roman"/>
                      <w:color w:val="auto"/>
                      <w:sz w:val="21"/>
                      <w:szCs w:val="21"/>
                      <w:highlight w:val="none"/>
                    </w:rPr>
                  </w:pPr>
                  <w:r>
                    <w:rPr>
                      <w:rFonts w:hint="eastAsia" w:cs="Times New Roman"/>
                      <w:color w:val="auto"/>
                      <w:sz w:val="21"/>
                      <w:szCs w:val="21"/>
                      <w:highlight w:val="none"/>
                    </w:rPr>
                    <w:t>900-099-S07</w:t>
                  </w:r>
                </w:p>
              </w:tc>
              <w:tc>
                <w:tcPr>
                  <w:tcW w:w="557" w:type="dxa"/>
                  <w:vMerge w:val="continue"/>
                  <w:tcBorders>
                    <w:tl2br w:val="nil"/>
                    <w:tr2bl w:val="nil"/>
                  </w:tcBorders>
                  <w:noWrap w:val="0"/>
                  <w:vAlign w:val="center"/>
                </w:tcPr>
                <w:p w14:paraId="619650D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170" w:type="dxa"/>
                  <w:tcBorders>
                    <w:tl2br w:val="nil"/>
                    <w:tr2bl w:val="nil"/>
                  </w:tcBorders>
                  <w:noWrap w:val="0"/>
                  <w:vAlign w:val="center"/>
                </w:tcPr>
                <w:p w14:paraId="1E5F06C0">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w:t>
                  </w:r>
                </w:p>
              </w:tc>
              <w:tc>
                <w:tcPr>
                  <w:tcW w:w="673" w:type="dxa"/>
                  <w:tcBorders>
                    <w:tl2br w:val="nil"/>
                    <w:tr2bl w:val="nil"/>
                  </w:tcBorders>
                  <w:noWrap w:val="0"/>
                  <w:vAlign w:val="center"/>
                </w:tcPr>
                <w:p w14:paraId="0D253C5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eastAsia" w:cs="Times New Roman"/>
                      <w:snapToGrid w:val="0"/>
                      <w:color w:val="auto"/>
                      <w:kern w:val="2"/>
                      <w:sz w:val="21"/>
                      <w:szCs w:val="21"/>
                      <w:highlight w:val="none"/>
                      <w:lang w:val="en-US" w:eastAsia="zh-CN" w:bidi="ar-SA"/>
                    </w:rPr>
                    <w:t>委托处置</w:t>
                  </w:r>
                </w:p>
              </w:tc>
              <w:tc>
                <w:tcPr>
                  <w:tcW w:w="1127" w:type="dxa"/>
                  <w:tcBorders>
                    <w:tl2br w:val="nil"/>
                    <w:tr2bl w:val="nil"/>
                  </w:tcBorders>
                  <w:noWrap w:val="0"/>
                  <w:vAlign w:val="center"/>
                </w:tcPr>
                <w:p w14:paraId="221C961B">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auto"/>
                      <w:kern w:val="0"/>
                      <w:sz w:val="21"/>
                      <w:szCs w:val="21"/>
                      <w:highlight w:val="none"/>
                      <w:u w:val="none"/>
                      <w:lang w:val="en-US" w:eastAsia="zh-CN" w:bidi="ar"/>
                    </w:rPr>
                  </w:pPr>
                  <w:r>
                    <w:rPr>
                      <w:rFonts w:hint="eastAsia"/>
                      <w:color w:val="auto"/>
                      <w:kern w:val="0"/>
                      <w:sz w:val="21"/>
                      <w:szCs w:val="21"/>
                      <w:highlight w:val="none"/>
                      <w:lang w:val="en-US" w:eastAsia="zh-CN"/>
                    </w:rPr>
                    <w:t>1.5</w:t>
                  </w:r>
                </w:p>
              </w:tc>
              <w:tc>
                <w:tcPr>
                  <w:tcW w:w="1183" w:type="dxa"/>
                  <w:tcBorders>
                    <w:tl2br w:val="nil"/>
                    <w:tr2bl w:val="nil"/>
                  </w:tcBorders>
                  <w:noWrap w:val="0"/>
                  <w:vAlign w:val="center"/>
                </w:tcPr>
                <w:p w14:paraId="1B3DE8B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环卫部门定期清掏</w:t>
                  </w:r>
                </w:p>
              </w:tc>
            </w:tr>
            <w:tr w14:paraId="1483E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34" w:type="dxa"/>
                  <w:tcBorders>
                    <w:tl2br w:val="nil"/>
                    <w:tr2bl w:val="nil"/>
                  </w:tcBorders>
                  <w:noWrap w:val="0"/>
                  <w:vAlign w:val="center"/>
                </w:tcPr>
                <w:p w14:paraId="6C5B3DC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废水处理</w:t>
                  </w:r>
                </w:p>
              </w:tc>
              <w:tc>
                <w:tcPr>
                  <w:tcW w:w="991" w:type="dxa"/>
                  <w:tcBorders>
                    <w:tl2br w:val="nil"/>
                    <w:tr2bl w:val="nil"/>
                  </w:tcBorders>
                  <w:noWrap w:val="0"/>
                  <w:vAlign w:val="center"/>
                </w:tcPr>
                <w:p w14:paraId="5C9B232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隔油池废油</w:t>
                  </w:r>
                </w:p>
              </w:tc>
              <w:tc>
                <w:tcPr>
                  <w:tcW w:w="818" w:type="dxa"/>
                  <w:tcBorders>
                    <w:tl2br w:val="nil"/>
                    <w:tr2bl w:val="nil"/>
                  </w:tcBorders>
                  <w:shd w:val="clear" w:color="auto" w:fill="auto"/>
                  <w:noWrap w:val="0"/>
                  <w:vAlign w:val="center"/>
                </w:tcPr>
                <w:p w14:paraId="5941F3A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HW08</w:t>
                  </w:r>
                </w:p>
              </w:tc>
              <w:tc>
                <w:tcPr>
                  <w:tcW w:w="1410" w:type="dxa"/>
                  <w:tcBorders>
                    <w:tl2br w:val="nil"/>
                    <w:tr2bl w:val="nil"/>
                  </w:tcBorders>
                  <w:shd w:val="clear" w:color="auto" w:fill="auto"/>
                  <w:noWrap w:val="0"/>
                  <w:vAlign w:val="center"/>
                </w:tcPr>
                <w:p w14:paraId="6732183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900-210-08</w:t>
                  </w:r>
                </w:p>
              </w:tc>
              <w:tc>
                <w:tcPr>
                  <w:tcW w:w="557" w:type="dxa"/>
                  <w:vMerge w:val="restart"/>
                  <w:tcBorders>
                    <w:tl2br w:val="nil"/>
                    <w:tr2bl w:val="nil"/>
                  </w:tcBorders>
                  <w:noWrap w:val="0"/>
                  <w:vAlign w:val="center"/>
                </w:tcPr>
                <w:p w14:paraId="49B64C0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w:t>
                  </w:r>
                </w:p>
              </w:tc>
              <w:tc>
                <w:tcPr>
                  <w:tcW w:w="1170" w:type="dxa"/>
                  <w:tcBorders>
                    <w:tl2br w:val="nil"/>
                    <w:tr2bl w:val="nil"/>
                  </w:tcBorders>
                  <w:noWrap w:val="0"/>
                  <w:vAlign w:val="center"/>
                </w:tcPr>
                <w:p w14:paraId="1611B5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2</w:t>
                  </w:r>
                </w:p>
              </w:tc>
              <w:tc>
                <w:tcPr>
                  <w:tcW w:w="673" w:type="dxa"/>
                  <w:tcBorders>
                    <w:tl2br w:val="nil"/>
                    <w:tr2bl w:val="nil"/>
                  </w:tcBorders>
                  <w:noWrap w:val="0"/>
                  <w:vAlign w:val="center"/>
                </w:tcPr>
                <w:p w14:paraId="6827CE3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委托处置</w:t>
                  </w:r>
                </w:p>
              </w:tc>
              <w:tc>
                <w:tcPr>
                  <w:tcW w:w="1127" w:type="dxa"/>
                  <w:tcBorders>
                    <w:tl2br w:val="nil"/>
                    <w:tr2bl w:val="nil"/>
                  </w:tcBorders>
                  <w:noWrap w:val="0"/>
                  <w:vAlign w:val="center"/>
                </w:tcPr>
                <w:p w14:paraId="2B1AC3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2</w:t>
                  </w:r>
                </w:p>
              </w:tc>
              <w:tc>
                <w:tcPr>
                  <w:tcW w:w="1183" w:type="dxa"/>
                  <w:tcBorders>
                    <w:tl2br w:val="nil"/>
                    <w:tr2bl w:val="nil"/>
                  </w:tcBorders>
                  <w:noWrap w:val="0"/>
                  <w:vAlign w:val="center"/>
                </w:tcPr>
                <w:p w14:paraId="05CA084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交由具资质单位清运处置</w:t>
                  </w:r>
                </w:p>
              </w:tc>
            </w:tr>
            <w:tr w14:paraId="1127E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34" w:type="dxa"/>
                  <w:vMerge w:val="restart"/>
                  <w:tcBorders>
                    <w:tl2br w:val="nil"/>
                    <w:tr2bl w:val="nil"/>
                  </w:tcBorders>
                  <w:noWrap w:val="0"/>
                  <w:vAlign w:val="center"/>
                </w:tcPr>
                <w:p w14:paraId="23441DD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运营过程</w:t>
                  </w:r>
                </w:p>
              </w:tc>
              <w:tc>
                <w:tcPr>
                  <w:tcW w:w="991" w:type="dxa"/>
                  <w:tcBorders>
                    <w:tl2br w:val="nil"/>
                    <w:tr2bl w:val="nil"/>
                  </w:tcBorders>
                  <w:noWrap w:val="0"/>
                  <w:vAlign w:val="center"/>
                </w:tcPr>
                <w:p w14:paraId="4E4000C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130" w:rightChars="-54"/>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清罐废水及废渣</w:t>
                  </w:r>
                </w:p>
              </w:tc>
              <w:tc>
                <w:tcPr>
                  <w:tcW w:w="818" w:type="dxa"/>
                  <w:tcBorders>
                    <w:tl2br w:val="nil"/>
                    <w:tr2bl w:val="nil"/>
                  </w:tcBorders>
                  <w:shd w:val="clear" w:color="auto" w:fill="auto"/>
                  <w:noWrap w:val="0"/>
                  <w:vAlign w:val="center"/>
                </w:tcPr>
                <w:p w14:paraId="014D482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HW08</w:t>
                  </w:r>
                </w:p>
              </w:tc>
              <w:tc>
                <w:tcPr>
                  <w:tcW w:w="1410" w:type="dxa"/>
                  <w:tcBorders>
                    <w:tl2br w:val="nil"/>
                    <w:tr2bl w:val="nil"/>
                  </w:tcBorders>
                  <w:shd w:val="clear" w:color="auto" w:fill="auto"/>
                  <w:noWrap w:val="0"/>
                  <w:vAlign w:val="center"/>
                </w:tcPr>
                <w:p w14:paraId="452929C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251-001-08</w:t>
                  </w:r>
                </w:p>
              </w:tc>
              <w:tc>
                <w:tcPr>
                  <w:tcW w:w="557" w:type="dxa"/>
                  <w:vMerge w:val="continue"/>
                  <w:tcBorders>
                    <w:tl2br w:val="nil"/>
                    <w:tr2bl w:val="nil"/>
                  </w:tcBorders>
                  <w:noWrap w:val="0"/>
                  <w:vAlign w:val="center"/>
                </w:tcPr>
                <w:p w14:paraId="416A09D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170" w:type="dxa"/>
                  <w:tcBorders>
                    <w:tl2br w:val="nil"/>
                    <w:tr2bl w:val="nil"/>
                  </w:tcBorders>
                  <w:noWrap w:val="0"/>
                  <w:vAlign w:val="center"/>
                </w:tcPr>
                <w:p w14:paraId="0DDEBD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3t/3年</w:t>
                  </w:r>
                </w:p>
              </w:tc>
              <w:tc>
                <w:tcPr>
                  <w:tcW w:w="673" w:type="dxa"/>
                  <w:tcBorders>
                    <w:tl2br w:val="nil"/>
                    <w:tr2bl w:val="nil"/>
                  </w:tcBorders>
                  <w:noWrap w:val="0"/>
                  <w:vAlign w:val="center"/>
                </w:tcPr>
                <w:p w14:paraId="4BFFE47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委托处置</w:t>
                  </w:r>
                </w:p>
              </w:tc>
              <w:tc>
                <w:tcPr>
                  <w:tcW w:w="1127" w:type="dxa"/>
                  <w:tcBorders>
                    <w:tl2br w:val="nil"/>
                    <w:tr2bl w:val="nil"/>
                  </w:tcBorders>
                  <w:noWrap w:val="0"/>
                  <w:vAlign w:val="center"/>
                </w:tcPr>
                <w:p w14:paraId="4BD46D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3t/3年</w:t>
                  </w:r>
                </w:p>
              </w:tc>
              <w:tc>
                <w:tcPr>
                  <w:tcW w:w="1183" w:type="dxa"/>
                  <w:tcBorders>
                    <w:tl2br w:val="nil"/>
                    <w:tr2bl w:val="nil"/>
                  </w:tcBorders>
                  <w:noWrap w:val="0"/>
                  <w:vAlign w:val="center"/>
                </w:tcPr>
                <w:p w14:paraId="7C0416E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委托</w:t>
                  </w:r>
                  <w:r>
                    <w:rPr>
                      <w:rFonts w:hint="eastAsia" w:ascii="Times New Roman" w:hAnsi="Times New Roman" w:eastAsia="宋体" w:cs="Times New Roman"/>
                      <w:color w:val="auto"/>
                      <w:sz w:val="21"/>
                      <w:szCs w:val="21"/>
                      <w:highlight w:val="none"/>
                      <w:lang w:val="en-US" w:eastAsia="zh-CN"/>
                    </w:rPr>
                    <w:t>清罐公司带走处理</w:t>
                  </w:r>
                </w:p>
              </w:tc>
            </w:tr>
            <w:tr w14:paraId="4090B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34" w:type="dxa"/>
                  <w:vMerge w:val="continue"/>
                  <w:tcBorders>
                    <w:tl2br w:val="nil"/>
                    <w:tr2bl w:val="nil"/>
                  </w:tcBorders>
                  <w:noWrap w:val="0"/>
                  <w:vAlign w:val="center"/>
                </w:tcPr>
                <w:p w14:paraId="0A36915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991" w:type="dxa"/>
                  <w:tcBorders>
                    <w:tl2br w:val="nil"/>
                    <w:tr2bl w:val="nil"/>
                  </w:tcBorders>
                  <w:noWrap w:val="0"/>
                  <w:vAlign w:val="center"/>
                </w:tcPr>
                <w:p w14:paraId="57DFD94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130" w:rightChars="-54"/>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油品检验过程中产生的废油</w:t>
                  </w:r>
                </w:p>
              </w:tc>
              <w:tc>
                <w:tcPr>
                  <w:tcW w:w="818" w:type="dxa"/>
                  <w:tcBorders>
                    <w:tl2br w:val="nil"/>
                    <w:tr2bl w:val="nil"/>
                  </w:tcBorders>
                  <w:shd w:val="clear" w:color="auto" w:fill="auto"/>
                  <w:noWrap w:val="0"/>
                  <w:vAlign w:val="center"/>
                </w:tcPr>
                <w:p w14:paraId="1975CE7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HW08</w:t>
                  </w:r>
                </w:p>
              </w:tc>
              <w:tc>
                <w:tcPr>
                  <w:tcW w:w="1410" w:type="dxa"/>
                  <w:tcBorders>
                    <w:tl2br w:val="nil"/>
                    <w:tr2bl w:val="nil"/>
                  </w:tcBorders>
                  <w:shd w:val="clear" w:color="auto" w:fill="auto"/>
                  <w:noWrap w:val="0"/>
                  <w:vAlign w:val="center"/>
                </w:tcPr>
                <w:p w14:paraId="138D3CE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900-249-08</w:t>
                  </w:r>
                </w:p>
              </w:tc>
              <w:tc>
                <w:tcPr>
                  <w:tcW w:w="557" w:type="dxa"/>
                  <w:vMerge w:val="continue"/>
                  <w:tcBorders>
                    <w:tl2br w:val="nil"/>
                    <w:tr2bl w:val="nil"/>
                  </w:tcBorders>
                  <w:noWrap w:val="0"/>
                  <w:vAlign w:val="center"/>
                </w:tcPr>
                <w:p w14:paraId="75F448D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170" w:type="dxa"/>
                  <w:tcBorders>
                    <w:tl2br w:val="nil"/>
                    <w:tr2bl w:val="nil"/>
                  </w:tcBorders>
                  <w:noWrap w:val="0"/>
                  <w:vAlign w:val="center"/>
                </w:tcPr>
                <w:p w14:paraId="1B8063A6">
                  <w:pPr>
                    <w:keepNext w:val="0"/>
                    <w:keepLines w:val="0"/>
                    <w:widowControl/>
                    <w:suppressLineNumbers w:val="0"/>
                    <w:spacing w:before="0" w:beforeAutospacing="0" w:after="0" w:afterAutospacing="0"/>
                    <w:ind w:left="0" w:right="0"/>
                    <w:jc w:val="center"/>
                    <w:textAlignment w:val="center"/>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w:t>
                  </w:r>
                </w:p>
              </w:tc>
              <w:tc>
                <w:tcPr>
                  <w:tcW w:w="673" w:type="dxa"/>
                  <w:tcBorders>
                    <w:tl2br w:val="nil"/>
                    <w:tr2bl w:val="nil"/>
                  </w:tcBorders>
                  <w:noWrap w:val="0"/>
                  <w:vAlign w:val="center"/>
                </w:tcPr>
                <w:p w14:paraId="7948C95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委托处置</w:t>
                  </w:r>
                </w:p>
              </w:tc>
              <w:tc>
                <w:tcPr>
                  <w:tcW w:w="1127" w:type="dxa"/>
                  <w:tcBorders>
                    <w:tl2br w:val="nil"/>
                    <w:tr2bl w:val="nil"/>
                  </w:tcBorders>
                  <w:noWrap w:val="0"/>
                  <w:vAlign w:val="center"/>
                </w:tcPr>
                <w:p w14:paraId="4A2A9FF3">
                  <w:pPr>
                    <w:keepNext w:val="0"/>
                    <w:keepLines w:val="0"/>
                    <w:widowControl/>
                    <w:suppressLineNumbers w:val="0"/>
                    <w:spacing w:before="0" w:beforeAutospacing="0" w:after="0" w:afterAutospacing="0"/>
                    <w:ind w:left="0" w:right="0"/>
                    <w:jc w:val="center"/>
                    <w:textAlignment w:val="center"/>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w:t>
                  </w:r>
                </w:p>
              </w:tc>
              <w:tc>
                <w:tcPr>
                  <w:tcW w:w="1183" w:type="dxa"/>
                  <w:vMerge w:val="restart"/>
                  <w:tcBorders>
                    <w:tl2br w:val="nil"/>
                    <w:tr2bl w:val="nil"/>
                  </w:tcBorders>
                  <w:noWrap w:val="0"/>
                  <w:vAlign w:val="center"/>
                </w:tcPr>
                <w:p w14:paraId="7C4A357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交由具资质单位清运处置</w:t>
                  </w:r>
                </w:p>
              </w:tc>
            </w:tr>
            <w:tr w14:paraId="59F1E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34" w:type="dxa"/>
                  <w:vMerge w:val="continue"/>
                  <w:tcBorders>
                    <w:tl2br w:val="nil"/>
                    <w:tr2bl w:val="nil"/>
                  </w:tcBorders>
                  <w:noWrap w:val="0"/>
                  <w:vAlign w:val="center"/>
                </w:tcPr>
                <w:p w14:paraId="090C8E4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991" w:type="dxa"/>
                  <w:tcBorders>
                    <w:tl2br w:val="nil"/>
                    <w:tr2bl w:val="nil"/>
                  </w:tcBorders>
                  <w:noWrap w:val="0"/>
                  <w:vAlign w:val="center"/>
                </w:tcPr>
                <w:p w14:paraId="21CE9B5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130" w:rightChars="-54"/>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沾油废物</w:t>
                  </w:r>
                </w:p>
              </w:tc>
              <w:tc>
                <w:tcPr>
                  <w:tcW w:w="818" w:type="dxa"/>
                  <w:tcBorders>
                    <w:tl2br w:val="nil"/>
                    <w:tr2bl w:val="nil"/>
                  </w:tcBorders>
                  <w:shd w:val="clear" w:color="auto" w:fill="auto"/>
                  <w:noWrap w:val="0"/>
                  <w:vAlign w:val="center"/>
                </w:tcPr>
                <w:p w14:paraId="0FFB481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HW49</w:t>
                  </w:r>
                </w:p>
              </w:tc>
              <w:tc>
                <w:tcPr>
                  <w:tcW w:w="1410" w:type="dxa"/>
                  <w:tcBorders>
                    <w:tl2br w:val="nil"/>
                    <w:tr2bl w:val="nil"/>
                  </w:tcBorders>
                  <w:shd w:val="clear" w:color="auto" w:fill="auto"/>
                  <w:noWrap w:val="0"/>
                  <w:vAlign w:val="center"/>
                </w:tcPr>
                <w:p w14:paraId="0D9EC38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900-041-49</w:t>
                  </w:r>
                </w:p>
              </w:tc>
              <w:tc>
                <w:tcPr>
                  <w:tcW w:w="557" w:type="dxa"/>
                  <w:vMerge w:val="continue"/>
                  <w:tcBorders>
                    <w:tl2br w:val="nil"/>
                    <w:tr2bl w:val="nil"/>
                  </w:tcBorders>
                  <w:noWrap w:val="0"/>
                  <w:vAlign w:val="center"/>
                </w:tcPr>
                <w:p w14:paraId="07DF3C0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170" w:type="dxa"/>
                  <w:tcBorders>
                    <w:tl2br w:val="nil"/>
                    <w:tr2bl w:val="nil"/>
                  </w:tcBorders>
                  <w:noWrap w:val="0"/>
                  <w:vAlign w:val="center"/>
                </w:tcPr>
                <w:p w14:paraId="70E5E0A2">
                  <w:pPr>
                    <w:keepNext w:val="0"/>
                    <w:keepLines w:val="0"/>
                    <w:widowControl/>
                    <w:suppressLineNumbers w:val="0"/>
                    <w:spacing w:before="0" w:beforeAutospacing="0" w:after="0" w:afterAutospacing="0"/>
                    <w:ind w:left="0" w:right="0"/>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673" w:type="dxa"/>
                  <w:tcBorders>
                    <w:tl2br w:val="nil"/>
                    <w:tr2bl w:val="nil"/>
                  </w:tcBorders>
                  <w:noWrap w:val="0"/>
                  <w:vAlign w:val="center"/>
                </w:tcPr>
                <w:p w14:paraId="402B05C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委托处置</w:t>
                  </w:r>
                </w:p>
              </w:tc>
              <w:tc>
                <w:tcPr>
                  <w:tcW w:w="1127" w:type="dxa"/>
                  <w:tcBorders>
                    <w:tl2br w:val="nil"/>
                    <w:tr2bl w:val="nil"/>
                  </w:tcBorders>
                  <w:noWrap w:val="0"/>
                  <w:vAlign w:val="center"/>
                </w:tcPr>
                <w:p w14:paraId="03FC5B90">
                  <w:pPr>
                    <w:keepNext w:val="0"/>
                    <w:keepLines w:val="0"/>
                    <w:widowControl/>
                    <w:suppressLineNumbers w:val="0"/>
                    <w:spacing w:before="0" w:beforeAutospacing="0" w:after="0" w:afterAutospacing="0"/>
                    <w:ind w:left="0" w:right="0"/>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1183" w:type="dxa"/>
                  <w:vMerge w:val="continue"/>
                  <w:tcBorders>
                    <w:tl2br w:val="nil"/>
                    <w:tr2bl w:val="nil"/>
                  </w:tcBorders>
                  <w:noWrap w:val="0"/>
                  <w:vAlign w:val="center"/>
                </w:tcPr>
                <w:p w14:paraId="727B30B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r>
          </w:tbl>
          <w:p w14:paraId="667BE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根据《危险废物贮存污染控制标准》（GB18597-2023）中有关要求，建设单位应按规范设置1间危废暂存间（建筑面积约</w:t>
            </w:r>
            <w:r>
              <w:rPr>
                <w:rFonts w:hint="eastAsia"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m</w:t>
            </w:r>
            <w:r>
              <w:rPr>
                <w:rFonts w:hint="default" w:ascii="Times New Roman" w:hAnsi="Times New Roman" w:eastAsia="宋体" w:cs="Times New Roman"/>
                <w:b/>
                <w:color w:val="auto"/>
                <w:sz w:val="24"/>
                <w:szCs w:val="24"/>
                <w:highlight w:val="none"/>
                <w:vertAlign w:val="superscript"/>
              </w:rPr>
              <w:t>2</w:t>
            </w:r>
            <w:r>
              <w:rPr>
                <w:rFonts w:hint="default" w:ascii="Times New Roman" w:hAnsi="Times New Roman" w:eastAsia="宋体" w:cs="Times New Roman"/>
                <w:b/>
                <w:color w:val="auto"/>
                <w:sz w:val="24"/>
                <w:szCs w:val="24"/>
                <w:highlight w:val="none"/>
              </w:rPr>
              <w:t>），危险废物需经分类收集后暂存于危废暂存间，定期交由具资质单位处理，并签订危废处置协议。危废暂存间设置及危废转运过程中，需严格按照下列要求进行：</w:t>
            </w:r>
          </w:p>
          <w:p w14:paraId="1CCBB5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a.按照《危险废物贮存污染控制标准》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w:t>
            </w:r>
            <w:r>
              <w:rPr>
                <w:rFonts w:hint="eastAsia" w:eastAsia="宋体" w:cs="Times New Roman"/>
                <w:color w:val="auto"/>
                <w:sz w:val="24"/>
                <w:szCs w:val="24"/>
                <w:highlight w:val="none"/>
                <w:lang w:val="en-US" w:eastAsia="zh-CN"/>
              </w:rPr>
              <w:t>8597</w:t>
            </w:r>
            <w:r>
              <w:rPr>
                <w:rFonts w:hint="default" w:ascii="Times New Roman" w:hAnsi="Times New Roman" w:eastAsia="宋体" w:cs="Times New Roman"/>
                <w:color w:val="auto"/>
                <w:sz w:val="24"/>
                <w:szCs w:val="24"/>
                <w:highlight w:val="none"/>
              </w:rPr>
              <w:t>-20</w:t>
            </w:r>
            <w:r>
              <w:rPr>
                <w:rFonts w:hint="eastAsia"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设计要求，设置防渗层，采取防渗混凝土+2mm厚HDPE防渗层进行防渗、防腐处理，确保防渗系数K≤1×10</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cm/s，并严格做好“防风、防雨、防晒、防漏</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防渗、防腐</w:t>
            </w:r>
            <w:r>
              <w:rPr>
                <w:rFonts w:hint="default" w:ascii="Times New Roman" w:hAnsi="Times New Roman" w:eastAsia="宋体" w:cs="Times New Roman"/>
                <w:color w:val="auto"/>
                <w:sz w:val="24"/>
                <w:szCs w:val="24"/>
                <w:highlight w:val="none"/>
              </w:rPr>
              <w:t>”措施，防止造成地下水污染。</w:t>
            </w:r>
          </w:p>
          <w:p w14:paraId="283B2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b.危险废物的收集必须按照相关规定进行，禁止在非贮存地点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容器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倾倒、堆放危险废物或者将危险废物混入其他一般工业固体废物和生活垃圾，各废物贮存需按照国家相应要求处置，贮存场所按照</w:t>
            </w:r>
            <w:r>
              <w:rPr>
                <w:rFonts w:hint="eastAsia"/>
                <w:bCs/>
                <w:color w:val="auto"/>
                <w:sz w:val="24"/>
                <w:szCs w:val="24"/>
                <w:highlight w:val="none"/>
              </w:rPr>
              <w:t>《环境保护图形标志—固体废物贮存（处置）场》（GB15562.2-1995）及其修改单</w:t>
            </w:r>
            <w:r>
              <w:rPr>
                <w:rFonts w:hint="default" w:ascii="Times New Roman" w:hAnsi="Times New Roman" w:eastAsia="宋体" w:cs="Times New Roman"/>
                <w:color w:val="auto"/>
                <w:sz w:val="24"/>
                <w:szCs w:val="24"/>
                <w:highlight w:val="none"/>
              </w:rPr>
              <w:t>设置警示标识。</w:t>
            </w:r>
          </w:p>
          <w:p w14:paraId="71CC7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c.危险废物转运时必须安全转移，防止撒漏，且由</w:t>
            </w:r>
            <w:r>
              <w:rPr>
                <w:rFonts w:hint="eastAsia" w:cs="Times New Roman"/>
                <w:color w:val="auto"/>
                <w:sz w:val="24"/>
                <w:szCs w:val="24"/>
                <w:highlight w:val="none"/>
                <w:lang w:eastAsia="zh-CN"/>
              </w:rPr>
              <w:t>具有</w:t>
            </w:r>
            <w:r>
              <w:rPr>
                <w:rFonts w:hint="default" w:ascii="Times New Roman" w:hAnsi="Times New Roman" w:eastAsia="宋体" w:cs="Times New Roman"/>
                <w:color w:val="auto"/>
                <w:sz w:val="24"/>
                <w:szCs w:val="24"/>
                <w:highlight w:val="none"/>
              </w:rPr>
              <w:t>处理资质的单位</w:t>
            </w:r>
            <w:r>
              <w:rPr>
                <w:rFonts w:hint="eastAsia" w:cs="Times New Roman"/>
                <w:color w:val="auto"/>
                <w:sz w:val="24"/>
                <w:szCs w:val="24"/>
                <w:highlight w:val="none"/>
                <w:lang w:eastAsia="zh-CN"/>
              </w:rPr>
              <w:t>接收</w:t>
            </w:r>
            <w:r>
              <w:rPr>
                <w:rFonts w:hint="default" w:ascii="Times New Roman" w:hAnsi="Times New Roman" w:eastAsia="宋体" w:cs="Times New Roman"/>
                <w:color w:val="auto"/>
                <w:sz w:val="24"/>
                <w:szCs w:val="24"/>
                <w:highlight w:val="none"/>
              </w:rPr>
              <w:t>。危险废物的处置需严格按照《危险废物转移联单管理办法》规定办理危险废物转移手续，并严格执行《危险废物转移联单管理办法》规定，防止二次污染。</w:t>
            </w:r>
          </w:p>
          <w:p w14:paraId="42A85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综上所述，本项目危废暂存间基本情况见表4-1</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，危险废物处置措施见表4-1</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p>
          <w:p w14:paraId="3CF159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表4-</w:t>
            </w:r>
            <w:r>
              <w:rPr>
                <w:rFonts w:hint="eastAsia" w:eastAsia="黑体" w:cs="Times New Roman"/>
                <w:b/>
                <w:bCs/>
                <w:color w:val="auto"/>
                <w:kern w:val="0"/>
                <w:sz w:val="20"/>
                <w:szCs w:val="20"/>
                <w:highlight w:val="none"/>
                <w:lang w:val="en-US" w:eastAsia="zh-CN" w:bidi="ar-SA"/>
              </w:rPr>
              <w:t>18</w:t>
            </w:r>
            <w:r>
              <w:rPr>
                <w:rFonts w:hint="default" w:ascii="Times New Roman" w:hAnsi="Times New Roman" w:eastAsia="黑体" w:cs="Times New Roman"/>
                <w:b/>
                <w:bCs/>
                <w:color w:val="auto"/>
                <w:kern w:val="0"/>
                <w:sz w:val="20"/>
                <w:szCs w:val="20"/>
                <w:highlight w:val="none"/>
                <w:lang w:val="en-US" w:eastAsia="zh-CN" w:bidi="ar-SA"/>
              </w:rPr>
              <w:t xml:space="preserve">  危险废物贮存场所基本情况表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191"/>
              <w:gridCol w:w="1046"/>
              <w:gridCol w:w="1348"/>
              <w:gridCol w:w="895"/>
              <w:gridCol w:w="1197"/>
              <w:gridCol w:w="1030"/>
              <w:gridCol w:w="1034"/>
            </w:tblGrid>
            <w:tr w14:paraId="50DD9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532" w:type="pct"/>
                  <w:tcBorders>
                    <w:tl2br w:val="nil"/>
                    <w:tr2bl w:val="nil"/>
                  </w:tcBorders>
                  <w:noWrap w:val="0"/>
                  <w:vAlign w:val="center"/>
                </w:tcPr>
                <w:p w14:paraId="187A4C5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贮存场所名称</w:t>
                  </w:r>
                </w:p>
              </w:tc>
              <w:tc>
                <w:tcPr>
                  <w:tcW w:w="687" w:type="pct"/>
                  <w:tcBorders>
                    <w:tl2br w:val="nil"/>
                    <w:tr2bl w:val="nil"/>
                  </w:tcBorders>
                  <w:noWrap w:val="0"/>
                  <w:vAlign w:val="center"/>
                </w:tcPr>
                <w:p w14:paraId="69FDF42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危险废物名称</w:t>
                  </w:r>
                </w:p>
              </w:tc>
              <w:tc>
                <w:tcPr>
                  <w:tcW w:w="603" w:type="pct"/>
                  <w:tcBorders>
                    <w:tl2br w:val="nil"/>
                    <w:tr2bl w:val="nil"/>
                  </w:tcBorders>
                  <w:noWrap w:val="0"/>
                  <w:vAlign w:val="center"/>
                </w:tcPr>
                <w:p w14:paraId="3109E84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危险废物类别</w:t>
                  </w:r>
                </w:p>
              </w:tc>
              <w:tc>
                <w:tcPr>
                  <w:tcW w:w="777" w:type="pct"/>
                  <w:tcBorders>
                    <w:tl2br w:val="nil"/>
                    <w:tr2bl w:val="nil"/>
                  </w:tcBorders>
                  <w:noWrap w:val="0"/>
                  <w:vAlign w:val="center"/>
                </w:tcPr>
                <w:p w14:paraId="618FADB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p w14:paraId="1B0646D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代码</w:t>
                  </w:r>
                </w:p>
              </w:tc>
              <w:tc>
                <w:tcPr>
                  <w:tcW w:w="516" w:type="pct"/>
                  <w:tcBorders>
                    <w:tl2br w:val="nil"/>
                    <w:tr2bl w:val="nil"/>
                  </w:tcBorders>
                  <w:noWrap w:val="0"/>
                  <w:vAlign w:val="center"/>
                </w:tcPr>
                <w:p w14:paraId="5526921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占地</w:t>
                  </w:r>
                </w:p>
                <w:p w14:paraId="232FF55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面积</w:t>
                  </w:r>
                </w:p>
              </w:tc>
              <w:tc>
                <w:tcPr>
                  <w:tcW w:w="690" w:type="pct"/>
                  <w:tcBorders>
                    <w:tl2br w:val="nil"/>
                    <w:tr2bl w:val="nil"/>
                  </w:tcBorders>
                  <w:noWrap w:val="0"/>
                  <w:vAlign w:val="center"/>
                </w:tcPr>
                <w:p w14:paraId="529A5A6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贮存方式</w:t>
                  </w:r>
                </w:p>
              </w:tc>
              <w:tc>
                <w:tcPr>
                  <w:tcW w:w="594" w:type="pct"/>
                  <w:tcBorders>
                    <w:tl2br w:val="nil"/>
                    <w:tr2bl w:val="nil"/>
                  </w:tcBorders>
                  <w:noWrap w:val="0"/>
                  <w:vAlign w:val="center"/>
                </w:tcPr>
                <w:p w14:paraId="003BB04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w:t>
                  </w:r>
                </w:p>
                <w:p w14:paraId="18AA669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能力</w:t>
                  </w:r>
                </w:p>
              </w:tc>
              <w:tc>
                <w:tcPr>
                  <w:tcW w:w="596" w:type="pct"/>
                  <w:tcBorders>
                    <w:tl2br w:val="nil"/>
                    <w:tr2bl w:val="nil"/>
                  </w:tcBorders>
                  <w:noWrap w:val="0"/>
                  <w:vAlign w:val="center"/>
                </w:tcPr>
                <w:p w14:paraId="2D8BDD7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w:t>
                  </w:r>
                </w:p>
                <w:p w14:paraId="51E5537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周期</w:t>
                  </w:r>
                </w:p>
              </w:tc>
            </w:tr>
            <w:tr w14:paraId="3363D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32" w:type="pct"/>
                  <w:vMerge w:val="restart"/>
                  <w:tcBorders>
                    <w:tl2br w:val="nil"/>
                    <w:tr2bl w:val="nil"/>
                  </w:tcBorders>
                  <w:noWrap w:val="0"/>
                  <w:vAlign w:val="center"/>
                </w:tcPr>
                <w:p w14:paraId="03A0950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危废暂存间</w:t>
                  </w:r>
                </w:p>
              </w:tc>
              <w:tc>
                <w:tcPr>
                  <w:tcW w:w="687" w:type="pct"/>
                  <w:tcBorders>
                    <w:tl2br w:val="nil"/>
                    <w:tr2bl w:val="nil"/>
                  </w:tcBorders>
                  <w:noWrap w:val="0"/>
                  <w:vAlign w:val="center"/>
                </w:tcPr>
                <w:p w14:paraId="221CD90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隔油池废油</w:t>
                  </w:r>
                </w:p>
              </w:tc>
              <w:tc>
                <w:tcPr>
                  <w:tcW w:w="603" w:type="pct"/>
                  <w:tcBorders>
                    <w:tl2br w:val="nil"/>
                    <w:tr2bl w:val="nil"/>
                  </w:tcBorders>
                  <w:noWrap w:val="0"/>
                  <w:vAlign w:val="center"/>
                </w:tcPr>
                <w:p w14:paraId="7BB1B02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w:t>
                  </w:r>
                </w:p>
              </w:tc>
              <w:tc>
                <w:tcPr>
                  <w:tcW w:w="777" w:type="pct"/>
                  <w:tcBorders>
                    <w:tl2br w:val="nil"/>
                    <w:tr2bl w:val="nil"/>
                  </w:tcBorders>
                  <w:noWrap w:val="0"/>
                  <w:vAlign w:val="center"/>
                </w:tcPr>
                <w:p w14:paraId="27B5A04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900-210-08</w:t>
                  </w:r>
                </w:p>
              </w:tc>
              <w:tc>
                <w:tcPr>
                  <w:tcW w:w="516" w:type="pct"/>
                  <w:vMerge w:val="restart"/>
                  <w:tcBorders>
                    <w:tl2br w:val="nil"/>
                    <w:tr2bl w:val="nil"/>
                  </w:tcBorders>
                  <w:noWrap w:val="0"/>
                  <w:vAlign w:val="center"/>
                </w:tcPr>
                <w:p w14:paraId="79A2158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690" w:type="pct"/>
                  <w:tcBorders>
                    <w:tl2br w:val="nil"/>
                    <w:tr2bl w:val="nil"/>
                  </w:tcBorders>
                  <w:noWrap w:val="0"/>
                  <w:vAlign w:val="center"/>
                </w:tcPr>
                <w:p w14:paraId="50CD6C0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专用桶装</w:t>
                  </w:r>
                </w:p>
              </w:tc>
              <w:tc>
                <w:tcPr>
                  <w:tcW w:w="594" w:type="pct"/>
                  <w:tcBorders>
                    <w:tl2br w:val="nil"/>
                    <w:tr2bl w:val="nil"/>
                  </w:tcBorders>
                  <w:noWrap w:val="0"/>
                  <w:vAlign w:val="center"/>
                </w:tcPr>
                <w:p w14:paraId="02D0B81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r>
                    <w:rPr>
                      <w:rFonts w:hint="eastAsia"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t</w:t>
                  </w:r>
                </w:p>
              </w:tc>
              <w:tc>
                <w:tcPr>
                  <w:tcW w:w="596" w:type="pct"/>
                  <w:tcBorders>
                    <w:tl2br w:val="nil"/>
                    <w:tr2bl w:val="nil"/>
                  </w:tcBorders>
                  <w:noWrap w:val="0"/>
                  <w:vAlign w:val="center"/>
                </w:tcPr>
                <w:p w14:paraId="64CBBAF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eastAsia="zh-CN"/>
                    </w:rPr>
                    <w:t>五</w:t>
                  </w:r>
                  <w:r>
                    <w:rPr>
                      <w:rFonts w:hint="default" w:ascii="Times New Roman" w:hAnsi="Times New Roman" w:eastAsia="宋体" w:cs="Times New Roman"/>
                      <w:color w:val="auto"/>
                      <w:sz w:val="21"/>
                      <w:szCs w:val="21"/>
                      <w:highlight w:val="none"/>
                    </w:rPr>
                    <w:t>个月</w:t>
                  </w:r>
                </w:p>
              </w:tc>
            </w:tr>
            <w:tr w14:paraId="1D875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pct"/>
                  <w:vMerge w:val="continue"/>
                  <w:tcBorders>
                    <w:tl2br w:val="nil"/>
                    <w:tr2bl w:val="nil"/>
                  </w:tcBorders>
                  <w:noWrap w:val="0"/>
                  <w:vAlign w:val="center"/>
                </w:tcPr>
                <w:p w14:paraId="1AE6600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687" w:type="pct"/>
                  <w:tcBorders>
                    <w:tl2br w:val="nil"/>
                    <w:tr2bl w:val="nil"/>
                  </w:tcBorders>
                  <w:noWrap w:val="0"/>
                  <w:vAlign w:val="center"/>
                </w:tcPr>
                <w:p w14:paraId="4F3F9BD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130" w:rightChars="-54"/>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清罐废水及废渣</w:t>
                  </w:r>
                </w:p>
              </w:tc>
              <w:tc>
                <w:tcPr>
                  <w:tcW w:w="603" w:type="pct"/>
                  <w:tcBorders>
                    <w:tl2br w:val="nil"/>
                    <w:tr2bl w:val="nil"/>
                  </w:tcBorders>
                  <w:noWrap w:val="0"/>
                  <w:vAlign w:val="center"/>
                </w:tcPr>
                <w:p w14:paraId="495D4CE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HW08</w:t>
                  </w:r>
                </w:p>
              </w:tc>
              <w:tc>
                <w:tcPr>
                  <w:tcW w:w="777" w:type="pct"/>
                  <w:tcBorders>
                    <w:tl2br w:val="nil"/>
                    <w:tr2bl w:val="nil"/>
                  </w:tcBorders>
                  <w:noWrap w:val="0"/>
                  <w:vAlign w:val="center"/>
                </w:tcPr>
                <w:p w14:paraId="0AE4E21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251-001-08</w:t>
                  </w:r>
                </w:p>
              </w:tc>
              <w:tc>
                <w:tcPr>
                  <w:tcW w:w="516" w:type="pct"/>
                  <w:vMerge w:val="continue"/>
                  <w:tcBorders>
                    <w:tl2br w:val="nil"/>
                    <w:tr2bl w:val="nil"/>
                  </w:tcBorders>
                  <w:noWrap w:val="0"/>
                  <w:vAlign w:val="center"/>
                </w:tcPr>
                <w:p w14:paraId="76DFB9D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690" w:type="pct"/>
                  <w:tcBorders>
                    <w:tl2br w:val="nil"/>
                    <w:tr2bl w:val="nil"/>
                  </w:tcBorders>
                  <w:noWrap w:val="0"/>
                  <w:vAlign w:val="center"/>
                </w:tcPr>
                <w:p w14:paraId="3EC4ED2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专用桶装</w:t>
                  </w:r>
                </w:p>
              </w:tc>
              <w:tc>
                <w:tcPr>
                  <w:tcW w:w="594" w:type="pct"/>
                  <w:tcBorders>
                    <w:tl2br w:val="nil"/>
                    <w:tr2bl w:val="nil"/>
                  </w:tcBorders>
                  <w:noWrap w:val="0"/>
                  <w:vAlign w:val="center"/>
                </w:tcPr>
                <w:p w14:paraId="4C2998C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t</w:t>
                  </w:r>
                </w:p>
              </w:tc>
              <w:tc>
                <w:tcPr>
                  <w:tcW w:w="596" w:type="pct"/>
                  <w:tcBorders>
                    <w:tl2br w:val="nil"/>
                    <w:tr2bl w:val="nil"/>
                  </w:tcBorders>
                  <w:noWrap w:val="0"/>
                  <w:vAlign w:val="center"/>
                </w:tcPr>
                <w:p w14:paraId="2FDAF0B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lang w:val="en-US" w:eastAsia="zh-CN"/>
                    </w:rPr>
                    <w:t>个月</w:t>
                  </w:r>
                </w:p>
              </w:tc>
            </w:tr>
            <w:tr w14:paraId="4A094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pct"/>
                  <w:vMerge w:val="continue"/>
                  <w:tcBorders>
                    <w:tl2br w:val="nil"/>
                    <w:tr2bl w:val="nil"/>
                  </w:tcBorders>
                  <w:noWrap w:val="0"/>
                  <w:vAlign w:val="center"/>
                </w:tcPr>
                <w:p w14:paraId="29DC70E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687" w:type="pct"/>
                  <w:tcBorders>
                    <w:tl2br w:val="nil"/>
                    <w:tr2bl w:val="nil"/>
                  </w:tcBorders>
                  <w:noWrap w:val="0"/>
                  <w:vAlign w:val="center"/>
                </w:tcPr>
                <w:p w14:paraId="5A66FEA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130" w:rightChars="-54"/>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油品检验过程中产生的废油</w:t>
                  </w:r>
                </w:p>
              </w:tc>
              <w:tc>
                <w:tcPr>
                  <w:tcW w:w="603" w:type="pct"/>
                  <w:tcBorders>
                    <w:tl2br w:val="nil"/>
                    <w:tr2bl w:val="nil"/>
                  </w:tcBorders>
                  <w:noWrap w:val="0"/>
                  <w:vAlign w:val="center"/>
                </w:tcPr>
                <w:p w14:paraId="6811EF7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HW08</w:t>
                  </w:r>
                </w:p>
              </w:tc>
              <w:tc>
                <w:tcPr>
                  <w:tcW w:w="777" w:type="pct"/>
                  <w:tcBorders>
                    <w:tl2br w:val="nil"/>
                    <w:tr2bl w:val="nil"/>
                  </w:tcBorders>
                  <w:noWrap w:val="0"/>
                  <w:vAlign w:val="center"/>
                </w:tcPr>
                <w:p w14:paraId="717CE99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900-249-08</w:t>
                  </w:r>
                </w:p>
              </w:tc>
              <w:tc>
                <w:tcPr>
                  <w:tcW w:w="516" w:type="pct"/>
                  <w:vMerge w:val="continue"/>
                  <w:tcBorders>
                    <w:tl2br w:val="nil"/>
                    <w:tr2bl w:val="nil"/>
                  </w:tcBorders>
                  <w:noWrap w:val="0"/>
                  <w:vAlign w:val="center"/>
                </w:tcPr>
                <w:p w14:paraId="251153C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690" w:type="pct"/>
                  <w:tcBorders>
                    <w:tl2br w:val="nil"/>
                    <w:tr2bl w:val="nil"/>
                  </w:tcBorders>
                  <w:noWrap w:val="0"/>
                  <w:vAlign w:val="center"/>
                </w:tcPr>
                <w:p w14:paraId="3AFCE30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专用桶装</w:t>
                  </w:r>
                </w:p>
              </w:tc>
              <w:tc>
                <w:tcPr>
                  <w:tcW w:w="594" w:type="pct"/>
                  <w:tcBorders>
                    <w:tl2br w:val="nil"/>
                    <w:tr2bl w:val="nil"/>
                  </w:tcBorders>
                  <w:noWrap w:val="0"/>
                  <w:vAlign w:val="center"/>
                </w:tcPr>
                <w:p w14:paraId="2AB4103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lang w:val="en-US" w:eastAsia="zh-CN"/>
                    </w:rPr>
                    <w:t>t</w:t>
                  </w:r>
                </w:p>
              </w:tc>
              <w:tc>
                <w:tcPr>
                  <w:tcW w:w="596" w:type="pct"/>
                  <w:tcBorders>
                    <w:tl2br w:val="nil"/>
                    <w:tr2bl w:val="nil"/>
                  </w:tcBorders>
                  <w:noWrap w:val="0"/>
                  <w:vAlign w:val="center"/>
                </w:tcPr>
                <w:p w14:paraId="7604D6F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lang w:val="en-US" w:eastAsia="zh-CN"/>
                    </w:rPr>
                    <w:t>个月</w:t>
                  </w:r>
                </w:p>
              </w:tc>
            </w:tr>
            <w:tr w14:paraId="78151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2" w:type="pct"/>
                  <w:vMerge w:val="continue"/>
                  <w:tcBorders>
                    <w:tl2br w:val="nil"/>
                    <w:tr2bl w:val="nil"/>
                  </w:tcBorders>
                  <w:noWrap w:val="0"/>
                  <w:vAlign w:val="center"/>
                </w:tcPr>
                <w:p w14:paraId="38A8721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687" w:type="pct"/>
                  <w:tcBorders>
                    <w:tl2br w:val="nil"/>
                    <w:tr2bl w:val="nil"/>
                  </w:tcBorders>
                  <w:noWrap w:val="0"/>
                  <w:vAlign w:val="center"/>
                </w:tcPr>
                <w:p w14:paraId="4D920E2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130" w:rightChars="-54"/>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沾油废物</w:t>
                  </w:r>
                </w:p>
              </w:tc>
              <w:tc>
                <w:tcPr>
                  <w:tcW w:w="603" w:type="pct"/>
                  <w:tcBorders>
                    <w:tl2br w:val="nil"/>
                    <w:tr2bl w:val="nil"/>
                  </w:tcBorders>
                  <w:noWrap w:val="0"/>
                  <w:vAlign w:val="center"/>
                </w:tcPr>
                <w:p w14:paraId="13A4704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HW49</w:t>
                  </w:r>
                </w:p>
              </w:tc>
              <w:tc>
                <w:tcPr>
                  <w:tcW w:w="777" w:type="pct"/>
                  <w:tcBorders>
                    <w:tl2br w:val="nil"/>
                    <w:tr2bl w:val="nil"/>
                  </w:tcBorders>
                  <w:noWrap w:val="0"/>
                  <w:vAlign w:val="center"/>
                </w:tcPr>
                <w:p w14:paraId="453723F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900-041-49</w:t>
                  </w:r>
                </w:p>
              </w:tc>
              <w:tc>
                <w:tcPr>
                  <w:tcW w:w="516" w:type="pct"/>
                  <w:vMerge w:val="continue"/>
                  <w:tcBorders>
                    <w:tl2br w:val="nil"/>
                    <w:tr2bl w:val="nil"/>
                  </w:tcBorders>
                  <w:noWrap w:val="0"/>
                  <w:vAlign w:val="center"/>
                </w:tcPr>
                <w:p w14:paraId="2DA577D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690" w:type="pct"/>
                  <w:tcBorders>
                    <w:tl2br w:val="nil"/>
                    <w:tr2bl w:val="nil"/>
                  </w:tcBorders>
                  <w:noWrap w:val="0"/>
                  <w:vAlign w:val="center"/>
                </w:tcPr>
                <w:p w14:paraId="11F4222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专用桶装</w:t>
                  </w:r>
                </w:p>
              </w:tc>
              <w:tc>
                <w:tcPr>
                  <w:tcW w:w="594" w:type="pct"/>
                  <w:tcBorders>
                    <w:tl2br w:val="nil"/>
                    <w:tr2bl w:val="nil"/>
                  </w:tcBorders>
                  <w:noWrap w:val="0"/>
                  <w:vAlign w:val="center"/>
                </w:tcPr>
                <w:p w14:paraId="41C839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596" w:type="pct"/>
                  <w:tcBorders>
                    <w:tl2br w:val="nil"/>
                    <w:tr2bl w:val="nil"/>
                  </w:tcBorders>
                  <w:noWrap w:val="0"/>
                  <w:vAlign w:val="center"/>
                </w:tcPr>
                <w:p w14:paraId="14AA626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lang w:val="en-US" w:eastAsia="zh-CN"/>
                    </w:rPr>
                    <w:t>个月</w:t>
                  </w:r>
                </w:p>
              </w:tc>
            </w:tr>
          </w:tbl>
          <w:p w14:paraId="38FC58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表4-1</w:t>
            </w:r>
            <w:r>
              <w:rPr>
                <w:rFonts w:hint="eastAsia" w:eastAsia="黑体" w:cs="Times New Roman"/>
                <w:b/>
                <w:bCs/>
                <w:color w:val="auto"/>
                <w:kern w:val="0"/>
                <w:sz w:val="20"/>
                <w:szCs w:val="20"/>
                <w:highlight w:val="none"/>
                <w:lang w:val="en-US" w:eastAsia="zh-CN" w:bidi="ar-SA"/>
              </w:rPr>
              <w:t>9</w:t>
            </w:r>
            <w:r>
              <w:rPr>
                <w:rFonts w:hint="default" w:ascii="Times New Roman" w:hAnsi="Times New Roman" w:eastAsia="黑体" w:cs="Times New Roman"/>
                <w:b/>
                <w:bCs/>
                <w:color w:val="auto"/>
                <w:kern w:val="0"/>
                <w:sz w:val="20"/>
                <w:szCs w:val="20"/>
                <w:highlight w:val="none"/>
                <w:lang w:val="en-US" w:eastAsia="zh-CN" w:bidi="ar-SA"/>
              </w:rPr>
              <w:t xml:space="preserve"> 危险废物治理措施一览表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29"/>
              <w:gridCol w:w="776"/>
              <w:gridCol w:w="1196"/>
              <w:gridCol w:w="871"/>
              <w:gridCol w:w="918"/>
              <w:gridCol w:w="536"/>
              <w:gridCol w:w="636"/>
              <w:gridCol w:w="538"/>
              <w:gridCol w:w="578"/>
              <w:gridCol w:w="611"/>
              <w:gridCol w:w="852"/>
            </w:tblGrid>
            <w:tr w14:paraId="13028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4" w:hRule="atLeast"/>
                <w:tblHeader/>
                <w:jc w:val="center"/>
              </w:trPr>
              <w:tc>
                <w:tcPr>
                  <w:tcW w:w="245" w:type="pct"/>
                  <w:tcBorders>
                    <w:tl2br w:val="nil"/>
                    <w:tr2bl w:val="nil"/>
                  </w:tcBorders>
                  <w:noWrap w:val="0"/>
                  <w:vAlign w:val="center"/>
                </w:tcPr>
                <w:p w14:paraId="53EF0B9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428" w:type="pct"/>
                  <w:tcBorders>
                    <w:tl2br w:val="nil"/>
                    <w:tr2bl w:val="nil"/>
                  </w:tcBorders>
                  <w:noWrap w:val="0"/>
                  <w:vAlign w:val="center"/>
                </w:tcPr>
                <w:p w14:paraId="38430D0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危险废物名称</w:t>
                  </w:r>
                </w:p>
              </w:tc>
              <w:tc>
                <w:tcPr>
                  <w:tcW w:w="445" w:type="pct"/>
                  <w:tcBorders>
                    <w:tl2br w:val="nil"/>
                    <w:tr2bl w:val="nil"/>
                  </w:tcBorders>
                  <w:noWrap w:val="0"/>
                  <w:vAlign w:val="center"/>
                </w:tcPr>
                <w:p w14:paraId="3EE40DF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危险废物类别</w:t>
                  </w:r>
                </w:p>
              </w:tc>
              <w:tc>
                <w:tcPr>
                  <w:tcW w:w="687" w:type="pct"/>
                  <w:tcBorders>
                    <w:tl2br w:val="nil"/>
                    <w:tr2bl w:val="nil"/>
                  </w:tcBorders>
                  <w:noWrap w:val="0"/>
                  <w:vAlign w:val="center"/>
                </w:tcPr>
                <w:p w14:paraId="5B2423C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危险废物代码</w:t>
                  </w:r>
                </w:p>
              </w:tc>
              <w:tc>
                <w:tcPr>
                  <w:tcW w:w="500" w:type="pct"/>
                  <w:tcBorders>
                    <w:tl2br w:val="nil"/>
                    <w:tr2bl w:val="nil"/>
                  </w:tcBorders>
                  <w:noWrap w:val="0"/>
                  <w:vAlign w:val="center"/>
                </w:tcPr>
                <w:p w14:paraId="6688AA0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p w14:paraId="35CD469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t/a</w:t>
                  </w:r>
                  <w:r>
                    <w:rPr>
                      <w:rFonts w:hint="default" w:ascii="Times New Roman" w:hAnsi="Times New Roman" w:eastAsia="宋体" w:cs="Times New Roman"/>
                      <w:b/>
                      <w:bCs/>
                      <w:color w:val="auto"/>
                      <w:sz w:val="21"/>
                      <w:szCs w:val="21"/>
                      <w:highlight w:val="none"/>
                      <w:lang w:eastAsia="zh-CN"/>
                    </w:rPr>
                    <w:t>）</w:t>
                  </w:r>
                </w:p>
              </w:tc>
              <w:tc>
                <w:tcPr>
                  <w:tcW w:w="537" w:type="pct"/>
                  <w:tcBorders>
                    <w:tl2br w:val="nil"/>
                    <w:tr2bl w:val="nil"/>
                  </w:tcBorders>
                  <w:noWrap w:val="0"/>
                  <w:vAlign w:val="center"/>
                </w:tcPr>
                <w:p w14:paraId="2CD5AD5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产生工序及装置</w:t>
                  </w:r>
                </w:p>
              </w:tc>
              <w:tc>
                <w:tcPr>
                  <w:tcW w:w="317" w:type="pct"/>
                  <w:tcBorders>
                    <w:tl2br w:val="nil"/>
                    <w:tr2bl w:val="nil"/>
                  </w:tcBorders>
                  <w:noWrap w:val="0"/>
                  <w:vAlign w:val="center"/>
                </w:tcPr>
                <w:p w14:paraId="5F8AB3C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形态</w:t>
                  </w:r>
                </w:p>
              </w:tc>
              <w:tc>
                <w:tcPr>
                  <w:tcW w:w="317" w:type="pct"/>
                  <w:tcBorders>
                    <w:tl2br w:val="nil"/>
                    <w:tr2bl w:val="nil"/>
                  </w:tcBorders>
                  <w:noWrap w:val="0"/>
                  <w:vAlign w:val="center"/>
                </w:tcPr>
                <w:p w14:paraId="67618E8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主要成分</w:t>
                  </w:r>
                </w:p>
              </w:tc>
              <w:tc>
                <w:tcPr>
                  <w:tcW w:w="563" w:type="dxa"/>
                  <w:tcBorders>
                    <w:tl2br w:val="nil"/>
                    <w:tr2bl w:val="nil"/>
                  </w:tcBorders>
                  <w:noWrap w:val="0"/>
                  <w:vAlign w:val="center"/>
                </w:tcPr>
                <w:p w14:paraId="1CD874D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产废周期</w:t>
                  </w:r>
                </w:p>
              </w:tc>
              <w:tc>
                <w:tcPr>
                  <w:tcW w:w="598" w:type="dxa"/>
                  <w:tcBorders>
                    <w:tl2br w:val="nil"/>
                    <w:tr2bl w:val="nil"/>
                  </w:tcBorders>
                  <w:noWrap w:val="0"/>
                  <w:vAlign w:val="center"/>
                </w:tcPr>
                <w:p w14:paraId="578BFCF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c>
                <w:tcPr>
                  <w:tcW w:w="363" w:type="pct"/>
                  <w:tcBorders>
                    <w:tl2br w:val="nil"/>
                    <w:tr2bl w:val="nil"/>
                  </w:tcBorders>
                  <w:noWrap w:val="0"/>
                  <w:vAlign w:val="center"/>
                </w:tcPr>
                <w:p w14:paraId="10956AF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盛装方式</w:t>
                  </w:r>
                </w:p>
              </w:tc>
              <w:tc>
                <w:tcPr>
                  <w:tcW w:w="498" w:type="pct"/>
                  <w:tcBorders>
                    <w:tl2br w:val="nil"/>
                    <w:tr2bl w:val="nil"/>
                  </w:tcBorders>
                  <w:noWrap w:val="0"/>
                  <w:vAlign w:val="center"/>
                </w:tcPr>
                <w:p w14:paraId="61F015B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污染物防治措施</w:t>
                  </w:r>
                </w:p>
              </w:tc>
            </w:tr>
            <w:tr w14:paraId="7FF5B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245" w:type="pct"/>
                  <w:tcBorders>
                    <w:tl2br w:val="nil"/>
                    <w:tr2bl w:val="nil"/>
                  </w:tcBorders>
                  <w:noWrap w:val="0"/>
                  <w:vAlign w:val="center"/>
                </w:tcPr>
                <w:p w14:paraId="55BC40B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28" w:type="pct"/>
                  <w:tcBorders>
                    <w:tl2br w:val="nil"/>
                    <w:tr2bl w:val="nil"/>
                  </w:tcBorders>
                  <w:noWrap w:val="0"/>
                  <w:vAlign w:val="center"/>
                </w:tcPr>
                <w:p w14:paraId="2535DD1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color w:val="auto"/>
                      <w:kern w:val="0"/>
                      <w:sz w:val="21"/>
                      <w:szCs w:val="21"/>
                      <w:highlight w:val="none"/>
                    </w:rPr>
                    <w:t>隔油池废油污</w:t>
                  </w:r>
                </w:p>
              </w:tc>
              <w:tc>
                <w:tcPr>
                  <w:tcW w:w="445" w:type="pct"/>
                  <w:tcBorders>
                    <w:tl2br w:val="nil"/>
                    <w:tr2bl w:val="nil"/>
                  </w:tcBorders>
                  <w:noWrap w:val="0"/>
                  <w:vAlign w:val="center"/>
                </w:tcPr>
                <w:p w14:paraId="3372E4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kern w:val="0"/>
                      <w:sz w:val="21"/>
                      <w:szCs w:val="21"/>
                      <w:highlight w:val="none"/>
                    </w:rPr>
                    <w:t>HW</w:t>
                  </w:r>
                  <w:r>
                    <w:rPr>
                      <w:rFonts w:hint="eastAsia"/>
                      <w:color w:val="auto"/>
                      <w:kern w:val="0"/>
                      <w:sz w:val="21"/>
                      <w:szCs w:val="21"/>
                      <w:highlight w:val="none"/>
                    </w:rPr>
                    <w:t>08</w:t>
                  </w:r>
                </w:p>
              </w:tc>
              <w:tc>
                <w:tcPr>
                  <w:tcW w:w="687" w:type="pct"/>
                  <w:tcBorders>
                    <w:tl2br w:val="nil"/>
                    <w:tr2bl w:val="nil"/>
                  </w:tcBorders>
                  <w:noWrap w:val="0"/>
                  <w:vAlign w:val="center"/>
                </w:tcPr>
                <w:p w14:paraId="33DAEF53">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color w:val="auto"/>
                      <w:sz w:val="21"/>
                      <w:szCs w:val="21"/>
                      <w:highlight w:val="none"/>
                    </w:rPr>
                    <w:t>900-210-08</w:t>
                  </w:r>
                </w:p>
              </w:tc>
              <w:tc>
                <w:tcPr>
                  <w:tcW w:w="500" w:type="pct"/>
                  <w:tcBorders>
                    <w:tl2br w:val="nil"/>
                    <w:tr2bl w:val="nil"/>
                  </w:tcBorders>
                  <w:noWrap w:val="0"/>
                  <w:vAlign w:val="center"/>
                </w:tcPr>
                <w:p w14:paraId="663C336D">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sz w:val="21"/>
                      <w:szCs w:val="21"/>
                      <w:highlight w:val="none"/>
                    </w:rPr>
                    <w:t>0.0</w:t>
                  </w:r>
                  <w:r>
                    <w:rPr>
                      <w:rFonts w:hint="eastAsia" w:ascii="Times New Roman" w:hAnsi="Times New Roman"/>
                      <w:color w:val="auto"/>
                      <w:sz w:val="21"/>
                      <w:szCs w:val="21"/>
                      <w:highlight w:val="none"/>
                    </w:rPr>
                    <w:t>2</w:t>
                  </w:r>
                </w:p>
              </w:tc>
              <w:tc>
                <w:tcPr>
                  <w:tcW w:w="537" w:type="pct"/>
                  <w:tcBorders>
                    <w:tl2br w:val="nil"/>
                    <w:tr2bl w:val="nil"/>
                  </w:tcBorders>
                  <w:noWrap w:val="0"/>
                  <w:vAlign w:val="center"/>
                </w:tcPr>
                <w:p w14:paraId="3D429D52">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隔油池</w:t>
                  </w:r>
                </w:p>
              </w:tc>
              <w:tc>
                <w:tcPr>
                  <w:tcW w:w="317" w:type="pct"/>
                  <w:tcBorders>
                    <w:tl2br w:val="nil"/>
                    <w:tr2bl w:val="nil"/>
                  </w:tcBorders>
                  <w:noWrap w:val="0"/>
                  <w:vAlign w:val="center"/>
                </w:tcPr>
                <w:p w14:paraId="0BF04B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kern w:val="0"/>
                      <w:sz w:val="21"/>
                      <w:szCs w:val="21"/>
                      <w:highlight w:val="none"/>
                    </w:rPr>
                    <w:t>固</w:t>
                  </w:r>
                </w:p>
              </w:tc>
              <w:tc>
                <w:tcPr>
                  <w:tcW w:w="317" w:type="pct"/>
                  <w:tcBorders>
                    <w:tl2br w:val="nil"/>
                    <w:tr2bl w:val="nil"/>
                  </w:tcBorders>
                  <w:noWrap w:val="0"/>
                  <w:vAlign w:val="center"/>
                </w:tcPr>
                <w:p w14:paraId="08AC61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kern w:val="0"/>
                      <w:sz w:val="21"/>
                      <w:szCs w:val="21"/>
                      <w:highlight w:val="none"/>
                    </w:rPr>
                    <w:t>汽</w:t>
                  </w:r>
                  <w:r>
                    <w:rPr>
                      <w:rFonts w:hint="eastAsia"/>
                      <w:color w:val="auto"/>
                      <w:kern w:val="0"/>
                      <w:sz w:val="21"/>
                      <w:szCs w:val="21"/>
                      <w:highlight w:val="none"/>
                      <w:lang w:eastAsia="zh-CN"/>
                    </w:rPr>
                    <w:t>、</w:t>
                  </w:r>
                  <w:r>
                    <w:rPr>
                      <w:rFonts w:hint="eastAsia"/>
                      <w:color w:val="auto"/>
                      <w:kern w:val="0"/>
                      <w:sz w:val="21"/>
                      <w:szCs w:val="21"/>
                      <w:highlight w:val="none"/>
                    </w:rPr>
                    <w:t>柴油</w:t>
                  </w:r>
                </w:p>
              </w:tc>
              <w:tc>
                <w:tcPr>
                  <w:tcW w:w="318" w:type="pct"/>
                  <w:tcBorders>
                    <w:tl2br w:val="nil"/>
                    <w:tr2bl w:val="nil"/>
                  </w:tcBorders>
                  <w:noWrap w:val="0"/>
                  <w:vAlign w:val="center"/>
                </w:tcPr>
                <w:p w14:paraId="5ECC85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kern w:val="0"/>
                      <w:sz w:val="21"/>
                      <w:szCs w:val="21"/>
                      <w:highlight w:val="none"/>
                    </w:rPr>
                    <w:t>1月</w:t>
                  </w:r>
                </w:p>
              </w:tc>
              <w:tc>
                <w:tcPr>
                  <w:tcW w:w="338" w:type="pct"/>
                  <w:tcBorders>
                    <w:tl2br w:val="nil"/>
                    <w:tr2bl w:val="nil"/>
                  </w:tcBorders>
                  <w:noWrap w:val="0"/>
                  <w:vAlign w:val="center"/>
                </w:tcPr>
                <w:p w14:paraId="72E98A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kern w:val="0"/>
                      <w:sz w:val="21"/>
                      <w:szCs w:val="21"/>
                      <w:highlight w:val="none"/>
                    </w:rPr>
                    <w:t>T</w:t>
                  </w:r>
                  <w:r>
                    <w:rPr>
                      <w:rFonts w:hint="eastAsia"/>
                      <w:color w:val="auto"/>
                      <w:kern w:val="0"/>
                      <w:sz w:val="21"/>
                      <w:szCs w:val="21"/>
                      <w:highlight w:val="none"/>
                    </w:rPr>
                    <w:t>/I</w:t>
                  </w:r>
                </w:p>
              </w:tc>
              <w:tc>
                <w:tcPr>
                  <w:tcW w:w="363" w:type="pct"/>
                  <w:tcBorders>
                    <w:tl2br w:val="nil"/>
                    <w:tr2bl w:val="nil"/>
                  </w:tcBorders>
                  <w:noWrap w:val="0"/>
                  <w:vAlign w:val="center"/>
                </w:tcPr>
                <w:p w14:paraId="7B90B73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kern w:val="0"/>
                      <w:sz w:val="21"/>
                      <w:szCs w:val="21"/>
                      <w:highlight w:val="none"/>
                    </w:rPr>
                    <w:t>桶装密封</w:t>
                  </w:r>
                </w:p>
              </w:tc>
              <w:tc>
                <w:tcPr>
                  <w:tcW w:w="498" w:type="pct"/>
                  <w:vMerge w:val="restart"/>
                  <w:tcBorders>
                    <w:tl2br w:val="nil"/>
                    <w:tr2bl w:val="nil"/>
                  </w:tcBorders>
                  <w:noWrap w:val="0"/>
                  <w:vAlign w:val="center"/>
                </w:tcPr>
                <w:p w14:paraId="3359B0F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分类收集后暂存于危废暂存间，定期交由具资质单位处理</w:t>
                  </w:r>
                </w:p>
              </w:tc>
            </w:tr>
            <w:tr w14:paraId="5A771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245" w:type="pct"/>
                  <w:tcBorders>
                    <w:tl2br w:val="nil"/>
                    <w:tr2bl w:val="nil"/>
                  </w:tcBorders>
                  <w:noWrap w:val="0"/>
                  <w:vAlign w:val="center"/>
                </w:tcPr>
                <w:p w14:paraId="3967BE9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w:t>
                  </w:r>
                </w:p>
              </w:tc>
              <w:tc>
                <w:tcPr>
                  <w:tcW w:w="428" w:type="pct"/>
                  <w:tcBorders>
                    <w:tl2br w:val="nil"/>
                    <w:tr2bl w:val="nil"/>
                  </w:tcBorders>
                  <w:noWrap w:val="0"/>
                  <w:vAlign w:val="center"/>
                </w:tcPr>
                <w:p w14:paraId="727E13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油品检验过程中产生的废油</w:t>
                  </w:r>
                </w:p>
              </w:tc>
              <w:tc>
                <w:tcPr>
                  <w:tcW w:w="445" w:type="pct"/>
                  <w:tcBorders>
                    <w:tl2br w:val="nil"/>
                    <w:tr2bl w:val="nil"/>
                  </w:tcBorders>
                  <w:noWrap w:val="0"/>
                  <w:vAlign w:val="center"/>
                </w:tcPr>
                <w:p w14:paraId="11E192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kern w:val="0"/>
                      <w:sz w:val="21"/>
                      <w:szCs w:val="21"/>
                      <w:highlight w:val="none"/>
                    </w:rPr>
                    <w:t>HW</w:t>
                  </w:r>
                  <w:r>
                    <w:rPr>
                      <w:rFonts w:hint="eastAsia"/>
                      <w:color w:val="auto"/>
                      <w:kern w:val="0"/>
                      <w:sz w:val="21"/>
                      <w:szCs w:val="21"/>
                      <w:highlight w:val="none"/>
                    </w:rPr>
                    <w:t>08</w:t>
                  </w:r>
                </w:p>
              </w:tc>
              <w:tc>
                <w:tcPr>
                  <w:tcW w:w="687" w:type="pct"/>
                  <w:tcBorders>
                    <w:tl2br w:val="nil"/>
                    <w:tr2bl w:val="nil"/>
                  </w:tcBorders>
                  <w:noWrap w:val="0"/>
                  <w:vAlign w:val="center"/>
                </w:tcPr>
                <w:p w14:paraId="33E3D1A4">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olor w:val="auto"/>
                      <w:sz w:val="21"/>
                      <w:szCs w:val="21"/>
                      <w:highlight w:val="none"/>
                    </w:rPr>
                    <w:t>900-2</w:t>
                  </w:r>
                  <w:r>
                    <w:rPr>
                      <w:rFonts w:hint="eastAsia" w:ascii="Times New Roman" w:hAnsi="Times New Roman"/>
                      <w:color w:val="auto"/>
                      <w:sz w:val="21"/>
                      <w:szCs w:val="21"/>
                      <w:highlight w:val="none"/>
                    </w:rPr>
                    <w:t>49</w:t>
                  </w:r>
                  <w:r>
                    <w:rPr>
                      <w:rFonts w:hint="default" w:ascii="Times New Roman" w:hAnsi="Times New Roman"/>
                      <w:color w:val="auto"/>
                      <w:sz w:val="21"/>
                      <w:szCs w:val="21"/>
                      <w:highlight w:val="none"/>
                    </w:rPr>
                    <w:t>-08</w:t>
                  </w:r>
                </w:p>
              </w:tc>
              <w:tc>
                <w:tcPr>
                  <w:tcW w:w="500" w:type="pct"/>
                  <w:tcBorders>
                    <w:tl2br w:val="nil"/>
                    <w:tr2bl w:val="nil"/>
                  </w:tcBorders>
                  <w:noWrap w:val="0"/>
                  <w:vAlign w:val="center"/>
                </w:tcPr>
                <w:p w14:paraId="5E81B5C9">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0.2</w:t>
                  </w:r>
                </w:p>
              </w:tc>
              <w:tc>
                <w:tcPr>
                  <w:tcW w:w="537" w:type="pct"/>
                  <w:tcBorders>
                    <w:tl2br w:val="nil"/>
                    <w:tr2bl w:val="nil"/>
                  </w:tcBorders>
                  <w:noWrap w:val="0"/>
                  <w:vAlign w:val="center"/>
                </w:tcPr>
                <w:p w14:paraId="145459EE">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rPr>
                    <w:t>入场油品检验</w:t>
                  </w:r>
                </w:p>
              </w:tc>
              <w:tc>
                <w:tcPr>
                  <w:tcW w:w="317" w:type="pct"/>
                  <w:tcBorders>
                    <w:tl2br w:val="nil"/>
                    <w:tr2bl w:val="nil"/>
                  </w:tcBorders>
                  <w:noWrap w:val="0"/>
                  <w:vAlign w:val="center"/>
                </w:tcPr>
                <w:p w14:paraId="6220C3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液</w:t>
                  </w:r>
                </w:p>
              </w:tc>
              <w:tc>
                <w:tcPr>
                  <w:tcW w:w="317" w:type="pct"/>
                  <w:tcBorders>
                    <w:tl2br w:val="nil"/>
                    <w:tr2bl w:val="nil"/>
                  </w:tcBorders>
                  <w:noWrap w:val="0"/>
                  <w:vAlign w:val="center"/>
                </w:tcPr>
                <w:p w14:paraId="06109E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rPr>
                    <w:t>汽</w:t>
                  </w:r>
                  <w:r>
                    <w:rPr>
                      <w:rFonts w:hint="eastAsia"/>
                      <w:color w:val="auto"/>
                      <w:kern w:val="0"/>
                      <w:sz w:val="21"/>
                      <w:szCs w:val="21"/>
                      <w:highlight w:val="none"/>
                      <w:lang w:eastAsia="zh-CN"/>
                    </w:rPr>
                    <w:t>、</w:t>
                  </w:r>
                  <w:r>
                    <w:rPr>
                      <w:rFonts w:hint="eastAsia"/>
                      <w:color w:val="auto"/>
                      <w:kern w:val="0"/>
                      <w:sz w:val="21"/>
                      <w:szCs w:val="21"/>
                      <w:highlight w:val="none"/>
                    </w:rPr>
                    <w:t>柴油</w:t>
                  </w:r>
                </w:p>
              </w:tc>
              <w:tc>
                <w:tcPr>
                  <w:tcW w:w="318" w:type="pct"/>
                  <w:tcBorders>
                    <w:tl2br w:val="nil"/>
                    <w:tr2bl w:val="nil"/>
                  </w:tcBorders>
                  <w:noWrap w:val="0"/>
                  <w:vAlign w:val="center"/>
                </w:tcPr>
                <w:p w14:paraId="6F5995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rPr>
                    <w:t>1月</w:t>
                  </w:r>
                </w:p>
              </w:tc>
              <w:tc>
                <w:tcPr>
                  <w:tcW w:w="338" w:type="pct"/>
                  <w:tcBorders>
                    <w:tl2br w:val="nil"/>
                    <w:tr2bl w:val="nil"/>
                  </w:tcBorders>
                  <w:noWrap w:val="0"/>
                  <w:vAlign w:val="center"/>
                </w:tcPr>
                <w:p w14:paraId="462961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kern w:val="0"/>
                      <w:sz w:val="21"/>
                      <w:szCs w:val="21"/>
                      <w:highlight w:val="none"/>
                    </w:rPr>
                    <w:t>T</w:t>
                  </w:r>
                  <w:r>
                    <w:rPr>
                      <w:rFonts w:hint="eastAsia"/>
                      <w:color w:val="auto"/>
                      <w:kern w:val="0"/>
                      <w:sz w:val="21"/>
                      <w:szCs w:val="21"/>
                      <w:highlight w:val="none"/>
                    </w:rPr>
                    <w:t>，I</w:t>
                  </w:r>
                </w:p>
              </w:tc>
              <w:tc>
                <w:tcPr>
                  <w:tcW w:w="363" w:type="pct"/>
                  <w:tcBorders>
                    <w:tl2br w:val="nil"/>
                    <w:tr2bl w:val="nil"/>
                  </w:tcBorders>
                  <w:noWrap w:val="0"/>
                  <w:vAlign w:val="center"/>
                </w:tcPr>
                <w:p w14:paraId="300005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color w:val="auto"/>
                      <w:kern w:val="0"/>
                      <w:sz w:val="21"/>
                      <w:szCs w:val="21"/>
                      <w:highlight w:val="none"/>
                    </w:rPr>
                    <w:t>桶装密封</w:t>
                  </w:r>
                </w:p>
              </w:tc>
              <w:tc>
                <w:tcPr>
                  <w:tcW w:w="498" w:type="pct"/>
                  <w:vMerge w:val="continue"/>
                  <w:tcBorders>
                    <w:tl2br w:val="nil"/>
                    <w:tr2bl w:val="nil"/>
                  </w:tcBorders>
                  <w:noWrap w:val="0"/>
                  <w:vAlign w:val="center"/>
                </w:tcPr>
                <w:p w14:paraId="3EFC655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r>
            <w:tr w14:paraId="341C4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245" w:type="pct"/>
                  <w:tcBorders>
                    <w:tl2br w:val="nil"/>
                    <w:tr2bl w:val="nil"/>
                  </w:tcBorders>
                  <w:noWrap w:val="0"/>
                  <w:vAlign w:val="center"/>
                </w:tcPr>
                <w:p w14:paraId="62998E5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428" w:type="pct"/>
                  <w:tcBorders>
                    <w:tl2br w:val="nil"/>
                    <w:tr2bl w:val="nil"/>
                  </w:tcBorders>
                  <w:noWrap w:val="0"/>
                  <w:vAlign w:val="center"/>
                </w:tcPr>
                <w:p w14:paraId="79ADC3CB">
                  <w:pPr>
                    <w:pStyle w:val="14"/>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olor w:val="auto"/>
                      <w:sz w:val="21"/>
                      <w:szCs w:val="21"/>
                      <w:highlight w:val="none"/>
                    </w:rPr>
                    <w:t>清罐废水及废渣</w:t>
                  </w:r>
                </w:p>
              </w:tc>
              <w:tc>
                <w:tcPr>
                  <w:tcW w:w="445" w:type="pct"/>
                  <w:tcBorders>
                    <w:tl2br w:val="nil"/>
                    <w:tr2bl w:val="nil"/>
                  </w:tcBorders>
                  <w:noWrap w:val="0"/>
                  <w:vAlign w:val="center"/>
                </w:tcPr>
                <w:p w14:paraId="54164CE3">
                  <w:pPr>
                    <w:pStyle w:val="1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olor w:val="auto"/>
                      <w:sz w:val="21"/>
                      <w:szCs w:val="21"/>
                      <w:highlight w:val="none"/>
                    </w:rPr>
                    <w:t>HW</w:t>
                  </w:r>
                  <w:r>
                    <w:rPr>
                      <w:rFonts w:hint="eastAsia" w:ascii="Times New Roman" w:hAnsi="Times New Roman"/>
                      <w:color w:val="auto"/>
                      <w:sz w:val="21"/>
                      <w:szCs w:val="21"/>
                      <w:highlight w:val="none"/>
                    </w:rPr>
                    <w:t>08</w:t>
                  </w:r>
                </w:p>
              </w:tc>
              <w:tc>
                <w:tcPr>
                  <w:tcW w:w="687" w:type="pct"/>
                  <w:tcBorders>
                    <w:tl2br w:val="nil"/>
                    <w:tr2bl w:val="nil"/>
                  </w:tcBorders>
                  <w:noWrap w:val="0"/>
                  <w:vAlign w:val="center"/>
                </w:tcPr>
                <w:p w14:paraId="6DC81721">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olor w:val="auto"/>
                      <w:sz w:val="21"/>
                      <w:szCs w:val="21"/>
                      <w:highlight w:val="none"/>
                    </w:rPr>
                    <w:t>251-001-08</w:t>
                  </w:r>
                </w:p>
              </w:tc>
              <w:tc>
                <w:tcPr>
                  <w:tcW w:w="500" w:type="pct"/>
                  <w:tcBorders>
                    <w:tl2br w:val="nil"/>
                    <w:tr2bl w:val="nil"/>
                  </w:tcBorders>
                  <w:noWrap w:val="0"/>
                  <w:vAlign w:val="center"/>
                </w:tcPr>
                <w:p w14:paraId="679B454E">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olor w:val="auto"/>
                      <w:sz w:val="21"/>
                      <w:szCs w:val="21"/>
                      <w:highlight w:val="none"/>
                    </w:rPr>
                    <w:t>0.3</w:t>
                  </w:r>
                </w:p>
              </w:tc>
              <w:tc>
                <w:tcPr>
                  <w:tcW w:w="537" w:type="pct"/>
                  <w:tcBorders>
                    <w:tl2br w:val="nil"/>
                    <w:tr2bl w:val="nil"/>
                  </w:tcBorders>
                  <w:noWrap w:val="0"/>
                  <w:vAlign w:val="center"/>
                </w:tcPr>
                <w:p w14:paraId="542D1462">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rPr>
                    <w:t>油罐清洗</w:t>
                  </w:r>
                </w:p>
              </w:tc>
              <w:tc>
                <w:tcPr>
                  <w:tcW w:w="317" w:type="pct"/>
                  <w:tcBorders>
                    <w:tl2br w:val="nil"/>
                    <w:tr2bl w:val="nil"/>
                  </w:tcBorders>
                  <w:noWrap w:val="0"/>
                  <w:vAlign w:val="center"/>
                </w:tcPr>
                <w:p w14:paraId="6718932E">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olor w:val="auto"/>
                      <w:sz w:val="21"/>
                      <w:szCs w:val="21"/>
                      <w:highlight w:val="none"/>
                    </w:rPr>
                    <w:t>液</w:t>
                  </w:r>
                </w:p>
              </w:tc>
              <w:tc>
                <w:tcPr>
                  <w:tcW w:w="317" w:type="pct"/>
                  <w:tcBorders>
                    <w:tl2br w:val="nil"/>
                    <w:tr2bl w:val="nil"/>
                  </w:tcBorders>
                  <w:noWrap w:val="0"/>
                  <w:vAlign w:val="center"/>
                </w:tcPr>
                <w:p w14:paraId="1AC22557">
                  <w:pPr>
                    <w:pStyle w:val="1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olor w:val="auto"/>
                      <w:sz w:val="21"/>
                      <w:szCs w:val="21"/>
                      <w:highlight w:val="none"/>
                    </w:rPr>
                    <w:t>汽</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柴油</w:t>
                  </w:r>
                </w:p>
              </w:tc>
              <w:tc>
                <w:tcPr>
                  <w:tcW w:w="318" w:type="pct"/>
                  <w:tcBorders>
                    <w:tl2br w:val="nil"/>
                    <w:tr2bl w:val="nil"/>
                  </w:tcBorders>
                  <w:noWrap w:val="0"/>
                  <w:vAlign w:val="center"/>
                </w:tcPr>
                <w:p w14:paraId="4EE618F6">
                  <w:pPr>
                    <w:pStyle w:val="1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olor w:val="auto"/>
                      <w:sz w:val="21"/>
                      <w:szCs w:val="21"/>
                      <w:highlight w:val="none"/>
                    </w:rPr>
                    <w:t>3</w:t>
                  </w:r>
                  <w:r>
                    <w:rPr>
                      <w:rFonts w:hint="default" w:ascii="Times New Roman" w:hAnsi="Times New Roman"/>
                      <w:color w:val="auto"/>
                      <w:sz w:val="21"/>
                      <w:szCs w:val="21"/>
                      <w:highlight w:val="none"/>
                    </w:rPr>
                    <w:t>年</w:t>
                  </w:r>
                </w:p>
              </w:tc>
              <w:tc>
                <w:tcPr>
                  <w:tcW w:w="338" w:type="pct"/>
                  <w:tcBorders>
                    <w:tl2br w:val="nil"/>
                    <w:tr2bl w:val="nil"/>
                  </w:tcBorders>
                  <w:noWrap w:val="0"/>
                  <w:vAlign w:val="center"/>
                </w:tcPr>
                <w:p w14:paraId="3378CCD8">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olor w:val="auto"/>
                      <w:sz w:val="21"/>
                      <w:szCs w:val="21"/>
                      <w:highlight w:val="none"/>
                    </w:rPr>
                    <w:t>T</w:t>
                  </w:r>
                </w:p>
              </w:tc>
              <w:tc>
                <w:tcPr>
                  <w:tcW w:w="363" w:type="pct"/>
                  <w:tcBorders>
                    <w:tl2br w:val="nil"/>
                    <w:tr2bl w:val="nil"/>
                  </w:tcBorders>
                  <w:noWrap w:val="0"/>
                  <w:vAlign w:val="center"/>
                </w:tcPr>
                <w:p w14:paraId="7DFF7C21">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olor w:val="auto"/>
                      <w:sz w:val="21"/>
                      <w:szCs w:val="21"/>
                      <w:highlight w:val="none"/>
                    </w:rPr>
                    <w:t>桶装密封</w:t>
                  </w:r>
                </w:p>
              </w:tc>
              <w:tc>
                <w:tcPr>
                  <w:tcW w:w="498" w:type="pct"/>
                  <w:vMerge w:val="continue"/>
                  <w:tcBorders>
                    <w:tl2br w:val="nil"/>
                    <w:tr2bl w:val="nil"/>
                  </w:tcBorders>
                  <w:noWrap w:val="0"/>
                  <w:vAlign w:val="center"/>
                </w:tcPr>
                <w:p w14:paraId="22F46A4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r>
            <w:tr w14:paraId="27848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245" w:type="pct"/>
                  <w:tcBorders>
                    <w:tl2br w:val="nil"/>
                    <w:tr2bl w:val="nil"/>
                  </w:tcBorders>
                  <w:noWrap w:val="0"/>
                  <w:vAlign w:val="center"/>
                </w:tcPr>
                <w:p w14:paraId="050CA35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cs="Times New Roman"/>
                      <w:color w:val="auto"/>
                      <w:sz w:val="21"/>
                      <w:szCs w:val="21"/>
                      <w:highlight w:val="none"/>
                      <w:lang w:val="en-US" w:eastAsia="zh-CN"/>
                    </w:rPr>
                  </w:pPr>
                </w:p>
              </w:tc>
              <w:tc>
                <w:tcPr>
                  <w:tcW w:w="428" w:type="pct"/>
                  <w:tcBorders>
                    <w:tl2br w:val="nil"/>
                    <w:tr2bl w:val="nil"/>
                  </w:tcBorders>
                  <w:noWrap w:val="0"/>
                  <w:vAlign w:val="center"/>
                </w:tcPr>
                <w:p w14:paraId="721A7ED6">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olor w:val="auto"/>
                      <w:sz w:val="21"/>
                      <w:szCs w:val="21"/>
                      <w:highlight w:val="none"/>
                    </w:rPr>
                    <w:t>沾油废物</w:t>
                  </w:r>
                </w:p>
              </w:tc>
              <w:tc>
                <w:tcPr>
                  <w:tcW w:w="445" w:type="pct"/>
                  <w:tcBorders>
                    <w:tl2br w:val="nil"/>
                    <w:tr2bl w:val="nil"/>
                  </w:tcBorders>
                  <w:noWrap w:val="0"/>
                  <w:vAlign w:val="center"/>
                </w:tcPr>
                <w:p w14:paraId="2C7DE3FB">
                  <w:pPr>
                    <w:pStyle w:val="1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olor w:val="auto"/>
                      <w:sz w:val="21"/>
                      <w:szCs w:val="21"/>
                      <w:highlight w:val="none"/>
                    </w:rPr>
                    <w:t xml:space="preserve">HW49 </w:t>
                  </w:r>
                </w:p>
              </w:tc>
              <w:tc>
                <w:tcPr>
                  <w:tcW w:w="687" w:type="pct"/>
                  <w:tcBorders>
                    <w:tl2br w:val="nil"/>
                    <w:tr2bl w:val="nil"/>
                  </w:tcBorders>
                  <w:noWrap w:val="0"/>
                  <w:vAlign w:val="center"/>
                </w:tcPr>
                <w:p w14:paraId="4985C5E9">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olor w:val="auto"/>
                      <w:sz w:val="21"/>
                      <w:szCs w:val="21"/>
                      <w:highlight w:val="none"/>
                    </w:rPr>
                    <w:t>900-041-49</w:t>
                  </w:r>
                </w:p>
              </w:tc>
              <w:tc>
                <w:tcPr>
                  <w:tcW w:w="500" w:type="pct"/>
                  <w:tcBorders>
                    <w:tl2br w:val="nil"/>
                    <w:tr2bl w:val="nil"/>
                  </w:tcBorders>
                  <w:noWrap w:val="0"/>
                  <w:vAlign w:val="center"/>
                </w:tcPr>
                <w:p w14:paraId="70DC30E3">
                  <w:pPr>
                    <w:pStyle w:val="14"/>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olor w:val="auto"/>
                      <w:sz w:val="21"/>
                      <w:szCs w:val="21"/>
                      <w:highlight w:val="none"/>
                    </w:rPr>
                    <w:t>0.05</w:t>
                  </w:r>
                </w:p>
              </w:tc>
              <w:tc>
                <w:tcPr>
                  <w:tcW w:w="537" w:type="pct"/>
                  <w:tcBorders>
                    <w:tl2br w:val="nil"/>
                    <w:tr2bl w:val="nil"/>
                  </w:tcBorders>
                  <w:noWrap w:val="0"/>
                  <w:vAlign w:val="center"/>
                </w:tcPr>
                <w:p w14:paraId="544DB060">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rPr>
                    <w:t>日常检修</w:t>
                  </w:r>
                </w:p>
              </w:tc>
              <w:tc>
                <w:tcPr>
                  <w:tcW w:w="317" w:type="pct"/>
                  <w:tcBorders>
                    <w:tl2br w:val="nil"/>
                    <w:tr2bl w:val="nil"/>
                  </w:tcBorders>
                  <w:noWrap w:val="0"/>
                  <w:vAlign w:val="center"/>
                </w:tcPr>
                <w:p w14:paraId="40EF3D86">
                  <w:pPr>
                    <w:pStyle w:val="14"/>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default"/>
                      <w:color w:val="auto"/>
                      <w:sz w:val="21"/>
                      <w:szCs w:val="21"/>
                      <w:highlight w:val="none"/>
                    </w:rPr>
                    <w:t>固</w:t>
                  </w:r>
                </w:p>
              </w:tc>
              <w:tc>
                <w:tcPr>
                  <w:tcW w:w="317" w:type="pct"/>
                  <w:tcBorders>
                    <w:tl2br w:val="nil"/>
                    <w:tr2bl w:val="nil"/>
                  </w:tcBorders>
                  <w:noWrap w:val="0"/>
                  <w:vAlign w:val="center"/>
                </w:tcPr>
                <w:p w14:paraId="229ADA46">
                  <w:pPr>
                    <w:pStyle w:val="1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olor w:val="auto"/>
                      <w:sz w:val="21"/>
                      <w:szCs w:val="21"/>
                      <w:highlight w:val="none"/>
                    </w:rPr>
                    <w:t>棉麻织物</w:t>
                  </w:r>
                </w:p>
              </w:tc>
              <w:tc>
                <w:tcPr>
                  <w:tcW w:w="318" w:type="pct"/>
                  <w:tcBorders>
                    <w:tl2br w:val="nil"/>
                    <w:tr2bl w:val="nil"/>
                  </w:tcBorders>
                  <w:noWrap w:val="0"/>
                  <w:vAlign w:val="center"/>
                </w:tcPr>
                <w:p w14:paraId="12BD6E23">
                  <w:pPr>
                    <w:pStyle w:val="14"/>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olor w:val="auto"/>
                      <w:sz w:val="21"/>
                      <w:szCs w:val="21"/>
                      <w:highlight w:val="none"/>
                    </w:rPr>
                    <w:t>1月</w:t>
                  </w:r>
                </w:p>
              </w:tc>
              <w:tc>
                <w:tcPr>
                  <w:tcW w:w="338" w:type="pct"/>
                  <w:tcBorders>
                    <w:tl2br w:val="nil"/>
                    <w:tr2bl w:val="nil"/>
                  </w:tcBorders>
                  <w:noWrap w:val="0"/>
                  <w:vAlign w:val="center"/>
                </w:tcPr>
                <w:p w14:paraId="46270FD6">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olor w:val="auto"/>
                      <w:sz w:val="21"/>
                      <w:szCs w:val="21"/>
                      <w:highlight w:val="none"/>
                    </w:rPr>
                    <w:t>T/In</w:t>
                  </w:r>
                </w:p>
              </w:tc>
              <w:tc>
                <w:tcPr>
                  <w:tcW w:w="363" w:type="pct"/>
                  <w:tcBorders>
                    <w:tl2br w:val="nil"/>
                    <w:tr2bl w:val="nil"/>
                  </w:tcBorders>
                  <w:noWrap w:val="0"/>
                  <w:vAlign w:val="center"/>
                </w:tcPr>
                <w:p w14:paraId="016D4B79">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olor w:val="auto"/>
                      <w:sz w:val="21"/>
                      <w:szCs w:val="21"/>
                      <w:highlight w:val="none"/>
                    </w:rPr>
                    <w:t>桶装密封</w:t>
                  </w:r>
                </w:p>
              </w:tc>
              <w:tc>
                <w:tcPr>
                  <w:tcW w:w="498" w:type="pct"/>
                  <w:vMerge w:val="continue"/>
                  <w:tcBorders>
                    <w:tl2br w:val="nil"/>
                    <w:tr2bl w:val="nil"/>
                  </w:tcBorders>
                  <w:noWrap w:val="0"/>
                  <w:vAlign w:val="center"/>
                </w:tcPr>
                <w:p w14:paraId="773177C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r>
          </w:tbl>
          <w:p w14:paraId="7B825C63">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361" w:firstLineChars="15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危险废物环境管理要求</w:t>
            </w:r>
          </w:p>
          <w:p w14:paraId="32DD4C8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危险废物运输由持有危险废物经营许可证的单位按照其许可证的经营范围组织实施，承担危险废物运输的单位应获得交通运输部门颁发的危险货物运输资质。</w:t>
            </w:r>
          </w:p>
          <w:p w14:paraId="245BB87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运输单位承运危险废物时，应在危险废物包装上设置标志。</w:t>
            </w:r>
          </w:p>
          <w:p w14:paraId="5335FD3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运输时的中转、装卸过程应遵守如下技术要求：①、卸载区工作人员应熟悉废物的危险特性，并配备适当个人防护装备；②、卸载区配备必要消防设备和设施，并设置明显的指示标志；③、危险废物装卸区应设置隔离设施。</w:t>
            </w:r>
          </w:p>
          <w:p w14:paraId="658B0747">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sz w:val="24"/>
                <w:szCs w:val="24"/>
                <w:highlight w:val="none"/>
                <w:u w:val="single"/>
                <w:lang w:bidi="ar"/>
              </w:rPr>
            </w:pPr>
            <w:r>
              <w:rPr>
                <w:rFonts w:hint="default" w:ascii="Times New Roman" w:hAnsi="Times New Roman" w:eastAsia="宋体" w:cs="Times New Roman"/>
                <w:b/>
                <w:bCs/>
                <w:color w:val="auto"/>
                <w:sz w:val="24"/>
                <w:szCs w:val="24"/>
                <w:highlight w:val="none"/>
                <w:u w:val="single"/>
              </w:rPr>
              <w:t>环评要求：项目对各类固体废弃物进行分类暂存，危废暂存间做好“</w:t>
            </w:r>
            <w:r>
              <w:rPr>
                <w:rFonts w:hint="eastAsia" w:cs="Times New Roman"/>
                <w:b/>
                <w:bCs/>
                <w:color w:val="auto"/>
                <w:sz w:val="24"/>
                <w:szCs w:val="24"/>
                <w:highlight w:val="none"/>
                <w:u w:val="single"/>
                <w:lang w:val="en-US" w:eastAsia="zh-CN"/>
              </w:rPr>
              <w:t>六</w:t>
            </w:r>
            <w:r>
              <w:rPr>
                <w:rFonts w:hint="default" w:ascii="Times New Roman" w:hAnsi="Times New Roman" w:eastAsia="宋体" w:cs="Times New Roman"/>
                <w:b/>
                <w:bCs/>
                <w:color w:val="auto"/>
                <w:sz w:val="24"/>
                <w:szCs w:val="24"/>
                <w:highlight w:val="none"/>
                <w:u w:val="single"/>
              </w:rPr>
              <w:t>防”</w:t>
            </w:r>
            <w:r>
              <w:rPr>
                <w:rFonts w:hint="eastAsia" w:cs="Times New Roman"/>
                <w:b/>
                <w:bCs/>
                <w:color w:val="auto"/>
                <w:sz w:val="24"/>
                <w:szCs w:val="24"/>
                <w:highlight w:val="none"/>
                <w:u w:val="single"/>
                <w:lang w:eastAsia="zh-CN"/>
              </w:rPr>
              <w:t>（</w:t>
            </w:r>
            <w:r>
              <w:rPr>
                <w:rFonts w:hint="default" w:ascii="Times New Roman" w:hAnsi="Times New Roman" w:eastAsia="宋体" w:cs="Times New Roman"/>
                <w:b/>
                <w:bCs/>
                <w:color w:val="auto"/>
                <w:sz w:val="24"/>
                <w:szCs w:val="24"/>
                <w:highlight w:val="none"/>
                <w:u w:val="single"/>
              </w:rPr>
              <w:t>防风、防雨、防晒、防漏、防渗、防腐</w:t>
            </w:r>
            <w:r>
              <w:rPr>
                <w:rFonts w:hint="eastAsia" w:cs="Times New Roman"/>
                <w:b/>
                <w:bCs/>
                <w:color w:val="auto"/>
                <w:sz w:val="24"/>
                <w:szCs w:val="24"/>
                <w:highlight w:val="none"/>
                <w:u w:val="single"/>
                <w:lang w:eastAsia="zh-CN"/>
              </w:rPr>
              <w:t>）</w:t>
            </w:r>
            <w:r>
              <w:rPr>
                <w:rFonts w:hint="default" w:ascii="Times New Roman" w:hAnsi="Times New Roman" w:eastAsia="宋体" w:cs="Times New Roman"/>
                <w:b/>
                <w:bCs/>
                <w:color w:val="auto"/>
                <w:sz w:val="24"/>
                <w:szCs w:val="24"/>
                <w:highlight w:val="none"/>
                <w:u w:val="single"/>
              </w:rPr>
              <w:t>措施，避免造成二次污染；危险废物必须严格按照《危险废物收集、贮存、运输技术规范》和《危险废物贮存污染控制标准》中的相关要求执行；危废暂存间平时锁闭，待有出库和入库的情况下才开启，在有贮存的情况下应定期检查；在入口处应设置明显的危险废物标志。</w:t>
            </w:r>
          </w:p>
          <w:p w14:paraId="658255F8">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综上所述，本项目营运期严格落实本环评中提出的各类废物处置措施，落实危险废物储存和转运要求，可防止因处置不当出现的环境二次污染。</w:t>
            </w:r>
          </w:p>
          <w:p w14:paraId="30B45BFF">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5、</w:t>
            </w:r>
            <w:r>
              <w:rPr>
                <w:rFonts w:hint="eastAsia" w:eastAsia="宋体" w:cs="Times New Roman"/>
                <w:b/>
                <w:color w:val="auto"/>
                <w:sz w:val="24"/>
                <w:szCs w:val="24"/>
                <w:highlight w:val="none"/>
                <w:lang w:eastAsia="zh-CN"/>
              </w:rPr>
              <w:t>土壤和</w:t>
            </w:r>
            <w:r>
              <w:rPr>
                <w:rFonts w:hint="default" w:ascii="Times New Roman" w:hAnsi="Times New Roman" w:eastAsia="宋体" w:cs="Times New Roman"/>
                <w:b/>
                <w:color w:val="auto"/>
                <w:sz w:val="24"/>
                <w:szCs w:val="24"/>
                <w:highlight w:val="none"/>
              </w:rPr>
              <w:t>地下水</w:t>
            </w:r>
          </w:p>
          <w:p w14:paraId="060895D2">
            <w:pPr>
              <w:keepNext w:val="0"/>
              <w:keepLines w:val="0"/>
              <w:suppressLineNumbers w:val="0"/>
              <w:spacing w:before="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（1）污染源及污染途径识别</w:t>
            </w:r>
          </w:p>
          <w:p w14:paraId="0397C7AE">
            <w:pPr>
              <w:keepNext w:val="0"/>
              <w:keepLines w:val="0"/>
              <w:suppressLineNumbers w:val="0"/>
              <w:spacing w:before="0" w:beforeAutospacing="0" w:after="0" w:afterAutospacing="0" w:line="360" w:lineRule="auto"/>
              <w:ind w:left="0" w:right="0" w:firstLine="480" w:firstLineChars="200"/>
              <w:rPr>
                <w:rFonts w:hint="eastAsia"/>
                <w:color w:val="auto"/>
                <w:sz w:val="24"/>
                <w:highlight w:val="none"/>
              </w:rPr>
            </w:pPr>
            <w:r>
              <w:rPr>
                <w:rFonts w:hint="default"/>
                <w:color w:val="auto"/>
                <w:sz w:val="24"/>
                <w:highlight w:val="none"/>
              </w:rPr>
              <w:t>本项目的汽油、柴油储罐均位于地下，储油罐和输油管线若出现泄漏或渗漏，污染物可能垂直下渗，对地下水水质和周边土壤造成一定影响。另外降雨或废水排放等情况，污染物通过地表径流进入到土壤和地下水，对土壤和地下水造成污染。</w:t>
            </w:r>
          </w:p>
          <w:p w14:paraId="1DDFB2E6">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进入到土壤的污染物在物理、化学和生物作用下经吸附、转化、迁移和分解后输入地下水</w:t>
            </w:r>
            <w:r>
              <w:rPr>
                <w:rFonts w:hint="eastAsia"/>
                <w:color w:val="auto"/>
                <w:sz w:val="24"/>
                <w:highlight w:val="none"/>
              </w:rPr>
              <w:t>，</w:t>
            </w:r>
            <w:r>
              <w:rPr>
                <w:rFonts w:hint="default"/>
                <w:color w:val="auto"/>
                <w:sz w:val="24"/>
                <w:highlight w:val="none"/>
              </w:rPr>
              <w:t>将</w:t>
            </w:r>
            <w:r>
              <w:rPr>
                <w:rFonts w:hint="eastAsia"/>
                <w:color w:val="auto"/>
                <w:sz w:val="24"/>
                <w:highlight w:val="none"/>
              </w:rPr>
              <w:t>进一步</w:t>
            </w:r>
            <w:r>
              <w:rPr>
                <w:rFonts w:hint="default"/>
                <w:color w:val="auto"/>
                <w:sz w:val="24"/>
                <w:highlight w:val="none"/>
              </w:rPr>
              <w:t>对土壤和地下水造成污染，土壤和地下水一旦遭到燃料油的污染，将产生严重异味，并具有较强的致畸致癌性。因此本项目的污染源主要为汽油、柴油罐、输油管线等的泄漏，隔油池、危废暂存间、</w:t>
            </w:r>
            <w:r>
              <w:rPr>
                <w:rFonts w:hint="eastAsia"/>
                <w:color w:val="auto"/>
                <w:sz w:val="24"/>
                <w:highlight w:val="none"/>
                <w:lang w:val="en-US" w:eastAsia="zh-CN"/>
              </w:rPr>
              <w:t>撬装柴油</w:t>
            </w:r>
            <w:r>
              <w:rPr>
                <w:rFonts w:hint="default"/>
                <w:color w:val="auto"/>
                <w:sz w:val="24"/>
                <w:highlight w:val="none"/>
              </w:rPr>
              <w:t>发电机等污染物的渗漏。</w:t>
            </w:r>
          </w:p>
          <w:p w14:paraId="27E3053D">
            <w:pPr>
              <w:keepNext w:val="0"/>
              <w:keepLines w:val="0"/>
              <w:suppressLineNumbers w:val="0"/>
              <w:spacing w:before="0" w:beforeAutospacing="0" w:after="0" w:afterAutospacing="0" w:line="360" w:lineRule="auto"/>
              <w:ind w:left="0" w:right="0" w:firstLine="482" w:firstLineChars="200"/>
              <w:rPr>
                <w:rFonts w:hint="default"/>
                <w:b/>
                <w:color w:val="auto"/>
                <w:sz w:val="24"/>
                <w:highlight w:val="none"/>
              </w:rPr>
            </w:pPr>
            <w:r>
              <w:rPr>
                <w:rFonts w:hint="default"/>
                <w:b/>
                <w:color w:val="auto"/>
                <w:sz w:val="24"/>
                <w:highlight w:val="none"/>
              </w:rPr>
              <w:t>（2）污染防治措施</w:t>
            </w:r>
          </w:p>
          <w:p w14:paraId="0C86761A">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default"/>
                <w:color w:val="auto"/>
                <w:sz w:val="24"/>
                <w:highlight w:val="none"/>
              </w:rPr>
              <w:t>本项目地下水</w:t>
            </w:r>
            <w:r>
              <w:rPr>
                <w:rFonts w:hint="eastAsia"/>
                <w:color w:val="auto"/>
                <w:sz w:val="24"/>
                <w:highlight w:val="none"/>
              </w:rPr>
              <w:t>、土壤</w:t>
            </w:r>
            <w:r>
              <w:rPr>
                <w:rFonts w:hint="default"/>
                <w:color w:val="auto"/>
                <w:sz w:val="24"/>
                <w:highlight w:val="none"/>
              </w:rPr>
              <w:t>污染预防措施按照“源头控制、分区控制、污染监控、应急响应”的主动与被动防渗相结合的防渗原则。在做好防止和减少“跑、冒、滴、漏”等源头防污措施的基础上，</w:t>
            </w:r>
            <w:r>
              <w:rPr>
                <w:rFonts w:hint="eastAsia"/>
                <w:color w:val="auto"/>
                <w:sz w:val="24"/>
                <w:highlight w:val="none"/>
              </w:rPr>
              <w:t>按简单防渗区、</w:t>
            </w:r>
            <w:r>
              <w:rPr>
                <w:rFonts w:hint="default"/>
                <w:color w:val="auto"/>
                <w:sz w:val="24"/>
                <w:highlight w:val="none"/>
              </w:rPr>
              <w:t>一般防渗区及重点防渗区进行分区防渗。</w:t>
            </w:r>
          </w:p>
          <w:p w14:paraId="7C6014E3">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本项目拟采取的防治措施如下：</w:t>
            </w:r>
          </w:p>
          <w:p w14:paraId="013E51A5">
            <w:pPr>
              <w:keepNext w:val="0"/>
              <w:keepLines w:val="0"/>
              <w:numPr>
                <w:ilvl w:val="0"/>
                <w:numId w:val="2"/>
              </w:numPr>
              <w:suppressLineNumbers w:val="0"/>
              <w:spacing w:before="0" w:beforeAutospacing="0" w:after="0" w:afterAutospacing="0" w:line="360" w:lineRule="auto"/>
              <w:ind w:right="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源头控制措施</w:t>
            </w:r>
          </w:p>
          <w:p w14:paraId="633E4BC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应根据国家现行相关规范加强环境管理，采取防止和降低污染物跑、冒、滴、漏的措施。正常运营过程中应加强控制及处理机修过程中污染物跑、冒、滴、漏，同时应加强对防渗工程的检查，若发现防渗密封材料老化或损坏，应及时维修更换。主要采取的措施为：油罐罐体防渗，输油管线防渗，油罐设置动态监测装置（动态监测仪+液位计模式），对油罐进行实时监测，并</w:t>
            </w:r>
            <w:r>
              <w:rPr>
                <w:rFonts w:hint="eastAsia" w:cs="Times New Roman"/>
                <w:bCs/>
                <w:color w:val="auto"/>
                <w:sz w:val="24"/>
                <w:highlight w:val="none"/>
                <w:lang w:eastAsia="zh-CN"/>
              </w:rPr>
              <w:t>设置</w:t>
            </w:r>
            <w:r>
              <w:rPr>
                <w:rFonts w:hint="default" w:ascii="Times New Roman" w:hAnsi="Times New Roman" w:cs="Times New Roman"/>
                <w:bCs/>
                <w:color w:val="auto"/>
                <w:sz w:val="24"/>
                <w:highlight w:val="none"/>
              </w:rPr>
              <w:t xml:space="preserve">液位报警装置，防止油罐溢油。 </w:t>
            </w:r>
          </w:p>
          <w:p w14:paraId="04E61950">
            <w:pPr>
              <w:keepNext w:val="0"/>
              <w:keepLines w:val="0"/>
              <w:numPr>
                <w:ilvl w:val="0"/>
                <w:numId w:val="2"/>
              </w:numPr>
              <w:suppressLineNumbers w:val="0"/>
              <w:spacing w:before="0" w:beforeAutospacing="0" w:after="0" w:afterAutospacing="0" w:line="360" w:lineRule="auto"/>
              <w:ind w:right="0"/>
              <w:rPr>
                <w:rFonts w:hint="default"/>
                <w:bCs/>
                <w:color w:val="auto"/>
                <w:sz w:val="24"/>
                <w:highlight w:val="none"/>
              </w:rPr>
            </w:pPr>
            <w:r>
              <w:rPr>
                <w:rFonts w:hint="default" w:ascii="Times New Roman" w:hAnsi="Times New Roman" w:cs="Times New Roman"/>
                <w:bCs/>
                <w:color w:val="auto"/>
                <w:sz w:val="24"/>
                <w:highlight w:val="none"/>
              </w:rPr>
              <w:t>分区防</w:t>
            </w:r>
            <w:r>
              <w:rPr>
                <w:rFonts w:hint="default"/>
                <w:bCs/>
                <w:color w:val="auto"/>
                <w:sz w:val="24"/>
                <w:highlight w:val="none"/>
              </w:rPr>
              <w:t>渗</w:t>
            </w:r>
          </w:p>
          <w:p w14:paraId="5E713DD4">
            <w:pPr>
              <w:keepNext w:val="0"/>
              <w:keepLines w:val="0"/>
              <w:suppressLineNumbers w:val="0"/>
              <w:spacing w:before="0" w:beforeAutospacing="0" w:after="0" w:afterAutospacing="0" w:line="360" w:lineRule="auto"/>
              <w:ind w:left="0" w:right="0" w:firstLine="480" w:firstLineChars="200"/>
              <w:rPr>
                <w:rFonts w:hint="default"/>
                <w:bCs/>
                <w:color w:val="auto"/>
                <w:sz w:val="24"/>
                <w:highlight w:val="none"/>
              </w:rPr>
            </w:pPr>
            <w:r>
              <w:rPr>
                <w:rFonts w:hint="default"/>
                <w:bCs/>
                <w:color w:val="auto"/>
                <w:sz w:val="24"/>
                <w:highlight w:val="none"/>
              </w:rPr>
              <w:t>为了避免项目营运对区域地下水及土壤环境的影响，项目制定了</w:t>
            </w:r>
            <w:r>
              <w:rPr>
                <w:rFonts w:hint="eastAsia"/>
                <w:bCs/>
                <w:color w:val="auto"/>
                <w:sz w:val="24"/>
                <w:highlight w:val="none"/>
              </w:rPr>
              <w:t>场区</w:t>
            </w:r>
            <w:r>
              <w:rPr>
                <w:rFonts w:hint="default"/>
                <w:bCs/>
                <w:color w:val="auto"/>
                <w:sz w:val="24"/>
                <w:highlight w:val="none"/>
              </w:rPr>
              <w:t>污染防治方案，针对不同区域进行防渗设计、采取合理的防渗措施。环评要求将</w:t>
            </w:r>
            <w:r>
              <w:rPr>
                <w:rFonts w:hint="eastAsia"/>
                <w:bCs/>
                <w:color w:val="auto"/>
                <w:sz w:val="24"/>
                <w:highlight w:val="none"/>
              </w:rPr>
              <w:t>场区</w:t>
            </w:r>
            <w:r>
              <w:rPr>
                <w:rFonts w:hint="default"/>
                <w:bCs/>
                <w:color w:val="auto"/>
                <w:sz w:val="24"/>
                <w:highlight w:val="none"/>
              </w:rPr>
              <w:t>分为重点防渗区、一般防渗区、简单防渗区等三个等级区域。</w:t>
            </w:r>
          </w:p>
          <w:p w14:paraId="0E4B327D">
            <w:pPr>
              <w:keepNext w:val="0"/>
              <w:keepLines w:val="0"/>
              <w:suppressLineNumbers w:val="0"/>
              <w:spacing w:before="0" w:beforeAutospacing="0" w:after="0" w:afterAutospacing="0" w:line="360" w:lineRule="auto"/>
              <w:ind w:left="0" w:right="0" w:firstLine="480" w:firstLineChars="200"/>
              <w:rPr>
                <w:rFonts w:hint="default"/>
                <w:bCs/>
                <w:color w:val="000000" w:themeColor="text1"/>
                <w:sz w:val="24"/>
                <w:highlight w:val="none"/>
                <w14:textFill>
                  <w14:solidFill>
                    <w14:schemeClr w14:val="tx1"/>
                  </w14:solidFill>
                </w14:textFill>
              </w:rPr>
            </w:pPr>
            <w:r>
              <w:rPr>
                <w:rFonts w:hint="default"/>
                <w:bCs/>
                <w:color w:val="auto"/>
                <w:sz w:val="24"/>
                <w:highlight w:val="none"/>
              </w:rPr>
              <w:t>重点防渗区：</w:t>
            </w:r>
            <w:r>
              <w:rPr>
                <w:rFonts w:hint="eastAsia"/>
                <w:bCs/>
                <w:color w:val="000000" w:themeColor="text1"/>
                <w:sz w:val="24"/>
                <w:highlight w:val="none"/>
                <w14:textFill>
                  <w14:solidFill>
                    <w14:schemeClr w14:val="tx1"/>
                  </w14:solidFill>
                </w14:textFill>
              </w:rPr>
              <w:t>加油区、油罐区、加油管道、</w:t>
            </w:r>
            <w:r>
              <w:rPr>
                <w:rFonts w:hint="eastAsia"/>
                <w:bCs/>
                <w:color w:val="000000" w:themeColor="text1"/>
                <w:sz w:val="24"/>
                <w:highlight w:val="none"/>
                <w:lang w:val="en-US" w:eastAsia="zh-CN"/>
                <w14:textFill>
                  <w14:solidFill>
                    <w14:schemeClr w14:val="tx1"/>
                  </w14:solidFill>
                </w14:textFill>
              </w:rPr>
              <w:t>撬装柴油发电机区</w:t>
            </w:r>
            <w:r>
              <w:rPr>
                <w:rFonts w:hint="eastAsia"/>
                <w:bCs/>
                <w:color w:val="000000" w:themeColor="text1"/>
                <w:sz w:val="24"/>
                <w:highlight w:val="none"/>
                <w14:textFill>
                  <w14:solidFill>
                    <w14:schemeClr w14:val="tx1"/>
                  </w14:solidFill>
                </w14:textFill>
              </w:rPr>
              <w:t>、危废暂存间。</w:t>
            </w:r>
          </w:p>
          <w:p w14:paraId="53183177">
            <w:pPr>
              <w:keepNext w:val="0"/>
              <w:keepLines w:val="0"/>
              <w:suppressLineNumbers w:val="0"/>
              <w:spacing w:before="0" w:beforeAutospacing="0" w:after="0" w:afterAutospacing="0" w:line="360" w:lineRule="auto"/>
              <w:ind w:left="0" w:right="0" w:firstLine="480" w:firstLineChars="200"/>
              <w:rPr>
                <w:rFonts w:hint="default"/>
                <w:bCs/>
                <w:color w:val="000000" w:themeColor="text1"/>
                <w:sz w:val="24"/>
                <w:highlight w:val="none"/>
                <w14:textFill>
                  <w14:solidFill>
                    <w14:schemeClr w14:val="tx1"/>
                  </w14:solidFill>
                </w14:textFill>
              </w:rPr>
            </w:pPr>
            <w:r>
              <w:rPr>
                <w:rFonts w:hint="default"/>
                <w:bCs/>
                <w:color w:val="000000" w:themeColor="text1"/>
                <w:sz w:val="24"/>
                <w:highlight w:val="none"/>
                <w14:textFill>
                  <w14:solidFill>
                    <w14:schemeClr w14:val="tx1"/>
                  </w14:solidFill>
                </w14:textFill>
              </w:rPr>
              <w:t>一般防渗区：</w:t>
            </w:r>
            <w:r>
              <w:rPr>
                <w:rFonts w:hint="eastAsia"/>
                <w:bCs/>
                <w:color w:val="000000" w:themeColor="text1"/>
                <w:sz w:val="24"/>
                <w:highlight w:val="none"/>
                <w14:textFill>
                  <w14:solidFill>
                    <w14:schemeClr w14:val="tx1"/>
                  </w14:solidFill>
                </w14:textFill>
              </w:rPr>
              <w:t>洗车区、化粪池、隔油池</w:t>
            </w:r>
            <w:r>
              <w:rPr>
                <w:rFonts w:hint="default"/>
                <w:bCs/>
                <w:color w:val="000000" w:themeColor="text1"/>
                <w:sz w:val="24"/>
                <w:highlight w:val="none"/>
                <w14:textFill>
                  <w14:solidFill>
                    <w14:schemeClr w14:val="tx1"/>
                  </w14:solidFill>
                </w14:textFill>
              </w:rPr>
              <w:t>。</w:t>
            </w:r>
          </w:p>
          <w:p w14:paraId="563369CB">
            <w:pPr>
              <w:keepNext w:val="0"/>
              <w:keepLines w:val="0"/>
              <w:suppressLineNumbers w:val="0"/>
              <w:spacing w:before="0" w:beforeAutospacing="0" w:after="0" w:afterAutospacing="0" w:line="360" w:lineRule="auto"/>
              <w:ind w:left="0" w:right="0" w:firstLine="480" w:firstLineChars="200"/>
              <w:rPr>
                <w:rFonts w:hint="default"/>
                <w:bCs/>
                <w:color w:val="000000" w:themeColor="text1"/>
                <w:sz w:val="24"/>
                <w:highlight w:val="none"/>
                <w14:textFill>
                  <w14:solidFill>
                    <w14:schemeClr w14:val="tx1"/>
                  </w14:solidFill>
                </w14:textFill>
              </w:rPr>
            </w:pPr>
            <w:r>
              <w:rPr>
                <w:rFonts w:hint="default"/>
                <w:bCs/>
                <w:color w:val="000000" w:themeColor="text1"/>
                <w:sz w:val="24"/>
                <w:highlight w:val="none"/>
                <w14:textFill>
                  <w14:solidFill>
                    <w14:schemeClr w14:val="tx1"/>
                  </w14:solidFill>
                </w14:textFill>
              </w:rPr>
              <w:t>简单防渗区：</w:t>
            </w:r>
            <w:r>
              <w:rPr>
                <w:rFonts w:hint="eastAsia"/>
                <w:bCs/>
                <w:color w:val="000000" w:themeColor="text1"/>
                <w:sz w:val="24"/>
                <w:highlight w:val="none"/>
                <w14:textFill>
                  <w14:solidFill>
                    <w14:schemeClr w14:val="tx1"/>
                  </w14:solidFill>
                </w14:textFill>
              </w:rPr>
              <w:t>场区站房及站内道路地面等除绿化带以外的其他区域</w:t>
            </w:r>
            <w:r>
              <w:rPr>
                <w:rFonts w:hint="default"/>
                <w:bCs/>
                <w:color w:val="000000" w:themeColor="text1"/>
                <w:sz w:val="24"/>
                <w:highlight w:val="none"/>
                <w14:textFill>
                  <w14:solidFill>
                    <w14:schemeClr w14:val="tx1"/>
                  </w14:solidFill>
                </w14:textFill>
              </w:rPr>
              <w:t>。</w:t>
            </w:r>
          </w:p>
          <w:p w14:paraId="2B1EC943">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highlight w:val="none"/>
                <w14:textFill>
                  <w14:solidFill>
                    <w14:schemeClr w14:val="tx1"/>
                  </w14:solidFill>
                </w14:textFill>
              </w:rPr>
            </w:pPr>
            <w:r>
              <w:rPr>
                <w:rFonts w:hint="default"/>
                <w:b/>
                <w:color w:val="000000" w:themeColor="text1"/>
                <w:sz w:val="24"/>
                <w:highlight w:val="none"/>
                <w14:textFill>
                  <w14:solidFill>
                    <w14:schemeClr w14:val="tx1"/>
                  </w14:solidFill>
                </w14:textFill>
              </w:rPr>
              <w:t>重点防渗区防渗措施：</w:t>
            </w:r>
          </w:p>
          <w:p w14:paraId="28A2BFE9">
            <w:pPr>
              <w:keepNext w:val="0"/>
              <w:keepLines w:val="0"/>
              <w:suppressLineNumbers w:val="0"/>
              <w:spacing w:before="0" w:beforeAutospacing="0" w:after="0" w:afterAutospacing="0" w:line="360" w:lineRule="auto"/>
              <w:ind w:left="0" w:right="0" w:firstLine="480" w:firstLineChars="200"/>
              <w:rPr>
                <w:rFonts w:hint="default"/>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1）</w:t>
            </w:r>
            <w:r>
              <w:rPr>
                <w:rFonts w:hint="default"/>
                <w:bCs/>
                <w:color w:val="000000" w:themeColor="text1"/>
                <w:sz w:val="24"/>
                <w:highlight w:val="none"/>
                <w14:textFill>
                  <w14:solidFill>
                    <w14:schemeClr w14:val="tx1"/>
                  </w14:solidFill>
                </w14:textFill>
              </w:rPr>
              <w:t>油罐罐体防渗、油罐罐池防渗、输油管线防渗及站场地面防渗必须按《汽车加油加气站设计与施工规范》中的要求进行设计和施工。本项目采用卧式双层油罐，由内外2层玻璃钢纤维增强塑料组成，储罐具有均匀夹层空间配备相通泄漏检测仪。油罐双层结构，内有</w:t>
            </w:r>
            <w:r>
              <w:rPr>
                <w:rFonts w:hint="eastAsia"/>
                <w:bCs/>
                <w:color w:val="000000" w:themeColor="text1"/>
                <w:sz w:val="24"/>
                <w:highlight w:val="none"/>
                <w14:textFill>
                  <w14:solidFill>
                    <w14:schemeClr w14:val="tx1"/>
                  </w14:solidFill>
                </w14:textFill>
              </w:rPr>
              <w:t>0.1</w:t>
            </w:r>
            <w:r>
              <w:rPr>
                <w:rFonts w:hint="default"/>
                <w:bCs/>
                <w:color w:val="000000" w:themeColor="text1"/>
                <w:sz w:val="24"/>
                <w:highlight w:val="none"/>
                <w14:textFill>
                  <w14:solidFill>
                    <w14:schemeClr w14:val="tx1"/>
                  </w14:solidFill>
                </w14:textFill>
              </w:rPr>
              <w:t>mm的空隙，外层FRP玻璃钢保证了泄漏物不会直接渗漏污染土壤和水源。外层FRP玻璃钢不会与地下水、汽油、柴油等物质产生电解腐蚀现象。泄漏检测仪能够24小时全程监控，杜绝污染隐患。同时便于油罐的检测与维护，保护了土壤的原生环境。</w:t>
            </w:r>
          </w:p>
          <w:p w14:paraId="398BA340">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2）</w:t>
            </w:r>
            <w:r>
              <w:rPr>
                <w:rFonts w:hint="default"/>
                <w:bCs/>
                <w:color w:val="000000" w:themeColor="text1"/>
                <w:sz w:val="24"/>
                <w:highlight w:val="none"/>
                <w14:textFill>
                  <w14:solidFill>
                    <w14:schemeClr w14:val="tx1"/>
                  </w14:solidFill>
                </w14:textFill>
              </w:rPr>
              <w:t>危险废物暂存间按照《危险废物贮存污染控制标准》（GB18597-20</w:t>
            </w:r>
            <w:r>
              <w:rPr>
                <w:rFonts w:hint="eastAsia"/>
                <w:bCs/>
                <w:color w:val="000000" w:themeColor="text1"/>
                <w:sz w:val="24"/>
                <w:highlight w:val="none"/>
                <w14:textFill>
                  <w14:solidFill>
                    <w14:schemeClr w14:val="tx1"/>
                  </w14:solidFill>
                </w14:textFill>
              </w:rPr>
              <w:t>23</w:t>
            </w:r>
            <w:r>
              <w:rPr>
                <w:rFonts w:hint="default"/>
                <w:bCs/>
                <w:color w:val="000000" w:themeColor="text1"/>
                <w:sz w:val="24"/>
                <w:highlight w:val="none"/>
                <w14:textFill>
                  <w14:solidFill>
                    <w14:schemeClr w14:val="tx1"/>
                  </w14:solidFill>
                </w14:textFill>
              </w:rPr>
              <w:t>）的要求进行防风、防雨、防晒、防漏</w:t>
            </w:r>
            <w:r>
              <w:rPr>
                <w:rFonts w:hint="eastAsia"/>
                <w:bCs/>
                <w:color w:val="000000" w:themeColor="text1"/>
                <w:sz w:val="24"/>
                <w:highlight w:val="none"/>
                <w14:textFill>
                  <w14:solidFill>
                    <w14:schemeClr w14:val="tx1"/>
                  </w14:solidFill>
                </w14:textFill>
              </w:rPr>
              <w:t>、防渗、防腐“六</w:t>
            </w:r>
            <w:r>
              <w:rPr>
                <w:rFonts w:hint="default"/>
                <w:bCs/>
                <w:color w:val="000000" w:themeColor="text1"/>
                <w:sz w:val="24"/>
                <w:highlight w:val="none"/>
                <w14:textFill>
                  <w14:solidFill>
                    <w14:schemeClr w14:val="tx1"/>
                  </w14:solidFill>
                </w14:textFill>
              </w:rPr>
              <w:t>防</w:t>
            </w:r>
            <w:r>
              <w:rPr>
                <w:rFonts w:hint="eastAsia"/>
                <w:bCs/>
                <w:color w:val="000000" w:themeColor="text1"/>
                <w:sz w:val="24"/>
                <w:highlight w:val="none"/>
                <w14:textFill>
                  <w14:solidFill>
                    <w14:schemeClr w14:val="tx1"/>
                  </w14:solidFill>
                </w14:textFill>
              </w:rPr>
              <w:t>”</w:t>
            </w:r>
            <w:r>
              <w:rPr>
                <w:rFonts w:hint="default"/>
                <w:bCs/>
                <w:color w:val="000000" w:themeColor="text1"/>
                <w:sz w:val="24"/>
                <w:highlight w:val="none"/>
                <w14:textFill>
                  <w14:solidFill>
                    <w14:schemeClr w14:val="tx1"/>
                  </w14:solidFill>
                </w14:textFill>
              </w:rPr>
              <w:t>措施，危废暂存间</w:t>
            </w:r>
            <w:r>
              <w:rPr>
                <w:rFonts w:hint="eastAsia"/>
                <w:bCs/>
                <w:color w:val="000000" w:themeColor="text1"/>
                <w:sz w:val="24"/>
                <w:highlight w:val="none"/>
                <w14:textFill>
                  <w14:solidFill>
                    <w14:schemeClr w14:val="tx1"/>
                  </w14:solidFill>
                </w14:textFill>
              </w:rPr>
              <w:t>采用抗渗混凝土+2mm厚高密度聚乙烯材料防渗，确保</w:t>
            </w:r>
            <w:r>
              <w:rPr>
                <w:rFonts w:hint="default"/>
                <w:bCs/>
                <w:color w:val="000000" w:themeColor="text1"/>
                <w:sz w:val="24"/>
                <w:highlight w:val="none"/>
                <w14:textFill>
                  <w14:solidFill>
                    <w14:schemeClr w14:val="tx1"/>
                  </w14:solidFill>
                </w14:textFill>
              </w:rPr>
              <w:t>渗透系数≤10</w:t>
            </w:r>
            <w:r>
              <w:rPr>
                <w:rFonts w:hint="eastAsia"/>
                <w:bCs/>
                <w:color w:val="000000" w:themeColor="text1"/>
                <w:sz w:val="24"/>
                <w:highlight w:val="none"/>
                <w:lang w:eastAsia="zh-CN"/>
                <w14:textFill>
                  <w14:solidFill>
                    <w14:schemeClr w14:val="tx1"/>
                  </w14:solidFill>
                </w14:textFill>
              </w:rPr>
              <w:t>～</w:t>
            </w:r>
            <w:r>
              <w:rPr>
                <w:rFonts w:hint="default"/>
                <w:bCs/>
                <w:color w:val="000000" w:themeColor="text1"/>
                <w:sz w:val="24"/>
                <w:highlight w:val="none"/>
                <w:vertAlign w:val="superscript"/>
                <w14:textFill>
                  <w14:solidFill>
                    <w14:schemeClr w14:val="tx1"/>
                  </w14:solidFill>
                </w14:textFill>
              </w:rPr>
              <w:t>10</w:t>
            </w:r>
            <w:r>
              <w:rPr>
                <w:rFonts w:hint="default"/>
                <w:bCs/>
                <w:color w:val="000000" w:themeColor="text1"/>
                <w:sz w:val="24"/>
                <w:highlight w:val="none"/>
                <w14:textFill>
                  <w14:solidFill>
                    <w14:schemeClr w14:val="tx1"/>
                  </w14:solidFill>
                </w14:textFill>
              </w:rPr>
              <w:t>cm/s，同时在放置危险废物区域内设置堵截泄漏的裙脚，地面与裙脚所围建的容积不低于堵截最大容器的最大储量，防止泄漏液体流出，并有利于泄漏液体的收集。</w:t>
            </w:r>
          </w:p>
          <w:p w14:paraId="0B6C7AE7">
            <w:pPr>
              <w:keepNext w:val="0"/>
              <w:keepLines w:val="0"/>
              <w:suppressLineNumbers w:val="0"/>
              <w:spacing w:before="0" w:beforeAutospacing="0" w:after="0" w:afterAutospacing="0" w:line="360" w:lineRule="auto"/>
              <w:ind w:left="0" w:right="0" w:firstLine="480" w:firstLineChars="200"/>
              <w:rPr>
                <w:rFonts w:hint="default"/>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3）</w:t>
            </w:r>
            <w:r>
              <w:rPr>
                <w:rFonts w:hint="eastAsia"/>
                <w:bCs/>
                <w:color w:val="000000" w:themeColor="text1"/>
                <w:sz w:val="24"/>
                <w:highlight w:val="none"/>
                <w14:textFill>
                  <w14:solidFill>
                    <w14:schemeClr w14:val="tx1"/>
                  </w14:solidFill>
                </w14:textFill>
              </w:rPr>
              <w:t>加油区、</w:t>
            </w:r>
            <w:r>
              <w:rPr>
                <w:rFonts w:hint="eastAsia"/>
                <w:color w:val="000000" w:themeColor="text1"/>
                <w:kern w:val="0"/>
                <w:sz w:val="24"/>
                <w:highlight w:val="none"/>
                <w:lang w:val="en-US" w:eastAsia="zh-CN"/>
                <w14:textFill>
                  <w14:solidFill>
                    <w14:schemeClr w14:val="tx1"/>
                  </w14:solidFill>
                </w14:textFill>
              </w:rPr>
              <w:t>撬装柴油</w:t>
            </w:r>
            <w:r>
              <w:rPr>
                <w:rFonts w:hint="eastAsia"/>
                <w:color w:val="000000" w:themeColor="text1"/>
                <w:kern w:val="0"/>
                <w:sz w:val="24"/>
                <w:highlight w:val="none"/>
                <w14:textFill>
                  <w14:solidFill>
                    <w14:schemeClr w14:val="tx1"/>
                  </w14:solidFill>
                </w14:textFill>
              </w:rPr>
              <w:t>发电机</w:t>
            </w:r>
            <w:r>
              <w:rPr>
                <w:rFonts w:hint="eastAsia"/>
                <w:color w:val="000000" w:themeColor="text1"/>
                <w:kern w:val="0"/>
                <w:sz w:val="24"/>
                <w:highlight w:val="none"/>
                <w:lang w:val="en-US" w:eastAsia="zh-CN"/>
                <w14:textFill>
                  <w14:solidFill>
                    <w14:schemeClr w14:val="tx1"/>
                  </w14:solidFill>
                </w14:textFill>
              </w:rPr>
              <w:t>区</w:t>
            </w:r>
            <w:r>
              <w:rPr>
                <w:rFonts w:hint="eastAsia"/>
                <w:color w:val="000000" w:themeColor="text1"/>
                <w:kern w:val="0"/>
                <w:sz w:val="24"/>
                <w:highlight w:val="none"/>
                <w14:textFill>
                  <w14:solidFill>
                    <w14:schemeClr w14:val="tx1"/>
                  </w14:solidFill>
                </w14:textFill>
              </w:rPr>
              <w:t>地面采用</w:t>
            </w:r>
            <w:r>
              <w:rPr>
                <w:rFonts w:hint="eastAsia"/>
                <w:bCs/>
                <w:color w:val="000000" w:themeColor="text1"/>
                <w:sz w:val="24"/>
                <w:highlight w:val="none"/>
                <w14:textFill>
                  <w14:solidFill>
                    <w14:schemeClr w14:val="tx1"/>
                  </w14:solidFill>
                </w14:textFill>
              </w:rPr>
              <w:t>抗渗混凝土+2mm厚高密度聚乙烯材料防渗，确保</w:t>
            </w:r>
            <w:r>
              <w:rPr>
                <w:rFonts w:hint="eastAsia"/>
                <w:color w:val="000000" w:themeColor="text1"/>
                <w:sz w:val="24"/>
                <w:highlight w:val="none"/>
                <w14:textFill>
                  <w14:solidFill>
                    <w14:schemeClr w14:val="tx1"/>
                  </w14:solidFill>
                </w14:textFill>
              </w:rPr>
              <w:t>防渗能力达到等效黏土层M</w:t>
            </w:r>
            <w:r>
              <w:rPr>
                <w:rFonts w:hint="default" w:ascii="Times New Roman" w:hAnsi="Times New Roman" w:cs="Times New Roman"/>
                <w:color w:val="000000" w:themeColor="text1"/>
                <w:sz w:val="24"/>
                <w:highlight w:val="none"/>
                <w14:textFill>
                  <w14:solidFill>
                    <w14:schemeClr w14:val="tx1"/>
                  </w14:solidFill>
                </w14:textFill>
              </w:rPr>
              <w:t>b≥</w:t>
            </w:r>
            <w:r>
              <w:rPr>
                <w:rFonts w:hint="eastAsia"/>
                <w:color w:val="000000" w:themeColor="text1"/>
                <w:sz w:val="24"/>
                <w:highlight w:val="none"/>
                <w14:textFill>
                  <w14:solidFill>
                    <w14:schemeClr w14:val="tx1"/>
                  </w14:solidFill>
                </w14:textFill>
              </w:rPr>
              <w:t>6.0</w:t>
            </w:r>
            <w:r>
              <w:rPr>
                <w:rFonts w:hint="default"/>
                <w:color w:val="000000" w:themeColor="text1"/>
                <w:sz w:val="24"/>
                <w:highlight w:val="none"/>
                <w14:textFill>
                  <w14:solidFill>
                    <w14:schemeClr w14:val="tx1"/>
                  </w14:solidFill>
                </w14:textFill>
              </w:rPr>
              <w:t>m</w:t>
            </w:r>
            <w:r>
              <w:rPr>
                <w:rFonts w:hint="eastAsia"/>
                <w:color w:val="000000" w:themeColor="text1"/>
                <w:sz w:val="24"/>
                <w:highlight w:val="none"/>
                <w14:textFill>
                  <w14:solidFill>
                    <w14:schemeClr w14:val="tx1"/>
                  </w14:solidFill>
                </w14:textFill>
              </w:rPr>
              <w:t>、渗透系数小于</w:t>
            </w:r>
            <w:r>
              <w:rPr>
                <w:rFonts w:hint="default"/>
                <w:color w:val="000000" w:themeColor="text1"/>
                <w:sz w:val="24"/>
                <w:highlight w:val="none"/>
                <w14:textFill>
                  <w14:solidFill>
                    <w14:schemeClr w14:val="tx1"/>
                  </w14:solidFill>
                </w14:textFill>
              </w:rPr>
              <w:t>1.0×10</w:t>
            </w:r>
            <w:r>
              <w:rPr>
                <w:rFonts w:hint="eastAsia"/>
                <w:color w:val="000000" w:themeColor="text1"/>
                <w:sz w:val="24"/>
                <w:highlight w:val="none"/>
                <w:lang w:eastAsia="zh-CN"/>
                <w14:textFill>
                  <w14:solidFill>
                    <w14:schemeClr w14:val="tx1"/>
                  </w14:solidFill>
                </w14:textFill>
              </w:rPr>
              <w:t>～</w:t>
            </w:r>
            <w:r>
              <w:rPr>
                <w:rFonts w:hint="default"/>
                <w:color w:val="000000" w:themeColor="text1"/>
                <w:sz w:val="24"/>
                <w:highlight w:val="none"/>
                <w:vertAlign w:val="superscript"/>
                <w14:textFill>
                  <w14:solidFill>
                    <w14:schemeClr w14:val="tx1"/>
                  </w14:solidFill>
                </w14:textFill>
              </w:rPr>
              <w:t>7</w:t>
            </w:r>
            <w:r>
              <w:rPr>
                <w:rFonts w:hint="default"/>
                <w:color w:val="000000" w:themeColor="text1"/>
                <w:sz w:val="24"/>
                <w:highlight w:val="none"/>
                <w14:textFill>
                  <w14:solidFill>
                    <w14:schemeClr w14:val="tx1"/>
                  </w14:solidFill>
                </w14:textFill>
              </w:rPr>
              <w:t>cm/s</w:t>
            </w:r>
            <w:r>
              <w:rPr>
                <w:rFonts w:hint="eastAsia"/>
                <w:color w:val="000000" w:themeColor="text1"/>
                <w:sz w:val="24"/>
                <w:highlight w:val="none"/>
                <w14:textFill>
                  <w14:solidFill>
                    <w14:schemeClr w14:val="tx1"/>
                  </w14:solidFill>
                </w14:textFill>
              </w:rPr>
              <w:t>。</w:t>
            </w:r>
          </w:p>
          <w:p w14:paraId="01F24204">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highlight w:val="none"/>
                <w14:textFill>
                  <w14:solidFill>
                    <w14:schemeClr w14:val="tx1"/>
                  </w14:solidFill>
                </w14:textFill>
              </w:rPr>
            </w:pPr>
            <w:r>
              <w:rPr>
                <w:rFonts w:hint="default"/>
                <w:b/>
                <w:color w:val="000000" w:themeColor="text1"/>
                <w:sz w:val="24"/>
                <w:highlight w:val="none"/>
                <w14:textFill>
                  <w14:solidFill>
                    <w14:schemeClr w14:val="tx1"/>
                  </w14:solidFill>
                </w14:textFill>
              </w:rPr>
              <w:t>一般防渗区防渗措施：</w:t>
            </w:r>
          </w:p>
          <w:p w14:paraId="39A702F5">
            <w:pPr>
              <w:pStyle w:val="52"/>
              <w:keepNext w:val="0"/>
              <w:keepLines w:val="0"/>
              <w:suppressLineNumbers w:val="0"/>
              <w:spacing w:before="0" w:beforeAutospacing="0" w:after="0" w:afterAutospacing="0"/>
              <w:ind w:left="0" w:right="0" w:firstLine="480" w:firstLineChars="20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一般防渗区地面采取30cm厚强夯原粘土层垫层、30cm厚现浇防渗混凝土面层。通过上述措施可使一般</w:t>
            </w:r>
            <w:r>
              <w:rPr>
                <w:rFonts w:hint="eastAsia"/>
                <w:color w:val="000000" w:themeColor="text1"/>
                <w:highlight w:val="none"/>
                <w14:textFill>
                  <w14:solidFill>
                    <w14:schemeClr w14:val="tx1"/>
                  </w14:solidFill>
                </w14:textFill>
              </w:rPr>
              <w:t>防渗区</w:t>
            </w:r>
            <w:r>
              <w:rPr>
                <w:rFonts w:hint="default"/>
                <w:color w:val="000000" w:themeColor="text1"/>
                <w:highlight w:val="none"/>
                <w14:textFill>
                  <w14:solidFill>
                    <w14:schemeClr w14:val="tx1"/>
                  </w14:solidFill>
                </w14:textFill>
              </w:rPr>
              <w:t>各单元防渗</w:t>
            </w:r>
            <w:r>
              <w:rPr>
                <w:rFonts w:hint="default"/>
                <w:color w:val="000000" w:themeColor="text1"/>
                <w:szCs w:val="24"/>
                <w:highlight w:val="none"/>
                <w14:textFill>
                  <w14:solidFill>
                    <w14:schemeClr w14:val="tx1"/>
                  </w14:solidFill>
                </w14:textFill>
              </w:rPr>
              <w:t>层</w:t>
            </w:r>
            <w:r>
              <w:rPr>
                <w:rFonts w:hint="eastAsia"/>
                <w:color w:val="000000" w:themeColor="text1"/>
                <w:szCs w:val="24"/>
                <w:highlight w:val="none"/>
                <w14:textFill>
                  <w14:solidFill>
                    <w14:schemeClr w14:val="tx1"/>
                  </w14:solidFill>
                </w14:textFill>
              </w:rPr>
              <w:t>等效黏土防渗层Mb</w:t>
            </w:r>
            <w:r>
              <w:rPr>
                <w:rFonts w:hint="default"/>
                <w:color w:val="000000" w:themeColor="text1"/>
                <w:szCs w:val="24"/>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1.5</w:t>
            </w:r>
            <w:r>
              <w:rPr>
                <w:rFonts w:hint="default"/>
                <w:color w:val="000000" w:themeColor="text1"/>
                <w:szCs w:val="24"/>
                <w:highlight w:val="none"/>
                <w14:textFill>
                  <w14:solidFill>
                    <w14:schemeClr w14:val="tx1"/>
                  </w14:solidFill>
                </w14:textFill>
              </w:rPr>
              <w:t>m</w:t>
            </w:r>
            <w:r>
              <w:rPr>
                <w:rFonts w:hint="eastAsia"/>
                <w:color w:val="000000" w:themeColor="text1"/>
                <w:szCs w:val="24"/>
                <w:highlight w:val="none"/>
                <w14:textFill>
                  <w14:solidFill>
                    <w14:schemeClr w14:val="tx1"/>
                  </w14:solidFill>
                </w14:textFill>
              </w:rPr>
              <w:t>，</w:t>
            </w:r>
            <w:r>
              <w:rPr>
                <w:rFonts w:hint="default"/>
                <w:color w:val="000000" w:themeColor="text1"/>
                <w:szCs w:val="24"/>
                <w:highlight w:val="none"/>
                <w14:textFill>
                  <w14:solidFill>
                    <w14:schemeClr w14:val="tx1"/>
                  </w14:solidFill>
                </w14:textFill>
              </w:rPr>
              <w:t>渗透系数≤10</w:t>
            </w:r>
            <w:r>
              <w:rPr>
                <w:rFonts w:hint="default"/>
                <w:color w:val="000000" w:themeColor="text1"/>
                <w:szCs w:val="24"/>
                <w:highlight w:val="none"/>
                <w:vertAlign w:val="superscript"/>
                <w14:textFill>
                  <w14:solidFill>
                    <w14:schemeClr w14:val="tx1"/>
                  </w14:solidFill>
                </w14:textFill>
              </w:rPr>
              <w:t>-7</w:t>
            </w:r>
            <w:r>
              <w:rPr>
                <w:rFonts w:hint="default"/>
                <w:color w:val="000000" w:themeColor="text1"/>
                <w:szCs w:val="24"/>
                <w:highlight w:val="none"/>
                <w14:textFill>
                  <w14:solidFill>
                    <w14:schemeClr w14:val="tx1"/>
                  </w14:solidFill>
                </w14:textFill>
              </w:rPr>
              <w:t xml:space="preserve"> </w:t>
            </w:r>
            <w:r>
              <w:rPr>
                <w:rFonts w:hint="default"/>
                <w:color w:val="000000" w:themeColor="text1"/>
                <w:highlight w:val="none"/>
                <w14:textFill>
                  <w14:solidFill>
                    <w14:schemeClr w14:val="tx1"/>
                  </w14:solidFill>
                </w14:textFill>
              </w:rPr>
              <w:t>cm/s。</w:t>
            </w:r>
          </w:p>
          <w:p w14:paraId="5FF2BEAF">
            <w:pPr>
              <w:keepNext w:val="0"/>
              <w:keepLines w:val="0"/>
              <w:suppressLineNumbers w:val="0"/>
              <w:spacing w:before="0" w:beforeAutospacing="0" w:after="0" w:afterAutospacing="0" w:line="360" w:lineRule="auto"/>
              <w:ind w:left="0" w:right="0" w:firstLine="482" w:firstLineChars="200"/>
              <w:rPr>
                <w:rFonts w:hint="eastAsia"/>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简单防渗区防渗措施：</w:t>
            </w:r>
          </w:p>
          <w:p w14:paraId="03D89C28">
            <w:pPr>
              <w:pStyle w:val="52"/>
              <w:keepNext w:val="0"/>
              <w:keepLines w:val="0"/>
              <w:suppressLineNumbers w:val="0"/>
              <w:spacing w:before="0" w:beforeAutospacing="0" w:after="0" w:afterAutospacing="0"/>
              <w:ind w:left="0" w:right="0"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简单防渗区采用</w:t>
            </w:r>
            <w:r>
              <w:rPr>
                <w:rFonts w:hint="default"/>
                <w:color w:val="000000" w:themeColor="text1"/>
                <w:highlight w:val="none"/>
                <w14:textFill>
                  <w14:solidFill>
                    <w14:schemeClr w14:val="tx1"/>
                  </w14:solidFill>
                </w14:textFill>
              </w:rPr>
              <w:t>30cm厚强夯原</w:t>
            </w:r>
            <w:r>
              <w:rPr>
                <w:rFonts w:hint="eastAsia"/>
                <w:color w:val="000000" w:themeColor="text1"/>
                <w:highlight w:val="none"/>
                <w:lang w:eastAsia="zh-CN"/>
                <w14:textFill>
                  <w14:solidFill>
                    <w14:schemeClr w14:val="tx1"/>
                  </w14:solidFill>
                </w14:textFill>
              </w:rPr>
              <w:t>黏土</w:t>
            </w:r>
            <w:r>
              <w:rPr>
                <w:rFonts w:hint="default"/>
                <w:color w:val="000000" w:themeColor="text1"/>
                <w:highlight w:val="none"/>
                <w14:textFill>
                  <w14:solidFill>
                    <w14:schemeClr w14:val="tx1"/>
                  </w14:solidFill>
                </w14:textFill>
              </w:rPr>
              <w:t>层垫层、30cm厚现浇混凝土</w:t>
            </w:r>
            <w:r>
              <w:rPr>
                <w:rFonts w:hint="eastAsia"/>
                <w:color w:val="000000" w:themeColor="text1"/>
                <w:highlight w:val="none"/>
                <w14:textFill>
                  <w14:solidFill>
                    <w14:schemeClr w14:val="tx1"/>
                  </w14:solidFill>
                </w14:textFill>
              </w:rPr>
              <w:t>面层措施。</w:t>
            </w:r>
          </w:p>
          <w:p w14:paraId="66760EA3">
            <w:pPr>
              <w:keepNext w:val="0"/>
              <w:keepLines w:val="0"/>
              <w:suppressLineNumbers w:val="0"/>
              <w:spacing w:before="0" w:beforeAutospacing="0" w:after="0" w:afterAutospacing="0" w:line="360" w:lineRule="auto"/>
              <w:ind w:left="0" w:right="0" w:firstLine="480" w:firstLineChars="200"/>
              <w:rPr>
                <w:rFonts w:hint="default"/>
                <w:bCs/>
                <w:color w:val="000000" w:themeColor="text1"/>
                <w:sz w:val="24"/>
                <w:highlight w:val="none"/>
                <w14:textFill>
                  <w14:solidFill>
                    <w14:schemeClr w14:val="tx1"/>
                  </w14:solidFill>
                </w14:textFill>
              </w:rPr>
            </w:pPr>
            <w:r>
              <w:rPr>
                <w:rFonts w:hint="default"/>
                <w:bCs/>
                <w:color w:val="000000" w:themeColor="text1"/>
                <w:sz w:val="24"/>
                <w:highlight w:val="none"/>
                <w14:textFill>
                  <w14:solidFill>
                    <w14:schemeClr w14:val="tx1"/>
                  </w14:solidFill>
                </w14:textFill>
              </w:rPr>
              <w:t>采取上述治理措施后，本项目防渗措施基本满足《环境影响评价技术导则</w:t>
            </w:r>
            <w:r>
              <w:rPr>
                <w:rFonts w:hint="eastAsia"/>
                <w:bCs/>
                <w:color w:val="000000" w:themeColor="text1"/>
                <w:sz w:val="24"/>
                <w:highlight w:val="none"/>
                <w14:textFill>
                  <w14:solidFill>
                    <w14:schemeClr w14:val="tx1"/>
                  </w14:solidFill>
                </w14:textFill>
              </w:rPr>
              <w:t xml:space="preserve"> </w:t>
            </w:r>
            <w:r>
              <w:rPr>
                <w:rFonts w:hint="default"/>
                <w:bCs/>
                <w:color w:val="000000" w:themeColor="text1"/>
                <w:sz w:val="24"/>
                <w:highlight w:val="none"/>
                <w14:textFill>
                  <w14:solidFill>
                    <w14:schemeClr w14:val="tx1"/>
                  </w14:solidFill>
                </w14:textFill>
              </w:rPr>
              <w:t>地下水环境》（HJ610-2016）中防渗技术要求，可从污染源头和途径上减少因废水或物料泄漏渗、漏入地下水，不会对</w:t>
            </w:r>
            <w:r>
              <w:rPr>
                <w:rFonts w:hint="eastAsia"/>
                <w:bCs/>
                <w:color w:val="000000" w:themeColor="text1"/>
                <w:sz w:val="24"/>
                <w:highlight w:val="none"/>
                <w14:textFill>
                  <w14:solidFill>
                    <w14:schemeClr w14:val="tx1"/>
                  </w14:solidFill>
                </w14:textFill>
              </w:rPr>
              <w:t>土壤、</w:t>
            </w:r>
            <w:r>
              <w:rPr>
                <w:rFonts w:hint="default"/>
                <w:bCs/>
                <w:color w:val="000000" w:themeColor="text1"/>
                <w:sz w:val="24"/>
                <w:highlight w:val="none"/>
                <w14:textFill>
                  <w14:solidFill>
                    <w14:schemeClr w14:val="tx1"/>
                  </w14:solidFill>
                </w14:textFill>
              </w:rPr>
              <w:t>地下水环境造成不利影响。</w:t>
            </w:r>
          </w:p>
          <w:p w14:paraId="615B3B88">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highlight w:val="none"/>
                <w14:textFill>
                  <w14:solidFill>
                    <w14:schemeClr w14:val="tx1"/>
                  </w14:solidFill>
                </w14:textFill>
              </w:rPr>
            </w:pPr>
            <w:r>
              <w:rPr>
                <w:rFonts w:hint="default"/>
                <w:b/>
                <w:color w:val="000000" w:themeColor="text1"/>
                <w:sz w:val="24"/>
                <w:highlight w:val="none"/>
                <w14:textFill>
                  <w14:solidFill>
                    <w14:schemeClr w14:val="tx1"/>
                  </w14:solidFill>
                </w14:textFill>
              </w:rPr>
              <w:t>（3）跟踪监测</w:t>
            </w:r>
          </w:p>
          <w:p w14:paraId="081EB88F">
            <w:pPr>
              <w:keepNext w:val="0"/>
              <w:keepLines w:val="0"/>
              <w:suppressLineNumbers w:val="0"/>
              <w:spacing w:before="0" w:beforeAutospacing="0" w:after="0" w:afterAutospacing="0" w:line="360" w:lineRule="auto"/>
              <w:ind w:left="0" w:right="0" w:firstLine="480" w:firstLineChars="200"/>
              <w:rPr>
                <w:rFonts w:hint="default"/>
                <w:bCs/>
                <w:color w:val="000000" w:themeColor="text1"/>
                <w:sz w:val="24"/>
                <w:highlight w:val="none"/>
                <w14:textFill>
                  <w14:solidFill>
                    <w14:schemeClr w14:val="tx1"/>
                  </w14:solidFill>
                </w14:textFill>
              </w:rPr>
            </w:pPr>
            <w:r>
              <w:rPr>
                <w:rFonts w:hint="default"/>
                <w:bCs/>
                <w:color w:val="000000" w:themeColor="text1"/>
                <w:sz w:val="24"/>
                <w:highlight w:val="none"/>
                <w14:textFill>
                  <w14:solidFill>
                    <w14:schemeClr w14:val="tx1"/>
                  </w14:solidFill>
                </w14:textFill>
              </w:rPr>
              <w:t>根据《</w:t>
            </w:r>
            <w:r>
              <w:rPr>
                <w:rFonts w:hint="eastAsia"/>
                <w:bCs/>
                <w:color w:val="000000" w:themeColor="text1"/>
                <w:sz w:val="24"/>
                <w:highlight w:val="none"/>
                <w14:textFill>
                  <w14:solidFill>
                    <w14:schemeClr w14:val="tx1"/>
                  </w14:solidFill>
                </w14:textFill>
              </w:rPr>
              <w:t>排污单位自行监测技术指南 储油库、加油站</w:t>
            </w:r>
            <w:r>
              <w:rPr>
                <w:rFonts w:hint="default"/>
                <w:bCs/>
                <w:color w:val="000000" w:themeColor="text1"/>
                <w:sz w:val="24"/>
                <w:highlight w:val="none"/>
                <w14:textFill>
                  <w14:solidFill>
                    <w14:schemeClr w14:val="tx1"/>
                  </w14:solidFill>
                </w14:textFill>
              </w:rPr>
              <w:t>》（</w:t>
            </w:r>
            <w:r>
              <w:rPr>
                <w:rFonts w:hint="eastAsia"/>
                <w:bCs/>
                <w:color w:val="000000" w:themeColor="text1"/>
                <w:sz w:val="24"/>
                <w:highlight w:val="none"/>
                <w14:textFill>
                  <w14:solidFill>
                    <w14:schemeClr w14:val="tx1"/>
                  </w14:solidFill>
                </w14:textFill>
              </w:rPr>
              <w:t>HJ 1249-2022</w:t>
            </w:r>
            <w:r>
              <w:rPr>
                <w:rFonts w:hint="default"/>
                <w:bCs/>
                <w:color w:val="000000" w:themeColor="text1"/>
                <w:sz w:val="24"/>
                <w:highlight w:val="none"/>
                <w14:textFill>
                  <w14:solidFill>
                    <w14:schemeClr w14:val="tx1"/>
                  </w14:solidFill>
                </w14:textFill>
              </w:rPr>
              <w:t>），</w:t>
            </w:r>
            <w:r>
              <w:rPr>
                <w:rFonts w:hint="eastAsia"/>
                <w:bCs/>
                <w:color w:val="000000" w:themeColor="text1"/>
                <w:sz w:val="24"/>
                <w:highlight w:val="none"/>
                <w14:textFill>
                  <w14:solidFill>
                    <w14:schemeClr w14:val="tx1"/>
                  </w14:solidFill>
                </w14:textFill>
              </w:rPr>
              <w:t>项目</w:t>
            </w:r>
            <w:r>
              <w:rPr>
                <w:rFonts w:hint="default"/>
                <w:bCs/>
                <w:color w:val="000000" w:themeColor="text1"/>
                <w:sz w:val="24"/>
                <w:highlight w:val="none"/>
                <w14:textFill>
                  <w14:solidFill>
                    <w14:schemeClr w14:val="tx1"/>
                  </w14:solidFill>
                </w14:textFill>
              </w:rPr>
              <w:t>运行期应建立地下水污染监控体系并按照有关规范进行地下水监测。</w:t>
            </w:r>
          </w:p>
          <w:p w14:paraId="0462748F">
            <w:pPr>
              <w:pStyle w:val="4"/>
              <w:suppressLineNumbers w:val="0"/>
              <w:adjustRightInd/>
              <w:spacing w:before="0" w:beforeAutospacing="0" w:after="0" w:afterAutospacing="0"/>
              <w:ind w:right="0"/>
              <w:jc w:val="center"/>
              <w:rPr>
                <w:rFonts w:hint="default" w:eastAsia="宋体"/>
                <w:b/>
                <w:bCs w:val="0"/>
                <w:color w:val="000000" w:themeColor="text1"/>
                <w:sz w:val="21"/>
                <w:szCs w:val="21"/>
                <w:highlight w:val="none"/>
                <w14:textFill>
                  <w14:solidFill>
                    <w14:schemeClr w14:val="tx1"/>
                  </w14:solidFill>
                </w14:textFill>
              </w:rPr>
            </w:pPr>
            <w:r>
              <w:rPr>
                <w:rFonts w:hint="default" w:eastAsia="宋体"/>
                <w:b/>
                <w:bCs w:val="0"/>
                <w:color w:val="000000" w:themeColor="text1"/>
                <w:sz w:val="21"/>
                <w:szCs w:val="21"/>
                <w:highlight w:val="none"/>
                <w:lang w:bidi="ar"/>
                <w14:textFill>
                  <w14:solidFill>
                    <w14:schemeClr w14:val="tx1"/>
                  </w14:solidFill>
                </w14:textFill>
              </w:rPr>
              <w:t>表4-</w:t>
            </w:r>
            <w:r>
              <w:rPr>
                <w:rFonts w:hint="eastAsia" w:eastAsia="宋体"/>
                <w:b/>
                <w:bCs w:val="0"/>
                <w:color w:val="000000" w:themeColor="text1"/>
                <w:sz w:val="21"/>
                <w:szCs w:val="21"/>
                <w:highlight w:val="none"/>
                <w:lang w:val="en-US" w:eastAsia="zh-CN" w:bidi="ar"/>
                <w14:textFill>
                  <w14:solidFill>
                    <w14:schemeClr w14:val="tx1"/>
                  </w14:solidFill>
                </w14:textFill>
              </w:rPr>
              <w:t xml:space="preserve">20  </w:t>
            </w:r>
            <w:r>
              <w:rPr>
                <w:rFonts w:hint="default" w:eastAsia="宋体"/>
                <w:b/>
                <w:bCs w:val="0"/>
                <w:color w:val="000000" w:themeColor="text1"/>
                <w:sz w:val="21"/>
                <w:szCs w:val="21"/>
                <w:highlight w:val="none"/>
                <w:lang w:bidi="ar"/>
                <w14:textFill>
                  <w14:solidFill>
                    <w14:schemeClr w14:val="tx1"/>
                  </w14:solidFill>
                </w14:textFill>
              </w:rPr>
              <w:t>地下水</w:t>
            </w:r>
            <w:r>
              <w:rPr>
                <w:rFonts w:hint="eastAsia" w:eastAsia="宋体"/>
                <w:b/>
                <w:bCs w:val="0"/>
                <w:color w:val="000000" w:themeColor="text1"/>
                <w:sz w:val="21"/>
                <w:szCs w:val="21"/>
                <w:highlight w:val="none"/>
                <w:lang w:bidi="ar"/>
                <w14:textFill>
                  <w14:solidFill>
                    <w14:schemeClr w14:val="tx1"/>
                  </w14:solidFill>
                </w14:textFill>
              </w:rPr>
              <w:t>环境监测计划</w:t>
            </w:r>
          </w:p>
          <w:tbl>
            <w:tblPr>
              <w:tblStyle w:val="23"/>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1461"/>
              <w:gridCol w:w="2535"/>
              <w:gridCol w:w="1139"/>
              <w:gridCol w:w="2325"/>
            </w:tblGrid>
            <w:tr w14:paraId="3A7F3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pct"/>
                  <w:tcBorders>
                    <w:tl2br w:val="nil"/>
                    <w:tr2bl w:val="nil"/>
                  </w:tcBorders>
                  <w:noWrap w:val="0"/>
                  <w:vAlign w:val="center"/>
                </w:tcPr>
                <w:p w14:paraId="45E4167D">
                  <w:pPr>
                    <w:keepNext w:val="0"/>
                    <w:keepLines w:val="0"/>
                    <w:suppressLineNumbers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监测项目</w:t>
                  </w:r>
                </w:p>
              </w:tc>
              <w:tc>
                <w:tcPr>
                  <w:tcW w:w="843" w:type="pct"/>
                  <w:tcBorders>
                    <w:tl2br w:val="nil"/>
                    <w:tr2bl w:val="nil"/>
                  </w:tcBorders>
                  <w:noWrap w:val="0"/>
                  <w:vAlign w:val="center"/>
                </w:tcPr>
                <w:p w14:paraId="78EC61B6">
                  <w:pPr>
                    <w:keepNext w:val="0"/>
                    <w:keepLines w:val="0"/>
                    <w:suppressLineNumbers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监测布点</w:t>
                  </w:r>
                </w:p>
              </w:tc>
              <w:tc>
                <w:tcPr>
                  <w:tcW w:w="1462" w:type="pct"/>
                  <w:tcBorders>
                    <w:tl2br w:val="nil"/>
                    <w:tr2bl w:val="nil"/>
                  </w:tcBorders>
                  <w:noWrap w:val="0"/>
                  <w:vAlign w:val="center"/>
                </w:tcPr>
                <w:p w14:paraId="44C68664">
                  <w:pPr>
                    <w:keepNext w:val="0"/>
                    <w:keepLines w:val="0"/>
                    <w:suppressLineNumbers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监测因子</w:t>
                  </w:r>
                </w:p>
              </w:tc>
              <w:tc>
                <w:tcPr>
                  <w:tcW w:w="657" w:type="pct"/>
                  <w:tcBorders>
                    <w:tl2br w:val="nil"/>
                    <w:tr2bl w:val="nil"/>
                  </w:tcBorders>
                  <w:noWrap w:val="0"/>
                  <w:vAlign w:val="center"/>
                </w:tcPr>
                <w:p w14:paraId="1C15ED1E">
                  <w:pPr>
                    <w:keepNext w:val="0"/>
                    <w:keepLines w:val="0"/>
                    <w:suppressLineNumbers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监测频次</w:t>
                  </w:r>
                </w:p>
              </w:tc>
              <w:tc>
                <w:tcPr>
                  <w:tcW w:w="1341" w:type="pct"/>
                  <w:tcBorders>
                    <w:tl2br w:val="nil"/>
                    <w:tr2bl w:val="nil"/>
                  </w:tcBorders>
                  <w:noWrap w:val="0"/>
                  <w:vAlign w:val="center"/>
                </w:tcPr>
                <w:p w14:paraId="2ECF701A">
                  <w:pPr>
                    <w:keepNext w:val="0"/>
                    <w:keepLines w:val="0"/>
                    <w:suppressLineNumbers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执行标准</w:t>
                  </w:r>
                </w:p>
              </w:tc>
            </w:tr>
            <w:tr w14:paraId="5A43F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pct"/>
                  <w:tcBorders>
                    <w:tl2br w:val="nil"/>
                    <w:tr2bl w:val="nil"/>
                  </w:tcBorders>
                  <w:noWrap w:val="0"/>
                  <w:vAlign w:val="center"/>
                </w:tcPr>
                <w:p w14:paraId="289D1BA8">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地下水</w:t>
                  </w:r>
                </w:p>
              </w:tc>
              <w:tc>
                <w:tcPr>
                  <w:tcW w:w="843" w:type="pct"/>
                  <w:tcBorders>
                    <w:tl2br w:val="nil"/>
                    <w:tr2bl w:val="nil"/>
                  </w:tcBorders>
                  <w:noWrap w:val="0"/>
                  <w:vAlign w:val="center"/>
                </w:tcPr>
                <w:p w14:paraId="4B49B9CD">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站址</w:t>
                  </w:r>
                  <w:r>
                    <w:rPr>
                      <w:rFonts w:hint="default"/>
                      <w:color w:val="000000" w:themeColor="text1"/>
                      <w:sz w:val="21"/>
                      <w:szCs w:val="21"/>
                      <w:highlight w:val="none"/>
                      <w14:textFill>
                        <w14:solidFill>
                          <w14:schemeClr w14:val="tx1"/>
                        </w14:solidFill>
                      </w14:textFill>
                    </w:rPr>
                    <w:t>下游设置一个</w:t>
                  </w:r>
                  <w:r>
                    <w:rPr>
                      <w:rFonts w:hint="eastAsia"/>
                      <w:color w:val="000000" w:themeColor="text1"/>
                      <w:sz w:val="21"/>
                      <w:szCs w:val="21"/>
                      <w:highlight w:val="none"/>
                      <w14:textFill>
                        <w14:solidFill>
                          <w14:schemeClr w14:val="tx1"/>
                        </w14:solidFill>
                      </w14:textFill>
                    </w:rPr>
                    <w:t>地下水跟踪监测井</w:t>
                  </w:r>
                </w:p>
              </w:tc>
              <w:tc>
                <w:tcPr>
                  <w:tcW w:w="1462" w:type="pct"/>
                  <w:tcBorders>
                    <w:tl2br w:val="nil"/>
                    <w:tr2bl w:val="nil"/>
                  </w:tcBorders>
                  <w:noWrap w:val="0"/>
                  <w:vAlign w:val="center"/>
                </w:tcPr>
                <w:p w14:paraId="610187A0">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pacing w:val="9"/>
                      <w:sz w:val="21"/>
                      <w:szCs w:val="21"/>
                      <w:highlight w:val="none"/>
                      <w14:textFill>
                        <w14:solidFill>
                          <w14:schemeClr w14:val="tx1"/>
                        </w14:solidFill>
                      </w14:textFill>
                    </w:rPr>
                    <w:t>石油类、石油烃（C</w:t>
                  </w:r>
                  <w:r>
                    <w:rPr>
                      <w:rFonts w:hint="default"/>
                      <w:color w:val="000000" w:themeColor="text1"/>
                      <w:spacing w:val="9"/>
                      <w:sz w:val="21"/>
                      <w:szCs w:val="21"/>
                      <w:highlight w:val="none"/>
                      <w:vertAlign w:val="subscript"/>
                      <w14:textFill>
                        <w14:solidFill>
                          <w14:schemeClr w14:val="tx1"/>
                        </w14:solidFill>
                      </w14:textFill>
                    </w:rPr>
                    <w:t>6</w:t>
                  </w:r>
                  <w:r>
                    <w:rPr>
                      <w:rFonts w:hint="default"/>
                      <w:color w:val="000000" w:themeColor="text1"/>
                      <w:spacing w:val="9"/>
                      <w:sz w:val="21"/>
                      <w:szCs w:val="21"/>
                      <w:highlight w:val="none"/>
                      <w14:textFill>
                        <w14:solidFill>
                          <w14:schemeClr w14:val="tx1"/>
                        </w14:solidFill>
                      </w14:textFill>
                    </w:rPr>
                    <w:t>~C</w:t>
                  </w:r>
                  <w:r>
                    <w:rPr>
                      <w:rFonts w:hint="default"/>
                      <w:color w:val="000000" w:themeColor="text1"/>
                      <w:spacing w:val="9"/>
                      <w:sz w:val="21"/>
                      <w:szCs w:val="21"/>
                      <w:highlight w:val="none"/>
                      <w:vertAlign w:val="subscript"/>
                      <w14:textFill>
                        <w14:solidFill>
                          <w14:schemeClr w14:val="tx1"/>
                        </w14:solidFill>
                      </w14:textFill>
                    </w:rPr>
                    <w:t>9</w:t>
                  </w:r>
                  <w:r>
                    <w:rPr>
                      <w:rFonts w:hint="default"/>
                      <w:color w:val="000000" w:themeColor="text1"/>
                      <w:spacing w:val="9"/>
                      <w:sz w:val="21"/>
                      <w:szCs w:val="21"/>
                      <w:highlight w:val="none"/>
                      <w14:textFill>
                        <w14:solidFill>
                          <w14:schemeClr w14:val="tx1"/>
                        </w14:solidFill>
                      </w14:textFill>
                    </w:rPr>
                    <w:t>）、石油烃（C</w:t>
                  </w:r>
                  <w:r>
                    <w:rPr>
                      <w:rFonts w:hint="eastAsia"/>
                      <w:color w:val="000000" w:themeColor="text1"/>
                      <w:spacing w:val="9"/>
                      <w:sz w:val="21"/>
                      <w:szCs w:val="21"/>
                      <w:highlight w:val="none"/>
                      <w:vertAlign w:val="subscript"/>
                      <w14:textFill>
                        <w14:solidFill>
                          <w14:schemeClr w14:val="tx1"/>
                        </w14:solidFill>
                      </w14:textFill>
                    </w:rPr>
                    <w:t>10</w:t>
                  </w:r>
                  <w:r>
                    <w:rPr>
                      <w:rFonts w:hint="default"/>
                      <w:color w:val="000000" w:themeColor="text1"/>
                      <w:spacing w:val="9"/>
                      <w:sz w:val="21"/>
                      <w:szCs w:val="21"/>
                      <w:highlight w:val="none"/>
                      <w14:textFill>
                        <w14:solidFill>
                          <w14:schemeClr w14:val="tx1"/>
                        </w14:solidFill>
                      </w14:textFill>
                    </w:rPr>
                    <w:t>~C</w:t>
                  </w:r>
                  <w:r>
                    <w:rPr>
                      <w:rFonts w:hint="eastAsia"/>
                      <w:color w:val="000000" w:themeColor="text1"/>
                      <w:spacing w:val="9"/>
                      <w:sz w:val="21"/>
                      <w:szCs w:val="21"/>
                      <w:highlight w:val="none"/>
                      <w:vertAlign w:val="subscript"/>
                      <w14:textFill>
                        <w14:solidFill>
                          <w14:schemeClr w14:val="tx1"/>
                        </w14:solidFill>
                      </w14:textFill>
                    </w:rPr>
                    <w:t>40</w:t>
                  </w:r>
                  <w:r>
                    <w:rPr>
                      <w:rFonts w:hint="default"/>
                      <w:color w:val="000000" w:themeColor="text1"/>
                      <w:spacing w:val="9"/>
                      <w:sz w:val="21"/>
                      <w:szCs w:val="21"/>
                      <w:highlight w:val="none"/>
                      <w14:textFill>
                        <w14:solidFill>
                          <w14:schemeClr w14:val="tx1"/>
                        </w14:solidFill>
                      </w14:textFill>
                    </w:rPr>
                    <w:t>）、</w:t>
                  </w:r>
                  <w:r>
                    <w:rPr>
                      <w:rFonts w:hint="eastAsia"/>
                      <w:color w:val="000000" w:themeColor="text1"/>
                      <w:spacing w:val="9"/>
                      <w:sz w:val="21"/>
                      <w:szCs w:val="21"/>
                      <w:highlight w:val="none"/>
                      <w14:textFill>
                        <w14:solidFill>
                          <w14:schemeClr w14:val="tx1"/>
                        </w14:solidFill>
                      </w14:textFill>
                    </w:rPr>
                    <w:t>甲基叔丁基醚</w:t>
                  </w:r>
                </w:p>
              </w:tc>
              <w:tc>
                <w:tcPr>
                  <w:tcW w:w="657" w:type="pct"/>
                  <w:tcBorders>
                    <w:tl2br w:val="nil"/>
                    <w:tr2bl w:val="nil"/>
                  </w:tcBorders>
                  <w:noWrap w:val="0"/>
                  <w:vAlign w:val="center"/>
                </w:tcPr>
                <w:p w14:paraId="37457756">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1次/</w:t>
                  </w:r>
                  <w:r>
                    <w:rPr>
                      <w:rFonts w:hint="eastAsia"/>
                      <w:color w:val="000000" w:themeColor="text1"/>
                      <w:sz w:val="21"/>
                      <w:szCs w:val="21"/>
                      <w:highlight w:val="none"/>
                      <w14:textFill>
                        <w14:solidFill>
                          <w14:schemeClr w14:val="tx1"/>
                        </w14:solidFill>
                      </w14:textFill>
                    </w:rPr>
                    <w:t>半</w:t>
                  </w:r>
                  <w:r>
                    <w:rPr>
                      <w:rFonts w:hint="default"/>
                      <w:color w:val="000000" w:themeColor="text1"/>
                      <w:sz w:val="21"/>
                      <w:szCs w:val="21"/>
                      <w:highlight w:val="none"/>
                      <w14:textFill>
                        <w14:solidFill>
                          <w14:schemeClr w14:val="tx1"/>
                        </w14:solidFill>
                      </w14:textFill>
                    </w:rPr>
                    <w:t>年</w:t>
                  </w:r>
                </w:p>
              </w:tc>
              <w:tc>
                <w:tcPr>
                  <w:tcW w:w="1341" w:type="pct"/>
                  <w:tcBorders>
                    <w:tl2br w:val="nil"/>
                    <w:tr2bl w:val="nil"/>
                  </w:tcBorders>
                  <w:noWrap w:val="0"/>
                  <w:vAlign w:val="center"/>
                </w:tcPr>
                <w:p w14:paraId="50FCB818">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《地下水质量标准》（GB/T14848-2017）中类标准</w:t>
                  </w:r>
                </w:p>
              </w:tc>
            </w:tr>
          </w:tbl>
          <w:p w14:paraId="55963E91">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eastAsia" w:eastAsia="宋体" w:cs="Times New Roman"/>
                <w:b/>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highlight w:val="none"/>
                <w14:textFill>
                  <w14:solidFill>
                    <w14:schemeClr w14:val="tx1"/>
                  </w14:solidFill>
                </w14:textFill>
              </w:rPr>
              <w:t>、环境风险</w:t>
            </w:r>
          </w:p>
          <w:p w14:paraId="53BF5A0D">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本项目汽油、柴油存储量未超过临界值，LNG存储量超过临界值</w:t>
            </w:r>
            <w:r>
              <w:rPr>
                <w:rFonts w:hint="eastAsia" w:ascii="Times New Roman" w:hAnsi="Times New Roman" w:eastAsia="宋体" w:cs="Times New Roman"/>
                <w:color w:val="000000" w:themeColor="text1"/>
                <w:sz w:val="24"/>
                <w:szCs w:val="24"/>
                <w:highlight w:val="none"/>
                <w14:textFill>
                  <w14:solidFill>
                    <w14:schemeClr w14:val="tx1"/>
                  </w14:solidFill>
                </w14:textFill>
              </w:rPr>
              <w:t>，因此项目环境风险分析见环境风险专项评价。根据环境风险专项评价结论，</w:t>
            </w:r>
            <w:r>
              <w:rPr>
                <w:rFonts w:hint="default" w:ascii="Times New Roman" w:hAnsi="Times New Roman" w:eastAsia="宋体" w:cs="Times New Roman"/>
                <w:color w:val="000000" w:themeColor="text1"/>
                <w:sz w:val="24"/>
                <w:szCs w:val="24"/>
                <w:highlight w:val="none"/>
                <w14:textFill>
                  <w14:solidFill>
                    <w14:schemeClr w14:val="tx1"/>
                  </w14:solidFill>
                </w14:textFill>
              </w:rPr>
              <w:t>项目加油加气站采取的各项目环境风险防范措施合理可行，在完善相关环境风险防范措施、设施、环境风险应急预案后，其发生事故的概率降低，其环境危害较小，环境风险达到可以接受水平，因而从环境风险角度分析本项目建设是可行的。</w:t>
            </w:r>
          </w:p>
          <w:p w14:paraId="6964D7D5">
            <w:pPr>
              <w:keepNext w:val="0"/>
              <w:keepLines w:val="0"/>
              <w:pageBreakBefore w:val="0"/>
              <w:numPr>
                <w:ilvl w:val="0"/>
                <w:numId w:val="3"/>
              </w:numPr>
              <w:suppressLineNumbers w:val="0"/>
              <w:kinsoku/>
              <w:wordWrap/>
              <w:overflowPunct/>
              <w:topLinePunct w:val="0"/>
              <w:autoSpaceDE/>
              <w:autoSpaceDN/>
              <w:bidi w:val="0"/>
              <w:spacing w:before="0" w:beforeAutospacing="0" w:after="0" w:afterAutospacing="0" w:line="360" w:lineRule="auto"/>
              <w:ind w:left="0" w:right="0" w:firstLine="482" w:firstLineChars="200"/>
              <w:rPr>
                <w:rFonts w:hint="eastAsia" w:cs="Times New Roman"/>
                <w:b/>
                <w:color w:val="000000" w:themeColor="text1"/>
                <w:sz w:val="24"/>
                <w:szCs w:val="24"/>
                <w:highlight w:val="none"/>
                <w:lang w:val="en-US" w:eastAsia="zh-CN"/>
                <w14:textFill>
                  <w14:solidFill>
                    <w14:schemeClr w14:val="tx1"/>
                  </w14:solidFill>
                </w14:textFill>
              </w:rPr>
            </w:pPr>
            <w:r>
              <w:rPr>
                <w:rFonts w:hint="eastAsia" w:cs="Times New Roman"/>
                <w:b/>
                <w:color w:val="000000" w:themeColor="text1"/>
                <w:sz w:val="24"/>
                <w:szCs w:val="24"/>
                <w:highlight w:val="none"/>
                <w:lang w:val="en-US" w:eastAsia="zh-CN"/>
                <w14:textFill>
                  <w14:solidFill>
                    <w14:schemeClr w14:val="tx1"/>
                  </w14:solidFill>
                </w14:textFill>
              </w:rPr>
              <w:t>环保投资</w:t>
            </w:r>
          </w:p>
          <w:p w14:paraId="35E8712F">
            <w:pPr>
              <w:keepNext w:val="0"/>
              <w:keepLines w:val="0"/>
              <w:pageBreakBefore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eastAsia="黑体" w:cs="Times New Roman"/>
                <w:b/>
                <w:bCs/>
                <w:color w:val="000000" w:themeColor="text1"/>
                <w:kern w:val="0"/>
                <w:sz w:val="20"/>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本项目总投资</w:t>
            </w:r>
            <w:r>
              <w:rPr>
                <w:rFonts w:hint="eastAsia" w:cs="Times New Roman"/>
                <w:color w:val="000000" w:themeColor="text1"/>
                <w:sz w:val="24"/>
                <w:szCs w:val="24"/>
                <w:highlight w:val="none"/>
                <w:lang w:val="en-US" w:eastAsia="zh-CN"/>
                <w14:textFill>
                  <w14:solidFill>
                    <w14:schemeClr w14:val="tx1"/>
                  </w14:solidFill>
                </w14:textFill>
              </w:rPr>
              <w:t>16340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w:t>
            </w:r>
            <w:r>
              <w:rPr>
                <w:rFonts w:hint="default" w:ascii="Times New Roman" w:hAnsi="Times New Roman" w:eastAsia="宋体" w:cs="Times New Roman"/>
                <w:color w:val="000000" w:themeColor="text1"/>
                <w:sz w:val="24"/>
                <w:szCs w:val="24"/>
                <w:highlight w:val="none"/>
                <w14:textFill>
                  <w14:solidFill>
                    <w14:schemeClr w14:val="tx1"/>
                  </w14:solidFill>
                </w14:textFill>
              </w:rPr>
              <w:t>元，环保投资约</w:t>
            </w:r>
            <w:r>
              <w:rPr>
                <w:rFonts w:hint="eastAsia" w:cs="Times New Roman"/>
                <w:color w:val="000000" w:themeColor="text1"/>
                <w:sz w:val="24"/>
                <w:szCs w:val="24"/>
                <w:highlight w:val="none"/>
                <w:lang w:val="en-US" w:eastAsia="zh-CN"/>
                <w14:textFill>
                  <w14:solidFill>
                    <w14:schemeClr w14:val="tx1"/>
                  </w14:solidFill>
                </w14:textFill>
              </w:rPr>
              <w:t>107.2</w:t>
            </w:r>
            <w:r>
              <w:rPr>
                <w:rFonts w:hint="default" w:ascii="Times New Roman" w:hAnsi="Times New Roman" w:eastAsia="宋体" w:cs="Times New Roman"/>
                <w:color w:val="000000" w:themeColor="text1"/>
                <w:sz w:val="24"/>
                <w:szCs w:val="24"/>
                <w:highlight w:val="none"/>
                <w14:textFill>
                  <w14:solidFill>
                    <w14:schemeClr w14:val="tx1"/>
                  </w14:solidFill>
                </w14:textFill>
              </w:rPr>
              <w:t>万元，占总投资的</w:t>
            </w:r>
            <w:r>
              <w:rPr>
                <w:rFonts w:hint="eastAsia" w:cs="Times New Roman"/>
                <w:color w:val="000000" w:themeColor="text1"/>
                <w:sz w:val="24"/>
                <w:highlight w:val="none"/>
                <w:lang w:val="en-US" w:eastAsia="zh-CN"/>
                <w14:textFill>
                  <w14:solidFill>
                    <w14:schemeClr w14:val="tx1"/>
                  </w14:solidFill>
                </w14:textFill>
              </w:rPr>
              <w:t>0.66</w:t>
            </w:r>
            <w:r>
              <w:rPr>
                <w:rFonts w:hint="default" w:ascii="Times New Roman" w:hAnsi="Times New Roman" w:eastAsia="宋体" w:cs="Times New Roman"/>
                <w:color w:val="000000" w:themeColor="text1"/>
                <w:sz w:val="24"/>
                <w:szCs w:val="24"/>
                <w:highlight w:val="none"/>
                <w14:textFill>
                  <w14:solidFill>
                    <w14:schemeClr w14:val="tx1"/>
                  </w14:solidFill>
                </w14:textFill>
              </w:rPr>
              <w:t>%，主要环保措施及投资估算见表4</w:t>
            </w:r>
            <w:r>
              <w:rPr>
                <w:rFonts w:hint="eastAsia" w:cs="Times New Roman"/>
                <w:color w:val="000000" w:themeColor="text1"/>
                <w:sz w:val="24"/>
                <w:szCs w:val="24"/>
                <w:highlight w:val="none"/>
                <w:lang w:val="en-US" w:eastAsia="zh-CN"/>
                <w14:textFill>
                  <w14:solidFill>
                    <w14:schemeClr w14:val="tx1"/>
                  </w14:solidFill>
                </w14:textFill>
              </w:rPr>
              <w:t>-21。</w:t>
            </w:r>
          </w:p>
          <w:p w14:paraId="7948E8B3">
            <w:pPr>
              <w:pStyle w:val="4"/>
              <w:suppressLineNumbers w:val="0"/>
              <w:adjustRightInd/>
              <w:spacing w:before="0" w:beforeAutospacing="0" w:after="0" w:afterAutospacing="0"/>
              <w:ind w:right="0"/>
              <w:jc w:val="center"/>
              <w:rPr>
                <w:rFonts w:hint="default" w:ascii="Times New Roman" w:hAnsi="Times New Roman" w:eastAsia="宋体" w:cs="Times New Roman"/>
                <w:b/>
                <w:bCs w:val="0"/>
                <w:color w:val="000000" w:themeColor="text1"/>
                <w:sz w:val="21"/>
                <w:szCs w:val="21"/>
                <w:highlight w:val="none"/>
                <w:lang w:bidi="ar"/>
                <w14:textFill>
                  <w14:solidFill>
                    <w14:schemeClr w14:val="tx1"/>
                  </w14:solidFill>
                </w14:textFill>
              </w:rPr>
            </w:pPr>
            <w:r>
              <w:rPr>
                <w:rFonts w:hint="eastAsia" w:ascii="Times New Roman" w:hAnsi="Times New Roman" w:eastAsia="宋体" w:cs="Times New Roman"/>
                <w:b/>
                <w:bCs w:val="0"/>
                <w:color w:val="000000" w:themeColor="text1"/>
                <w:sz w:val="21"/>
                <w:szCs w:val="21"/>
                <w:highlight w:val="none"/>
                <w:lang w:val="en-US" w:eastAsia="zh-CN" w:bidi="ar"/>
                <w14:textFill>
                  <w14:solidFill>
                    <w14:schemeClr w14:val="tx1"/>
                  </w14:solidFill>
                </w14:textFill>
              </w:rPr>
              <w:t>表4-</w:t>
            </w:r>
            <w:r>
              <w:rPr>
                <w:rFonts w:hint="eastAsia" w:eastAsia="宋体" w:cs="Times New Roman"/>
                <w:b/>
                <w:bCs w:val="0"/>
                <w:color w:val="000000" w:themeColor="text1"/>
                <w:sz w:val="21"/>
                <w:szCs w:val="21"/>
                <w:highlight w:val="none"/>
                <w:lang w:val="en-US" w:eastAsia="zh-CN" w:bidi="ar"/>
                <w14:textFill>
                  <w14:solidFill>
                    <w14:schemeClr w14:val="tx1"/>
                  </w14:solidFill>
                </w14:textFill>
              </w:rPr>
              <w:t>21</w:t>
            </w:r>
            <w:r>
              <w:rPr>
                <w:rFonts w:hint="eastAsia" w:ascii="Times New Roman" w:hAnsi="Times New Roman" w:eastAsia="宋体" w:cs="Times New Roman"/>
                <w:b/>
                <w:bCs w:val="0"/>
                <w:color w:val="000000" w:themeColor="text1"/>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highlight w:val="none"/>
                <w:lang w:bidi="ar"/>
                <w14:textFill>
                  <w14:solidFill>
                    <w14:schemeClr w14:val="tx1"/>
                  </w14:solidFill>
                </w14:textFill>
              </w:rPr>
              <w:t>拟建项目环保措施汇总及投资估算一览表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67"/>
              <w:gridCol w:w="1155"/>
              <w:gridCol w:w="5027"/>
              <w:gridCol w:w="1619"/>
            </w:tblGrid>
            <w:tr w14:paraId="282B96E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tcBorders>
                    <w:tl2br w:val="nil"/>
                    <w:tr2bl w:val="nil"/>
                  </w:tcBorders>
                  <w:noWrap w:val="0"/>
                  <w:vAlign w:val="center"/>
                </w:tcPr>
                <w:p w14:paraId="10A1CAD9">
                  <w:pPr>
                    <w:keepNext w:val="0"/>
                    <w:keepLines w:val="0"/>
                    <w:suppressLineNumbers w:val="0"/>
                    <w:snapToGrid w:val="0"/>
                    <w:spacing w:before="0" w:beforeAutospacing="0" w:after="0" w:afterAutospacing="0"/>
                    <w:ind w:left="0" w:right="0"/>
                    <w:jc w:val="center"/>
                    <w:outlineLvl w:val="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项目</w:t>
                  </w:r>
                </w:p>
              </w:tc>
              <w:tc>
                <w:tcPr>
                  <w:tcW w:w="666" w:type="pct"/>
                  <w:tcBorders>
                    <w:tl2br w:val="nil"/>
                    <w:tr2bl w:val="nil"/>
                  </w:tcBorders>
                  <w:noWrap w:val="0"/>
                  <w:vAlign w:val="center"/>
                </w:tcPr>
                <w:p w14:paraId="30229011">
                  <w:pPr>
                    <w:keepNext w:val="0"/>
                    <w:keepLines w:val="0"/>
                    <w:suppressLineNumbers w:val="0"/>
                    <w:snapToGrid w:val="0"/>
                    <w:spacing w:before="0" w:beforeAutospacing="0" w:after="0" w:afterAutospacing="0"/>
                    <w:ind w:left="0" w:right="0"/>
                    <w:jc w:val="center"/>
                    <w:outlineLvl w:val="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内容</w:t>
                  </w:r>
                </w:p>
              </w:tc>
              <w:tc>
                <w:tcPr>
                  <w:tcW w:w="2899" w:type="pct"/>
                  <w:tcBorders>
                    <w:tl2br w:val="nil"/>
                    <w:tr2bl w:val="nil"/>
                  </w:tcBorders>
                  <w:noWrap w:val="0"/>
                  <w:vAlign w:val="center"/>
                </w:tcPr>
                <w:p w14:paraId="04E6C9E5">
                  <w:pPr>
                    <w:keepNext w:val="0"/>
                    <w:keepLines w:val="0"/>
                    <w:suppressLineNumbers w:val="0"/>
                    <w:snapToGrid w:val="0"/>
                    <w:spacing w:before="0" w:beforeAutospacing="0" w:after="0" w:afterAutospacing="0"/>
                    <w:ind w:left="0" w:right="0"/>
                    <w:jc w:val="center"/>
                    <w:outlineLvl w:val="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处理措施</w:t>
                  </w:r>
                </w:p>
              </w:tc>
              <w:tc>
                <w:tcPr>
                  <w:tcW w:w="933" w:type="pct"/>
                  <w:tcBorders>
                    <w:tl2br w:val="nil"/>
                    <w:tr2bl w:val="nil"/>
                  </w:tcBorders>
                  <w:noWrap w:val="0"/>
                  <w:vAlign w:val="center"/>
                </w:tcPr>
                <w:p w14:paraId="61344493">
                  <w:pPr>
                    <w:keepNext w:val="0"/>
                    <w:keepLines w:val="0"/>
                    <w:suppressLineNumbers w:val="0"/>
                    <w:snapToGrid w:val="0"/>
                    <w:spacing w:before="0" w:beforeAutospacing="0" w:after="0" w:afterAutospacing="0"/>
                    <w:ind w:left="0" w:right="0"/>
                    <w:jc w:val="center"/>
                    <w:outlineLvl w:val="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投资（万元）</w:t>
                  </w:r>
                </w:p>
              </w:tc>
            </w:tr>
            <w:tr w14:paraId="425DBBE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restart"/>
                  <w:tcBorders>
                    <w:tl2br w:val="nil"/>
                    <w:tr2bl w:val="nil"/>
                  </w:tcBorders>
                  <w:noWrap w:val="0"/>
                  <w:vAlign w:val="center"/>
                </w:tcPr>
                <w:p w14:paraId="14F8FBF1">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施工期</w:t>
                  </w:r>
                </w:p>
              </w:tc>
              <w:tc>
                <w:tcPr>
                  <w:tcW w:w="666" w:type="pct"/>
                  <w:tcBorders>
                    <w:tl2br w:val="nil"/>
                    <w:tr2bl w:val="nil"/>
                  </w:tcBorders>
                  <w:noWrap w:val="0"/>
                  <w:vAlign w:val="center"/>
                </w:tcPr>
                <w:p w14:paraId="0FCC93F2">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施工期扬尘防治</w:t>
                  </w:r>
                </w:p>
              </w:tc>
              <w:tc>
                <w:tcPr>
                  <w:tcW w:w="2899" w:type="pct"/>
                  <w:tcBorders>
                    <w:tl2br w:val="nil"/>
                    <w:tr2bl w:val="nil"/>
                  </w:tcBorders>
                  <w:noWrap w:val="0"/>
                  <w:vAlign w:val="center"/>
                </w:tcPr>
                <w:p w14:paraId="07572201">
                  <w:pPr>
                    <w:keepNext w:val="0"/>
                    <w:keepLines w:val="0"/>
                    <w:suppressLineNumbers w:val="0"/>
                    <w:snapToGrid w:val="0"/>
                    <w:spacing w:before="0" w:beforeAutospacing="0" w:after="0" w:afterAutospacing="0"/>
                    <w:ind w:left="0" w:right="0"/>
                    <w:jc w:val="left"/>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施工场地设置围挡，并在围挡顶部设置水喷雾装置，施工场地定期洒水降尘，建筑材料及土石方篷布遮盖，裸露地面硬化等。</w:t>
                  </w:r>
                </w:p>
              </w:tc>
              <w:tc>
                <w:tcPr>
                  <w:tcW w:w="933" w:type="pct"/>
                  <w:tcBorders>
                    <w:tl2br w:val="nil"/>
                    <w:tr2bl w:val="nil"/>
                  </w:tcBorders>
                  <w:noWrap w:val="0"/>
                  <w:vAlign w:val="center"/>
                </w:tcPr>
                <w:p w14:paraId="3937DAEC">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r>
                    <w:rPr>
                      <w:rFonts w:hint="eastAsia"/>
                      <w:color w:val="000000" w:themeColor="text1"/>
                      <w:sz w:val="21"/>
                      <w:szCs w:val="21"/>
                      <w:highlight w:val="none"/>
                      <w14:textFill>
                        <w14:solidFill>
                          <w14:schemeClr w14:val="tx1"/>
                        </w14:solidFill>
                      </w14:textFill>
                    </w:rPr>
                    <w:t>.0</w:t>
                  </w:r>
                </w:p>
              </w:tc>
            </w:tr>
            <w:tr w14:paraId="5132C7A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10F7528A">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vMerge w:val="restart"/>
                  <w:tcBorders>
                    <w:tl2br w:val="nil"/>
                    <w:tr2bl w:val="nil"/>
                  </w:tcBorders>
                  <w:noWrap w:val="0"/>
                  <w:vAlign w:val="center"/>
                </w:tcPr>
                <w:p w14:paraId="30C4BA2F">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施工期废水防治</w:t>
                  </w:r>
                </w:p>
              </w:tc>
              <w:tc>
                <w:tcPr>
                  <w:tcW w:w="2899" w:type="pct"/>
                  <w:tcBorders>
                    <w:tl2br w:val="nil"/>
                    <w:tr2bl w:val="nil"/>
                  </w:tcBorders>
                  <w:noWrap w:val="0"/>
                  <w:vAlign w:val="center"/>
                </w:tcPr>
                <w:p w14:paraId="1498640D">
                  <w:pPr>
                    <w:keepNext w:val="0"/>
                    <w:keepLines w:val="0"/>
                    <w:suppressLineNumbers w:val="0"/>
                    <w:snapToGrid w:val="0"/>
                    <w:spacing w:before="0" w:beforeAutospacing="0" w:after="0" w:afterAutospacing="0"/>
                    <w:ind w:left="0" w:right="0"/>
                    <w:jc w:val="left"/>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生活污水</w:t>
                  </w:r>
                  <w:r>
                    <w:rPr>
                      <w:rFonts w:hint="eastAsia"/>
                      <w:color w:val="000000" w:themeColor="text1"/>
                      <w:sz w:val="21"/>
                      <w:szCs w:val="21"/>
                      <w:highlight w:val="none"/>
                      <w14:textFill>
                        <w14:solidFill>
                          <w14:schemeClr w14:val="tx1"/>
                        </w14:solidFill>
                      </w14:textFill>
                    </w:rPr>
                    <w:t>依托</w:t>
                  </w:r>
                  <w:r>
                    <w:rPr>
                      <w:rFonts w:hint="eastAsia"/>
                      <w:color w:val="000000" w:themeColor="text1"/>
                      <w:sz w:val="21"/>
                      <w:szCs w:val="21"/>
                      <w:highlight w:val="none"/>
                      <w:lang w:val="en-US" w:eastAsia="zh-CN"/>
                      <w14:textFill>
                        <w14:solidFill>
                          <w14:schemeClr w14:val="tx1"/>
                        </w14:solidFill>
                      </w14:textFill>
                    </w:rPr>
                    <w:t>东岳收费站</w:t>
                  </w:r>
                  <w:r>
                    <w:rPr>
                      <w:rFonts w:hint="eastAsia"/>
                      <w:color w:val="000000" w:themeColor="text1"/>
                      <w:sz w:val="21"/>
                      <w:szCs w:val="21"/>
                      <w:highlight w:val="none"/>
                      <w14:textFill>
                        <w14:solidFill>
                          <w14:schemeClr w14:val="tx1"/>
                        </w14:solidFill>
                      </w14:textFill>
                    </w:rPr>
                    <w:t>现有生活污水收集设施收集后排入市政污水管网</w:t>
                  </w:r>
                  <w:r>
                    <w:rPr>
                      <w:rFonts w:hint="default"/>
                      <w:color w:val="000000" w:themeColor="text1"/>
                      <w:sz w:val="21"/>
                      <w:szCs w:val="21"/>
                      <w:highlight w:val="none"/>
                      <w14:textFill>
                        <w14:solidFill>
                          <w14:schemeClr w14:val="tx1"/>
                        </w14:solidFill>
                      </w14:textFill>
                    </w:rPr>
                    <w:t>。</w:t>
                  </w:r>
                </w:p>
              </w:tc>
              <w:tc>
                <w:tcPr>
                  <w:tcW w:w="933" w:type="pct"/>
                  <w:tcBorders>
                    <w:tl2br w:val="nil"/>
                    <w:tr2bl w:val="nil"/>
                  </w:tcBorders>
                  <w:noWrap w:val="0"/>
                  <w:vAlign w:val="center"/>
                </w:tcPr>
                <w:p w14:paraId="16447CD9">
                  <w:pPr>
                    <w:keepNext w:val="0"/>
                    <w:keepLines w:val="0"/>
                    <w:suppressLineNumbers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p>
              </w:tc>
            </w:tr>
            <w:tr w14:paraId="1F0A779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1A4897FD">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vMerge w:val="continue"/>
                  <w:tcBorders>
                    <w:tl2br w:val="nil"/>
                    <w:tr2bl w:val="nil"/>
                  </w:tcBorders>
                  <w:noWrap w:val="0"/>
                  <w:vAlign w:val="center"/>
                </w:tcPr>
                <w:p w14:paraId="3B5D105D">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2899" w:type="pct"/>
                  <w:tcBorders>
                    <w:tl2br w:val="nil"/>
                    <w:tr2bl w:val="nil"/>
                  </w:tcBorders>
                  <w:noWrap w:val="0"/>
                  <w:vAlign w:val="center"/>
                </w:tcPr>
                <w:p w14:paraId="1A379C48">
                  <w:pPr>
                    <w:keepNext w:val="0"/>
                    <w:keepLines w:val="0"/>
                    <w:suppressLineNumbers w:val="0"/>
                    <w:snapToGrid w:val="0"/>
                    <w:spacing w:before="0" w:beforeAutospacing="0" w:after="0" w:afterAutospacing="0"/>
                    <w:ind w:left="0" w:right="0"/>
                    <w:jc w:val="left"/>
                    <w:outlineLvl w:val="0"/>
                    <w:rPr>
                      <w:rFonts w:hint="eastAsia"/>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施工场地建设一个5m³简易隔油沉淀池，施工废水经隔油沉淀池后回用</w:t>
                  </w:r>
                  <w:r>
                    <w:rPr>
                      <w:rFonts w:hint="eastAsia"/>
                      <w:color w:val="000000" w:themeColor="text1"/>
                      <w:sz w:val="21"/>
                      <w:szCs w:val="21"/>
                      <w:highlight w:val="none"/>
                      <w14:textFill>
                        <w14:solidFill>
                          <w14:schemeClr w14:val="tx1"/>
                        </w14:solidFill>
                      </w14:textFill>
                    </w:rPr>
                    <w:t>，不外排。</w:t>
                  </w:r>
                </w:p>
              </w:tc>
              <w:tc>
                <w:tcPr>
                  <w:tcW w:w="933" w:type="pct"/>
                  <w:tcBorders>
                    <w:tl2br w:val="nil"/>
                    <w:tr2bl w:val="nil"/>
                  </w:tcBorders>
                  <w:noWrap w:val="0"/>
                  <w:vAlign w:val="center"/>
                </w:tcPr>
                <w:p w14:paraId="0391D0EE">
                  <w:pPr>
                    <w:keepNext w:val="0"/>
                    <w:keepLines w:val="0"/>
                    <w:suppressLineNumbers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0.5</w:t>
                  </w:r>
                </w:p>
              </w:tc>
            </w:tr>
            <w:tr w14:paraId="09A1818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5161D72A">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68798F2C">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施工期噪声防治</w:t>
                  </w:r>
                </w:p>
              </w:tc>
              <w:tc>
                <w:tcPr>
                  <w:tcW w:w="2899" w:type="pct"/>
                  <w:tcBorders>
                    <w:tl2br w:val="nil"/>
                    <w:tr2bl w:val="nil"/>
                  </w:tcBorders>
                  <w:noWrap w:val="0"/>
                  <w:vAlign w:val="center"/>
                </w:tcPr>
                <w:p w14:paraId="4A703A5C">
                  <w:pPr>
                    <w:keepNext w:val="0"/>
                    <w:keepLines w:val="0"/>
                    <w:suppressLineNumbers w:val="0"/>
                    <w:snapToGrid w:val="0"/>
                    <w:spacing w:before="0" w:beforeAutospacing="0" w:after="0" w:afterAutospacing="0"/>
                    <w:ind w:left="0" w:right="0"/>
                    <w:jc w:val="left"/>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尽量选用低噪设备，合理布设高噪设备，控制施工时间，施工场地周围设置围挡设施。</w:t>
                  </w:r>
                </w:p>
              </w:tc>
              <w:tc>
                <w:tcPr>
                  <w:tcW w:w="933" w:type="pct"/>
                  <w:tcBorders>
                    <w:tl2br w:val="nil"/>
                    <w:tr2bl w:val="nil"/>
                  </w:tcBorders>
                  <w:noWrap w:val="0"/>
                  <w:vAlign w:val="center"/>
                </w:tcPr>
                <w:p w14:paraId="1F0DE158">
                  <w:pPr>
                    <w:keepNext w:val="0"/>
                    <w:keepLines w:val="0"/>
                    <w:suppressLineNumbers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1.0</w:t>
                  </w:r>
                  <w:r>
                    <w:rPr>
                      <w:rFonts w:hint="eastAsia"/>
                      <w:color w:val="000000" w:themeColor="text1"/>
                      <w:sz w:val="21"/>
                      <w:szCs w:val="21"/>
                      <w:highlight w:val="none"/>
                      <w14:textFill>
                        <w14:solidFill>
                          <w14:schemeClr w14:val="tx1"/>
                        </w14:solidFill>
                      </w14:textFill>
                    </w:rPr>
                    <w:t>，围挡设施投资计入扬尘防治设施投资</w:t>
                  </w:r>
                </w:p>
              </w:tc>
            </w:tr>
            <w:tr w14:paraId="0202ED9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5CF78428">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45E542D3">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施工期固废</w:t>
                  </w:r>
                </w:p>
              </w:tc>
              <w:tc>
                <w:tcPr>
                  <w:tcW w:w="2899" w:type="pct"/>
                  <w:tcBorders>
                    <w:tl2br w:val="nil"/>
                    <w:tr2bl w:val="nil"/>
                  </w:tcBorders>
                  <w:noWrap w:val="0"/>
                  <w:vAlign w:val="center"/>
                </w:tcPr>
                <w:p w14:paraId="1C55BE2F">
                  <w:pPr>
                    <w:keepNext w:val="0"/>
                    <w:keepLines w:val="0"/>
                    <w:suppressLineNumbers w:val="0"/>
                    <w:snapToGrid w:val="0"/>
                    <w:spacing w:before="0" w:beforeAutospacing="0" w:after="0" w:afterAutospacing="0"/>
                    <w:ind w:left="0" w:right="0"/>
                    <w:jc w:val="left"/>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建筑垃圾分类收集，统一收集后外运至指定地点堆放；生活垃圾统一收集后由环卫部门清运。</w:t>
                  </w:r>
                </w:p>
              </w:tc>
              <w:tc>
                <w:tcPr>
                  <w:tcW w:w="933" w:type="pct"/>
                  <w:tcBorders>
                    <w:tl2br w:val="nil"/>
                    <w:tr2bl w:val="nil"/>
                  </w:tcBorders>
                  <w:noWrap w:val="0"/>
                  <w:vAlign w:val="center"/>
                </w:tcPr>
                <w:p w14:paraId="57DCD371">
                  <w:pPr>
                    <w:keepNext w:val="0"/>
                    <w:keepLines w:val="0"/>
                    <w:suppressLineNumbers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r>
                    <w:rPr>
                      <w:rFonts w:hint="eastAsia"/>
                      <w:color w:val="000000" w:themeColor="text1"/>
                      <w:sz w:val="21"/>
                      <w:szCs w:val="21"/>
                      <w:highlight w:val="none"/>
                      <w14:textFill>
                        <w14:solidFill>
                          <w14:schemeClr w14:val="tx1"/>
                        </w14:solidFill>
                      </w14:textFill>
                    </w:rPr>
                    <w:t>.0</w:t>
                  </w:r>
                </w:p>
              </w:tc>
            </w:tr>
            <w:tr w14:paraId="213DBCD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27A8FB4D">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68DBFFA1">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水土保持</w:t>
                  </w:r>
                </w:p>
              </w:tc>
              <w:tc>
                <w:tcPr>
                  <w:tcW w:w="2899" w:type="pct"/>
                  <w:tcBorders>
                    <w:tl2br w:val="nil"/>
                    <w:tr2bl w:val="nil"/>
                  </w:tcBorders>
                  <w:noWrap w:val="0"/>
                  <w:vAlign w:val="center"/>
                </w:tcPr>
                <w:p w14:paraId="72F9C77E">
                  <w:pPr>
                    <w:keepNext w:val="0"/>
                    <w:keepLines w:val="0"/>
                    <w:suppressLineNumbers w:val="0"/>
                    <w:snapToGrid w:val="0"/>
                    <w:spacing w:before="0" w:beforeAutospacing="0" w:after="0" w:afterAutospacing="0"/>
                    <w:ind w:left="0" w:right="0"/>
                    <w:jc w:val="left"/>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施工场地内设置临时截排水沟，散料堆场、开挖表土进行防雨布遮盖、厂区临时绿化等措施。</w:t>
                  </w:r>
                </w:p>
              </w:tc>
              <w:tc>
                <w:tcPr>
                  <w:tcW w:w="933" w:type="pct"/>
                  <w:tcBorders>
                    <w:tl2br w:val="nil"/>
                    <w:tr2bl w:val="nil"/>
                  </w:tcBorders>
                  <w:noWrap w:val="0"/>
                  <w:vAlign w:val="center"/>
                </w:tcPr>
                <w:p w14:paraId="4D65FD01">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r>
                    <w:rPr>
                      <w:rFonts w:hint="default"/>
                      <w:color w:val="000000" w:themeColor="text1"/>
                      <w:sz w:val="21"/>
                      <w:szCs w:val="21"/>
                      <w:highlight w:val="none"/>
                      <w14:textFill>
                        <w14:solidFill>
                          <w14:schemeClr w14:val="tx1"/>
                        </w14:solidFill>
                      </w14:textFill>
                    </w:rPr>
                    <w:t>.0</w:t>
                  </w:r>
                </w:p>
              </w:tc>
            </w:tr>
            <w:tr w14:paraId="5D54EF7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restart"/>
                  <w:tcBorders>
                    <w:tl2br w:val="nil"/>
                    <w:tr2bl w:val="nil"/>
                  </w:tcBorders>
                  <w:noWrap w:val="0"/>
                  <w:vAlign w:val="center"/>
                </w:tcPr>
                <w:p w14:paraId="0545BE5C">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运</w:t>
                  </w:r>
                </w:p>
                <w:p w14:paraId="6148A9C6">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行</w:t>
                  </w:r>
                </w:p>
                <w:p w14:paraId="70596D55">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期</w:t>
                  </w:r>
                </w:p>
              </w:tc>
              <w:tc>
                <w:tcPr>
                  <w:tcW w:w="666" w:type="pct"/>
                  <w:vMerge w:val="restart"/>
                  <w:tcBorders>
                    <w:tl2br w:val="nil"/>
                    <w:tr2bl w:val="nil"/>
                  </w:tcBorders>
                  <w:noWrap w:val="0"/>
                  <w:vAlign w:val="center"/>
                </w:tcPr>
                <w:p w14:paraId="7FDA046C">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废气</w:t>
                  </w:r>
                </w:p>
              </w:tc>
              <w:tc>
                <w:tcPr>
                  <w:tcW w:w="2899" w:type="pct"/>
                  <w:tcBorders>
                    <w:tl2br w:val="nil"/>
                    <w:tr2bl w:val="nil"/>
                  </w:tcBorders>
                  <w:noWrap w:val="0"/>
                  <w:vAlign w:val="center"/>
                </w:tcPr>
                <w:p w14:paraId="7F14B34E">
                  <w:pPr>
                    <w:keepNext w:val="0"/>
                    <w:keepLines w:val="0"/>
                    <w:suppressLineNumbers w:val="0"/>
                    <w:spacing w:before="0" w:beforeAutospacing="0" w:after="0" w:afterAutospacing="0"/>
                    <w:ind w:left="0" w:right="0"/>
                    <w:jc w:val="left"/>
                    <w:rPr>
                      <w:rFonts w:hint="eastAsia"/>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挥发油气：安装一次、二次</w:t>
                  </w:r>
                  <w:r>
                    <w:rPr>
                      <w:rFonts w:hint="eastAsia"/>
                      <w:color w:val="000000" w:themeColor="text1"/>
                      <w:sz w:val="21"/>
                      <w:szCs w:val="21"/>
                      <w:highlight w:val="none"/>
                      <w14:textFill>
                        <w14:solidFill>
                          <w14:schemeClr w14:val="tx1"/>
                        </w14:solidFill>
                      </w14:textFill>
                    </w:rPr>
                    <w:t>、三次</w:t>
                  </w:r>
                  <w:r>
                    <w:rPr>
                      <w:rFonts w:hint="default"/>
                      <w:color w:val="000000" w:themeColor="text1"/>
                      <w:sz w:val="21"/>
                      <w:szCs w:val="21"/>
                      <w:highlight w:val="none"/>
                      <w14:textFill>
                        <w14:solidFill>
                          <w14:schemeClr w14:val="tx1"/>
                        </w14:solidFill>
                      </w14:textFill>
                    </w:rPr>
                    <w:t>油气回收系统</w:t>
                  </w:r>
                  <w:r>
                    <w:rPr>
                      <w:rFonts w:hint="eastAsia"/>
                      <w:color w:val="000000" w:themeColor="text1"/>
                      <w:sz w:val="21"/>
                      <w:szCs w:val="21"/>
                      <w:highlight w:val="none"/>
                      <w14:textFill>
                        <w14:solidFill>
                          <w14:schemeClr w14:val="tx1"/>
                        </w14:solidFill>
                      </w14:textFill>
                    </w:rPr>
                    <w:t>及</w:t>
                  </w:r>
                  <w:r>
                    <w:rPr>
                      <w:rFonts w:hint="default"/>
                      <w:color w:val="000000" w:themeColor="text1"/>
                      <w:sz w:val="21"/>
                      <w:szCs w:val="21"/>
                      <w:highlight w:val="none"/>
                      <w14:textFill>
                        <w14:solidFill>
                          <w14:schemeClr w14:val="tx1"/>
                        </w14:solidFill>
                      </w14:textFill>
                    </w:rPr>
                    <w:t>配套的输油管线</w:t>
                  </w:r>
                  <w:r>
                    <w:rPr>
                      <w:rFonts w:hint="eastAsia"/>
                      <w:color w:val="000000" w:themeColor="text1"/>
                      <w:sz w:val="21"/>
                      <w:szCs w:val="21"/>
                      <w:highlight w:val="none"/>
                      <w14:textFill>
                        <w14:solidFill>
                          <w14:schemeClr w14:val="tx1"/>
                        </w14:solidFill>
                      </w14:textFill>
                    </w:rPr>
                    <w:t>，储油罐设置</w:t>
                  </w:r>
                  <w:r>
                    <w:rPr>
                      <w:rFonts w:hint="default"/>
                      <w:color w:val="000000" w:themeColor="text1"/>
                      <w:sz w:val="21"/>
                      <w:szCs w:val="21"/>
                      <w:highlight w:val="none"/>
                      <w14:textFill>
                        <w14:solidFill>
                          <w14:schemeClr w14:val="tx1"/>
                        </w14:solidFill>
                      </w14:textFill>
                    </w:rPr>
                    <w:t>高出地面4.0m</w:t>
                  </w:r>
                  <w:r>
                    <w:rPr>
                      <w:rFonts w:hint="eastAsia"/>
                      <w:color w:val="000000" w:themeColor="text1"/>
                      <w:sz w:val="21"/>
                      <w:szCs w:val="21"/>
                      <w:highlight w:val="none"/>
                      <w14:textFill>
                        <w14:solidFill>
                          <w14:schemeClr w14:val="tx1"/>
                        </w14:solidFill>
                      </w14:textFill>
                    </w:rPr>
                    <w:t>的</w:t>
                  </w:r>
                  <w:r>
                    <w:rPr>
                      <w:rFonts w:hint="default"/>
                      <w:color w:val="000000" w:themeColor="text1"/>
                      <w:sz w:val="21"/>
                      <w:szCs w:val="21"/>
                      <w:highlight w:val="none"/>
                      <w14:textFill>
                        <w14:solidFill>
                          <w14:schemeClr w14:val="tx1"/>
                        </w14:solidFill>
                      </w14:textFill>
                    </w:rPr>
                    <w:t>通气立管</w:t>
                  </w:r>
                  <w:r>
                    <w:rPr>
                      <w:rFonts w:hint="eastAsia"/>
                      <w:color w:val="000000" w:themeColor="text1"/>
                      <w:sz w:val="21"/>
                      <w:szCs w:val="21"/>
                      <w:highlight w:val="none"/>
                      <w14:textFill>
                        <w14:solidFill>
                          <w14:schemeClr w14:val="tx1"/>
                        </w14:solidFill>
                      </w14:textFill>
                    </w:rPr>
                    <w:t>，</w:t>
                  </w:r>
                  <w:r>
                    <w:rPr>
                      <w:rFonts w:hint="default"/>
                      <w:color w:val="000000" w:themeColor="text1"/>
                      <w:sz w:val="21"/>
                      <w:szCs w:val="21"/>
                      <w:highlight w:val="none"/>
                      <w14:textFill>
                        <w14:solidFill>
                          <w14:schemeClr w14:val="tx1"/>
                        </w14:solidFill>
                      </w14:textFill>
                    </w:rPr>
                    <w:t>管口设置呼吸阀。</w:t>
                  </w:r>
                </w:p>
              </w:tc>
              <w:tc>
                <w:tcPr>
                  <w:tcW w:w="933" w:type="pct"/>
                  <w:tcBorders>
                    <w:tl2br w:val="nil"/>
                    <w:tr2bl w:val="nil"/>
                  </w:tcBorders>
                  <w:noWrap w:val="0"/>
                  <w:vAlign w:val="center"/>
                </w:tcPr>
                <w:p w14:paraId="326CDC33">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20.0</w:t>
                  </w:r>
                </w:p>
              </w:tc>
            </w:tr>
            <w:tr w14:paraId="67B3898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4B07CC43">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vMerge w:val="continue"/>
                  <w:tcBorders>
                    <w:tl2br w:val="nil"/>
                    <w:tr2bl w:val="nil"/>
                  </w:tcBorders>
                  <w:noWrap w:val="0"/>
                  <w:vAlign w:val="center"/>
                </w:tcPr>
                <w:p w14:paraId="30407429">
                  <w:pPr>
                    <w:keepNext w:val="0"/>
                    <w:keepLines w:val="0"/>
                    <w:suppressLineNumbers w:val="0"/>
                    <w:snapToGrid w:val="0"/>
                    <w:spacing w:before="0" w:beforeAutospacing="0" w:after="0" w:afterAutospacing="0"/>
                    <w:ind w:left="0" w:right="0"/>
                    <w:jc w:val="center"/>
                    <w:outlineLvl w:val="0"/>
                    <w:rPr>
                      <w:rFonts w:hint="eastAsia"/>
                      <w:color w:val="000000" w:themeColor="text1"/>
                      <w:sz w:val="21"/>
                      <w:szCs w:val="21"/>
                      <w:highlight w:val="none"/>
                      <w14:textFill>
                        <w14:solidFill>
                          <w14:schemeClr w14:val="tx1"/>
                        </w14:solidFill>
                      </w14:textFill>
                    </w:rPr>
                  </w:pPr>
                </w:p>
              </w:tc>
              <w:tc>
                <w:tcPr>
                  <w:tcW w:w="2899" w:type="pct"/>
                  <w:tcBorders>
                    <w:tl2br w:val="nil"/>
                    <w:tr2bl w:val="nil"/>
                  </w:tcBorders>
                  <w:noWrap w:val="0"/>
                  <w:vAlign w:val="center"/>
                </w:tcPr>
                <w:p w14:paraId="463307B5">
                  <w:pPr>
                    <w:keepNext w:val="0"/>
                    <w:keepLines w:val="0"/>
                    <w:suppressLineNumbers w:val="0"/>
                    <w:spacing w:before="0" w:beforeAutospacing="0" w:after="0" w:afterAutospacing="0"/>
                    <w:ind w:left="0" w:right="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撬装</w:t>
                  </w:r>
                  <w:r>
                    <w:rPr>
                      <w:rFonts w:hint="eastAsia"/>
                      <w:color w:val="000000" w:themeColor="text1"/>
                      <w:sz w:val="21"/>
                      <w:szCs w:val="21"/>
                      <w:highlight w:val="none"/>
                      <w14:textFill>
                        <w14:solidFill>
                          <w14:schemeClr w14:val="tx1"/>
                        </w14:solidFill>
                      </w14:textFill>
                    </w:rPr>
                    <w:t>柴油发电机废气：</w:t>
                  </w:r>
                  <w:r>
                    <w:rPr>
                      <w:rFonts w:hint="eastAsia"/>
                      <w:color w:val="000000" w:themeColor="text1"/>
                      <w:sz w:val="21"/>
                      <w:szCs w:val="21"/>
                      <w:highlight w:val="none"/>
                      <w:lang w:val="en-US" w:eastAsia="zh-CN"/>
                      <w14:textFill>
                        <w14:solidFill>
                          <w14:schemeClr w14:val="tx1"/>
                        </w14:solidFill>
                      </w14:textFill>
                    </w:rPr>
                    <w:t>撬装</w:t>
                  </w:r>
                  <w:r>
                    <w:rPr>
                      <w:rFonts w:hint="default"/>
                      <w:color w:val="000000" w:themeColor="text1"/>
                      <w:sz w:val="21"/>
                      <w:szCs w:val="21"/>
                      <w:highlight w:val="none"/>
                      <w14:textFill>
                        <w14:solidFill>
                          <w14:schemeClr w14:val="tx1"/>
                        </w14:solidFill>
                      </w14:textFill>
                    </w:rPr>
                    <w:t>柴油发电机选择自带消烟除尘装置处理后，引至室外排放</w:t>
                  </w:r>
                  <w:r>
                    <w:rPr>
                      <w:rFonts w:hint="eastAsia"/>
                      <w:color w:val="000000" w:themeColor="text1"/>
                      <w:sz w:val="21"/>
                      <w:szCs w:val="21"/>
                      <w:highlight w:val="none"/>
                      <w14:textFill>
                        <w14:solidFill>
                          <w14:schemeClr w14:val="tx1"/>
                        </w14:solidFill>
                      </w14:textFill>
                    </w:rPr>
                    <w:t>。</w:t>
                  </w:r>
                </w:p>
              </w:tc>
              <w:tc>
                <w:tcPr>
                  <w:tcW w:w="933" w:type="pct"/>
                  <w:tcBorders>
                    <w:tl2br w:val="nil"/>
                    <w:tr2bl w:val="nil"/>
                  </w:tcBorders>
                  <w:noWrap w:val="0"/>
                  <w:vAlign w:val="center"/>
                </w:tcPr>
                <w:p w14:paraId="0D623A80">
                  <w:pPr>
                    <w:keepNext w:val="0"/>
                    <w:keepLines w:val="0"/>
                    <w:suppressLineNumbers w:val="0"/>
                    <w:spacing w:before="0" w:beforeAutospacing="0" w:after="0" w:afterAutospacing="0"/>
                    <w:ind w:left="0" w:right="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w:t>
                  </w:r>
                </w:p>
              </w:tc>
            </w:tr>
            <w:tr w14:paraId="3570EFD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56680833">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vMerge w:val="continue"/>
                  <w:tcBorders>
                    <w:tl2br w:val="nil"/>
                    <w:tr2bl w:val="nil"/>
                  </w:tcBorders>
                  <w:noWrap w:val="0"/>
                  <w:vAlign w:val="center"/>
                </w:tcPr>
                <w:p w14:paraId="700F947B">
                  <w:pPr>
                    <w:keepNext w:val="0"/>
                    <w:keepLines w:val="0"/>
                    <w:suppressLineNumbers w:val="0"/>
                    <w:snapToGrid w:val="0"/>
                    <w:spacing w:before="0" w:beforeAutospacing="0" w:after="0" w:afterAutospacing="0"/>
                    <w:ind w:left="0" w:right="0"/>
                    <w:jc w:val="center"/>
                    <w:outlineLvl w:val="0"/>
                    <w:rPr>
                      <w:rFonts w:hint="eastAsia"/>
                      <w:color w:val="000000" w:themeColor="text1"/>
                      <w:sz w:val="21"/>
                      <w:szCs w:val="21"/>
                      <w:highlight w:val="none"/>
                      <w14:textFill>
                        <w14:solidFill>
                          <w14:schemeClr w14:val="tx1"/>
                        </w14:solidFill>
                      </w14:textFill>
                    </w:rPr>
                  </w:pPr>
                </w:p>
              </w:tc>
              <w:tc>
                <w:tcPr>
                  <w:tcW w:w="2899" w:type="pct"/>
                  <w:tcBorders>
                    <w:tl2br w:val="nil"/>
                    <w:tr2bl w:val="nil"/>
                  </w:tcBorders>
                  <w:noWrap w:val="0"/>
                  <w:vAlign w:val="center"/>
                </w:tcPr>
                <w:p w14:paraId="22FAC8E5">
                  <w:pPr>
                    <w:keepNext w:val="0"/>
                    <w:keepLines w:val="0"/>
                    <w:suppressLineNumbers w:val="0"/>
                    <w:spacing w:before="0" w:beforeAutospacing="0" w:after="0" w:afterAutospacing="0"/>
                    <w:ind w:left="0" w:right="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LNG储罐区设置放散管1根，高度为</w:t>
                  </w:r>
                  <w:r>
                    <w:rPr>
                      <w:rFonts w:hint="eastAsia"/>
                      <w:color w:val="000000" w:themeColor="text1"/>
                      <w:sz w:val="21"/>
                      <w:szCs w:val="21"/>
                      <w:highlight w:val="none"/>
                      <w:lang w:val="en-US" w:eastAsia="zh-CN"/>
                      <w14:textFill>
                        <w14:solidFill>
                          <w14:schemeClr w14:val="tx1"/>
                        </w14:solidFill>
                      </w14:textFill>
                    </w:rPr>
                    <w:t>10</w:t>
                  </w:r>
                  <w:r>
                    <w:rPr>
                      <w:rFonts w:hint="eastAsia"/>
                      <w:color w:val="000000" w:themeColor="text1"/>
                      <w:sz w:val="21"/>
                      <w:szCs w:val="21"/>
                      <w:highlight w:val="none"/>
                      <w14:textFill>
                        <w14:solidFill>
                          <w14:schemeClr w14:val="tx1"/>
                        </w14:solidFill>
                      </w14:textFill>
                    </w:rPr>
                    <w:t>m。</w:t>
                  </w:r>
                </w:p>
              </w:tc>
              <w:tc>
                <w:tcPr>
                  <w:tcW w:w="933" w:type="pct"/>
                  <w:tcBorders>
                    <w:tl2br w:val="nil"/>
                    <w:tr2bl w:val="nil"/>
                  </w:tcBorders>
                  <w:noWrap w:val="0"/>
                  <w:vAlign w:val="center"/>
                </w:tcPr>
                <w:p w14:paraId="5C1FEA4F">
                  <w:pPr>
                    <w:keepNext w:val="0"/>
                    <w:keepLines w:val="0"/>
                    <w:suppressLineNumbers w:val="0"/>
                    <w:spacing w:before="0" w:beforeAutospacing="0" w:after="0" w:afterAutospacing="0"/>
                    <w:ind w:left="0" w:right="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0.5</w:t>
                  </w:r>
                </w:p>
              </w:tc>
            </w:tr>
            <w:tr w14:paraId="7DF1485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633192E5">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vMerge w:val="continue"/>
                  <w:tcBorders>
                    <w:tl2br w:val="nil"/>
                    <w:tr2bl w:val="nil"/>
                  </w:tcBorders>
                  <w:noWrap w:val="0"/>
                  <w:vAlign w:val="center"/>
                </w:tcPr>
                <w:p w14:paraId="5497B411">
                  <w:pPr>
                    <w:keepNext w:val="0"/>
                    <w:keepLines w:val="0"/>
                    <w:suppressLineNumbers w:val="0"/>
                    <w:snapToGrid w:val="0"/>
                    <w:spacing w:before="0" w:beforeAutospacing="0" w:after="0" w:afterAutospacing="0"/>
                    <w:ind w:left="0" w:right="0"/>
                    <w:jc w:val="center"/>
                    <w:outlineLvl w:val="0"/>
                    <w:rPr>
                      <w:rFonts w:hint="eastAsia"/>
                      <w:color w:val="000000" w:themeColor="text1"/>
                      <w:sz w:val="21"/>
                      <w:szCs w:val="21"/>
                      <w:highlight w:val="none"/>
                      <w14:textFill>
                        <w14:solidFill>
                          <w14:schemeClr w14:val="tx1"/>
                        </w14:solidFill>
                      </w14:textFill>
                    </w:rPr>
                  </w:pPr>
                </w:p>
              </w:tc>
              <w:tc>
                <w:tcPr>
                  <w:tcW w:w="2899" w:type="pct"/>
                  <w:tcBorders>
                    <w:tl2br w:val="nil"/>
                    <w:tr2bl w:val="nil"/>
                  </w:tcBorders>
                  <w:noWrap w:val="0"/>
                  <w:vAlign w:val="center"/>
                </w:tcPr>
                <w:p w14:paraId="7C1D6C4E">
                  <w:pPr>
                    <w:keepNext w:val="0"/>
                    <w:keepLines w:val="0"/>
                    <w:suppressLineNumbers w:val="0"/>
                    <w:spacing w:before="0" w:beforeAutospacing="0" w:after="0" w:afterAutospacing="0"/>
                    <w:ind w:left="0" w:right="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汽</w:t>
                  </w:r>
                  <w:r>
                    <w:rPr>
                      <w:rFonts w:hint="default"/>
                      <w:color w:val="000000" w:themeColor="text1"/>
                      <w:sz w:val="21"/>
                      <w:szCs w:val="21"/>
                      <w:highlight w:val="none"/>
                      <w14:textFill>
                        <w14:solidFill>
                          <w14:schemeClr w14:val="tx1"/>
                        </w14:solidFill>
                      </w14:textFill>
                    </w:rPr>
                    <w:t>车尾气：加强车辆管理，站内通风换气，利用大气扩散</w:t>
                  </w:r>
                </w:p>
              </w:tc>
              <w:tc>
                <w:tcPr>
                  <w:tcW w:w="933" w:type="pct"/>
                  <w:tcBorders>
                    <w:tl2br w:val="nil"/>
                    <w:tr2bl w:val="nil"/>
                  </w:tcBorders>
                  <w:noWrap w:val="0"/>
                  <w:vAlign w:val="center"/>
                </w:tcPr>
                <w:p w14:paraId="24FBF22D">
                  <w:pPr>
                    <w:keepNext w:val="0"/>
                    <w:keepLines w:val="0"/>
                    <w:suppressLineNumbers w:val="0"/>
                    <w:spacing w:before="0" w:beforeAutospacing="0" w:after="0" w:afterAutospacing="0"/>
                    <w:ind w:left="0" w:right="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运行费用</w:t>
                  </w:r>
                </w:p>
              </w:tc>
            </w:tr>
            <w:tr w14:paraId="3C213F3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43022376">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vMerge w:val="restart"/>
                  <w:tcBorders>
                    <w:tl2br w:val="nil"/>
                    <w:tr2bl w:val="nil"/>
                  </w:tcBorders>
                  <w:noWrap w:val="0"/>
                  <w:vAlign w:val="center"/>
                </w:tcPr>
                <w:p w14:paraId="61AEE61A">
                  <w:pPr>
                    <w:keepNext w:val="0"/>
                    <w:keepLines w:val="0"/>
                    <w:suppressLineNumbers w:val="0"/>
                    <w:snapToGrid w:val="0"/>
                    <w:spacing w:before="0" w:beforeAutospacing="0" w:after="0" w:afterAutospacing="0"/>
                    <w:ind w:left="0" w:right="0"/>
                    <w:jc w:val="center"/>
                    <w:outlineLvl w:val="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废水</w:t>
                  </w:r>
                </w:p>
              </w:tc>
              <w:tc>
                <w:tcPr>
                  <w:tcW w:w="2899" w:type="pct"/>
                  <w:tcBorders>
                    <w:tl2br w:val="nil"/>
                    <w:tr2bl w:val="nil"/>
                  </w:tcBorders>
                  <w:noWrap w:val="0"/>
                  <w:vAlign w:val="center"/>
                </w:tcPr>
                <w:p w14:paraId="7A766B1F">
                  <w:pPr>
                    <w:keepNext w:val="0"/>
                    <w:keepLines w:val="0"/>
                    <w:suppressLineNumbers w:val="0"/>
                    <w:spacing w:before="0" w:beforeAutospacing="0" w:after="0" w:afterAutospacing="0"/>
                    <w:ind w:left="0" w:right="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生活污水：设置化粪池1座，容积18</w:t>
                  </w:r>
                  <w:r>
                    <w:rPr>
                      <w:rFonts w:hint="default"/>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，化粪池出水排至市政污水管网。</w:t>
                  </w:r>
                </w:p>
              </w:tc>
              <w:tc>
                <w:tcPr>
                  <w:tcW w:w="933" w:type="pct"/>
                  <w:tcBorders>
                    <w:tl2br w:val="nil"/>
                    <w:tr2bl w:val="nil"/>
                  </w:tcBorders>
                  <w:noWrap w:val="0"/>
                  <w:vAlign w:val="center"/>
                </w:tcPr>
                <w:p w14:paraId="73C6B24E">
                  <w:pPr>
                    <w:keepNext w:val="0"/>
                    <w:keepLines w:val="0"/>
                    <w:suppressLineNumbers w:val="0"/>
                    <w:spacing w:before="0" w:beforeAutospacing="0" w:after="0" w:afterAutospacing="0"/>
                    <w:ind w:left="0" w:right="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2.0</w:t>
                  </w:r>
                </w:p>
              </w:tc>
            </w:tr>
            <w:tr w14:paraId="1264812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5E7A1EAB">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vMerge w:val="continue"/>
                  <w:tcBorders>
                    <w:tl2br w:val="nil"/>
                    <w:tr2bl w:val="nil"/>
                  </w:tcBorders>
                  <w:noWrap w:val="0"/>
                  <w:vAlign w:val="center"/>
                </w:tcPr>
                <w:p w14:paraId="7423A234">
                  <w:pPr>
                    <w:keepNext w:val="0"/>
                    <w:keepLines w:val="0"/>
                    <w:suppressLineNumbers w:val="0"/>
                    <w:snapToGrid w:val="0"/>
                    <w:spacing w:before="0" w:beforeAutospacing="0" w:after="0" w:afterAutospacing="0"/>
                    <w:ind w:left="0" w:right="0"/>
                    <w:jc w:val="center"/>
                    <w:outlineLvl w:val="0"/>
                    <w:rPr>
                      <w:rFonts w:hint="eastAsia"/>
                      <w:color w:val="000000" w:themeColor="text1"/>
                      <w:sz w:val="21"/>
                      <w:szCs w:val="21"/>
                      <w:highlight w:val="none"/>
                      <w14:textFill>
                        <w14:solidFill>
                          <w14:schemeClr w14:val="tx1"/>
                        </w14:solidFill>
                      </w14:textFill>
                    </w:rPr>
                  </w:pPr>
                </w:p>
              </w:tc>
              <w:tc>
                <w:tcPr>
                  <w:tcW w:w="2899" w:type="pct"/>
                  <w:tcBorders>
                    <w:tl2br w:val="nil"/>
                    <w:tr2bl w:val="nil"/>
                  </w:tcBorders>
                  <w:noWrap w:val="0"/>
                  <w:vAlign w:val="center"/>
                </w:tcPr>
                <w:p w14:paraId="44110455">
                  <w:pPr>
                    <w:keepNext w:val="0"/>
                    <w:keepLines w:val="0"/>
                    <w:suppressLineNumbers w:val="0"/>
                    <w:spacing w:before="0" w:beforeAutospacing="0" w:after="0" w:afterAutospacing="0"/>
                    <w:ind w:left="0" w:right="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地</w:t>
                  </w:r>
                  <w:r>
                    <w:rPr>
                      <w:rFonts w:hint="eastAsia"/>
                      <w:color w:val="000000" w:themeColor="text1"/>
                      <w:sz w:val="21"/>
                      <w:szCs w:val="21"/>
                      <w:highlight w:val="none"/>
                      <w:lang w:val="en-US" w:eastAsia="zh-CN"/>
                      <w14:textFill>
                        <w14:solidFill>
                          <w14:schemeClr w14:val="tx1"/>
                        </w14:solidFill>
                      </w14:textFill>
                    </w:rPr>
                    <w:t>面</w:t>
                  </w:r>
                  <w:r>
                    <w:rPr>
                      <w:rFonts w:hint="eastAsia"/>
                      <w:color w:val="000000" w:themeColor="text1"/>
                      <w:sz w:val="21"/>
                      <w:szCs w:val="21"/>
                      <w:highlight w:val="none"/>
                      <w14:textFill>
                        <w14:solidFill>
                          <w14:schemeClr w14:val="tx1"/>
                        </w14:solidFill>
                      </w14:textFill>
                    </w:rPr>
                    <w:t>冲洗废水：隔油沉淀池1座，容积</w:t>
                  </w:r>
                  <w:r>
                    <w:rPr>
                      <w:rFonts w:hint="eastAsia"/>
                      <w:color w:val="000000" w:themeColor="text1"/>
                      <w:sz w:val="21"/>
                      <w:szCs w:val="21"/>
                      <w:highlight w:val="none"/>
                      <w:lang w:val="en-US" w:eastAsia="zh-CN"/>
                      <w14:textFill>
                        <w14:solidFill>
                          <w14:schemeClr w14:val="tx1"/>
                        </w14:solidFill>
                      </w14:textFill>
                    </w:rPr>
                    <w:t>为</w:t>
                  </w:r>
                  <w:r>
                    <w:rPr>
                      <w:rFonts w:hint="eastAsia"/>
                      <w:color w:val="000000" w:themeColor="text1"/>
                      <w:sz w:val="21"/>
                      <w:szCs w:val="21"/>
                      <w:highlight w:val="none"/>
                      <w14:textFill>
                        <w14:solidFill>
                          <w14:schemeClr w14:val="tx1"/>
                        </w14:solidFill>
                      </w14:textFill>
                    </w:rPr>
                    <w:t>1</w:t>
                  </w:r>
                  <w:r>
                    <w:rPr>
                      <w:rFonts w:hint="default"/>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，废水经隔油沉淀处理后排入化粪池，</w:t>
                  </w:r>
                  <w:r>
                    <w:rPr>
                      <w:rFonts w:hint="default"/>
                      <w:color w:val="000000" w:themeColor="text1"/>
                      <w:sz w:val="21"/>
                      <w:szCs w:val="21"/>
                      <w:highlight w:val="none"/>
                      <w14:textFill>
                        <w14:solidFill>
                          <w14:schemeClr w14:val="tx1"/>
                        </w14:solidFill>
                      </w14:textFill>
                    </w:rPr>
                    <w:t>与生活污水一并排入市政</w:t>
                  </w:r>
                  <w:r>
                    <w:rPr>
                      <w:rFonts w:hint="eastAsia"/>
                      <w:color w:val="000000" w:themeColor="text1"/>
                      <w:sz w:val="21"/>
                      <w:szCs w:val="21"/>
                      <w:highlight w:val="none"/>
                      <w14:textFill>
                        <w14:solidFill>
                          <w14:schemeClr w14:val="tx1"/>
                        </w14:solidFill>
                      </w14:textFill>
                    </w:rPr>
                    <w:t>污水</w:t>
                  </w:r>
                  <w:r>
                    <w:rPr>
                      <w:rFonts w:hint="default"/>
                      <w:color w:val="000000" w:themeColor="text1"/>
                      <w:sz w:val="21"/>
                      <w:szCs w:val="21"/>
                      <w:highlight w:val="none"/>
                      <w14:textFill>
                        <w14:solidFill>
                          <w14:schemeClr w14:val="tx1"/>
                        </w14:solidFill>
                      </w14:textFill>
                    </w:rPr>
                    <w:t>管网</w:t>
                  </w:r>
                  <w:r>
                    <w:rPr>
                      <w:rFonts w:hint="eastAsia"/>
                      <w:color w:val="000000" w:themeColor="text1"/>
                      <w:sz w:val="21"/>
                      <w:szCs w:val="21"/>
                      <w:highlight w:val="none"/>
                      <w14:textFill>
                        <w14:solidFill>
                          <w14:schemeClr w14:val="tx1"/>
                        </w14:solidFill>
                      </w14:textFill>
                    </w:rPr>
                    <w:t>。</w:t>
                  </w:r>
                </w:p>
              </w:tc>
              <w:tc>
                <w:tcPr>
                  <w:tcW w:w="933" w:type="pct"/>
                  <w:tcBorders>
                    <w:tl2br w:val="nil"/>
                    <w:tr2bl w:val="nil"/>
                  </w:tcBorders>
                  <w:noWrap w:val="0"/>
                  <w:vAlign w:val="center"/>
                </w:tcPr>
                <w:p w14:paraId="0EF02502">
                  <w:pPr>
                    <w:keepNext w:val="0"/>
                    <w:keepLines w:val="0"/>
                    <w:suppressLineNumbers w:val="0"/>
                    <w:spacing w:before="0" w:beforeAutospacing="0" w:after="0" w:afterAutospacing="0"/>
                    <w:ind w:left="0" w:right="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w:t>
                  </w:r>
                </w:p>
              </w:tc>
            </w:tr>
            <w:tr w14:paraId="7889834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3B5A55DE">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vMerge w:val="continue"/>
                  <w:tcBorders>
                    <w:tl2br w:val="nil"/>
                    <w:tr2bl w:val="nil"/>
                  </w:tcBorders>
                  <w:noWrap w:val="0"/>
                  <w:vAlign w:val="center"/>
                </w:tcPr>
                <w:p w14:paraId="5C857341">
                  <w:pPr>
                    <w:keepNext w:val="0"/>
                    <w:keepLines w:val="0"/>
                    <w:suppressLineNumbers w:val="0"/>
                    <w:snapToGrid w:val="0"/>
                    <w:spacing w:before="0" w:beforeAutospacing="0" w:after="0" w:afterAutospacing="0"/>
                    <w:ind w:left="0" w:right="0"/>
                    <w:jc w:val="center"/>
                    <w:outlineLvl w:val="0"/>
                    <w:rPr>
                      <w:rFonts w:hint="eastAsia"/>
                      <w:color w:val="000000" w:themeColor="text1"/>
                      <w:sz w:val="21"/>
                      <w:szCs w:val="21"/>
                      <w:highlight w:val="none"/>
                      <w14:textFill>
                        <w14:solidFill>
                          <w14:schemeClr w14:val="tx1"/>
                        </w14:solidFill>
                      </w14:textFill>
                    </w:rPr>
                  </w:pPr>
                </w:p>
              </w:tc>
              <w:tc>
                <w:tcPr>
                  <w:tcW w:w="2899" w:type="pct"/>
                  <w:tcBorders>
                    <w:tl2br w:val="nil"/>
                    <w:tr2bl w:val="nil"/>
                  </w:tcBorders>
                  <w:noWrap w:val="0"/>
                  <w:vAlign w:val="center"/>
                </w:tcPr>
                <w:p w14:paraId="71E5CE44">
                  <w:pPr>
                    <w:keepNext w:val="0"/>
                    <w:keepLines w:val="0"/>
                    <w:suppressLineNumbers w:val="0"/>
                    <w:spacing w:before="0" w:beforeAutospacing="0" w:after="0" w:afterAutospacing="0"/>
                    <w:ind w:left="0" w:right="0"/>
                    <w:jc w:val="left"/>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洗车废水：</w:t>
                  </w:r>
                  <w:r>
                    <w:rPr>
                      <w:rFonts w:hint="eastAsia" w:cs="Times New Roman"/>
                      <w:snapToGrid w:val="0"/>
                      <w:color w:val="000000" w:themeColor="text1"/>
                      <w:kern w:val="0"/>
                      <w:sz w:val="21"/>
                      <w:szCs w:val="21"/>
                      <w:highlight w:val="none"/>
                      <w:lang w:val="en-US" w:eastAsia="zh-CN"/>
                      <w14:textFill>
                        <w14:solidFill>
                          <w14:schemeClr w14:val="tx1"/>
                        </w14:solidFill>
                      </w14:textFill>
                    </w:rPr>
                    <w:t>洗车机废水通过排水沟汇集于隔油沉淀池（容积1m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snapToGrid w:val="0"/>
                      <w:color w:val="000000" w:themeColor="text1"/>
                      <w:kern w:val="0"/>
                      <w:sz w:val="21"/>
                      <w:szCs w:val="21"/>
                      <w:highlight w:val="none"/>
                      <w:lang w:val="en-US" w:eastAsia="zh-CN"/>
                      <w14:textFill>
                        <w14:solidFill>
                          <w14:schemeClr w14:val="tx1"/>
                        </w14:solidFill>
                      </w14:textFill>
                    </w:rPr>
                    <w:t>）中，原水泵将废水提升至一体化光催化氧化洗车水循环系统（采用“絮凝沉淀+光催化氧化”工艺），处理后的污水储存于清洗池（容积3m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snapToGrid w:val="0"/>
                      <w:color w:val="000000" w:themeColor="text1"/>
                      <w:kern w:val="0"/>
                      <w:sz w:val="21"/>
                      <w:szCs w:val="21"/>
                      <w:highlight w:val="none"/>
                      <w:lang w:val="en-US" w:eastAsia="zh-CN"/>
                      <w14:textFill>
                        <w14:solidFill>
                          <w14:schemeClr w14:val="tx1"/>
                        </w14:solidFill>
                      </w14:textFill>
                    </w:rPr>
                    <w:t>）中回用。</w:t>
                  </w:r>
                </w:p>
              </w:tc>
              <w:tc>
                <w:tcPr>
                  <w:tcW w:w="933" w:type="pct"/>
                  <w:tcBorders>
                    <w:tl2br w:val="nil"/>
                    <w:tr2bl w:val="nil"/>
                  </w:tcBorders>
                  <w:noWrap w:val="0"/>
                  <w:vAlign w:val="center"/>
                </w:tcPr>
                <w:p w14:paraId="0F76EB60">
                  <w:pPr>
                    <w:keepNext w:val="0"/>
                    <w:keepLines w:val="0"/>
                    <w:suppressLineNumbers w:val="0"/>
                    <w:spacing w:before="0" w:beforeAutospacing="0" w:after="0" w:afterAutospacing="0"/>
                    <w:ind w:left="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15.0</w:t>
                  </w:r>
                </w:p>
              </w:tc>
            </w:tr>
            <w:tr w14:paraId="3E0A39C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1AB1B11E">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vMerge w:val="continue"/>
                  <w:tcBorders>
                    <w:tl2br w:val="nil"/>
                    <w:tr2bl w:val="nil"/>
                  </w:tcBorders>
                  <w:noWrap w:val="0"/>
                  <w:vAlign w:val="center"/>
                </w:tcPr>
                <w:p w14:paraId="04FB993A">
                  <w:pPr>
                    <w:keepNext w:val="0"/>
                    <w:keepLines w:val="0"/>
                    <w:suppressLineNumbers w:val="0"/>
                    <w:snapToGrid w:val="0"/>
                    <w:spacing w:before="0" w:beforeAutospacing="0" w:after="0" w:afterAutospacing="0"/>
                    <w:ind w:left="0" w:right="0"/>
                    <w:jc w:val="center"/>
                    <w:outlineLvl w:val="0"/>
                    <w:rPr>
                      <w:rFonts w:hint="eastAsia"/>
                      <w:color w:val="000000" w:themeColor="text1"/>
                      <w:sz w:val="21"/>
                      <w:szCs w:val="21"/>
                      <w:highlight w:val="none"/>
                      <w14:textFill>
                        <w14:solidFill>
                          <w14:schemeClr w14:val="tx1"/>
                        </w14:solidFill>
                      </w14:textFill>
                    </w:rPr>
                  </w:pPr>
                </w:p>
              </w:tc>
              <w:tc>
                <w:tcPr>
                  <w:tcW w:w="2899" w:type="pct"/>
                  <w:tcBorders>
                    <w:tl2br w:val="nil"/>
                    <w:tr2bl w:val="nil"/>
                  </w:tcBorders>
                  <w:noWrap w:val="0"/>
                  <w:vAlign w:val="center"/>
                </w:tcPr>
                <w:p w14:paraId="6C84865F">
                  <w:pPr>
                    <w:keepNext w:val="0"/>
                    <w:keepLines w:val="0"/>
                    <w:suppressLineNumbers w:val="0"/>
                    <w:spacing w:before="0" w:beforeAutospacing="0" w:after="0" w:afterAutospacing="0"/>
                    <w:ind w:left="0" w:right="0"/>
                    <w:jc w:val="left"/>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初期雨水：</w:t>
                  </w:r>
                  <w:r>
                    <w:rPr>
                      <w:rFonts w:hint="default"/>
                      <w:color w:val="000000" w:themeColor="text1"/>
                      <w:sz w:val="21"/>
                      <w:szCs w:val="21"/>
                      <w:highlight w:val="none"/>
                      <w14:textFill>
                        <w14:solidFill>
                          <w14:schemeClr w14:val="tx1"/>
                        </w14:solidFill>
                      </w14:textFill>
                    </w:rPr>
                    <w:t>加油区罩棚投影下设废水收集沟，</w:t>
                  </w:r>
                  <w:r>
                    <w:rPr>
                      <w:rFonts w:hint="eastAsia"/>
                      <w:color w:val="000000" w:themeColor="text1"/>
                      <w:sz w:val="21"/>
                      <w:szCs w:val="21"/>
                      <w:highlight w:val="none"/>
                      <w:lang w:val="en-US" w:eastAsia="zh-CN"/>
                      <w14:textFill>
                        <w14:solidFill>
                          <w14:schemeClr w14:val="tx1"/>
                        </w14:solidFill>
                      </w14:textFill>
                    </w:rPr>
                    <w:t>经过新建的一座初期雨水</w:t>
                  </w:r>
                  <w:r>
                    <w:rPr>
                      <w:rFonts w:hint="default"/>
                      <w:color w:val="000000" w:themeColor="text1"/>
                      <w:sz w:val="21"/>
                      <w:szCs w:val="21"/>
                      <w:highlight w:val="none"/>
                      <w14:textFill>
                        <w14:solidFill>
                          <w14:schemeClr w14:val="tx1"/>
                        </w14:solidFill>
                      </w14:textFill>
                    </w:rPr>
                    <w:t>隔油</w:t>
                  </w:r>
                  <w:r>
                    <w:rPr>
                      <w:rFonts w:hint="eastAsia"/>
                      <w:color w:val="000000" w:themeColor="text1"/>
                      <w:sz w:val="21"/>
                      <w:szCs w:val="21"/>
                      <w:highlight w:val="none"/>
                      <w:lang w:val="en-US" w:eastAsia="zh-CN"/>
                      <w14:textFill>
                        <w14:solidFill>
                          <w14:schemeClr w14:val="tx1"/>
                        </w14:solidFill>
                      </w14:textFill>
                    </w:rPr>
                    <w:t>沉淀</w:t>
                  </w:r>
                  <w:r>
                    <w:rPr>
                      <w:rFonts w:hint="default"/>
                      <w:color w:val="000000" w:themeColor="text1"/>
                      <w:sz w:val="21"/>
                      <w:szCs w:val="21"/>
                      <w:highlight w:val="none"/>
                      <w14:textFill>
                        <w14:solidFill>
                          <w14:schemeClr w14:val="tx1"/>
                        </w14:solidFill>
                      </w14:textFill>
                    </w:rPr>
                    <w:t>池，</w:t>
                  </w:r>
                  <w:r>
                    <w:rPr>
                      <w:rFonts w:hint="eastAsia"/>
                      <w:color w:val="000000" w:themeColor="text1"/>
                      <w:sz w:val="21"/>
                      <w:szCs w:val="21"/>
                      <w:highlight w:val="none"/>
                      <w14:textFill>
                        <w14:solidFill>
                          <w14:schemeClr w14:val="tx1"/>
                        </w14:solidFill>
                      </w14:textFill>
                    </w:rPr>
                    <w:t>容积</w:t>
                  </w:r>
                  <w:r>
                    <w:rPr>
                      <w:rFonts w:hint="eastAsia"/>
                      <w:color w:val="000000" w:themeColor="text1"/>
                      <w:sz w:val="21"/>
                      <w:szCs w:val="21"/>
                      <w:highlight w:val="none"/>
                      <w:lang w:val="en-US" w:eastAsia="zh-CN"/>
                      <w14:textFill>
                        <w14:solidFill>
                          <w14:schemeClr w14:val="tx1"/>
                        </w14:solidFill>
                      </w14:textFill>
                    </w:rPr>
                    <w:t>为7</w:t>
                  </w:r>
                  <w:r>
                    <w:rPr>
                      <w:rFonts w:hint="default"/>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，隔油沉淀</w:t>
                  </w:r>
                  <w:r>
                    <w:rPr>
                      <w:rFonts w:hint="default"/>
                      <w:color w:val="000000" w:themeColor="text1"/>
                      <w:sz w:val="21"/>
                      <w:szCs w:val="21"/>
                      <w:highlight w:val="none"/>
                      <w14:textFill>
                        <w14:solidFill>
                          <w14:schemeClr w14:val="tx1"/>
                        </w14:solidFill>
                      </w14:textFill>
                    </w:rPr>
                    <w:t>处理后排入站外道路边沟</w:t>
                  </w:r>
                  <w:r>
                    <w:rPr>
                      <w:rFonts w:hint="eastAsia"/>
                      <w:color w:val="000000" w:themeColor="text1"/>
                      <w:sz w:val="21"/>
                      <w:szCs w:val="21"/>
                      <w:highlight w:val="none"/>
                      <w14:textFill>
                        <w14:solidFill>
                          <w14:schemeClr w14:val="tx1"/>
                        </w14:solidFill>
                      </w14:textFill>
                    </w:rPr>
                    <w:t>。</w:t>
                  </w:r>
                </w:p>
              </w:tc>
              <w:tc>
                <w:tcPr>
                  <w:tcW w:w="933" w:type="pct"/>
                  <w:tcBorders>
                    <w:tl2br w:val="nil"/>
                    <w:tr2bl w:val="nil"/>
                  </w:tcBorders>
                  <w:noWrap w:val="0"/>
                  <w:vAlign w:val="center"/>
                </w:tcPr>
                <w:p w14:paraId="6667BF0C">
                  <w:pPr>
                    <w:keepNext w:val="0"/>
                    <w:keepLines w:val="0"/>
                    <w:suppressLineNumbers w:val="0"/>
                    <w:spacing w:before="0" w:beforeAutospacing="0" w:after="0" w:afterAutospacing="0"/>
                    <w:ind w:left="0" w:right="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r>
                    <w:rPr>
                      <w:rFonts w:hint="eastAsia"/>
                      <w:color w:val="000000" w:themeColor="text1"/>
                      <w:sz w:val="21"/>
                      <w:szCs w:val="21"/>
                      <w:highlight w:val="none"/>
                      <w14:textFill>
                        <w14:solidFill>
                          <w14:schemeClr w14:val="tx1"/>
                        </w14:solidFill>
                      </w14:textFill>
                    </w:rPr>
                    <w:t>.0</w:t>
                  </w:r>
                </w:p>
              </w:tc>
            </w:tr>
            <w:tr w14:paraId="235414E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1576F2AE">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tcBorders>
                    <w:tl2br w:val="nil"/>
                    <w:tr2bl w:val="nil"/>
                  </w:tcBorders>
                  <w:noWrap w:val="0"/>
                  <w:vAlign w:val="center"/>
                </w:tcPr>
                <w:p w14:paraId="7E8CB1A8">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噪声治理</w:t>
                  </w:r>
                </w:p>
              </w:tc>
              <w:tc>
                <w:tcPr>
                  <w:tcW w:w="2899" w:type="pct"/>
                  <w:tcBorders>
                    <w:tl2br w:val="nil"/>
                    <w:tr2bl w:val="nil"/>
                  </w:tcBorders>
                  <w:noWrap w:val="0"/>
                  <w:vAlign w:val="center"/>
                </w:tcPr>
                <w:p w14:paraId="518D68FB">
                  <w:pPr>
                    <w:keepNext w:val="0"/>
                    <w:keepLines w:val="0"/>
                    <w:suppressLineNumbers w:val="0"/>
                    <w:snapToGrid w:val="0"/>
                    <w:spacing w:before="0" w:beforeAutospacing="0" w:after="0" w:afterAutospacing="0"/>
                    <w:ind w:left="0" w:right="0"/>
                    <w:jc w:val="left"/>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选用低噪声设备、</w:t>
                  </w:r>
                  <w:r>
                    <w:rPr>
                      <w:rFonts w:hint="eastAsia"/>
                      <w:color w:val="000000" w:themeColor="text1"/>
                      <w:sz w:val="21"/>
                      <w:szCs w:val="21"/>
                      <w:highlight w:val="none"/>
                      <w14:textFill>
                        <w14:solidFill>
                          <w14:schemeClr w14:val="tx1"/>
                        </w14:solidFill>
                      </w14:textFill>
                    </w:rPr>
                    <w:t>设备基础减震</w:t>
                  </w:r>
                  <w:r>
                    <w:rPr>
                      <w:rFonts w:hint="default"/>
                      <w:color w:val="000000" w:themeColor="text1"/>
                      <w:sz w:val="21"/>
                      <w:szCs w:val="21"/>
                      <w:highlight w:val="none"/>
                      <w14:textFill>
                        <w14:solidFill>
                          <w14:schemeClr w14:val="tx1"/>
                        </w14:solidFill>
                      </w14:textFill>
                    </w:rPr>
                    <w:t>；设备定期检查、维修油泵、加油机等设备；加强对进站车辆、人员的引导；设置紧鸣限速标识等</w:t>
                  </w:r>
                  <w:r>
                    <w:rPr>
                      <w:rFonts w:hint="eastAsia"/>
                      <w:color w:val="000000" w:themeColor="text1"/>
                      <w:sz w:val="21"/>
                      <w:szCs w:val="21"/>
                      <w:highlight w:val="none"/>
                      <w14:textFill>
                        <w14:solidFill>
                          <w14:schemeClr w14:val="tx1"/>
                        </w14:solidFill>
                      </w14:textFill>
                    </w:rPr>
                    <w:t>。</w:t>
                  </w:r>
                </w:p>
              </w:tc>
              <w:tc>
                <w:tcPr>
                  <w:tcW w:w="933" w:type="pct"/>
                  <w:tcBorders>
                    <w:tl2br w:val="nil"/>
                    <w:tr2bl w:val="nil"/>
                  </w:tcBorders>
                  <w:noWrap w:val="0"/>
                  <w:vAlign w:val="center"/>
                </w:tcPr>
                <w:p w14:paraId="37A9800B">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2.0</w:t>
                  </w:r>
                </w:p>
              </w:tc>
            </w:tr>
            <w:tr w14:paraId="13E55D5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4C56C1BE">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p>
              </w:tc>
              <w:tc>
                <w:tcPr>
                  <w:tcW w:w="666" w:type="pct"/>
                  <w:vMerge w:val="restart"/>
                  <w:tcBorders>
                    <w:tl2br w:val="nil"/>
                    <w:tr2bl w:val="nil"/>
                  </w:tcBorders>
                  <w:noWrap w:val="0"/>
                  <w:vAlign w:val="center"/>
                </w:tcPr>
                <w:p w14:paraId="681C38A1">
                  <w:pPr>
                    <w:keepNext w:val="0"/>
                    <w:keepLines w:val="0"/>
                    <w:suppressLineNumbers w:val="0"/>
                    <w:snapToGrid w:val="0"/>
                    <w:spacing w:before="0" w:beforeAutospacing="0" w:after="0" w:afterAutospacing="0"/>
                    <w:ind w:left="0" w:right="0"/>
                    <w:jc w:val="center"/>
                    <w:outlineLvl w:val="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固废处理</w:t>
                  </w:r>
                </w:p>
              </w:tc>
              <w:tc>
                <w:tcPr>
                  <w:tcW w:w="2899" w:type="pct"/>
                  <w:tcBorders>
                    <w:tl2br w:val="nil"/>
                    <w:tr2bl w:val="nil"/>
                  </w:tcBorders>
                  <w:noWrap w:val="0"/>
                  <w:vAlign w:val="center"/>
                </w:tcPr>
                <w:p w14:paraId="057C8633">
                  <w:pPr>
                    <w:keepNext w:val="0"/>
                    <w:keepLines w:val="0"/>
                    <w:suppressLineNumbers w:val="0"/>
                    <w:spacing w:before="0" w:beforeAutospacing="0" w:after="0" w:afterAutospacing="0"/>
                    <w:ind w:left="0" w:right="0"/>
                    <w:jc w:val="left"/>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设置生活垃圾</w:t>
                  </w:r>
                  <w:r>
                    <w:rPr>
                      <w:rFonts w:hint="eastAsia"/>
                      <w:color w:val="000000" w:themeColor="text1"/>
                      <w:sz w:val="21"/>
                      <w:szCs w:val="21"/>
                      <w:highlight w:val="none"/>
                      <w:lang w:eastAsia="zh-CN"/>
                      <w14:textFill>
                        <w14:solidFill>
                          <w14:schemeClr w14:val="tx1"/>
                        </w14:solidFill>
                      </w14:textFill>
                    </w:rPr>
                    <w:t>收集</w:t>
                  </w:r>
                  <w:r>
                    <w:rPr>
                      <w:rFonts w:hint="default"/>
                      <w:color w:val="000000" w:themeColor="text1"/>
                      <w:sz w:val="21"/>
                      <w:szCs w:val="21"/>
                      <w:highlight w:val="none"/>
                      <w14:textFill>
                        <w14:solidFill>
                          <w14:schemeClr w14:val="tx1"/>
                        </w14:solidFill>
                      </w14:textFill>
                    </w:rPr>
                    <w:t>桶，生活垃圾收集后交由环卫部门统一清运</w:t>
                  </w:r>
                  <w:r>
                    <w:rPr>
                      <w:rFonts w:hint="eastAsia"/>
                      <w:color w:val="000000" w:themeColor="text1"/>
                      <w:sz w:val="21"/>
                      <w:szCs w:val="21"/>
                      <w:highlight w:val="none"/>
                      <w14:textFill>
                        <w14:solidFill>
                          <w14:schemeClr w14:val="tx1"/>
                        </w14:solidFill>
                      </w14:textFill>
                    </w:rPr>
                    <w:t>。</w:t>
                  </w:r>
                </w:p>
              </w:tc>
              <w:tc>
                <w:tcPr>
                  <w:tcW w:w="933" w:type="pct"/>
                  <w:tcBorders>
                    <w:tl2br w:val="nil"/>
                    <w:tr2bl w:val="nil"/>
                  </w:tcBorders>
                  <w:noWrap w:val="0"/>
                  <w:vAlign w:val="center"/>
                </w:tcPr>
                <w:p w14:paraId="4A1A7759">
                  <w:pPr>
                    <w:keepNext w:val="0"/>
                    <w:keepLines w:val="0"/>
                    <w:suppressLineNumbers w:val="0"/>
                    <w:snapToGrid w:val="0"/>
                    <w:spacing w:before="0" w:beforeAutospacing="0" w:after="0" w:afterAutospacing="0"/>
                    <w:ind w:left="0" w:right="0"/>
                    <w:jc w:val="center"/>
                    <w:outlineLvl w:val="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0.2</w:t>
                  </w:r>
                </w:p>
              </w:tc>
            </w:tr>
            <w:tr w14:paraId="4C498AB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33D2234F">
                  <w:pPr>
                    <w:keepNext w:val="0"/>
                    <w:keepLines w:val="0"/>
                    <w:suppressLineNumbers w:val="0"/>
                    <w:snapToGrid w:val="0"/>
                    <w:spacing w:before="0" w:beforeAutospacing="0" w:after="0" w:afterAutospacing="0"/>
                    <w:ind w:left="0" w:right="0"/>
                    <w:jc w:val="center"/>
                    <w:outlineLvl w:val="0"/>
                    <w:rPr>
                      <w:rFonts w:hint="default"/>
                      <w:color w:val="auto"/>
                      <w:sz w:val="21"/>
                      <w:szCs w:val="21"/>
                      <w:highlight w:val="none"/>
                    </w:rPr>
                  </w:pPr>
                </w:p>
              </w:tc>
              <w:tc>
                <w:tcPr>
                  <w:tcW w:w="666" w:type="pct"/>
                  <w:vMerge w:val="continue"/>
                  <w:tcBorders>
                    <w:tl2br w:val="nil"/>
                    <w:tr2bl w:val="nil"/>
                  </w:tcBorders>
                  <w:noWrap w:val="0"/>
                  <w:vAlign w:val="center"/>
                </w:tcPr>
                <w:p w14:paraId="3F16D62C">
                  <w:pPr>
                    <w:keepNext w:val="0"/>
                    <w:keepLines w:val="0"/>
                    <w:suppressLineNumbers w:val="0"/>
                    <w:snapToGrid w:val="0"/>
                    <w:spacing w:before="0" w:beforeAutospacing="0" w:after="0" w:afterAutospacing="0"/>
                    <w:ind w:left="0" w:right="0"/>
                    <w:jc w:val="center"/>
                    <w:outlineLvl w:val="0"/>
                    <w:rPr>
                      <w:rFonts w:hint="default"/>
                      <w:color w:val="auto"/>
                      <w:sz w:val="21"/>
                      <w:szCs w:val="21"/>
                      <w:highlight w:val="none"/>
                    </w:rPr>
                  </w:pPr>
                </w:p>
              </w:tc>
              <w:tc>
                <w:tcPr>
                  <w:tcW w:w="2899" w:type="pct"/>
                  <w:tcBorders>
                    <w:tl2br w:val="nil"/>
                    <w:tr2bl w:val="nil"/>
                  </w:tcBorders>
                  <w:noWrap w:val="0"/>
                  <w:vAlign w:val="center"/>
                </w:tcPr>
                <w:p w14:paraId="1E8B0644">
                  <w:pPr>
                    <w:keepNext w:val="0"/>
                    <w:keepLines w:val="0"/>
                    <w:suppressLineNumbers w:val="0"/>
                    <w:snapToGrid w:val="0"/>
                    <w:spacing w:before="0" w:beforeAutospacing="0" w:after="0" w:afterAutospacing="0"/>
                    <w:ind w:left="0" w:right="0"/>
                    <w:jc w:val="center"/>
                    <w:outlineLvl w:val="0"/>
                    <w:rPr>
                      <w:rFonts w:hint="eastAsia"/>
                      <w:color w:val="auto"/>
                      <w:sz w:val="21"/>
                      <w:szCs w:val="21"/>
                      <w:highlight w:val="none"/>
                    </w:rPr>
                  </w:pPr>
                  <w:r>
                    <w:rPr>
                      <w:rFonts w:hint="default"/>
                      <w:color w:val="auto"/>
                      <w:sz w:val="21"/>
                      <w:szCs w:val="21"/>
                      <w:highlight w:val="none"/>
                    </w:rPr>
                    <w:t>新建危险废物暂存间1处，并进行相应的防渗漏处理，面积约2m</w:t>
                  </w:r>
                  <w:r>
                    <w:rPr>
                      <w:rFonts w:hint="default"/>
                      <w:color w:val="auto"/>
                      <w:sz w:val="21"/>
                      <w:szCs w:val="21"/>
                      <w:highlight w:val="none"/>
                      <w:vertAlign w:val="superscript"/>
                    </w:rPr>
                    <w:t>2</w:t>
                  </w:r>
                  <w:r>
                    <w:rPr>
                      <w:rFonts w:hint="default"/>
                      <w:color w:val="auto"/>
                      <w:sz w:val="21"/>
                      <w:szCs w:val="21"/>
                      <w:highlight w:val="none"/>
                    </w:rPr>
                    <w:t>，要求做到防风、防雨、防晒、防漏</w:t>
                  </w:r>
                  <w:r>
                    <w:rPr>
                      <w:rFonts w:hint="eastAsia"/>
                      <w:color w:val="auto"/>
                      <w:sz w:val="21"/>
                      <w:szCs w:val="21"/>
                      <w:highlight w:val="none"/>
                    </w:rPr>
                    <w:t>、防渗、防腐</w:t>
                  </w:r>
                  <w:r>
                    <w:rPr>
                      <w:rFonts w:hint="default"/>
                      <w:color w:val="auto"/>
                      <w:sz w:val="21"/>
                      <w:szCs w:val="21"/>
                      <w:highlight w:val="none"/>
                    </w:rPr>
                    <w:t>，并设置相关标识标牌，建立危险废物台账</w:t>
                  </w:r>
                  <w:r>
                    <w:rPr>
                      <w:rFonts w:hint="eastAsia"/>
                      <w:color w:val="auto"/>
                      <w:sz w:val="21"/>
                      <w:szCs w:val="21"/>
                      <w:highlight w:val="none"/>
                    </w:rPr>
                    <w:t>。</w:t>
                  </w:r>
                </w:p>
              </w:tc>
              <w:tc>
                <w:tcPr>
                  <w:tcW w:w="933" w:type="pct"/>
                  <w:tcBorders>
                    <w:tl2br w:val="nil"/>
                    <w:tr2bl w:val="nil"/>
                  </w:tcBorders>
                  <w:noWrap w:val="0"/>
                  <w:vAlign w:val="center"/>
                </w:tcPr>
                <w:p w14:paraId="471A8E89">
                  <w:pPr>
                    <w:keepNext w:val="0"/>
                    <w:keepLines w:val="0"/>
                    <w:suppressLineNumbers w:val="0"/>
                    <w:snapToGrid w:val="0"/>
                    <w:spacing w:before="0" w:beforeAutospacing="0" w:after="0" w:afterAutospacing="0"/>
                    <w:ind w:left="0" w:right="0"/>
                    <w:jc w:val="center"/>
                    <w:outlineLvl w:val="0"/>
                    <w:rPr>
                      <w:rFonts w:hint="default"/>
                      <w:color w:val="auto"/>
                      <w:sz w:val="21"/>
                      <w:szCs w:val="21"/>
                      <w:highlight w:val="none"/>
                    </w:rPr>
                  </w:pPr>
                  <w:r>
                    <w:rPr>
                      <w:rFonts w:hint="eastAsia"/>
                      <w:color w:val="auto"/>
                      <w:sz w:val="21"/>
                      <w:szCs w:val="21"/>
                      <w:highlight w:val="none"/>
                    </w:rPr>
                    <w:t>2.0</w:t>
                  </w:r>
                </w:p>
              </w:tc>
            </w:tr>
            <w:tr w14:paraId="405456C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00AD218C">
                  <w:pPr>
                    <w:keepNext w:val="0"/>
                    <w:keepLines w:val="0"/>
                    <w:suppressLineNumbers w:val="0"/>
                    <w:snapToGrid w:val="0"/>
                    <w:spacing w:before="0" w:beforeAutospacing="0" w:after="0" w:afterAutospacing="0"/>
                    <w:ind w:left="0" w:right="0"/>
                    <w:jc w:val="center"/>
                    <w:outlineLvl w:val="0"/>
                    <w:rPr>
                      <w:rFonts w:hint="default"/>
                      <w:color w:val="auto"/>
                      <w:sz w:val="21"/>
                      <w:szCs w:val="21"/>
                      <w:highlight w:val="none"/>
                    </w:rPr>
                  </w:pPr>
                </w:p>
              </w:tc>
              <w:tc>
                <w:tcPr>
                  <w:tcW w:w="666" w:type="pct"/>
                  <w:vMerge w:val="restart"/>
                  <w:tcBorders>
                    <w:tl2br w:val="nil"/>
                    <w:tr2bl w:val="nil"/>
                  </w:tcBorders>
                  <w:noWrap w:val="0"/>
                  <w:vAlign w:val="center"/>
                </w:tcPr>
                <w:p w14:paraId="2679D125">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地下水防渗</w:t>
                  </w:r>
                </w:p>
              </w:tc>
              <w:tc>
                <w:tcPr>
                  <w:tcW w:w="2899" w:type="pct"/>
                  <w:tcBorders>
                    <w:tl2br w:val="nil"/>
                    <w:tr2bl w:val="nil"/>
                  </w:tcBorders>
                  <w:noWrap w:val="0"/>
                  <w:vAlign w:val="center"/>
                </w:tcPr>
                <w:p w14:paraId="616F6B0D">
                  <w:pPr>
                    <w:keepNext w:val="0"/>
                    <w:keepLines w:val="0"/>
                    <w:suppressLineNumbers w:val="0"/>
                    <w:snapToGrid w:val="0"/>
                    <w:spacing w:before="0" w:beforeAutospacing="0" w:after="0" w:afterAutospacing="0"/>
                    <w:ind w:left="0" w:right="0"/>
                    <w:jc w:val="left"/>
                    <w:rPr>
                      <w:rFonts w:hint="default"/>
                      <w:color w:val="auto"/>
                      <w:kern w:val="0"/>
                      <w:sz w:val="21"/>
                      <w:szCs w:val="21"/>
                      <w:highlight w:val="none"/>
                    </w:rPr>
                  </w:pPr>
                  <w:r>
                    <w:rPr>
                      <w:rFonts w:hint="eastAsia"/>
                      <w:color w:val="auto"/>
                      <w:sz w:val="21"/>
                      <w:szCs w:val="21"/>
                      <w:highlight w:val="none"/>
                    </w:rPr>
                    <w:t>站内埋地油罐</w:t>
                  </w:r>
                  <w:r>
                    <w:rPr>
                      <w:rFonts w:hint="default"/>
                      <w:color w:val="auto"/>
                      <w:sz w:val="21"/>
                      <w:szCs w:val="21"/>
                      <w:highlight w:val="none"/>
                    </w:rPr>
                    <w:t>按照国家标准《地下金属油罐防水防腐技术规范》的有关规定进行设计、施工；站内加油管道表面进行试压和防腐处理</w:t>
                  </w:r>
                  <w:r>
                    <w:rPr>
                      <w:rFonts w:hint="eastAsia"/>
                      <w:color w:val="auto"/>
                      <w:sz w:val="21"/>
                      <w:szCs w:val="21"/>
                      <w:highlight w:val="none"/>
                    </w:rPr>
                    <w:t>。</w:t>
                  </w:r>
                </w:p>
              </w:tc>
              <w:tc>
                <w:tcPr>
                  <w:tcW w:w="933" w:type="pct"/>
                  <w:vMerge w:val="restart"/>
                  <w:tcBorders>
                    <w:tl2br w:val="nil"/>
                    <w:tr2bl w:val="nil"/>
                  </w:tcBorders>
                  <w:noWrap w:val="0"/>
                  <w:vAlign w:val="center"/>
                </w:tcPr>
                <w:p w14:paraId="511AA5CC">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计入主体工程投资</w:t>
                  </w:r>
                </w:p>
              </w:tc>
            </w:tr>
            <w:tr w14:paraId="6F4F3BD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2C48F8FB">
                  <w:pPr>
                    <w:keepNext w:val="0"/>
                    <w:keepLines w:val="0"/>
                    <w:suppressLineNumbers w:val="0"/>
                    <w:snapToGrid w:val="0"/>
                    <w:spacing w:before="0" w:beforeAutospacing="0" w:after="0" w:afterAutospacing="0"/>
                    <w:ind w:left="0" w:right="0"/>
                    <w:jc w:val="center"/>
                    <w:outlineLvl w:val="0"/>
                    <w:rPr>
                      <w:rFonts w:hint="default"/>
                      <w:color w:val="auto"/>
                      <w:sz w:val="21"/>
                      <w:szCs w:val="21"/>
                      <w:highlight w:val="none"/>
                    </w:rPr>
                  </w:pPr>
                </w:p>
              </w:tc>
              <w:tc>
                <w:tcPr>
                  <w:tcW w:w="666" w:type="pct"/>
                  <w:vMerge w:val="continue"/>
                  <w:tcBorders>
                    <w:tl2br w:val="nil"/>
                    <w:tr2bl w:val="nil"/>
                  </w:tcBorders>
                  <w:noWrap w:val="0"/>
                  <w:vAlign w:val="center"/>
                </w:tcPr>
                <w:p w14:paraId="769FAE8D">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2899" w:type="pct"/>
                  <w:tcBorders>
                    <w:tl2br w:val="nil"/>
                    <w:tr2bl w:val="nil"/>
                  </w:tcBorders>
                  <w:noWrap w:val="0"/>
                  <w:vAlign w:val="center"/>
                </w:tcPr>
                <w:p w14:paraId="39868772">
                  <w:pPr>
                    <w:keepNext w:val="0"/>
                    <w:keepLines w:val="0"/>
                    <w:suppressLineNumbers w:val="0"/>
                    <w:snapToGrid w:val="0"/>
                    <w:spacing w:before="0" w:beforeAutospacing="0" w:after="0" w:afterAutospacing="0"/>
                    <w:ind w:left="0" w:right="0"/>
                    <w:jc w:val="left"/>
                    <w:rPr>
                      <w:rFonts w:hint="default"/>
                      <w:color w:val="auto"/>
                      <w:sz w:val="21"/>
                      <w:szCs w:val="21"/>
                      <w:highlight w:val="none"/>
                    </w:rPr>
                  </w:pPr>
                  <w:r>
                    <w:rPr>
                      <w:rFonts w:hint="default"/>
                      <w:color w:val="auto"/>
                      <w:sz w:val="21"/>
                      <w:szCs w:val="21"/>
                      <w:highlight w:val="none"/>
                    </w:rPr>
                    <w:t>设置在线液位渗漏检测报警仪等监控系统、液位报警装置、油罐渗漏检测报警仪等</w:t>
                  </w:r>
                  <w:r>
                    <w:rPr>
                      <w:rFonts w:hint="eastAsia"/>
                      <w:color w:val="auto"/>
                      <w:sz w:val="21"/>
                      <w:szCs w:val="21"/>
                      <w:highlight w:val="none"/>
                    </w:rPr>
                    <w:t>。</w:t>
                  </w:r>
                </w:p>
              </w:tc>
              <w:tc>
                <w:tcPr>
                  <w:tcW w:w="933" w:type="pct"/>
                  <w:vMerge w:val="continue"/>
                  <w:tcBorders>
                    <w:tl2br w:val="nil"/>
                    <w:tr2bl w:val="nil"/>
                  </w:tcBorders>
                  <w:noWrap w:val="0"/>
                  <w:vAlign w:val="center"/>
                </w:tcPr>
                <w:p w14:paraId="0DE2C335">
                  <w:pPr>
                    <w:keepNext w:val="0"/>
                    <w:keepLines w:val="0"/>
                    <w:suppressLineNumbers w:val="0"/>
                    <w:spacing w:before="0" w:beforeAutospacing="0" w:after="0" w:afterAutospacing="0"/>
                    <w:ind w:left="0" w:right="0"/>
                    <w:jc w:val="center"/>
                    <w:rPr>
                      <w:rFonts w:hint="eastAsia"/>
                      <w:color w:val="auto"/>
                      <w:sz w:val="21"/>
                      <w:szCs w:val="21"/>
                      <w:highlight w:val="none"/>
                    </w:rPr>
                  </w:pPr>
                </w:p>
              </w:tc>
            </w:tr>
            <w:tr w14:paraId="306D5D5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60E0BD24">
                  <w:pPr>
                    <w:keepNext w:val="0"/>
                    <w:keepLines w:val="0"/>
                    <w:suppressLineNumbers w:val="0"/>
                    <w:snapToGrid w:val="0"/>
                    <w:spacing w:before="0" w:beforeAutospacing="0" w:after="0" w:afterAutospacing="0"/>
                    <w:ind w:left="0" w:right="0"/>
                    <w:jc w:val="center"/>
                    <w:outlineLvl w:val="0"/>
                    <w:rPr>
                      <w:rFonts w:hint="default"/>
                      <w:color w:val="auto"/>
                      <w:sz w:val="21"/>
                      <w:szCs w:val="21"/>
                      <w:highlight w:val="none"/>
                    </w:rPr>
                  </w:pPr>
                </w:p>
              </w:tc>
              <w:tc>
                <w:tcPr>
                  <w:tcW w:w="666" w:type="pct"/>
                  <w:vMerge w:val="continue"/>
                  <w:tcBorders>
                    <w:tl2br w:val="nil"/>
                    <w:tr2bl w:val="nil"/>
                  </w:tcBorders>
                  <w:noWrap w:val="0"/>
                  <w:vAlign w:val="center"/>
                </w:tcPr>
                <w:p w14:paraId="4673B0D5">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2899" w:type="pct"/>
                  <w:tcBorders>
                    <w:tl2br w:val="nil"/>
                    <w:tr2bl w:val="nil"/>
                  </w:tcBorders>
                  <w:noWrap w:val="0"/>
                  <w:vAlign w:val="center"/>
                </w:tcPr>
                <w:p w14:paraId="4626500C">
                  <w:pPr>
                    <w:keepNext w:val="0"/>
                    <w:keepLines w:val="0"/>
                    <w:suppressLineNumbers w:val="0"/>
                    <w:snapToGrid w:val="0"/>
                    <w:spacing w:before="0" w:beforeAutospacing="0" w:after="0" w:afterAutospacing="0"/>
                    <w:ind w:left="0" w:right="0"/>
                    <w:jc w:val="left"/>
                    <w:rPr>
                      <w:rFonts w:hint="default"/>
                      <w:color w:val="auto"/>
                      <w:sz w:val="21"/>
                      <w:szCs w:val="21"/>
                      <w:highlight w:val="none"/>
                    </w:rPr>
                  </w:pPr>
                  <w:r>
                    <w:rPr>
                      <w:rFonts w:hint="default"/>
                      <w:color w:val="auto"/>
                      <w:sz w:val="21"/>
                      <w:szCs w:val="21"/>
                      <w:highlight w:val="none"/>
                    </w:rPr>
                    <w:t>站内进行分区防渗：</w:t>
                  </w:r>
                  <w:r>
                    <w:rPr>
                      <w:rFonts w:hint="eastAsia" w:ascii="宋体" w:hAnsi="宋体" w:cs="宋体"/>
                      <w:color w:val="auto"/>
                      <w:sz w:val="21"/>
                      <w:szCs w:val="21"/>
                      <w:highlight w:val="none"/>
                    </w:rPr>
                    <w:t>①</w:t>
                  </w:r>
                  <w:r>
                    <w:rPr>
                      <w:rFonts w:hint="default"/>
                      <w:color w:val="auto"/>
                      <w:sz w:val="21"/>
                      <w:szCs w:val="21"/>
                      <w:highlight w:val="none"/>
                    </w:rPr>
                    <w:t>重点防渗区：</w:t>
                  </w:r>
                  <w:r>
                    <w:rPr>
                      <w:rFonts w:hint="eastAsia" w:ascii="宋体" w:hAnsi="宋体" w:cs="宋体"/>
                      <w:color w:val="auto"/>
                      <w:sz w:val="21"/>
                      <w:szCs w:val="21"/>
                      <w:highlight w:val="none"/>
                    </w:rPr>
                    <w:t>加油区、</w:t>
                  </w:r>
                  <w:r>
                    <w:rPr>
                      <w:rFonts w:hint="eastAsia"/>
                      <w:color w:val="auto"/>
                      <w:sz w:val="21"/>
                      <w:szCs w:val="21"/>
                      <w:highlight w:val="none"/>
                    </w:rPr>
                    <w:t>油罐区、加油管道、</w:t>
                  </w:r>
                  <w:r>
                    <w:rPr>
                      <w:rFonts w:hint="eastAsia"/>
                      <w:color w:val="auto"/>
                      <w:sz w:val="21"/>
                      <w:szCs w:val="21"/>
                      <w:highlight w:val="none"/>
                      <w:lang w:val="en-US" w:eastAsia="zh-CN"/>
                    </w:rPr>
                    <w:t>撬装柴油发电机区</w:t>
                  </w:r>
                  <w:r>
                    <w:rPr>
                      <w:rFonts w:hint="eastAsia" w:ascii="宋体" w:hAnsi="宋体" w:cs="宋体"/>
                      <w:color w:val="auto"/>
                      <w:sz w:val="21"/>
                      <w:szCs w:val="21"/>
                      <w:highlight w:val="none"/>
                    </w:rPr>
                    <w:t>、危废暂存间</w:t>
                  </w:r>
                  <w:r>
                    <w:rPr>
                      <w:rFonts w:hint="default" w:ascii="宋体" w:hAnsi="宋体" w:cs="宋体"/>
                      <w:color w:val="auto"/>
                      <w:sz w:val="21"/>
                      <w:szCs w:val="21"/>
                      <w:highlight w:val="none"/>
                    </w:rPr>
                    <w:t>；</w:t>
                  </w:r>
                  <w:r>
                    <w:rPr>
                      <w:rFonts w:hint="eastAsia" w:ascii="宋体" w:hAnsi="宋体" w:cs="宋体"/>
                      <w:color w:val="auto"/>
                      <w:sz w:val="21"/>
                      <w:szCs w:val="21"/>
                      <w:highlight w:val="none"/>
                    </w:rPr>
                    <w:t>②</w:t>
                  </w:r>
                  <w:r>
                    <w:rPr>
                      <w:rFonts w:hint="default" w:ascii="宋体" w:hAnsi="宋体" w:cs="宋体"/>
                      <w:color w:val="auto"/>
                      <w:sz w:val="21"/>
                      <w:szCs w:val="21"/>
                      <w:highlight w:val="none"/>
                    </w:rPr>
                    <w:t>一般防渗区：</w:t>
                  </w:r>
                  <w:r>
                    <w:rPr>
                      <w:rFonts w:hint="eastAsia" w:ascii="宋体" w:hAnsi="宋体" w:cs="宋体"/>
                      <w:color w:val="auto"/>
                      <w:sz w:val="21"/>
                      <w:szCs w:val="21"/>
                      <w:highlight w:val="none"/>
                    </w:rPr>
                    <w:t>洗车区、隔油池、化粪池</w:t>
                  </w:r>
                  <w:r>
                    <w:rPr>
                      <w:rFonts w:hint="default" w:ascii="宋体" w:hAnsi="宋体" w:cs="宋体"/>
                      <w:color w:val="auto"/>
                      <w:sz w:val="21"/>
                      <w:szCs w:val="21"/>
                      <w:highlight w:val="none"/>
                    </w:rPr>
                    <w:t>；</w:t>
                  </w:r>
                  <w:r>
                    <w:rPr>
                      <w:rFonts w:hint="eastAsia" w:ascii="宋体" w:hAnsi="宋体" w:cs="宋体"/>
                      <w:color w:val="auto"/>
                      <w:sz w:val="21"/>
                      <w:szCs w:val="21"/>
                      <w:highlight w:val="none"/>
                    </w:rPr>
                    <w:t>③</w:t>
                  </w:r>
                  <w:r>
                    <w:rPr>
                      <w:rFonts w:hint="default" w:ascii="宋体" w:hAnsi="宋体" w:cs="宋体"/>
                      <w:color w:val="auto"/>
                      <w:sz w:val="21"/>
                      <w:szCs w:val="21"/>
                      <w:highlight w:val="none"/>
                    </w:rPr>
                    <w:t>简单防渗区：</w:t>
                  </w:r>
                  <w:r>
                    <w:rPr>
                      <w:rFonts w:hint="eastAsia" w:ascii="宋体" w:hAnsi="宋体" w:cs="宋体"/>
                      <w:color w:val="auto"/>
                      <w:sz w:val="21"/>
                      <w:szCs w:val="21"/>
                      <w:highlight w:val="none"/>
                    </w:rPr>
                    <w:t>场区站房及站内道路地面等除绿化带以外的其他区域</w:t>
                  </w:r>
                  <w:r>
                    <w:rPr>
                      <w:rFonts w:hint="default" w:ascii="宋体" w:hAnsi="宋体" w:cs="宋体"/>
                      <w:color w:val="auto"/>
                      <w:sz w:val="21"/>
                      <w:szCs w:val="21"/>
                      <w:highlight w:val="none"/>
                    </w:rPr>
                    <w:t>。</w:t>
                  </w:r>
                </w:p>
              </w:tc>
              <w:tc>
                <w:tcPr>
                  <w:tcW w:w="933" w:type="pct"/>
                  <w:vMerge w:val="restart"/>
                  <w:tcBorders>
                    <w:tl2br w:val="nil"/>
                    <w:tr2bl w:val="nil"/>
                  </w:tcBorders>
                  <w:noWrap w:val="0"/>
                  <w:vAlign w:val="center"/>
                </w:tcPr>
                <w:p w14:paraId="426AC770">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eastAsia="zh-CN"/>
                    </w:rPr>
                    <w:t>5</w:t>
                  </w:r>
                  <w:r>
                    <w:rPr>
                      <w:rFonts w:hint="eastAsia"/>
                      <w:color w:val="auto"/>
                      <w:sz w:val="21"/>
                      <w:szCs w:val="21"/>
                      <w:highlight w:val="none"/>
                    </w:rPr>
                    <w:t>.0</w:t>
                  </w:r>
                </w:p>
              </w:tc>
            </w:tr>
            <w:tr w14:paraId="2567C0F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00A634E8">
                  <w:pPr>
                    <w:keepNext w:val="0"/>
                    <w:keepLines w:val="0"/>
                    <w:suppressLineNumbers w:val="0"/>
                    <w:snapToGrid w:val="0"/>
                    <w:spacing w:before="0" w:beforeAutospacing="0" w:after="0" w:afterAutospacing="0"/>
                    <w:ind w:left="0" w:right="0"/>
                    <w:jc w:val="center"/>
                    <w:outlineLvl w:val="0"/>
                    <w:rPr>
                      <w:rFonts w:hint="default"/>
                      <w:color w:val="auto"/>
                      <w:sz w:val="21"/>
                      <w:szCs w:val="21"/>
                      <w:highlight w:val="none"/>
                    </w:rPr>
                  </w:pPr>
                </w:p>
              </w:tc>
              <w:tc>
                <w:tcPr>
                  <w:tcW w:w="666" w:type="pct"/>
                  <w:vMerge w:val="continue"/>
                  <w:tcBorders>
                    <w:tl2br w:val="nil"/>
                    <w:tr2bl w:val="nil"/>
                  </w:tcBorders>
                  <w:noWrap w:val="0"/>
                  <w:vAlign w:val="center"/>
                </w:tcPr>
                <w:p w14:paraId="137C7EA7">
                  <w:pPr>
                    <w:keepNext w:val="0"/>
                    <w:keepLines w:val="0"/>
                    <w:suppressLineNumbers w:val="0"/>
                    <w:spacing w:before="0" w:beforeAutospacing="0" w:after="0" w:afterAutospacing="0"/>
                    <w:ind w:left="0" w:right="0"/>
                    <w:jc w:val="center"/>
                    <w:rPr>
                      <w:rFonts w:hint="default"/>
                      <w:color w:val="auto"/>
                      <w:sz w:val="21"/>
                      <w:szCs w:val="21"/>
                      <w:highlight w:val="none"/>
                    </w:rPr>
                  </w:pPr>
                </w:p>
              </w:tc>
              <w:tc>
                <w:tcPr>
                  <w:tcW w:w="2899" w:type="pct"/>
                  <w:tcBorders>
                    <w:tl2br w:val="nil"/>
                    <w:tr2bl w:val="nil"/>
                  </w:tcBorders>
                  <w:noWrap w:val="0"/>
                  <w:vAlign w:val="center"/>
                </w:tcPr>
                <w:p w14:paraId="44BDFCE3">
                  <w:pPr>
                    <w:keepNext w:val="0"/>
                    <w:keepLines w:val="0"/>
                    <w:suppressLineNumbers w:val="0"/>
                    <w:snapToGrid w:val="0"/>
                    <w:spacing w:before="0" w:beforeAutospacing="0" w:after="0" w:afterAutospacing="0"/>
                    <w:ind w:left="0" w:right="0"/>
                    <w:jc w:val="left"/>
                    <w:rPr>
                      <w:rFonts w:hint="default"/>
                      <w:color w:val="auto"/>
                      <w:sz w:val="21"/>
                      <w:szCs w:val="21"/>
                      <w:highlight w:val="none"/>
                    </w:rPr>
                  </w:pPr>
                  <w:r>
                    <w:rPr>
                      <w:rFonts w:hint="default"/>
                      <w:color w:val="auto"/>
                      <w:sz w:val="21"/>
                      <w:szCs w:val="21"/>
                      <w:highlight w:val="none"/>
                    </w:rPr>
                    <w:t>设地下水监测井1座，定期进行地下水常规监测。</w:t>
                  </w:r>
                </w:p>
              </w:tc>
              <w:tc>
                <w:tcPr>
                  <w:tcW w:w="933" w:type="pct"/>
                  <w:vMerge w:val="continue"/>
                  <w:tcBorders>
                    <w:tl2br w:val="nil"/>
                    <w:tr2bl w:val="nil"/>
                  </w:tcBorders>
                  <w:noWrap w:val="0"/>
                  <w:vAlign w:val="center"/>
                </w:tcPr>
                <w:p w14:paraId="54DE6426">
                  <w:pPr>
                    <w:keepNext w:val="0"/>
                    <w:keepLines w:val="0"/>
                    <w:suppressLineNumbers w:val="0"/>
                    <w:spacing w:before="0" w:beforeAutospacing="0" w:after="0" w:afterAutospacing="0"/>
                    <w:ind w:left="0" w:right="0"/>
                    <w:jc w:val="center"/>
                    <w:rPr>
                      <w:rFonts w:hint="eastAsia"/>
                      <w:color w:val="auto"/>
                      <w:sz w:val="21"/>
                      <w:szCs w:val="21"/>
                      <w:highlight w:val="none"/>
                    </w:rPr>
                  </w:pPr>
                </w:p>
              </w:tc>
            </w:tr>
            <w:tr w14:paraId="7C9DA22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3B63E0D5">
                  <w:pPr>
                    <w:keepNext w:val="0"/>
                    <w:keepLines w:val="0"/>
                    <w:suppressLineNumbers w:val="0"/>
                    <w:snapToGrid w:val="0"/>
                    <w:spacing w:before="0" w:beforeAutospacing="0" w:after="0" w:afterAutospacing="0"/>
                    <w:ind w:left="0" w:right="0"/>
                    <w:jc w:val="center"/>
                    <w:outlineLvl w:val="0"/>
                    <w:rPr>
                      <w:rFonts w:hint="default"/>
                      <w:color w:val="auto"/>
                      <w:sz w:val="21"/>
                      <w:szCs w:val="21"/>
                      <w:highlight w:val="none"/>
                    </w:rPr>
                  </w:pPr>
                </w:p>
              </w:tc>
              <w:tc>
                <w:tcPr>
                  <w:tcW w:w="666" w:type="pct"/>
                  <w:tcBorders>
                    <w:tl2br w:val="nil"/>
                    <w:tr2bl w:val="nil"/>
                  </w:tcBorders>
                  <w:noWrap w:val="0"/>
                  <w:vAlign w:val="center"/>
                </w:tcPr>
                <w:p w14:paraId="22A91F7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风险防范措施</w:t>
                  </w:r>
                </w:p>
              </w:tc>
              <w:tc>
                <w:tcPr>
                  <w:tcW w:w="2899" w:type="pct"/>
                  <w:tcBorders>
                    <w:tl2br w:val="nil"/>
                    <w:tr2bl w:val="nil"/>
                  </w:tcBorders>
                  <w:noWrap w:val="0"/>
                  <w:vAlign w:val="center"/>
                </w:tcPr>
                <w:p w14:paraId="1A6938AC">
                  <w:pPr>
                    <w:keepNext w:val="0"/>
                    <w:keepLines w:val="0"/>
                    <w:suppressLineNumbers w:val="0"/>
                    <w:spacing w:before="0" w:beforeAutospacing="0" w:after="0" w:afterAutospacing="0"/>
                    <w:ind w:left="0" w:right="0"/>
                    <w:jc w:val="left"/>
                    <w:rPr>
                      <w:rFonts w:hint="default"/>
                      <w:color w:val="auto"/>
                      <w:sz w:val="21"/>
                      <w:szCs w:val="21"/>
                      <w:highlight w:val="none"/>
                    </w:rPr>
                  </w:pPr>
                  <w:r>
                    <w:rPr>
                      <w:rFonts w:hint="eastAsia"/>
                      <w:color w:val="auto"/>
                      <w:sz w:val="21"/>
                      <w:szCs w:val="21"/>
                      <w:highlight w:val="none"/>
                    </w:rPr>
                    <w:t>采</w:t>
                  </w:r>
                  <w:r>
                    <w:rPr>
                      <w:rFonts w:hint="default"/>
                      <w:color w:val="auto"/>
                      <w:sz w:val="21"/>
                      <w:szCs w:val="21"/>
                      <w:highlight w:val="none"/>
                    </w:rPr>
                    <w:t>用双层油罐、采取分区防渗等措施；安装泄漏报警装置；配备灭火器、消防砂池等消防器材；加强站区进出车辆管理以及各类设备输油管线的维护；站区设置 安全警示标识，加强员工安全培训，编制《事故应急预案》等</w:t>
                  </w:r>
                  <w:r>
                    <w:rPr>
                      <w:rFonts w:hint="eastAsia"/>
                      <w:color w:val="auto"/>
                      <w:sz w:val="21"/>
                      <w:szCs w:val="21"/>
                      <w:highlight w:val="none"/>
                    </w:rPr>
                    <w:t>。</w:t>
                  </w:r>
                </w:p>
              </w:tc>
              <w:tc>
                <w:tcPr>
                  <w:tcW w:w="933" w:type="pct"/>
                  <w:tcBorders>
                    <w:tl2br w:val="nil"/>
                    <w:tr2bl w:val="nil"/>
                  </w:tcBorders>
                  <w:noWrap w:val="0"/>
                  <w:vAlign w:val="center"/>
                </w:tcPr>
                <w:p w14:paraId="748B3339">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5.0</w:t>
                  </w:r>
                </w:p>
              </w:tc>
            </w:tr>
            <w:tr w14:paraId="260694F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500" w:type="pct"/>
                  <w:vMerge w:val="continue"/>
                  <w:tcBorders>
                    <w:tl2br w:val="nil"/>
                    <w:tr2bl w:val="nil"/>
                  </w:tcBorders>
                  <w:noWrap w:val="0"/>
                  <w:vAlign w:val="center"/>
                </w:tcPr>
                <w:p w14:paraId="3DBCBB47">
                  <w:pPr>
                    <w:keepNext w:val="0"/>
                    <w:keepLines w:val="0"/>
                    <w:suppressLineNumbers w:val="0"/>
                    <w:snapToGrid w:val="0"/>
                    <w:spacing w:before="0" w:beforeAutospacing="0" w:after="0" w:afterAutospacing="0"/>
                    <w:ind w:left="0" w:right="0"/>
                    <w:jc w:val="center"/>
                    <w:outlineLvl w:val="0"/>
                    <w:rPr>
                      <w:rFonts w:hint="default"/>
                      <w:color w:val="auto"/>
                      <w:sz w:val="21"/>
                      <w:szCs w:val="21"/>
                      <w:highlight w:val="none"/>
                    </w:rPr>
                  </w:pPr>
                </w:p>
              </w:tc>
              <w:tc>
                <w:tcPr>
                  <w:tcW w:w="666" w:type="pct"/>
                  <w:tcBorders>
                    <w:tl2br w:val="nil"/>
                    <w:tr2bl w:val="nil"/>
                  </w:tcBorders>
                  <w:noWrap w:val="0"/>
                  <w:vAlign w:val="center"/>
                </w:tcPr>
                <w:p w14:paraId="3C8F2B23">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绿化</w:t>
                  </w:r>
                </w:p>
              </w:tc>
              <w:tc>
                <w:tcPr>
                  <w:tcW w:w="2899" w:type="pct"/>
                  <w:tcBorders>
                    <w:tl2br w:val="nil"/>
                    <w:tr2bl w:val="nil"/>
                  </w:tcBorders>
                  <w:noWrap w:val="0"/>
                  <w:vAlign w:val="center"/>
                </w:tcPr>
                <w:p w14:paraId="5ED1D5DC">
                  <w:pPr>
                    <w:keepNext w:val="0"/>
                    <w:keepLines w:val="0"/>
                    <w:suppressLineNumbers w:val="0"/>
                    <w:spacing w:before="0" w:beforeAutospacing="0" w:after="0" w:afterAutospacing="0"/>
                    <w:ind w:left="0" w:right="0"/>
                    <w:jc w:val="left"/>
                    <w:rPr>
                      <w:rFonts w:hint="eastAsia"/>
                      <w:color w:val="auto"/>
                      <w:sz w:val="21"/>
                      <w:szCs w:val="21"/>
                      <w:highlight w:val="none"/>
                    </w:rPr>
                  </w:pPr>
                  <w:r>
                    <w:rPr>
                      <w:rFonts w:hint="default"/>
                      <w:color w:val="auto"/>
                      <w:sz w:val="21"/>
                      <w:szCs w:val="21"/>
                      <w:highlight w:val="none"/>
                    </w:rPr>
                    <w:t>绿化面积约9</w:t>
                  </w:r>
                  <w:r>
                    <w:rPr>
                      <w:rFonts w:hint="eastAsia"/>
                      <w:color w:val="auto"/>
                      <w:sz w:val="21"/>
                      <w:szCs w:val="21"/>
                      <w:highlight w:val="none"/>
                      <w:lang w:val="en-US" w:eastAsia="zh-CN"/>
                    </w:rPr>
                    <w:t>67</w:t>
                  </w:r>
                  <w:r>
                    <w:rPr>
                      <w:rFonts w:hint="default"/>
                      <w:color w:val="auto"/>
                      <w:sz w:val="21"/>
                      <w:szCs w:val="21"/>
                      <w:highlight w:val="none"/>
                    </w:rPr>
                    <w:t>m</w:t>
                  </w:r>
                  <w:r>
                    <w:rPr>
                      <w:rFonts w:hint="default"/>
                      <w:color w:val="auto"/>
                      <w:sz w:val="21"/>
                      <w:szCs w:val="21"/>
                      <w:highlight w:val="none"/>
                      <w:vertAlign w:val="superscript"/>
                    </w:rPr>
                    <w:t>2</w:t>
                  </w:r>
                  <w:r>
                    <w:rPr>
                      <w:rFonts w:hint="default"/>
                      <w:color w:val="auto"/>
                      <w:sz w:val="21"/>
                      <w:szCs w:val="21"/>
                      <w:highlight w:val="none"/>
                    </w:rPr>
                    <w:t>，绿化率</w:t>
                  </w:r>
                  <w:r>
                    <w:rPr>
                      <w:rFonts w:hint="eastAsia"/>
                      <w:color w:val="auto"/>
                      <w:sz w:val="21"/>
                      <w:szCs w:val="21"/>
                      <w:highlight w:val="none"/>
                      <w:lang w:val="en-US" w:eastAsia="zh-CN"/>
                    </w:rPr>
                    <w:t>8.05</w:t>
                  </w:r>
                  <w:r>
                    <w:rPr>
                      <w:rFonts w:hint="default"/>
                      <w:color w:val="auto"/>
                      <w:sz w:val="21"/>
                      <w:szCs w:val="21"/>
                      <w:highlight w:val="none"/>
                    </w:rPr>
                    <w:t>%</w:t>
                  </w:r>
                  <w:r>
                    <w:rPr>
                      <w:rFonts w:hint="eastAsia"/>
                      <w:color w:val="auto"/>
                      <w:sz w:val="21"/>
                      <w:szCs w:val="21"/>
                      <w:highlight w:val="none"/>
                    </w:rPr>
                    <w:t>。</w:t>
                  </w:r>
                </w:p>
              </w:tc>
              <w:tc>
                <w:tcPr>
                  <w:tcW w:w="933" w:type="pct"/>
                  <w:tcBorders>
                    <w:tl2br w:val="nil"/>
                    <w:tr2bl w:val="nil"/>
                  </w:tcBorders>
                  <w:noWrap w:val="0"/>
                  <w:vAlign w:val="center"/>
                </w:tcPr>
                <w:p w14:paraId="1C318C3F">
                  <w:pPr>
                    <w:keepNext w:val="0"/>
                    <w:keepLines w:val="0"/>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20.0</w:t>
                  </w:r>
                </w:p>
              </w:tc>
            </w:tr>
            <w:tr w14:paraId="7492D5A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166" w:type="pct"/>
                  <w:gridSpan w:val="2"/>
                  <w:tcBorders>
                    <w:tl2br w:val="nil"/>
                    <w:tr2bl w:val="nil"/>
                  </w:tcBorders>
                  <w:noWrap w:val="0"/>
                  <w:vAlign w:val="center"/>
                </w:tcPr>
                <w:p w14:paraId="6F855C0B">
                  <w:pPr>
                    <w:keepNext w:val="0"/>
                    <w:keepLines w:val="0"/>
                    <w:suppressLineNumbers w:val="0"/>
                    <w:snapToGrid w:val="0"/>
                    <w:spacing w:before="0" w:beforeAutospacing="0" w:after="0" w:afterAutospacing="0"/>
                    <w:ind w:left="0" w:right="0"/>
                    <w:jc w:val="center"/>
                    <w:outlineLvl w:val="0"/>
                    <w:rPr>
                      <w:rFonts w:hint="default"/>
                      <w:color w:val="auto"/>
                      <w:sz w:val="21"/>
                      <w:szCs w:val="21"/>
                      <w:highlight w:val="none"/>
                    </w:rPr>
                  </w:pPr>
                  <w:r>
                    <w:rPr>
                      <w:rFonts w:hint="default"/>
                      <w:color w:val="auto"/>
                      <w:sz w:val="21"/>
                      <w:szCs w:val="21"/>
                      <w:highlight w:val="none"/>
                    </w:rPr>
                    <w:t>小计</w:t>
                  </w:r>
                </w:p>
              </w:tc>
              <w:tc>
                <w:tcPr>
                  <w:tcW w:w="2899" w:type="pct"/>
                  <w:tcBorders>
                    <w:tl2br w:val="nil"/>
                    <w:tr2bl w:val="nil"/>
                  </w:tcBorders>
                  <w:noWrap w:val="0"/>
                  <w:vAlign w:val="center"/>
                </w:tcPr>
                <w:p w14:paraId="4968C44D">
                  <w:pPr>
                    <w:keepNext w:val="0"/>
                    <w:keepLines w:val="0"/>
                    <w:suppressLineNumbers w:val="0"/>
                    <w:snapToGrid w:val="0"/>
                    <w:spacing w:before="0" w:beforeAutospacing="0" w:after="0" w:afterAutospacing="0"/>
                    <w:ind w:left="0" w:right="0"/>
                    <w:jc w:val="center"/>
                    <w:outlineLvl w:val="0"/>
                    <w:rPr>
                      <w:rFonts w:hint="default"/>
                      <w:color w:val="auto"/>
                      <w:sz w:val="21"/>
                      <w:szCs w:val="21"/>
                      <w:highlight w:val="none"/>
                    </w:rPr>
                  </w:pPr>
                  <w:r>
                    <w:rPr>
                      <w:rFonts w:hint="default"/>
                      <w:color w:val="auto"/>
                      <w:sz w:val="21"/>
                      <w:szCs w:val="21"/>
                      <w:highlight w:val="none"/>
                    </w:rPr>
                    <w:t>/</w:t>
                  </w:r>
                </w:p>
              </w:tc>
              <w:tc>
                <w:tcPr>
                  <w:tcW w:w="933" w:type="pct"/>
                  <w:tcBorders>
                    <w:tl2br w:val="nil"/>
                    <w:tr2bl w:val="nil"/>
                  </w:tcBorders>
                  <w:noWrap w:val="0"/>
                  <w:vAlign w:val="center"/>
                </w:tcPr>
                <w:p w14:paraId="5A47E59C">
                  <w:pPr>
                    <w:keepNext w:val="0"/>
                    <w:keepLines w:val="0"/>
                    <w:suppressLineNumbers w:val="0"/>
                    <w:snapToGrid w:val="0"/>
                    <w:spacing w:before="0" w:beforeAutospacing="0" w:after="0" w:afterAutospacing="0"/>
                    <w:ind w:left="0" w:right="0"/>
                    <w:jc w:val="center"/>
                    <w:outlineLvl w:val="0"/>
                    <w:rPr>
                      <w:rFonts w:hint="default"/>
                      <w:color w:val="auto"/>
                      <w:sz w:val="21"/>
                      <w:szCs w:val="21"/>
                      <w:highlight w:val="none"/>
                    </w:rPr>
                  </w:pPr>
                  <w:r>
                    <w:rPr>
                      <w:rFonts w:hint="eastAsia"/>
                      <w:color w:val="auto"/>
                      <w:sz w:val="21"/>
                      <w:szCs w:val="21"/>
                      <w:highlight w:val="none"/>
                      <w:lang w:val="en-US" w:eastAsia="zh-CN"/>
                    </w:rPr>
                    <w:t>107</w:t>
                  </w:r>
                  <w:r>
                    <w:rPr>
                      <w:rFonts w:hint="eastAsia"/>
                      <w:color w:val="auto"/>
                      <w:sz w:val="21"/>
                      <w:szCs w:val="21"/>
                      <w:highlight w:val="none"/>
                    </w:rPr>
                    <w:t>.2</w:t>
                  </w:r>
                </w:p>
              </w:tc>
            </w:tr>
          </w:tbl>
          <w:p w14:paraId="461B651A">
            <w:pPr>
              <w:keepNext w:val="0"/>
              <w:keepLines w:val="0"/>
              <w:suppressLineNumbers w:val="0"/>
              <w:spacing w:before="0" w:beforeAutospacing="0" w:after="0" w:afterAutospacing="0" w:line="276" w:lineRule="auto"/>
              <w:ind w:left="0" w:right="0"/>
              <w:jc w:val="left"/>
              <w:rPr>
                <w:rFonts w:hint="default"/>
                <w:color w:val="auto"/>
                <w:szCs w:val="21"/>
                <w:highlight w:val="none"/>
                <w:vertAlign w:val="baseline"/>
              </w:rPr>
            </w:pPr>
          </w:p>
        </w:tc>
      </w:tr>
    </w:tbl>
    <w:p w14:paraId="2AEC3D79">
      <w:pPr>
        <w:keepNext w:val="0"/>
        <w:keepLines w:val="0"/>
        <w:pageBreakBefore w:val="0"/>
        <w:kinsoku/>
        <w:wordWrap/>
        <w:overflowPunct/>
        <w:topLinePunct w:val="0"/>
        <w:autoSpaceDE/>
        <w:autoSpaceDN/>
        <w:bidi w:val="0"/>
        <w:spacing w:line="360" w:lineRule="auto"/>
        <w:jc w:val="center"/>
        <w:rPr>
          <w:color w:val="auto"/>
          <w:highlight w:val="none"/>
        </w:rPr>
      </w:pPr>
      <w:r>
        <w:rPr>
          <w:rFonts w:hint="default" w:ascii="Times New Roman" w:hAnsi="Times New Roman" w:eastAsia="宋体" w:cs="Times New Roman"/>
          <w:color w:val="auto"/>
          <w:sz w:val="24"/>
          <w:szCs w:val="24"/>
          <w:highlight w:val="none"/>
        </w:rPr>
        <w:br w:type="page"/>
      </w:r>
    </w:p>
    <w:p w14:paraId="090E78A7">
      <w:pPr>
        <w:rPr>
          <w:color w:val="auto"/>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1ED64376">
      <w:pPr>
        <w:pStyle w:val="30"/>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五、环境保护措施监督检查清单</w:t>
      </w:r>
    </w:p>
    <w:tbl>
      <w:tblPr>
        <w:tblStyle w:val="23"/>
        <w:tblW w:w="9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474"/>
        <w:gridCol w:w="1544"/>
        <w:gridCol w:w="3531"/>
        <w:gridCol w:w="2106"/>
      </w:tblGrid>
      <w:tr w14:paraId="54F9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blHeader/>
        </w:trPr>
        <w:tc>
          <w:tcPr>
            <w:tcW w:w="936" w:type="dxa"/>
            <w:tcBorders>
              <w:tl2br w:val="single" w:color="auto" w:sz="4" w:space="0"/>
            </w:tcBorders>
            <w:vAlign w:val="center"/>
          </w:tcPr>
          <w:p w14:paraId="4BBAA5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right"/>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内容</w:t>
            </w:r>
          </w:p>
          <w:p w14:paraId="39F9CF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要素</w:t>
            </w:r>
          </w:p>
        </w:tc>
        <w:tc>
          <w:tcPr>
            <w:tcW w:w="1561" w:type="dxa"/>
            <w:vAlign w:val="center"/>
          </w:tcPr>
          <w:p w14:paraId="2324CA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排放口</w:t>
            </w:r>
            <w:r>
              <w:rPr>
                <w:rFonts w:hint="default" w:ascii="Times New Roman" w:hAnsi="Times New Roman" w:cs="Times New Roman" w:eastAsiaTheme="minorEastAsia"/>
                <w:b/>
                <w:bCs/>
                <w:color w:val="auto"/>
                <w:sz w:val="21"/>
                <w:szCs w:val="21"/>
                <w:highlight w:val="none"/>
                <w:lang w:eastAsia="zh-CN"/>
              </w:rPr>
              <w:t>（</w:t>
            </w:r>
            <w:r>
              <w:rPr>
                <w:rFonts w:hint="default" w:ascii="Times New Roman" w:hAnsi="Times New Roman" w:cs="Times New Roman" w:eastAsiaTheme="minorEastAsia"/>
                <w:b/>
                <w:bCs/>
                <w:color w:val="auto"/>
                <w:sz w:val="21"/>
                <w:szCs w:val="21"/>
                <w:highlight w:val="none"/>
              </w:rPr>
              <w:t>编号、名称</w:t>
            </w:r>
            <w:r>
              <w:rPr>
                <w:rFonts w:hint="default" w:ascii="Times New Roman" w:hAnsi="Times New Roman" w:cs="Times New Roman" w:eastAsiaTheme="minorEastAsia"/>
                <w:b/>
                <w:bCs/>
                <w:color w:val="auto"/>
                <w:sz w:val="21"/>
                <w:szCs w:val="21"/>
                <w:highlight w:val="none"/>
                <w:lang w:eastAsia="zh-CN"/>
              </w:rPr>
              <w:t>）</w:t>
            </w:r>
            <w:r>
              <w:rPr>
                <w:rFonts w:hint="default" w:ascii="Times New Roman" w:hAnsi="Times New Roman" w:cs="Times New Roman" w:eastAsiaTheme="minorEastAsia"/>
                <w:b/>
                <w:bCs/>
                <w:color w:val="auto"/>
                <w:sz w:val="21"/>
                <w:szCs w:val="21"/>
                <w:highlight w:val="none"/>
              </w:rPr>
              <w:t>/污染源</w:t>
            </w:r>
          </w:p>
        </w:tc>
        <w:tc>
          <w:tcPr>
            <w:tcW w:w="1644" w:type="dxa"/>
            <w:vAlign w:val="center"/>
          </w:tcPr>
          <w:p w14:paraId="29B1C6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污染物项目</w:t>
            </w:r>
          </w:p>
        </w:tc>
        <w:tc>
          <w:tcPr>
            <w:tcW w:w="3885" w:type="dxa"/>
            <w:vAlign w:val="center"/>
          </w:tcPr>
          <w:p w14:paraId="56B979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环境保护措施</w:t>
            </w:r>
          </w:p>
        </w:tc>
        <w:tc>
          <w:tcPr>
            <w:tcW w:w="1445" w:type="dxa"/>
            <w:vAlign w:val="center"/>
          </w:tcPr>
          <w:p w14:paraId="0C2A04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执行标准</w:t>
            </w:r>
          </w:p>
        </w:tc>
      </w:tr>
      <w:tr w14:paraId="090F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restart"/>
            <w:vAlign w:val="center"/>
          </w:tcPr>
          <w:p w14:paraId="08FD4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w:t>
            </w:r>
          </w:p>
          <w:p w14:paraId="1775F6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w:t>
            </w:r>
          </w:p>
        </w:tc>
        <w:tc>
          <w:tcPr>
            <w:tcW w:w="1561" w:type="dxa"/>
            <w:vAlign w:val="center"/>
          </w:tcPr>
          <w:p w14:paraId="2969F469">
            <w:pPr>
              <w:keepNext w:val="0"/>
              <w:keepLines w:val="0"/>
              <w:suppressLineNumbers w:val="0"/>
              <w:adjustRightInd w:val="0"/>
              <w:snapToGrid w:val="0"/>
              <w:spacing w:before="0" w:beforeAutospacing="0" w:after="0" w:afterAutospacing="0" w:line="276" w:lineRule="auto"/>
              <w:ind w:left="0" w:right="0"/>
              <w:jc w:val="center"/>
              <w:rPr>
                <w:rFonts w:hint="eastAsia"/>
                <w:color w:val="auto"/>
                <w:sz w:val="21"/>
                <w:szCs w:val="21"/>
                <w:highlight w:val="none"/>
              </w:rPr>
            </w:pPr>
            <w:r>
              <w:rPr>
                <w:rFonts w:hint="eastAsia"/>
                <w:color w:val="auto"/>
                <w:sz w:val="21"/>
                <w:szCs w:val="21"/>
                <w:highlight w:val="none"/>
              </w:rPr>
              <w:t>MP</w:t>
            </w:r>
            <w:r>
              <w:rPr>
                <w:rFonts w:hint="default"/>
                <w:color w:val="auto"/>
                <w:sz w:val="21"/>
                <w:szCs w:val="21"/>
                <w:highlight w:val="none"/>
              </w:rPr>
              <w:t>0001/</w:t>
            </w:r>
            <w:r>
              <w:rPr>
                <w:rFonts w:hint="eastAsia"/>
                <w:color w:val="auto"/>
                <w:sz w:val="21"/>
                <w:szCs w:val="21"/>
                <w:highlight w:val="none"/>
              </w:rPr>
              <w:t>卸油</w:t>
            </w:r>
          </w:p>
          <w:p w14:paraId="3C685F51">
            <w:pPr>
              <w:keepNext w:val="0"/>
              <w:keepLines w:val="0"/>
              <w:suppressLineNumbers w:val="0"/>
              <w:adjustRightInd w:val="0"/>
              <w:snapToGrid w:val="0"/>
              <w:spacing w:before="0" w:beforeAutospacing="0" w:after="0" w:afterAutospacing="0" w:line="276" w:lineRule="auto"/>
              <w:ind w:left="0" w:right="0"/>
              <w:jc w:val="center"/>
              <w:rPr>
                <w:rFonts w:hint="default"/>
                <w:color w:val="auto"/>
                <w:sz w:val="21"/>
                <w:szCs w:val="21"/>
                <w:highlight w:val="none"/>
              </w:rPr>
            </w:pPr>
            <w:r>
              <w:rPr>
                <w:rFonts w:hint="eastAsia"/>
                <w:color w:val="auto"/>
                <w:sz w:val="21"/>
                <w:szCs w:val="21"/>
                <w:highlight w:val="none"/>
              </w:rPr>
              <w:t>MP</w:t>
            </w:r>
            <w:r>
              <w:rPr>
                <w:rFonts w:hint="default"/>
                <w:color w:val="auto"/>
                <w:sz w:val="21"/>
                <w:szCs w:val="21"/>
                <w:highlight w:val="none"/>
              </w:rPr>
              <w:t>000</w:t>
            </w:r>
            <w:r>
              <w:rPr>
                <w:rFonts w:hint="eastAsia"/>
                <w:color w:val="auto"/>
                <w:sz w:val="21"/>
                <w:szCs w:val="21"/>
                <w:highlight w:val="none"/>
              </w:rPr>
              <w:t>2</w:t>
            </w:r>
            <w:r>
              <w:rPr>
                <w:rFonts w:hint="default"/>
                <w:color w:val="auto"/>
                <w:sz w:val="21"/>
                <w:szCs w:val="21"/>
                <w:highlight w:val="none"/>
              </w:rPr>
              <w:t>/</w:t>
            </w:r>
            <w:r>
              <w:rPr>
                <w:rFonts w:hint="eastAsia"/>
                <w:color w:val="auto"/>
                <w:sz w:val="21"/>
                <w:szCs w:val="21"/>
                <w:highlight w:val="none"/>
              </w:rPr>
              <w:t>储油</w:t>
            </w:r>
          </w:p>
          <w:p w14:paraId="731E62CE">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MP</w:t>
            </w:r>
            <w:r>
              <w:rPr>
                <w:rFonts w:hint="default"/>
                <w:color w:val="auto"/>
                <w:sz w:val="21"/>
                <w:szCs w:val="21"/>
                <w:highlight w:val="none"/>
              </w:rPr>
              <w:t>000</w:t>
            </w:r>
            <w:r>
              <w:rPr>
                <w:rFonts w:hint="eastAsia"/>
                <w:color w:val="auto"/>
                <w:sz w:val="21"/>
                <w:szCs w:val="21"/>
                <w:highlight w:val="none"/>
              </w:rPr>
              <w:t>3</w:t>
            </w:r>
            <w:r>
              <w:rPr>
                <w:rFonts w:hint="default"/>
                <w:color w:val="auto"/>
                <w:sz w:val="21"/>
                <w:szCs w:val="21"/>
                <w:highlight w:val="none"/>
              </w:rPr>
              <w:t>/</w:t>
            </w:r>
            <w:r>
              <w:rPr>
                <w:rFonts w:hint="eastAsia"/>
                <w:color w:val="auto"/>
                <w:sz w:val="21"/>
                <w:szCs w:val="21"/>
                <w:highlight w:val="none"/>
              </w:rPr>
              <w:t>加油</w:t>
            </w:r>
          </w:p>
        </w:tc>
        <w:tc>
          <w:tcPr>
            <w:tcW w:w="1644" w:type="dxa"/>
            <w:vAlign w:val="center"/>
          </w:tcPr>
          <w:p w14:paraId="73B8F45A">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color w:val="auto"/>
                <w:sz w:val="21"/>
                <w:szCs w:val="21"/>
                <w:highlight w:val="none"/>
              </w:rPr>
              <w:t>挥发油气</w:t>
            </w:r>
          </w:p>
        </w:tc>
        <w:tc>
          <w:tcPr>
            <w:tcW w:w="3885" w:type="dxa"/>
            <w:vAlign w:val="center"/>
          </w:tcPr>
          <w:p w14:paraId="21DD413F">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eastAsiaTheme="minorEastAsia"/>
                <w:b w:val="0"/>
                <w:bCs w:val="0"/>
                <w:snapToGrid w:val="0"/>
                <w:color w:val="auto"/>
                <w:spacing w:val="-6"/>
                <w:kern w:val="2"/>
                <w:sz w:val="21"/>
                <w:szCs w:val="21"/>
                <w:highlight w:val="none"/>
                <w:lang w:val="en-US" w:eastAsia="zh-CN" w:bidi="ar-SA"/>
              </w:rPr>
            </w:pPr>
            <w:r>
              <w:rPr>
                <w:rFonts w:hint="default"/>
                <w:color w:val="auto"/>
                <w:sz w:val="21"/>
                <w:szCs w:val="21"/>
                <w:highlight w:val="none"/>
              </w:rPr>
              <w:t>安装汽油一次、二次</w:t>
            </w:r>
            <w:r>
              <w:rPr>
                <w:rFonts w:hint="eastAsia"/>
                <w:color w:val="auto"/>
                <w:sz w:val="21"/>
                <w:szCs w:val="21"/>
                <w:highlight w:val="none"/>
              </w:rPr>
              <w:t>、三次</w:t>
            </w:r>
            <w:r>
              <w:rPr>
                <w:rFonts w:hint="default"/>
                <w:color w:val="auto"/>
                <w:sz w:val="21"/>
                <w:szCs w:val="21"/>
                <w:highlight w:val="none"/>
              </w:rPr>
              <w:t>油气回收系统</w:t>
            </w:r>
            <w:r>
              <w:rPr>
                <w:rFonts w:hint="eastAsia"/>
                <w:color w:val="auto"/>
                <w:sz w:val="21"/>
                <w:szCs w:val="21"/>
                <w:highlight w:val="none"/>
              </w:rPr>
              <w:t>及</w:t>
            </w:r>
            <w:r>
              <w:rPr>
                <w:rFonts w:hint="default"/>
                <w:color w:val="auto"/>
                <w:sz w:val="21"/>
                <w:szCs w:val="21"/>
                <w:highlight w:val="none"/>
              </w:rPr>
              <w:t>配套的输油管线</w:t>
            </w:r>
            <w:r>
              <w:rPr>
                <w:rFonts w:hint="eastAsia"/>
                <w:color w:val="auto"/>
                <w:sz w:val="21"/>
                <w:szCs w:val="21"/>
                <w:highlight w:val="none"/>
              </w:rPr>
              <w:t>，储油罐设置</w:t>
            </w:r>
            <w:r>
              <w:rPr>
                <w:rFonts w:hint="default"/>
                <w:color w:val="auto"/>
                <w:sz w:val="21"/>
                <w:szCs w:val="21"/>
                <w:highlight w:val="none"/>
              </w:rPr>
              <w:t>高出地面4.0m</w:t>
            </w:r>
            <w:r>
              <w:rPr>
                <w:rFonts w:hint="eastAsia"/>
                <w:color w:val="auto"/>
                <w:sz w:val="21"/>
                <w:szCs w:val="21"/>
                <w:highlight w:val="none"/>
              </w:rPr>
              <w:t>的</w:t>
            </w:r>
            <w:r>
              <w:rPr>
                <w:rFonts w:hint="default"/>
                <w:color w:val="auto"/>
                <w:sz w:val="21"/>
                <w:szCs w:val="21"/>
                <w:highlight w:val="none"/>
              </w:rPr>
              <w:t>通气立管</w:t>
            </w:r>
            <w:r>
              <w:rPr>
                <w:rFonts w:hint="eastAsia"/>
                <w:color w:val="auto"/>
                <w:sz w:val="21"/>
                <w:szCs w:val="21"/>
                <w:highlight w:val="none"/>
              </w:rPr>
              <w:t>，</w:t>
            </w:r>
            <w:r>
              <w:rPr>
                <w:rFonts w:hint="default"/>
                <w:color w:val="auto"/>
                <w:sz w:val="21"/>
                <w:szCs w:val="21"/>
                <w:highlight w:val="none"/>
              </w:rPr>
              <w:t>管口设置呼吸阀</w:t>
            </w:r>
          </w:p>
        </w:tc>
        <w:tc>
          <w:tcPr>
            <w:tcW w:w="1445" w:type="dxa"/>
            <w:vAlign w:val="center"/>
          </w:tcPr>
          <w:p w14:paraId="60705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《四川省加油站大气污染物排放标准》（DB51/2865-2021）</w:t>
            </w:r>
          </w:p>
        </w:tc>
      </w:tr>
      <w:tr w14:paraId="0C64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14:paraId="4110D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p>
        </w:tc>
        <w:tc>
          <w:tcPr>
            <w:tcW w:w="1561" w:type="dxa"/>
            <w:vAlign w:val="center"/>
          </w:tcPr>
          <w:p w14:paraId="450D87FD">
            <w:pPr>
              <w:keepNext w:val="0"/>
              <w:keepLines w:val="0"/>
              <w:suppressLineNumbers w:val="0"/>
              <w:adjustRightInd w:val="0"/>
              <w:snapToGrid w:val="0"/>
              <w:spacing w:before="0" w:beforeAutospacing="0" w:after="0" w:afterAutospacing="0" w:line="276" w:lineRule="auto"/>
              <w:ind w:left="0" w:right="0"/>
              <w:jc w:val="center"/>
              <w:rPr>
                <w:rFonts w:hint="eastAsia"/>
                <w:color w:val="auto"/>
                <w:sz w:val="21"/>
                <w:szCs w:val="21"/>
                <w:highlight w:val="none"/>
              </w:rPr>
            </w:pPr>
            <w:r>
              <w:rPr>
                <w:rFonts w:hint="eastAsia"/>
                <w:color w:val="auto"/>
                <w:sz w:val="21"/>
                <w:szCs w:val="21"/>
                <w:highlight w:val="none"/>
              </w:rPr>
              <w:t>MP</w:t>
            </w:r>
            <w:r>
              <w:rPr>
                <w:rFonts w:hint="default"/>
                <w:color w:val="auto"/>
                <w:sz w:val="21"/>
                <w:szCs w:val="21"/>
                <w:highlight w:val="none"/>
              </w:rPr>
              <w:t>000</w:t>
            </w:r>
            <w:r>
              <w:rPr>
                <w:rFonts w:hint="eastAsia"/>
                <w:color w:val="auto"/>
                <w:sz w:val="21"/>
                <w:szCs w:val="21"/>
                <w:highlight w:val="none"/>
              </w:rPr>
              <w:t>4</w:t>
            </w:r>
            <w:r>
              <w:rPr>
                <w:rFonts w:hint="default"/>
                <w:color w:val="auto"/>
                <w:sz w:val="21"/>
                <w:szCs w:val="21"/>
                <w:highlight w:val="none"/>
              </w:rPr>
              <w:t>/</w:t>
            </w:r>
            <w:r>
              <w:rPr>
                <w:rFonts w:hint="eastAsia"/>
                <w:color w:val="auto"/>
                <w:sz w:val="21"/>
                <w:szCs w:val="21"/>
                <w:highlight w:val="none"/>
              </w:rPr>
              <w:t>卸气</w:t>
            </w:r>
          </w:p>
          <w:p w14:paraId="4D9F1E80">
            <w:pPr>
              <w:keepNext w:val="0"/>
              <w:keepLines w:val="0"/>
              <w:suppressLineNumbers w:val="0"/>
              <w:adjustRightInd w:val="0"/>
              <w:snapToGrid w:val="0"/>
              <w:spacing w:before="0" w:beforeAutospacing="0" w:after="0" w:afterAutospacing="0" w:line="276" w:lineRule="auto"/>
              <w:ind w:left="0" w:right="0"/>
              <w:jc w:val="center"/>
              <w:rPr>
                <w:rFonts w:hint="default"/>
                <w:color w:val="auto"/>
                <w:sz w:val="21"/>
                <w:szCs w:val="21"/>
                <w:highlight w:val="none"/>
              </w:rPr>
            </w:pPr>
            <w:r>
              <w:rPr>
                <w:rFonts w:hint="eastAsia"/>
                <w:color w:val="auto"/>
                <w:sz w:val="21"/>
                <w:szCs w:val="21"/>
                <w:highlight w:val="none"/>
              </w:rPr>
              <w:t>MP</w:t>
            </w:r>
            <w:r>
              <w:rPr>
                <w:rFonts w:hint="default"/>
                <w:color w:val="auto"/>
                <w:sz w:val="21"/>
                <w:szCs w:val="21"/>
                <w:highlight w:val="none"/>
              </w:rPr>
              <w:t>000</w:t>
            </w:r>
            <w:r>
              <w:rPr>
                <w:rFonts w:hint="eastAsia"/>
                <w:color w:val="auto"/>
                <w:sz w:val="21"/>
                <w:szCs w:val="21"/>
                <w:highlight w:val="none"/>
              </w:rPr>
              <w:t>5</w:t>
            </w:r>
            <w:r>
              <w:rPr>
                <w:rFonts w:hint="default"/>
                <w:color w:val="auto"/>
                <w:sz w:val="21"/>
                <w:szCs w:val="21"/>
                <w:highlight w:val="none"/>
              </w:rPr>
              <w:t>/</w:t>
            </w:r>
            <w:r>
              <w:rPr>
                <w:rFonts w:hint="eastAsia"/>
                <w:color w:val="auto"/>
                <w:sz w:val="21"/>
                <w:szCs w:val="21"/>
                <w:highlight w:val="none"/>
              </w:rPr>
              <w:t>储气</w:t>
            </w:r>
          </w:p>
          <w:p w14:paraId="3FDA4775">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MP</w:t>
            </w:r>
            <w:r>
              <w:rPr>
                <w:rFonts w:hint="default"/>
                <w:color w:val="auto"/>
                <w:sz w:val="21"/>
                <w:szCs w:val="21"/>
                <w:highlight w:val="none"/>
              </w:rPr>
              <w:t>000</w:t>
            </w:r>
            <w:r>
              <w:rPr>
                <w:rFonts w:hint="eastAsia"/>
                <w:color w:val="auto"/>
                <w:sz w:val="21"/>
                <w:szCs w:val="21"/>
                <w:highlight w:val="none"/>
              </w:rPr>
              <w:t>6</w:t>
            </w:r>
            <w:r>
              <w:rPr>
                <w:rFonts w:hint="default"/>
                <w:color w:val="auto"/>
                <w:sz w:val="21"/>
                <w:szCs w:val="21"/>
                <w:highlight w:val="none"/>
              </w:rPr>
              <w:t>/</w:t>
            </w:r>
            <w:r>
              <w:rPr>
                <w:rFonts w:hint="eastAsia"/>
                <w:color w:val="auto"/>
                <w:sz w:val="21"/>
                <w:szCs w:val="21"/>
                <w:highlight w:val="none"/>
              </w:rPr>
              <w:t>加气</w:t>
            </w:r>
          </w:p>
        </w:tc>
        <w:tc>
          <w:tcPr>
            <w:tcW w:w="1644" w:type="dxa"/>
            <w:vAlign w:val="center"/>
          </w:tcPr>
          <w:p w14:paraId="25D63634">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rPr>
              <w:t>放散天然气及闪蒸气（以非甲烷总烃计）</w:t>
            </w:r>
          </w:p>
        </w:tc>
        <w:tc>
          <w:tcPr>
            <w:tcW w:w="3885" w:type="dxa"/>
            <w:vAlign w:val="center"/>
          </w:tcPr>
          <w:p w14:paraId="6D425E58">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卸气闪蒸气</w:t>
            </w:r>
            <w:r>
              <w:rPr>
                <w:rFonts w:hint="default"/>
                <w:color w:val="auto"/>
                <w:sz w:val="21"/>
                <w:szCs w:val="21"/>
                <w:highlight w:val="none"/>
              </w:rPr>
              <w:t>由气相管线返回LNG槽车</w:t>
            </w:r>
            <w:r>
              <w:rPr>
                <w:rFonts w:hint="eastAsia"/>
                <w:color w:val="auto"/>
                <w:sz w:val="21"/>
                <w:szCs w:val="21"/>
                <w:highlight w:val="none"/>
              </w:rPr>
              <w:t>，放散天然气通过</w:t>
            </w:r>
            <w:r>
              <w:rPr>
                <w:rFonts w:hint="eastAsia"/>
                <w:color w:val="auto"/>
                <w:sz w:val="21"/>
                <w:szCs w:val="21"/>
                <w:highlight w:val="none"/>
                <w:lang w:val="en-US" w:eastAsia="zh-CN"/>
              </w:rPr>
              <w:t>10</w:t>
            </w:r>
            <w:r>
              <w:rPr>
                <w:rFonts w:hint="eastAsia"/>
                <w:color w:val="auto"/>
                <w:sz w:val="21"/>
                <w:szCs w:val="21"/>
                <w:highlight w:val="none"/>
              </w:rPr>
              <w:t>m高放散管排放</w:t>
            </w:r>
          </w:p>
        </w:tc>
        <w:tc>
          <w:tcPr>
            <w:tcW w:w="1445" w:type="dxa"/>
            <w:vMerge w:val="restart"/>
            <w:vAlign w:val="center"/>
          </w:tcPr>
          <w:p w14:paraId="53E94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《大气污染物综合排放标准》（GB16297-1996）表2中二级标准</w:t>
            </w:r>
          </w:p>
        </w:tc>
      </w:tr>
      <w:tr w14:paraId="3C2D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14:paraId="0966B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p>
        </w:tc>
        <w:tc>
          <w:tcPr>
            <w:tcW w:w="1561" w:type="dxa"/>
            <w:vAlign w:val="center"/>
          </w:tcPr>
          <w:p w14:paraId="09ADCE0B">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MP</w:t>
            </w:r>
            <w:r>
              <w:rPr>
                <w:rFonts w:hint="default"/>
                <w:color w:val="auto"/>
                <w:sz w:val="21"/>
                <w:szCs w:val="21"/>
                <w:highlight w:val="none"/>
              </w:rPr>
              <w:t>000</w:t>
            </w:r>
            <w:r>
              <w:rPr>
                <w:rFonts w:hint="eastAsia"/>
                <w:color w:val="auto"/>
                <w:sz w:val="21"/>
                <w:szCs w:val="21"/>
                <w:highlight w:val="none"/>
              </w:rPr>
              <w:t>7</w:t>
            </w:r>
            <w:r>
              <w:rPr>
                <w:rFonts w:hint="eastAsia"/>
                <w:color w:val="auto"/>
                <w:sz w:val="21"/>
                <w:szCs w:val="21"/>
                <w:highlight w:val="none"/>
                <w:lang w:val="en-US" w:eastAsia="zh-CN"/>
              </w:rPr>
              <w:t>撬装</w:t>
            </w:r>
            <w:r>
              <w:rPr>
                <w:rFonts w:hint="eastAsia"/>
                <w:color w:val="auto"/>
                <w:sz w:val="21"/>
                <w:szCs w:val="21"/>
                <w:highlight w:val="none"/>
              </w:rPr>
              <w:t>柴油发电机废气</w:t>
            </w:r>
          </w:p>
        </w:tc>
        <w:tc>
          <w:tcPr>
            <w:tcW w:w="1644" w:type="dxa"/>
            <w:vAlign w:val="center"/>
          </w:tcPr>
          <w:p w14:paraId="3BD1779E">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rPr>
              <w:t>S</w:t>
            </w:r>
            <w:r>
              <w:rPr>
                <w:rFonts w:hint="default"/>
                <w:color w:val="auto"/>
                <w:sz w:val="21"/>
                <w:szCs w:val="21"/>
                <w:highlight w:val="none"/>
              </w:rPr>
              <w:t>O</w:t>
            </w:r>
            <w:r>
              <w:rPr>
                <w:rFonts w:hint="eastAsia"/>
                <w:color w:val="auto"/>
                <w:sz w:val="21"/>
                <w:szCs w:val="21"/>
                <w:highlight w:val="none"/>
                <w:vertAlign w:val="subscript"/>
              </w:rPr>
              <w:t>2</w:t>
            </w:r>
            <w:r>
              <w:rPr>
                <w:rFonts w:hint="eastAsia"/>
                <w:color w:val="auto"/>
                <w:sz w:val="21"/>
                <w:szCs w:val="21"/>
                <w:highlight w:val="none"/>
              </w:rPr>
              <w:t>、NO</w:t>
            </w:r>
            <w:r>
              <w:rPr>
                <w:rFonts w:hint="default"/>
                <w:color w:val="auto"/>
                <w:sz w:val="21"/>
                <w:szCs w:val="21"/>
                <w:highlight w:val="none"/>
              </w:rPr>
              <w:t>x</w:t>
            </w:r>
            <w:r>
              <w:rPr>
                <w:rFonts w:hint="eastAsia"/>
                <w:color w:val="auto"/>
                <w:sz w:val="21"/>
                <w:szCs w:val="21"/>
                <w:highlight w:val="none"/>
              </w:rPr>
              <w:t>、烟尘</w:t>
            </w:r>
          </w:p>
        </w:tc>
        <w:tc>
          <w:tcPr>
            <w:tcW w:w="3885" w:type="dxa"/>
            <w:vAlign w:val="center"/>
          </w:tcPr>
          <w:p w14:paraId="60FC477A">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olor w:val="auto"/>
                <w:sz w:val="21"/>
                <w:szCs w:val="21"/>
                <w:highlight w:val="none"/>
                <w:lang w:val="en-US" w:eastAsia="zh-CN"/>
              </w:rPr>
              <w:t>撬装</w:t>
            </w:r>
            <w:r>
              <w:rPr>
                <w:rFonts w:hint="default"/>
                <w:color w:val="auto"/>
                <w:sz w:val="21"/>
                <w:szCs w:val="21"/>
                <w:highlight w:val="none"/>
              </w:rPr>
              <w:t>柴油发电机自带消烟除尘装置处理后，引至室外排放</w:t>
            </w:r>
          </w:p>
        </w:tc>
        <w:tc>
          <w:tcPr>
            <w:tcW w:w="1445" w:type="dxa"/>
            <w:vMerge w:val="continue"/>
            <w:vAlign w:val="center"/>
          </w:tcPr>
          <w:p w14:paraId="5C41DB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p>
        </w:tc>
      </w:tr>
      <w:tr w14:paraId="1674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14:paraId="29ED4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p>
        </w:tc>
        <w:tc>
          <w:tcPr>
            <w:tcW w:w="1561" w:type="dxa"/>
            <w:vAlign w:val="center"/>
          </w:tcPr>
          <w:p w14:paraId="73EF336F">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汽车尾气</w:t>
            </w:r>
          </w:p>
        </w:tc>
        <w:tc>
          <w:tcPr>
            <w:tcW w:w="1644" w:type="dxa"/>
            <w:vAlign w:val="center"/>
          </w:tcPr>
          <w:p w14:paraId="0CD5ECBA">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S</w:t>
            </w:r>
            <w:r>
              <w:rPr>
                <w:rFonts w:hint="default"/>
                <w:color w:val="auto"/>
                <w:sz w:val="21"/>
                <w:szCs w:val="21"/>
                <w:highlight w:val="none"/>
              </w:rPr>
              <w:t>O</w:t>
            </w:r>
            <w:r>
              <w:rPr>
                <w:rFonts w:hint="eastAsia"/>
                <w:color w:val="auto"/>
                <w:sz w:val="21"/>
                <w:szCs w:val="21"/>
                <w:highlight w:val="none"/>
                <w:vertAlign w:val="subscript"/>
              </w:rPr>
              <w:t>2</w:t>
            </w:r>
            <w:r>
              <w:rPr>
                <w:rFonts w:hint="eastAsia"/>
                <w:color w:val="auto"/>
                <w:sz w:val="21"/>
                <w:szCs w:val="21"/>
                <w:highlight w:val="none"/>
              </w:rPr>
              <w:t>、NO</w:t>
            </w:r>
            <w:r>
              <w:rPr>
                <w:rFonts w:hint="default"/>
                <w:color w:val="auto"/>
                <w:sz w:val="21"/>
                <w:szCs w:val="21"/>
                <w:highlight w:val="none"/>
              </w:rPr>
              <w:t>x</w:t>
            </w:r>
            <w:r>
              <w:rPr>
                <w:rFonts w:hint="eastAsia"/>
                <w:color w:val="auto"/>
                <w:sz w:val="21"/>
                <w:szCs w:val="21"/>
                <w:highlight w:val="none"/>
              </w:rPr>
              <w:t>、HC</w:t>
            </w:r>
          </w:p>
        </w:tc>
        <w:tc>
          <w:tcPr>
            <w:tcW w:w="3885" w:type="dxa"/>
            <w:vAlign w:val="center"/>
          </w:tcPr>
          <w:p w14:paraId="6377C57D">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color w:val="auto"/>
                <w:sz w:val="21"/>
                <w:szCs w:val="21"/>
                <w:highlight w:val="none"/>
              </w:rPr>
              <w:t>加强车辆管理，站内通风换气，利用大气扩散</w:t>
            </w:r>
          </w:p>
        </w:tc>
        <w:tc>
          <w:tcPr>
            <w:tcW w:w="1445" w:type="dxa"/>
            <w:vMerge w:val="continue"/>
            <w:vAlign w:val="center"/>
          </w:tcPr>
          <w:p w14:paraId="5160D2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p>
        </w:tc>
      </w:tr>
      <w:tr w14:paraId="44EB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restart"/>
            <w:vAlign w:val="center"/>
          </w:tcPr>
          <w:p w14:paraId="78AE71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地表水环境</w:t>
            </w:r>
          </w:p>
        </w:tc>
        <w:tc>
          <w:tcPr>
            <w:tcW w:w="1561" w:type="dxa"/>
            <w:vAlign w:val="center"/>
          </w:tcPr>
          <w:p w14:paraId="43715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1644" w:type="dxa"/>
            <w:vAlign w:val="center"/>
          </w:tcPr>
          <w:p w14:paraId="70B0AE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228" w:leftChars="-95" w:right="-235" w:rightChars="-98"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w:t>
            </w:r>
          </w:p>
          <w:p w14:paraId="6651FE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SS、NH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-N、TP</w:t>
            </w:r>
          </w:p>
        </w:tc>
        <w:tc>
          <w:tcPr>
            <w:tcW w:w="3885" w:type="dxa"/>
            <w:vAlign w:val="center"/>
          </w:tcPr>
          <w:p w14:paraId="7EE34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项目生活污水经化粪池预处理后通过市政污水管网排入达州市通川区魏兴场镇污水处理厂，处理达到《城镇污水处理厂污染物排放标准》（GB18981-2002）一级A标准后排入</w:t>
            </w:r>
            <w:r>
              <w:rPr>
                <w:rFonts w:hint="eastAsia" w:cs="Times New Roman" w:eastAsiaTheme="minorEastAsia"/>
                <w:color w:val="auto"/>
                <w:sz w:val="21"/>
                <w:szCs w:val="21"/>
                <w:highlight w:val="none"/>
                <w:lang w:val="en-US" w:eastAsia="zh-CN"/>
              </w:rPr>
              <w:t>州</w:t>
            </w:r>
            <w:r>
              <w:rPr>
                <w:rFonts w:hint="default" w:ascii="Times New Roman" w:hAnsi="Times New Roman" w:cs="Times New Roman" w:eastAsiaTheme="minorEastAsia"/>
                <w:color w:val="auto"/>
                <w:sz w:val="21"/>
                <w:szCs w:val="21"/>
                <w:highlight w:val="none"/>
                <w:lang w:val="en-US" w:eastAsia="zh-CN"/>
              </w:rPr>
              <w:t>河。</w:t>
            </w:r>
          </w:p>
        </w:tc>
        <w:tc>
          <w:tcPr>
            <w:tcW w:w="1445" w:type="dxa"/>
            <w:vMerge w:val="restart"/>
            <w:vAlign w:val="center"/>
          </w:tcPr>
          <w:p w14:paraId="6E88B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rPr>
              <w:t>《城镇污水处理厂污染物排放标准》（GB18981-2002）一级A标准</w:t>
            </w:r>
          </w:p>
        </w:tc>
      </w:tr>
      <w:tr w14:paraId="180E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14:paraId="03CF8E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p>
        </w:tc>
        <w:tc>
          <w:tcPr>
            <w:tcW w:w="1561" w:type="dxa"/>
            <w:vAlign w:val="center"/>
          </w:tcPr>
          <w:p w14:paraId="15DE0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地面冲洗废水</w:t>
            </w:r>
          </w:p>
        </w:tc>
        <w:tc>
          <w:tcPr>
            <w:tcW w:w="1644" w:type="dxa"/>
            <w:vAlign w:val="center"/>
          </w:tcPr>
          <w:p w14:paraId="55D9A0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SS</w:t>
            </w:r>
            <w:r>
              <w:rPr>
                <w:rFonts w:hint="eastAsia" w:cs="Times New Roman" w:eastAsiaTheme="minorEastAsia"/>
                <w:color w:val="auto"/>
                <w:sz w:val="21"/>
                <w:szCs w:val="21"/>
                <w:highlight w:val="none"/>
                <w:lang w:eastAsia="zh-CN"/>
              </w:rPr>
              <w:t>、</w:t>
            </w:r>
            <w:r>
              <w:rPr>
                <w:rFonts w:hint="eastAsia" w:cs="Times New Roman" w:eastAsiaTheme="minorEastAsia"/>
                <w:color w:val="auto"/>
                <w:sz w:val="21"/>
                <w:szCs w:val="21"/>
                <w:highlight w:val="none"/>
                <w:lang w:val="en-US" w:eastAsia="zh-CN"/>
              </w:rPr>
              <w:t>石油</w:t>
            </w:r>
          </w:p>
        </w:tc>
        <w:tc>
          <w:tcPr>
            <w:tcW w:w="3885" w:type="dxa"/>
            <w:vAlign w:val="center"/>
          </w:tcPr>
          <w:p w14:paraId="75C047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lang w:val="en-US"/>
              </w:rPr>
            </w:pPr>
            <w:r>
              <w:rPr>
                <w:rFonts w:hint="default" w:ascii="Times New Roman" w:hAnsi="Times New Roman" w:cs="Times New Roman" w:eastAsiaTheme="minorEastAsia"/>
                <w:color w:val="auto"/>
                <w:sz w:val="21"/>
                <w:szCs w:val="21"/>
                <w:highlight w:val="none"/>
                <w:lang w:val="en-US"/>
              </w:rPr>
              <w:t>项目地面冲洗废水经隔油沉淀池进行处理后，排入化粪池与生活污水一同预处理后通过市政污水管网排入达州市通川区魏兴场镇污水处理厂，处理达到《城镇污水处理厂污染物排放标准》（GB18981-2002）一级A标准后排入</w:t>
            </w:r>
            <w:r>
              <w:rPr>
                <w:rFonts w:hint="eastAsia" w:cs="Times New Roman" w:eastAsiaTheme="minorEastAsia"/>
                <w:color w:val="auto"/>
                <w:sz w:val="21"/>
                <w:szCs w:val="21"/>
                <w:highlight w:val="none"/>
                <w:lang w:val="en-US" w:eastAsia="zh-CN"/>
              </w:rPr>
              <w:t>州</w:t>
            </w:r>
            <w:r>
              <w:rPr>
                <w:rFonts w:hint="default" w:ascii="Times New Roman" w:hAnsi="Times New Roman" w:cs="Times New Roman" w:eastAsiaTheme="minorEastAsia"/>
                <w:color w:val="auto"/>
                <w:sz w:val="21"/>
                <w:szCs w:val="21"/>
                <w:highlight w:val="none"/>
                <w:lang w:val="en-US" w:eastAsia="zh-CN"/>
              </w:rPr>
              <w:t>河</w:t>
            </w:r>
            <w:r>
              <w:rPr>
                <w:rFonts w:hint="default" w:ascii="Times New Roman" w:hAnsi="Times New Roman" w:cs="Times New Roman" w:eastAsiaTheme="minorEastAsia"/>
                <w:color w:val="auto"/>
                <w:sz w:val="21"/>
                <w:szCs w:val="21"/>
                <w:highlight w:val="none"/>
                <w:lang w:val="en-US"/>
              </w:rPr>
              <w:t>。</w:t>
            </w:r>
          </w:p>
        </w:tc>
        <w:tc>
          <w:tcPr>
            <w:tcW w:w="1445" w:type="dxa"/>
            <w:vMerge w:val="continue"/>
            <w:vAlign w:val="center"/>
          </w:tcPr>
          <w:p w14:paraId="02048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default" w:ascii="Times New Roman" w:hAnsi="Times New Roman" w:cs="Times New Roman" w:eastAsiaTheme="minorEastAsia"/>
                <w:color w:val="auto"/>
                <w:sz w:val="21"/>
                <w:szCs w:val="21"/>
                <w:highlight w:val="none"/>
              </w:rPr>
            </w:pPr>
          </w:p>
        </w:tc>
      </w:tr>
      <w:tr w14:paraId="0470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14:paraId="229FC9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p>
        </w:tc>
        <w:tc>
          <w:tcPr>
            <w:tcW w:w="1561" w:type="dxa"/>
            <w:shd w:val="clear" w:color="auto" w:fill="auto"/>
            <w:vAlign w:val="center"/>
          </w:tcPr>
          <w:p w14:paraId="4834E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洗车</w:t>
            </w:r>
            <w:r>
              <w:rPr>
                <w:rFonts w:hint="default" w:ascii="Times New Roman" w:hAnsi="Times New Roman" w:cs="Times New Roman" w:eastAsiaTheme="minorEastAsia"/>
                <w:color w:val="auto"/>
                <w:sz w:val="21"/>
                <w:szCs w:val="21"/>
                <w:highlight w:val="none"/>
                <w:lang w:val="en-US" w:eastAsia="zh-CN"/>
              </w:rPr>
              <w:t>废水</w:t>
            </w:r>
          </w:p>
        </w:tc>
        <w:tc>
          <w:tcPr>
            <w:tcW w:w="1644" w:type="dxa"/>
            <w:shd w:val="clear" w:color="auto" w:fill="auto"/>
            <w:vAlign w:val="center"/>
          </w:tcPr>
          <w:p w14:paraId="790B5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SS</w:t>
            </w:r>
            <w:r>
              <w:rPr>
                <w:rFonts w:hint="eastAsia" w:cs="Times New Roman" w:eastAsiaTheme="minorEastAsia"/>
                <w:color w:val="auto"/>
                <w:sz w:val="21"/>
                <w:szCs w:val="21"/>
                <w:highlight w:val="none"/>
                <w:lang w:eastAsia="zh-CN"/>
              </w:rPr>
              <w:t>、</w:t>
            </w:r>
            <w:r>
              <w:rPr>
                <w:rFonts w:hint="eastAsia" w:cs="Times New Roman" w:eastAsiaTheme="minorEastAsia"/>
                <w:color w:val="auto"/>
                <w:sz w:val="21"/>
                <w:szCs w:val="21"/>
                <w:highlight w:val="none"/>
                <w:lang w:val="en-US" w:eastAsia="zh-CN"/>
              </w:rPr>
              <w:t>石油</w:t>
            </w:r>
          </w:p>
        </w:tc>
        <w:tc>
          <w:tcPr>
            <w:tcW w:w="3885" w:type="dxa"/>
            <w:shd w:val="clear" w:color="auto" w:fill="auto"/>
            <w:vAlign w:val="center"/>
          </w:tcPr>
          <w:p w14:paraId="0A8668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0"/>
                <w:sz w:val="21"/>
                <w:szCs w:val="21"/>
                <w:highlight w:val="none"/>
                <w:lang w:val="en-US" w:eastAsia="zh-CN"/>
                <w14:textFill>
                  <w14:solidFill>
                    <w14:schemeClr w14:val="tx1"/>
                  </w14:solidFill>
                </w14:textFill>
              </w:rPr>
              <w:t>洗车机废水通过排水沟汇集于隔油沉淀池（容积1m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snapToGrid w:val="0"/>
                <w:color w:val="000000" w:themeColor="text1"/>
                <w:kern w:val="0"/>
                <w:sz w:val="21"/>
                <w:szCs w:val="21"/>
                <w:highlight w:val="none"/>
                <w:lang w:val="en-US" w:eastAsia="zh-CN"/>
                <w14:textFill>
                  <w14:solidFill>
                    <w14:schemeClr w14:val="tx1"/>
                  </w14:solidFill>
                </w14:textFill>
              </w:rPr>
              <w:t>）中，原水泵将废水提升至一体化光催化氧化洗车水循环设备（采用“絮凝沉淀+光催化氧化”工艺），处理后的污水储存于清洗池（容积3m</w:t>
            </w:r>
            <w:r>
              <w:rPr>
                <w:rFonts w:hint="eastAsia" w:cs="Times New Roman"/>
                <w:snapToGrid w:val="0"/>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snapToGrid w:val="0"/>
                <w:color w:val="000000" w:themeColor="text1"/>
                <w:kern w:val="0"/>
                <w:sz w:val="21"/>
                <w:szCs w:val="21"/>
                <w:highlight w:val="none"/>
                <w:lang w:val="en-US" w:eastAsia="zh-CN"/>
                <w14:textFill>
                  <w14:solidFill>
                    <w14:schemeClr w14:val="tx1"/>
                  </w14:solidFill>
                </w14:textFill>
              </w:rPr>
              <w:t>）中回用。</w:t>
            </w:r>
          </w:p>
        </w:tc>
        <w:tc>
          <w:tcPr>
            <w:tcW w:w="1445" w:type="dxa"/>
            <w:shd w:val="clear" w:color="auto" w:fill="auto"/>
            <w:vAlign w:val="center"/>
          </w:tcPr>
          <w:p w14:paraId="78664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回用，不外排</w:t>
            </w:r>
          </w:p>
        </w:tc>
      </w:tr>
      <w:tr w14:paraId="4A67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936" w:type="dxa"/>
            <w:vMerge w:val="continue"/>
            <w:vAlign w:val="center"/>
          </w:tcPr>
          <w:p w14:paraId="26B45C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p>
        </w:tc>
        <w:tc>
          <w:tcPr>
            <w:tcW w:w="1561" w:type="dxa"/>
            <w:vAlign w:val="center"/>
          </w:tcPr>
          <w:p w14:paraId="7E775D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sz w:val="21"/>
                <w:szCs w:val="21"/>
                <w:highlight w:val="none"/>
              </w:rPr>
              <w:t>初期雨水</w:t>
            </w:r>
          </w:p>
        </w:tc>
        <w:tc>
          <w:tcPr>
            <w:tcW w:w="1644" w:type="dxa"/>
            <w:vAlign w:val="center"/>
          </w:tcPr>
          <w:p w14:paraId="2997D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228" w:leftChars="-95" w:right="-235" w:rightChars="-98" w:firstLine="0" w:firstLineChars="0"/>
              <w:jc w:val="center"/>
              <w:textAlignment w:val="auto"/>
              <w:rPr>
                <w:rFonts w:hint="eastAsia" w:ascii="Times New Roman" w:hAnsi="Times New Roman" w:cs="Times New Roman" w:eastAsiaTheme="minorEastAsia"/>
                <w:color w:val="auto"/>
                <w:sz w:val="21"/>
                <w:szCs w:val="21"/>
                <w:highlight w:val="none"/>
                <w:lang w:eastAsia="zh-CN"/>
              </w:rPr>
            </w:pPr>
            <w:r>
              <w:rPr>
                <w:rFonts w:hint="eastAsia" w:cs="Times New Roman" w:eastAsiaTheme="minorEastAsia"/>
                <w:color w:val="auto"/>
                <w:sz w:val="21"/>
                <w:szCs w:val="21"/>
                <w:highlight w:val="none"/>
                <w:lang w:val="en-US" w:eastAsia="zh-CN"/>
              </w:rPr>
              <w:t>/</w:t>
            </w:r>
          </w:p>
        </w:tc>
        <w:tc>
          <w:tcPr>
            <w:tcW w:w="3885" w:type="dxa"/>
            <w:vAlign w:val="center"/>
          </w:tcPr>
          <w:p w14:paraId="7D97B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加油加气站罩棚区四周</w:t>
            </w:r>
            <w:r>
              <w:rPr>
                <w:rFonts w:hint="eastAsia" w:cs="Times New Roman"/>
                <w:snapToGrid w:val="0"/>
                <w:color w:val="000000" w:themeColor="text1"/>
                <w:kern w:val="0"/>
                <w:sz w:val="21"/>
                <w:szCs w:val="21"/>
                <w:highlight w:val="none"/>
                <w:lang w:val="en-US" w:eastAsia="zh-CN"/>
                <w14:textFill>
                  <w14:solidFill>
                    <w14:schemeClr w14:val="tx1"/>
                  </w14:solidFill>
                </w14:textFill>
              </w:rPr>
              <w:t>设置</w:t>
            </w:r>
            <w:r>
              <w:rPr>
                <w:rFonts w:hint="eastAsia"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环保沟，项目建成营运后，站内初期雨水利用地坪自然坡度散流通过环保沟收集进入隔油池经隔油沉淀后排入站外道路边沟。</w:t>
            </w:r>
          </w:p>
        </w:tc>
        <w:tc>
          <w:tcPr>
            <w:tcW w:w="1445" w:type="dxa"/>
            <w:vAlign w:val="center"/>
          </w:tcPr>
          <w:p w14:paraId="4F5884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p>
        </w:tc>
      </w:tr>
      <w:tr w14:paraId="606B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trPr>
        <w:tc>
          <w:tcPr>
            <w:tcW w:w="936" w:type="dxa"/>
            <w:vAlign w:val="center"/>
          </w:tcPr>
          <w:p w14:paraId="36F1B3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声环境</w:t>
            </w:r>
          </w:p>
        </w:tc>
        <w:tc>
          <w:tcPr>
            <w:tcW w:w="1561" w:type="dxa"/>
            <w:vAlign w:val="center"/>
          </w:tcPr>
          <w:p w14:paraId="05BAF3E6">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eastAsiaTheme="minorEastAsia"/>
                <w:color w:val="auto"/>
                <w:sz w:val="21"/>
                <w:szCs w:val="21"/>
                <w:highlight w:val="none"/>
              </w:rPr>
            </w:pPr>
            <w:r>
              <w:rPr>
                <w:rFonts w:hint="eastAsia"/>
                <w:color w:val="auto"/>
                <w:sz w:val="21"/>
                <w:szCs w:val="21"/>
                <w:highlight w:val="none"/>
              </w:rPr>
              <w:t>油泵、LNG潜液泵、加油机、加气机、</w:t>
            </w:r>
            <w:r>
              <w:rPr>
                <w:rFonts w:hint="eastAsia"/>
                <w:color w:val="auto"/>
                <w:sz w:val="21"/>
                <w:szCs w:val="21"/>
                <w:highlight w:val="none"/>
                <w:lang w:val="en-US" w:eastAsia="zh-CN"/>
              </w:rPr>
              <w:t>撬装</w:t>
            </w:r>
            <w:r>
              <w:rPr>
                <w:rFonts w:hint="eastAsia"/>
                <w:color w:val="auto"/>
                <w:sz w:val="21"/>
                <w:szCs w:val="21"/>
                <w:highlight w:val="none"/>
              </w:rPr>
              <w:t>柴油发电机等设备噪声</w:t>
            </w:r>
          </w:p>
        </w:tc>
        <w:tc>
          <w:tcPr>
            <w:tcW w:w="1644" w:type="dxa"/>
            <w:vAlign w:val="center"/>
          </w:tcPr>
          <w:p w14:paraId="2D078471">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eastAsiaTheme="minorEastAsia"/>
                <w:color w:val="auto"/>
                <w:sz w:val="21"/>
                <w:szCs w:val="21"/>
                <w:highlight w:val="none"/>
              </w:rPr>
            </w:pPr>
            <w:r>
              <w:rPr>
                <w:rFonts w:hint="default"/>
                <w:color w:val="auto"/>
                <w:sz w:val="21"/>
                <w:szCs w:val="21"/>
                <w:highlight w:val="none"/>
              </w:rPr>
              <w:t>噪声</w:t>
            </w:r>
          </w:p>
        </w:tc>
        <w:tc>
          <w:tcPr>
            <w:tcW w:w="3885" w:type="dxa"/>
            <w:vAlign w:val="center"/>
          </w:tcPr>
          <w:p w14:paraId="0D15664C">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eastAsiaTheme="minorEastAsia"/>
                <w:color w:val="auto"/>
                <w:sz w:val="21"/>
                <w:szCs w:val="21"/>
                <w:highlight w:val="none"/>
              </w:rPr>
            </w:pPr>
            <w:r>
              <w:rPr>
                <w:rFonts w:hint="default"/>
                <w:color w:val="auto"/>
                <w:sz w:val="21"/>
                <w:szCs w:val="21"/>
                <w:highlight w:val="none"/>
              </w:rPr>
              <w:t>选用低噪声设备、</w:t>
            </w:r>
            <w:r>
              <w:rPr>
                <w:rFonts w:hint="eastAsia"/>
                <w:color w:val="auto"/>
                <w:sz w:val="21"/>
                <w:szCs w:val="21"/>
                <w:highlight w:val="none"/>
              </w:rPr>
              <w:t>设备基础减震</w:t>
            </w:r>
            <w:r>
              <w:rPr>
                <w:rFonts w:hint="default"/>
                <w:color w:val="auto"/>
                <w:sz w:val="21"/>
                <w:szCs w:val="21"/>
                <w:highlight w:val="none"/>
              </w:rPr>
              <w:t>；设备定期检查、维修油泵、加油机等设备；加强对进站车辆、人员的引导；设置紧鸣限速标识等</w:t>
            </w:r>
            <w:r>
              <w:rPr>
                <w:rFonts w:hint="eastAsia"/>
                <w:color w:val="auto"/>
                <w:sz w:val="21"/>
                <w:szCs w:val="21"/>
                <w:highlight w:val="none"/>
              </w:rPr>
              <w:t>。</w:t>
            </w:r>
          </w:p>
        </w:tc>
        <w:tc>
          <w:tcPr>
            <w:tcW w:w="1445" w:type="dxa"/>
            <w:vAlign w:val="center"/>
          </w:tcPr>
          <w:p w14:paraId="318490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《工业企业厂界环境噪声排放标准》</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GB12348-2008</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2类标准</w:t>
            </w:r>
          </w:p>
        </w:tc>
      </w:tr>
      <w:tr w14:paraId="3656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Align w:val="center"/>
          </w:tcPr>
          <w:p w14:paraId="4D058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电磁</w:t>
            </w:r>
          </w:p>
          <w:p w14:paraId="5FF662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辐射</w:t>
            </w:r>
          </w:p>
        </w:tc>
        <w:tc>
          <w:tcPr>
            <w:tcW w:w="1561" w:type="dxa"/>
            <w:vAlign w:val="center"/>
          </w:tcPr>
          <w:p w14:paraId="26D666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c>
          <w:tcPr>
            <w:tcW w:w="1644" w:type="dxa"/>
            <w:vAlign w:val="center"/>
          </w:tcPr>
          <w:p w14:paraId="23AA8F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c>
          <w:tcPr>
            <w:tcW w:w="3885" w:type="dxa"/>
            <w:vAlign w:val="center"/>
          </w:tcPr>
          <w:p w14:paraId="0C620A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c>
          <w:tcPr>
            <w:tcW w:w="1445" w:type="dxa"/>
            <w:vAlign w:val="center"/>
          </w:tcPr>
          <w:p w14:paraId="55EDAA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14:paraId="0303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936" w:type="dxa"/>
            <w:vAlign w:val="center"/>
          </w:tcPr>
          <w:p w14:paraId="75B5DC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固体</w:t>
            </w:r>
          </w:p>
          <w:p w14:paraId="49C4AB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废物</w:t>
            </w:r>
          </w:p>
        </w:tc>
        <w:tc>
          <w:tcPr>
            <w:tcW w:w="8535" w:type="dxa"/>
            <w:gridSpan w:val="4"/>
            <w:vAlign w:val="center"/>
          </w:tcPr>
          <w:p w14:paraId="425E4D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2" w:firstLineChars="200"/>
              <w:jc w:val="left"/>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一般固废：</w:t>
            </w:r>
          </w:p>
          <w:p w14:paraId="071DA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①生活垃圾：站内设垃圾桶进行分类收集，交由当地环卫部门定期清运处置。</w:t>
            </w:r>
          </w:p>
          <w:p w14:paraId="0782E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②化粪池污泥：委托环卫部门定期清掏处置。</w:t>
            </w:r>
          </w:p>
          <w:p w14:paraId="06E9E2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2" w:firstLineChars="200"/>
              <w:jc w:val="left"/>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危险固废：</w:t>
            </w:r>
          </w:p>
          <w:p w14:paraId="35DAF0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①隔油池废油污：委托有资质的单位处理。</w:t>
            </w:r>
          </w:p>
          <w:p w14:paraId="5C826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②油品检验过程中产生的废油：委托有资质的单位处理。</w:t>
            </w:r>
          </w:p>
          <w:p w14:paraId="619638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③清罐废水及废渣：交由专业的清罐公司一并处置。</w:t>
            </w:r>
          </w:p>
          <w:p w14:paraId="4D95D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④沾油废物：委托有资质的单位处理。</w:t>
            </w:r>
          </w:p>
        </w:tc>
      </w:tr>
      <w:tr w14:paraId="5FF3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36" w:type="dxa"/>
            <w:vAlign w:val="center"/>
          </w:tcPr>
          <w:p w14:paraId="7428B9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土壤及地下水</w:t>
            </w:r>
          </w:p>
          <w:p w14:paraId="49AB29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污染防治措施</w:t>
            </w:r>
          </w:p>
        </w:tc>
        <w:tc>
          <w:tcPr>
            <w:tcW w:w="8535" w:type="dxa"/>
            <w:gridSpan w:val="4"/>
            <w:vAlign w:val="center"/>
          </w:tcPr>
          <w:p w14:paraId="11810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进行分区防渗，运营期加强管理，杜绝油类物质跑、冒、漏、滴。</w:t>
            </w:r>
          </w:p>
          <w:p w14:paraId="63D491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auto"/>
                <w:sz w:val="21"/>
                <w:szCs w:val="21"/>
                <w:highlight w:val="none"/>
                <w:lang w:eastAsia="zh-CN"/>
              </w:rPr>
              <w:t>重点防渗区：包</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括加油区、油罐区、加油管道、</w:t>
            </w:r>
            <w:r>
              <w:rPr>
                <w:rFonts w:hint="eastAsia" w:cs="Times New Roman" w:eastAsiaTheme="minorEastAsia"/>
                <w:color w:val="000000" w:themeColor="text1"/>
                <w:sz w:val="21"/>
                <w:szCs w:val="21"/>
                <w:highlight w:val="none"/>
                <w:lang w:val="en-US" w:eastAsia="zh-CN"/>
                <w14:textFill>
                  <w14:solidFill>
                    <w14:schemeClr w14:val="tx1"/>
                  </w14:solidFill>
                </w14:textFill>
              </w:rPr>
              <w:t>撬装柴油发电机区</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、危废暂存间。</w:t>
            </w:r>
          </w:p>
          <w:p w14:paraId="5AC97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1）油罐罐体防渗、油罐罐池防渗、输油管线防渗及站场地面防渗必须按《汽车加油加气站设计与施工规范》中的要求进行设计和施工。本项目采用卧式双层油罐，由内外2层玻璃钢纤维增强塑料组成，储罐具有均匀夹层空间配备相通泄漏检测仪。油罐双层结构，内有0.1mm的空隙，外层FRP玻璃钢保证了泄漏物不会直接渗漏污染土壤和水源。外层FRP玻璃钢不会与地下水、汽油、柴油等物质产生电解腐蚀现象。泄漏检测仪能够24小时全程监控，杜绝污染隐患。同时便于油罐的检测与维护，保护了土壤的原生环境。</w:t>
            </w:r>
          </w:p>
          <w:p w14:paraId="4EC00E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2）危险废物暂存间按照《危险废物贮存污染控制标准》（GB18597-2023）的要求进行防风、防雨、防晒、防漏、防渗、防腐“六防”措施，危废暂存间采用抗渗混凝土+2mm厚高密度聚乙烯材料防渗，确保渗透系数≤10</w:t>
            </w:r>
            <w:r>
              <w:rPr>
                <w:rFonts w:hint="eastAsia"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superscript"/>
                <w:lang w:eastAsia="zh-CN"/>
                <w14:textFill>
                  <w14:solidFill>
                    <w14:schemeClr w14:val="tx1"/>
                  </w14:solidFill>
                </w14:textFill>
              </w:rPr>
              <w:t>10</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cm/s，同时在放置危险废物区域内设置堵截泄漏的裙脚，地面与裙脚所围建的容积不低于堵截最大容器的最大储量，防止泄漏液体流出，并有利于泄漏液体的收集。</w:t>
            </w:r>
          </w:p>
          <w:p w14:paraId="02DD6D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3）加油区、</w:t>
            </w:r>
            <w:r>
              <w:rPr>
                <w:rFonts w:hint="eastAsia" w:cs="Times New Roman" w:eastAsiaTheme="minorEastAsia"/>
                <w:color w:val="000000" w:themeColor="text1"/>
                <w:sz w:val="21"/>
                <w:szCs w:val="21"/>
                <w:highlight w:val="none"/>
                <w:lang w:val="en-US" w:eastAsia="zh-CN"/>
                <w14:textFill>
                  <w14:solidFill>
                    <w14:schemeClr w14:val="tx1"/>
                  </w14:solidFill>
                </w14:textFill>
              </w:rPr>
              <w:t>撬装柴油</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发电机</w:t>
            </w:r>
            <w:r>
              <w:rPr>
                <w:rFonts w:hint="eastAsia" w:cs="Times New Roman" w:eastAsiaTheme="minorEastAsia"/>
                <w:color w:val="000000" w:themeColor="text1"/>
                <w:sz w:val="21"/>
                <w:szCs w:val="21"/>
                <w:highlight w:val="none"/>
                <w:lang w:val="en-US" w:eastAsia="zh-CN"/>
                <w14:textFill>
                  <w14:solidFill>
                    <w14:schemeClr w14:val="tx1"/>
                  </w14:solidFill>
                </w14:textFill>
              </w:rPr>
              <w:t>区</w:t>
            </w:r>
            <w:r>
              <w:rPr>
                <w:rFonts w:hint="default" w:ascii="Times New Roman" w:hAnsi="Times New Roman" w:cs="Times New Roman" w:eastAsiaTheme="minorEastAsia"/>
                <w:color w:val="auto"/>
                <w:sz w:val="21"/>
                <w:szCs w:val="21"/>
                <w:highlight w:val="none"/>
                <w:lang w:eastAsia="zh-CN"/>
              </w:rPr>
              <w:t>地面采用抗渗混凝土+2mm厚高密度聚乙烯材料防渗，确保防渗能力达到等效黏土层Mb≥6.0m、渗透系数小于1.0×10</w:t>
            </w:r>
            <w:r>
              <w:rPr>
                <w:rFonts w:hint="eastAsia"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vertAlign w:val="superscript"/>
                <w:lang w:eastAsia="zh-CN"/>
              </w:rPr>
              <w:t>7</w:t>
            </w:r>
            <w:r>
              <w:rPr>
                <w:rFonts w:hint="default" w:ascii="Times New Roman" w:hAnsi="Times New Roman" w:cs="Times New Roman" w:eastAsiaTheme="minorEastAsia"/>
                <w:color w:val="auto"/>
                <w:sz w:val="21"/>
                <w:szCs w:val="21"/>
                <w:highlight w:val="none"/>
                <w:lang w:eastAsia="zh-CN"/>
              </w:rPr>
              <w:t>cm/s。</w:t>
            </w:r>
          </w:p>
          <w:p w14:paraId="611506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一般防渗区：包括洗车区、化粪池、隔油池。</w:t>
            </w:r>
          </w:p>
          <w:p w14:paraId="40C3FD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一般防渗区地面采取30cm厚强夯原粘土层垫层、30cm厚现浇防渗混凝土面层。通过上述措施可使一般防渗区各单元防渗层等效黏土防渗层Mb≥1.5m，渗透系数≤10</w:t>
            </w:r>
            <w:r>
              <w:rPr>
                <w:rFonts w:hint="default" w:ascii="Times New Roman" w:hAnsi="Times New Roman" w:cs="Times New Roman" w:eastAsiaTheme="minorEastAsia"/>
                <w:color w:val="auto"/>
                <w:sz w:val="21"/>
                <w:szCs w:val="21"/>
                <w:highlight w:val="none"/>
                <w:vertAlign w:val="superscript"/>
                <w:lang w:eastAsia="zh-CN"/>
              </w:rPr>
              <w:t xml:space="preserve">-7 </w:t>
            </w:r>
            <w:r>
              <w:rPr>
                <w:rFonts w:hint="default" w:ascii="Times New Roman" w:hAnsi="Times New Roman" w:cs="Times New Roman" w:eastAsiaTheme="minorEastAsia"/>
                <w:color w:val="auto"/>
                <w:sz w:val="21"/>
                <w:szCs w:val="21"/>
                <w:highlight w:val="none"/>
                <w:lang w:eastAsia="zh-CN"/>
              </w:rPr>
              <w:t>cm/s。</w:t>
            </w:r>
          </w:p>
          <w:p w14:paraId="36F7B2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简单防渗区：包括场区站房及站内道路地面等除绿化带以外的其他区域。</w:t>
            </w:r>
          </w:p>
          <w:p w14:paraId="677689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简单防渗区采用30cm厚强夯原</w:t>
            </w:r>
            <w:r>
              <w:rPr>
                <w:rFonts w:hint="eastAsia" w:cs="Times New Roman" w:eastAsiaTheme="minorEastAsia"/>
                <w:color w:val="auto"/>
                <w:sz w:val="21"/>
                <w:szCs w:val="21"/>
                <w:highlight w:val="none"/>
                <w:lang w:eastAsia="zh-CN"/>
              </w:rPr>
              <w:t>黏土</w:t>
            </w:r>
            <w:r>
              <w:rPr>
                <w:rFonts w:hint="default" w:ascii="Times New Roman" w:hAnsi="Times New Roman" w:cs="Times New Roman" w:eastAsiaTheme="minorEastAsia"/>
                <w:color w:val="auto"/>
                <w:sz w:val="21"/>
                <w:szCs w:val="21"/>
                <w:highlight w:val="none"/>
                <w:lang w:eastAsia="zh-CN"/>
              </w:rPr>
              <w:t>层垫层、30cm厚现浇混凝土面层措施。</w:t>
            </w:r>
          </w:p>
        </w:tc>
      </w:tr>
      <w:tr w14:paraId="63AA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trPr>
        <w:tc>
          <w:tcPr>
            <w:tcW w:w="936" w:type="dxa"/>
            <w:vAlign w:val="center"/>
          </w:tcPr>
          <w:p w14:paraId="376659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生态保护措施</w:t>
            </w:r>
          </w:p>
        </w:tc>
        <w:tc>
          <w:tcPr>
            <w:tcW w:w="8535" w:type="dxa"/>
            <w:gridSpan w:val="4"/>
            <w:vAlign w:val="center"/>
          </w:tcPr>
          <w:p w14:paraId="27327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①合理安排施工时间，避开雨季和汛期，做好施工防护及排水工作； </w:t>
            </w:r>
          </w:p>
          <w:p w14:paraId="085D9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②土石方工程及时防护，随挖随运，随填随夯，不留松土，减少疏松地面的裸露时间。</w:t>
            </w:r>
          </w:p>
          <w:p w14:paraId="303E8C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③施工工场、临时堆土场四周设施挡土墙、排水沟、</w:t>
            </w:r>
            <w:r>
              <w:rPr>
                <w:rFonts w:hint="eastAsia" w:cs="Times New Roman" w:eastAsiaTheme="minorEastAsia"/>
                <w:color w:val="auto"/>
                <w:sz w:val="21"/>
                <w:szCs w:val="21"/>
                <w:highlight w:val="none"/>
                <w:lang w:eastAsia="zh-CN"/>
              </w:rPr>
              <w:t>沉沙池</w:t>
            </w:r>
            <w:r>
              <w:rPr>
                <w:rFonts w:hint="default" w:ascii="Times New Roman" w:hAnsi="Times New Roman" w:cs="Times New Roman" w:eastAsiaTheme="minorEastAsia"/>
                <w:color w:val="auto"/>
                <w:sz w:val="21"/>
                <w:szCs w:val="21"/>
                <w:highlight w:val="none"/>
              </w:rPr>
              <w:t>等设施，地表径流经沉淀处理后排放，减少水土流失。</w:t>
            </w:r>
          </w:p>
          <w:p w14:paraId="33C385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施工结束后，及时对项目区空地进行硬化处理和绿化，绿化树种选择当地常见且吸附能力强的低矮植物，禁止引入外来物种。</w:t>
            </w:r>
          </w:p>
        </w:tc>
      </w:tr>
      <w:tr w14:paraId="76AA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936" w:type="dxa"/>
            <w:vAlign w:val="center"/>
          </w:tcPr>
          <w:p w14:paraId="1A4B9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环境风险防范措施</w:t>
            </w:r>
          </w:p>
        </w:tc>
        <w:tc>
          <w:tcPr>
            <w:tcW w:w="8535" w:type="dxa"/>
            <w:gridSpan w:val="4"/>
            <w:vAlign w:val="center"/>
          </w:tcPr>
          <w:p w14:paraId="5FBF6D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2" w:firstLineChars="200"/>
              <w:jc w:val="left"/>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1、总图布置</w:t>
            </w:r>
          </w:p>
          <w:p w14:paraId="2FDBEB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根据项目总平面布置图，本项目总图布置基本符合《汽车加油加气加氢站技术标准》（GB50156-2021）、《爆炸和火灾危险环境电力装置设计规范》和《建筑设计防火规范》，各生产和辅助装置按功能分别布置，车辆进、出口分开设置，站内平面布置按进站汽车、槽车正向行驶设计，站外设置了不低于2.2m 的非燃烧式围墙与外界相隔。站区设环形消防车道并保证有足够的路面净空高度，合理设置消火栓、灭火器，相应的防火、防触电安全警示、标志。本项目加油岛、地埋式油罐、LNG气罐、通气管管口、密闭卸油点、加油/气机、站房、围墙等相互防火间距符合规范要求，本项目应及时申请并通过安全验收。</w:t>
            </w:r>
          </w:p>
          <w:p w14:paraId="1EABED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2" w:firstLineChars="200"/>
              <w:jc w:val="left"/>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2、工艺设备</w:t>
            </w:r>
          </w:p>
          <w:p w14:paraId="12EB98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本项目采用先进、成熟、可靠的工艺和设备，以减少事故的发生。系统严格密闭，选用材质性能好的设备和管件，以防泄漏和爆炸。</w:t>
            </w:r>
          </w:p>
          <w:p w14:paraId="6BC809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auto"/>
                <w:sz w:val="21"/>
                <w:szCs w:val="21"/>
                <w:highlight w:val="none"/>
              </w:rPr>
              <w:t>项目所有储油罐均采用卧式双层油罐；储油罐采取锚桩措施避免油罐受地下水或雨水作用而上浮，埋地油罐采用防渗漏措施。采用截流阀或浮筒阀或其他防溢油措施，控制卸油时可能发生的溢油，此外设置高液位报警功能的液位计。加油机采用导静电软管，加油软管应配备拉断截止阀，固定工艺管道采用无缝钢管，埋地钢管均焊接并进行防腐；卸油采用密闭卸油方式，</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油罐通气管口在离地高度9m以上，同时管口安装呼吸阀；对通气管、呼吸阀、静电接地扁钢等定期进行检测、维护。</w:t>
            </w:r>
          </w:p>
          <w:p w14:paraId="43BA34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2" w:firstLineChars="200"/>
              <w:jc w:val="left"/>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3、罐区防范措施</w:t>
            </w:r>
          </w:p>
          <w:p w14:paraId="697D7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油品储存量不构成重大危险源，但考虑汽油和柴油为易燃易爆物质，在罐区明显位置规范应设置警示标志。储油罐埋地设置，罐顶部覆土厚度不小于0.5m，埋地储罐间净距不应小于0.5m，油罐进行防雷接地，接地点不少于两处。油罐还设置高液位报警功能的液位计。在贮罐区严格按安全、消防有关规范建设，并列为重点防范区，油罐采取防渗保护和检测设备，周边设置安全标识，配备必要的消防器材，贮罐安装避雷装置和自动检测报警装置，罐区一旦发生泄漏，能立即报警，及时对事故进行处理。</w:t>
            </w:r>
          </w:p>
          <w:p w14:paraId="0FB6BA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加强生产管理。严格按照操作规程作业，严格执行24小时值班制度和巡回检查制度，及时发现并向有关部门通报，并及时解除不安全因素。</w:t>
            </w:r>
          </w:p>
          <w:p w14:paraId="626B53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储罐采用卧式双层油罐，定期请具有资质的技术监督部门测试储罐的厚度、缝隙、压力等安全技术性能指标，及时更换腐蚀受损设备，根除事故隐患。</w:t>
            </w:r>
          </w:p>
          <w:p w14:paraId="088F00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在站内高处设置风向标，用于应急情况判断风向，指导人员疏散。</w:t>
            </w:r>
          </w:p>
          <w:p w14:paraId="52028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2" w:firstLineChars="200"/>
              <w:jc w:val="left"/>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4、消防措施</w:t>
            </w:r>
          </w:p>
          <w:p w14:paraId="67A675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按照《建筑灭火器配置设计规范》（GB50140-2005）和《汽车加油加气加氢站技术标准》（GB50156-2021）相关要求，对站内可能发生火灾的各类场所、工艺装置区、主要建筑物等，根据其火灾危险性、区域大小等实际情况，分别配置若干不同类型、不同规格的移动式灭火器材 （如：灭火毯、干粉灭火器及CO</w:t>
            </w:r>
            <w:r>
              <w:rPr>
                <w:rFonts w:hint="default" w:ascii="Times New Roman" w:hAnsi="Times New Roman" w:cs="Times New Roman" w:eastAsiaTheme="minorEastAsia"/>
                <w:color w:val="auto"/>
                <w:sz w:val="21"/>
                <w:szCs w:val="21"/>
                <w:highlight w:val="none"/>
                <w:vertAlign w:val="subscript"/>
              </w:rPr>
              <w:t>2</w:t>
            </w:r>
            <w:r>
              <w:rPr>
                <w:rFonts w:hint="default" w:ascii="Times New Roman" w:hAnsi="Times New Roman" w:cs="Times New Roman" w:eastAsiaTheme="minorEastAsia"/>
                <w:color w:val="auto"/>
                <w:sz w:val="21"/>
                <w:szCs w:val="21"/>
                <w:highlight w:val="none"/>
              </w:rPr>
              <w:t>灭火器等消防器材），以便及时扑救初始零星火灾。</w:t>
            </w:r>
          </w:p>
          <w:p w14:paraId="586B7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站内各类设备选用安全可靠设备，站内设备和管道应经过防腐处理。防止站内法兰阀门泄漏、管线腐蚀泄漏、设备机体泄漏，并在没有可燃气体报警仪的场站装置区内安装可燃气体报警仪，并定期检查报警系统工作是否正确。</w:t>
            </w:r>
          </w:p>
          <w:p w14:paraId="0AC32B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站内爆炸危险区域内的电气设备选型、安装、电力线路敷设等，应符合现行国家标准《爆炸和火灾危险环境电力装置设计规范》（GB50058）的规定。电器设备、仪表选用防爆型；操作人员应按规定穿戴劳保用品，防止静电火花的产生。</w:t>
            </w:r>
          </w:p>
          <w:p w14:paraId="35E00F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汽车必须熄火后加油，加油完毕后才能启动。站内应严禁烟火，设明显警示牌，禁止使用手机、塑料桶等易产生静电的物品，严禁危险区内吸烟和违章动用明火。站内各个生产运行环节空间均应保持空气流通，以增强其对气体挥发物的稀释扩散能力。</w:t>
            </w:r>
          </w:p>
          <w:p w14:paraId="3A817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5）安装避雷和防静电设施，保证站内报警设施完好无损，并定期检查接地电阻和避雷设施，以确保其完好性。</w:t>
            </w:r>
          </w:p>
          <w:p w14:paraId="1F9A56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6）提高员工素质。增强安全意识。建立严格的安全管理制度，杜绝违章动火、吸烟等现象，按规定配备劳动防护用品．经常性地向员工进行安全和健康防护方面的教育。</w:t>
            </w:r>
          </w:p>
        </w:tc>
      </w:tr>
      <w:tr w14:paraId="792B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36" w:type="dxa"/>
            <w:vAlign w:val="center"/>
          </w:tcPr>
          <w:p w14:paraId="61F62D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其他环境管理要求</w:t>
            </w:r>
          </w:p>
        </w:tc>
        <w:tc>
          <w:tcPr>
            <w:tcW w:w="8535" w:type="dxa"/>
            <w:gridSpan w:val="4"/>
            <w:vAlign w:val="center"/>
          </w:tcPr>
          <w:p w14:paraId="44518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2" w:firstLineChars="200"/>
              <w:jc w:val="left"/>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1</w:t>
            </w:r>
            <w:r>
              <w:rPr>
                <w:rFonts w:hint="eastAsia" w:ascii="Times New Roman" w:hAnsi="Times New Roman" w:cs="Times New Roman" w:eastAsiaTheme="minorEastAsia"/>
                <w:b/>
                <w:bCs/>
                <w:color w:val="auto"/>
                <w:sz w:val="21"/>
                <w:szCs w:val="21"/>
                <w:highlight w:val="none"/>
              </w:rPr>
              <w:t>、</w:t>
            </w:r>
            <w:r>
              <w:rPr>
                <w:rFonts w:hint="default" w:ascii="Times New Roman" w:hAnsi="Times New Roman" w:cs="Times New Roman" w:eastAsiaTheme="minorEastAsia"/>
                <w:b/>
                <w:bCs/>
                <w:color w:val="auto"/>
                <w:sz w:val="21"/>
                <w:szCs w:val="21"/>
                <w:highlight w:val="none"/>
              </w:rPr>
              <w:t>环境管理</w:t>
            </w:r>
          </w:p>
          <w:p w14:paraId="49CE05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（1）</w:t>
            </w:r>
            <w:r>
              <w:rPr>
                <w:rFonts w:hint="default" w:ascii="Times New Roman" w:hAnsi="Times New Roman" w:cs="Times New Roman" w:eastAsiaTheme="minorEastAsia"/>
                <w:color w:val="auto"/>
                <w:sz w:val="21"/>
                <w:szCs w:val="21"/>
                <w:highlight w:val="none"/>
              </w:rPr>
              <w:t>环境管理机构</w:t>
            </w:r>
          </w:p>
          <w:p w14:paraId="540C6F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项目生产运行阶段，建设单位应提高对环境保护工作的认识和态度，加强环境保护意识教育，建立健全的环境保护管理制度体系，并配备兼职环境保护管理工作人员，主管日常的环境管理工作。</w:t>
            </w:r>
          </w:p>
          <w:p w14:paraId="5B4E09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（2）</w:t>
            </w:r>
            <w:r>
              <w:rPr>
                <w:rFonts w:hint="default" w:ascii="Times New Roman" w:hAnsi="Times New Roman" w:cs="Times New Roman" w:eastAsiaTheme="minorEastAsia"/>
                <w:color w:val="auto"/>
                <w:sz w:val="21"/>
                <w:szCs w:val="21"/>
                <w:highlight w:val="none"/>
              </w:rPr>
              <w:t>环境管理的主要内容</w:t>
            </w:r>
          </w:p>
          <w:p w14:paraId="294779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①</w:t>
            </w:r>
            <w:r>
              <w:rPr>
                <w:rFonts w:hint="default" w:ascii="Times New Roman" w:hAnsi="Times New Roman" w:cs="Times New Roman" w:eastAsiaTheme="minorEastAsia"/>
                <w:color w:val="auto"/>
                <w:sz w:val="21"/>
                <w:szCs w:val="21"/>
                <w:highlight w:val="none"/>
              </w:rPr>
              <w:t>制订企业环保管理制度和岗位责任制，规范工作程序。</w:t>
            </w:r>
          </w:p>
          <w:p w14:paraId="4FD8AF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②</w:t>
            </w:r>
            <w:r>
              <w:rPr>
                <w:rFonts w:hint="default" w:ascii="Times New Roman" w:hAnsi="Times New Roman" w:cs="Times New Roman" w:eastAsiaTheme="minorEastAsia"/>
                <w:color w:val="auto"/>
                <w:sz w:val="21"/>
                <w:szCs w:val="21"/>
                <w:highlight w:val="none"/>
              </w:rPr>
              <w:t>进行环保宣传教育，以提高员工环保意识；加强生产过程中的环保管理，确保达标排放；制订污染治理计划和环保计划，确保污染治理和环保工作顺利实施；监督、检查环保设施的运行和生态恢复执行情况，接受环保部门的监督。</w:t>
            </w:r>
          </w:p>
          <w:p w14:paraId="19AD2E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2" w:firstLineChars="200"/>
              <w:jc w:val="left"/>
              <w:textAlignment w:val="auto"/>
              <w:rPr>
                <w:rFonts w:hint="default" w:ascii="Times New Roman" w:hAnsi="Times New Roman" w:cs="Times New Roman" w:eastAsiaTheme="minorEastAsia"/>
                <w:b/>
                <w:bCs/>
                <w:color w:val="auto"/>
                <w:sz w:val="21"/>
                <w:szCs w:val="21"/>
                <w:highlight w:val="none"/>
              </w:rPr>
            </w:pPr>
            <w:r>
              <w:rPr>
                <w:rFonts w:hint="eastAsia" w:ascii="Times New Roman" w:hAnsi="Times New Roman" w:cs="Times New Roman" w:eastAsiaTheme="minorEastAsia"/>
                <w:b/>
                <w:bCs/>
                <w:color w:val="auto"/>
                <w:sz w:val="21"/>
                <w:szCs w:val="21"/>
                <w:highlight w:val="none"/>
              </w:rPr>
              <w:t>2</w:t>
            </w:r>
            <w:r>
              <w:rPr>
                <w:rFonts w:hint="default" w:ascii="Times New Roman" w:hAnsi="Times New Roman" w:cs="Times New Roman" w:eastAsiaTheme="minorEastAsia"/>
                <w:b/>
                <w:bCs/>
                <w:color w:val="auto"/>
                <w:sz w:val="21"/>
                <w:szCs w:val="21"/>
                <w:highlight w:val="none"/>
              </w:rPr>
              <w:t>、危废暂存间设置规范</w:t>
            </w:r>
          </w:p>
          <w:p w14:paraId="458F5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eastAsia"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根据《危险废物识别标准设置技术规范》（HJ1276-2022），项目危险废物暂存间应按下述要求进行设置：</w:t>
            </w:r>
          </w:p>
          <w:p w14:paraId="6D5EDA84">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bidi="ar-SA"/>
              </w:rPr>
            </w:pPr>
          </w:p>
          <w:p w14:paraId="6FBEF132">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表5-1 项目危险废物张贴标准</w:t>
            </w:r>
          </w:p>
          <w:tbl>
            <w:tblPr>
              <w:tblStyle w:val="23"/>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2490"/>
              <w:gridCol w:w="1303"/>
              <w:gridCol w:w="1164"/>
              <w:gridCol w:w="2686"/>
            </w:tblGrid>
            <w:tr w14:paraId="4A7E0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2" w:hRule="atLeast"/>
              </w:trPr>
              <w:tc>
                <w:tcPr>
                  <w:tcW w:w="470" w:type="pct"/>
                  <w:tcBorders>
                    <w:tl2br w:val="nil"/>
                    <w:tr2bl w:val="nil"/>
                  </w:tcBorders>
                  <w:noWrap w:val="0"/>
                  <w:vAlign w:val="center"/>
                </w:tcPr>
                <w:p w14:paraId="67F1D48E">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适用于危险废物暂存间外张贴标牌</w:t>
                  </w:r>
                </w:p>
              </w:tc>
              <w:tc>
                <w:tcPr>
                  <w:tcW w:w="2248" w:type="pct"/>
                  <w:gridSpan w:val="2"/>
                  <w:tcBorders>
                    <w:tl2br w:val="nil"/>
                    <w:tr2bl w:val="nil"/>
                  </w:tcBorders>
                  <w:noWrap w:val="0"/>
                  <w:vAlign w:val="center"/>
                </w:tcPr>
                <w:p w14:paraId="60C31E76">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drawing>
                      <wp:inline distT="0" distB="0" distL="114300" distR="114300">
                        <wp:extent cx="1774190" cy="1151255"/>
                        <wp:effectExtent l="0" t="0" r="16510" b="1079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3"/>
                                <a:stretch>
                                  <a:fillRect/>
                                </a:stretch>
                              </pic:blipFill>
                              <pic:spPr>
                                <a:xfrm>
                                  <a:off x="0" y="0"/>
                                  <a:ext cx="1774190" cy="1151255"/>
                                </a:xfrm>
                                <a:prstGeom prst="rect">
                                  <a:avLst/>
                                </a:prstGeom>
                                <a:noFill/>
                                <a:ln>
                                  <a:noFill/>
                                </a:ln>
                              </pic:spPr>
                            </pic:pic>
                          </a:graphicData>
                        </a:graphic>
                      </wp:inline>
                    </w:drawing>
                  </w:r>
                </w:p>
                <w:p w14:paraId="5D951382">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附着式危险废物设施标志设置示意图</w:t>
                  </w:r>
                </w:p>
              </w:tc>
              <w:tc>
                <w:tcPr>
                  <w:tcW w:w="2282" w:type="pct"/>
                  <w:gridSpan w:val="2"/>
                  <w:tcBorders>
                    <w:tl2br w:val="nil"/>
                    <w:tr2bl w:val="nil"/>
                  </w:tcBorders>
                  <w:noWrap w:val="0"/>
                  <w:vAlign w:val="center"/>
                </w:tcPr>
                <w:p w14:paraId="4DC135C3">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drawing>
                      <wp:inline distT="0" distB="0" distL="114300" distR="114300">
                        <wp:extent cx="1816100" cy="967105"/>
                        <wp:effectExtent l="0" t="0" r="12700" b="444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4"/>
                                <a:stretch>
                                  <a:fillRect/>
                                </a:stretch>
                              </pic:blipFill>
                              <pic:spPr>
                                <a:xfrm>
                                  <a:off x="0" y="0"/>
                                  <a:ext cx="1816100" cy="967105"/>
                                </a:xfrm>
                                <a:prstGeom prst="rect">
                                  <a:avLst/>
                                </a:prstGeom>
                                <a:noFill/>
                                <a:ln>
                                  <a:noFill/>
                                </a:ln>
                              </pic:spPr>
                            </pic:pic>
                          </a:graphicData>
                        </a:graphic>
                      </wp:inline>
                    </w:drawing>
                  </w:r>
                </w:p>
                <w:p w14:paraId="665B8B87">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柱式危险废物设施标志设置示意图</w:t>
                  </w:r>
                </w:p>
              </w:tc>
            </w:tr>
            <w:tr w14:paraId="002EB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pct"/>
                  <w:tcBorders>
                    <w:tl2br w:val="nil"/>
                    <w:tr2bl w:val="nil"/>
                  </w:tcBorders>
                  <w:noWrap w:val="0"/>
                  <w:vAlign w:val="center"/>
                </w:tcPr>
                <w:p w14:paraId="5811321E">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适用于危险废物暂存间内分区张贴标牌</w:t>
                  </w:r>
                </w:p>
              </w:tc>
              <w:tc>
                <w:tcPr>
                  <w:tcW w:w="1476" w:type="pct"/>
                  <w:tcBorders>
                    <w:tl2br w:val="nil"/>
                    <w:tr2bl w:val="nil"/>
                  </w:tcBorders>
                  <w:noWrap w:val="0"/>
                  <w:vAlign w:val="center"/>
                </w:tcPr>
                <w:p w14:paraId="2CA54514">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drawing>
                      <wp:inline distT="0" distB="0" distL="114300" distR="114300">
                        <wp:extent cx="1120140" cy="860425"/>
                        <wp:effectExtent l="0" t="0" r="3810" b="1587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5"/>
                                <a:stretch>
                                  <a:fillRect/>
                                </a:stretch>
                              </pic:blipFill>
                              <pic:spPr>
                                <a:xfrm>
                                  <a:off x="0" y="0"/>
                                  <a:ext cx="1120140" cy="860425"/>
                                </a:xfrm>
                                <a:prstGeom prst="rect">
                                  <a:avLst/>
                                </a:prstGeom>
                                <a:noFill/>
                                <a:ln>
                                  <a:noFill/>
                                </a:ln>
                              </pic:spPr>
                            </pic:pic>
                          </a:graphicData>
                        </a:graphic>
                      </wp:inline>
                    </w:drawing>
                  </w:r>
                </w:p>
                <w:p w14:paraId="518BA8CD">
                  <w:pPr>
                    <w:pStyle w:val="20"/>
                    <w:keepNext w:val="0"/>
                    <w:keepLines w:val="0"/>
                    <w:suppressLineNumbers w:val="0"/>
                    <w:spacing w:before="0" w:beforeAutospacing="0" w:after="0" w:afterAutospacing="0"/>
                    <w:ind w:left="0" w:leftChars="0" w:right="0" w:firstLine="0" w:firstLineChars="0"/>
                    <w:jc w:val="center"/>
                    <w:rPr>
                      <w:rFonts w:hint="default"/>
                      <w:color w:val="auto"/>
                      <w:sz w:val="18"/>
                      <w:szCs w:val="18"/>
                      <w:highlight w:val="none"/>
                    </w:rPr>
                  </w:pPr>
                  <w:r>
                    <w:rPr>
                      <w:rFonts w:hint="default"/>
                      <w:color w:val="auto"/>
                      <w:sz w:val="18"/>
                      <w:szCs w:val="18"/>
                      <w:highlight w:val="none"/>
                    </w:rPr>
                    <w:t>附着式危险废物贮存分区标志设置示意图</w:t>
                  </w:r>
                </w:p>
              </w:tc>
              <w:tc>
                <w:tcPr>
                  <w:tcW w:w="1462" w:type="pct"/>
                  <w:gridSpan w:val="2"/>
                  <w:tcBorders>
                    <w:tl2br w:val="nil"/>
                    <w:tr2bl w:val="nil"/>
                  </w:tcBorders>
                  <w:noWrap w:val="0"/>
                  <w:vAlign w:val="center"/>
                </w:tcPr>
                <w:p w14:paraId="02A83A80">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drawing>
                      <wp:inline distT="0" distB="0" distL="114300" distR="114300">
                        <wp:extent cx="1156970" cy="913765"/>
                        <wp:effectExtent l="0" t="0" r="5080" b="63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36"/>
                                <a:stretch>
                                  <a:fillRect/>
                                </a:stretch>
                              </pic:blipFill>
                              <pic:spPr>
                                <a:xfrm>
                                  <a:off x="0" y="0"/>
                                  <a:ext cx="1156970" cy="913765"/>
                                </a:xfrm>
                                <a:prstGeom prst="rect">
                                  <a:avLst/>
                                </a:prstGeom>
                                <a:noFill/>
                                <a:ln>
                                  <a:noFill/>
                                </a:ln>
                              </pic:spPr>
                            </pic:pic>
                          </a:graphicData>
                        </a:graphic>
                      </wp:inline>
                    </w:drawing>
                  </w:r>
                </w:p>
                <w:p w14:paraId="03F122BC">
                  <w:pPr>
                    <w:pStyle w:val="20"/>
                    <w:keepNext w:val="0"/>
                    <w:keepLines w:val="0"/>
                    <w:suppressLineNumbers w:val="0"/>
                    <w:spacing w:before="0" w:beforeAutospacing="0" w:after="0" w:afterAutospacing="0"/>
                    <w:ind w:left="0" w:leftChars="0" w:right="0" w:firstLine="0" w:firstLineChars="0"/>
                    <w:jc w:val="center"/>
                    <w:rPr>
                      <w:rFonts w:hint="default"/>
                      <w:color w:val="auto"/>
                      <w:sz w:val="18"/>
                      <w:szCs w:val="18"/>
                      <w:highlight w:val="none"/>
                    </w:rPr>
                  </w:pPr>
                  <w:r>
                    <w:rPr>
                      <w:rFonts w:hint="default"/>
                      <w:color w:val="auto"/>
                      <w:sz w:val="18"/>
                      <w:szCs w:val="18"/>
                      <w:highlight w:val="none"/>
                    </w:rPr>
                    <w:t>柱式危险废物贮存分区标志设置示意图</w:t>
                  </w:r>
                </w:p>
              </w:tc>
              <w:tc>
                <w:tcPr>
                  <w:tcW w:w="1592" w:type="pct"/>
                  <w:tcBorders>
                    <w:tl2br w:val="nil"/>
                    <w:tr2bl w:val="nil"/>
                  </w:tcBorders>
                  <w:noWrap w:val="0"/>
                  <w:vAlign w:val="center"/>
                </w:tcPr>
                <w:p w14:paraId="7C23C010">
                  <w:pPr>
                    <w:pStyle w:val="20"/>
                    <w:keepNext w:val="0"/>
                    <w:keepLines w:val="0"/>
                    <w:suppressLineNumbers w:val="0"/>
                    <w:spacing w:before="0" w:beforeAutospacing="0" w:after="0" w:afterAutospacing="0"/>
                    <w:ind w:left="0" w:leftChars="0" w:right="0" w:firstLine="0" w:firstLineChars="0"/>
                    <w:rPr>
                      <w:rFonts w:hint="default"/>
                      <w:color w:val="auto"/>
                      <w:sz w:val="18"/>
                      <w:szCs w:val="18"/>
                      <w:highlight w:val="none"/>
                    </w:rPr>
                  </w:pPr>
                  <w:r>
                    <w:rPr>
                      <w:rFonts w:hint="default"/>
                      <w:color w:val="auto"/>
                      <w:sz w:val="18"/>
                      <w:szCs w:val="18"/>
                      <w:highlight w:val="none"/>
                    </w:rPr>
                    <w:drawing>
                      <wp:inline distT="0" distB="0" distL="114300" distR="114300">
                        <wp:extent cx="1294765" cy="1109980"/>
                        <wp:effectExtent l="0" t="0" r="635" b="1397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37"/>
                                <a:stretch>
                                  <a:fillRect/>
                                </a:stretch>
                              </pic:blipFill>
                              <pic:spPr>
                                <a:xfrm>
                                  <a:off x="0" y="0"/>
                                  <a:ext cx="1294765" cy="1109980"/>
                                </a:xfrm>
                                <a:prstGeom prst="rect">
                                  <a:avLst/>
                                </a:prstGeom>
                                <a:noFill/>
                                <a:ln>
                                  <a:noFill/>
                                </a:ln>
                              </pic:spPr>
                            </pic:pic>
                          </a:graphicData>
                        </a:graphic>
                      </wp:inline>
                    </w:drawing>
                  </w:r>
                </w:p>
                <w:p w14:paraId="637E6C08">
                  <w:pPr>
                    <w:pStyle w:val="20"/>
                    <w:keepNext w:val="0"/>
                    <w:keepLines w:val="0"/>
                    <w:suppressLineNumbers w:val="0"/>
                    <w:spacing w:before="0" w:beforeAutospacing="0" w:after="0" w:afterAutospacing="0"/>
                    <w:ind w:left="0" w:leftChars="0" w:right="0" w:firstLine="0" w:firstLineChars="0"/>
                    <w:jc w:val="center"/>
                    <w:rPr>
                      <w:rFonts w:hint="default"/>
                      <w:color w:val="auto"/>
                      <w:sz w:val="18"/>
                      <w:szCs w:val="18"/>
                      <w:highlight w:val="none"/>
                    </w:rPr>
                  </w:pPr>
                  <w:r>
                    <w:rPr>
                      <w:rFonts w:hint="default"/>
                      <w:color w:val="auto"/>
                      <w:sz w:val="18"/>
                      <w:szCs w:val="18"/>
                      <w:highlight w:val="none"/>
                    </w:rPr>
                    <w:t>危险废物贮存分区标志</w:t>
                  </w:r>
                </w:p>
              </w:tc>
            </w:tr>
            <w:tr w14:paraId="27860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pct"/>
                  <w:tcBorders>
                    <w:tl2br w:val="nil"/>
                    <w:tr2bl w:val="nil"/>
                  </w:tcBorders>
                  <w:noWrap w:val="0"/>
                  <w:vAlign w:val="center"/>
                </w:tcPr>
                <w:p w14:paraId="47A4D850">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适用于危险废物存放区域的危险废物标签式样</w:t>
                  </w:r>
                </w:p>
              </w:tc>
              <w:tc>
                <w:tcPr>
                  <w:tcW w:w="4530" w:type="pct"/>
                  <w:gridSpan w:val="4"/>
                  <w:tcBorders>
                    <w:tl2br w:val="nil"/>
                    <w:tr2bl w:val="nil"/>
                  </w:tcBorders>
                  <w:noWrap w:val="0"/>
                  <w:vAlign w:val="center"/>
                </w:tcPr>
                <w:p w14:paraId="57775FF9">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drawing>
                      <wp:inline distT="0" distB="0" distL="114300" distR="114300">
                        <wp:extent cx="1837690" cy="1847850"/>
                        <wp:effectExtent l="0" t="0" r="10160" b="0"/>
                        <wp:docPr id="11" name="图片 11" descr="168973881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89738811852"/>
                                <pic:cNvPicPr>
                                  <a:picLocks noChangeAspect="1"/>
                                </pic:cNvPicPr>
                              </pic:nvPicPr>
                              <pic:blipFill>
                                <a:blip r:embed="rId38"/>
                                <a:stretch>
                                  <a:fillRect/>
                                </a:stretch>
                              </pic:blipFill>
                              <pic:spPr>
                                <a:xfrm>
                                  <a:off x="0" y="0"/>
                                  <a:ext cx="1837690" cy="1847850"/>
                                </a:xfrm>
                                <a:prstGeom prst="rect">
                                  <a:avLst/>
                                </a:prstGeom>
                                <a:noFill/>
                                <a:ln>
                                  <a:noFill/>
                                </a:ln>
                              </pic:spPr>
                            </pic:pic>
                          </a:graphicData>
                        </a:graphic>
                      </wp:inline>
                    </w:drawing>
                  </w:r>
                </w:p>
                <w:p w14:paraId="4399A958">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危险废物标签样式示意图</w:t>
                  </w:r>
                </w:p>
              </w:tc>
            </w:tr>
            <w:tr w14:paraId="73279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0" w:type="pct"/>
                  <w:tcBorders>
                    <w:tl2br w:val="nil"/>
                    <w:tr2bl w:val="nil"/>
                  </w:tcBorders>
                  <w:noWrap w:val="0"/>
                  <w:vAlign w:val="center"/>
                </w:tcPr>
                <w:p w14:paraId="1E9FA794">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适用于危险废物贮存设施的危险废物标签式样</w:t>
                  </w:r>
                </w:p>
              </w:tc>
              <w:tc>
                <w:tcPr>
                  <w:tcW w:w="2248" w:type="pct"/>
                  <w:gridSpan w:val="2"/>
                  <w:tcBorders>
                    <w:tl2br w:val="nil"/>
                    <w:tr2bl w:val="nil"/>
                  </w:tcBorders>
                  <w:noWrap w:val="0"/>
                  <w:vAlign w:val="center"/>
                </w:tcPr>
                <w:p w14:paraId="560CE169">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drawing>
                      <wp:inline distT="0" distB="0" distL="114300" distR="114300">
                        <wp:extent cx="1798955" cy="3870325"/>
                        <wp:effectExtent l="0" t="0" r="10795"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9"/>
                                <a:stretch>
                                  <a:fillRect/>
                                </a:stretch>
                              </pic:blipFill>
                              <pic:spPr>
                                <a:xfrm>
                                  <a:off x="0" y="0"/>
                                  <a:ext cx="1798955" cy="3870325"/>
                                </a:xfrm>
                                <a:prstGeom prst="rect">
                                  <a:avLst/>
                                </a:prstGeom>
                                <a:noFill/>
                                <a:ln>
                                  <a:noFill/>
                                </a:ln>
                              </pic:spPr>
                            </pic:pic>
                          </a:graphicData>
                        </a:graphic>
                      </wp:inline>
                    </w:drawing>
                  </w:r>
                </w:p>
                <w:p w14:paraId="30F8EDE5">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横版危险废物贮存、利用、处置设施标志样式示意图</w:t>
                  </w:r>
                </w:p>
              </w:tc>
              <w:tc>
                <w:tcPr>
                  <w:tcW w:w="2282" w:type="pct"/>
                  <w:gridSpan w:val="2"/>
                  <w:tcBorders>
                    <w:tl2br w:val="nil"/>
                    <w:tr2bl w:val="nil"/>
                  </w:tcBorders>
                  <w:noWrap w:val="0"/>
                  <w:vAlign w:val="center"/>
                </w:tcPr>
                <w:p w14:paraId="4D25DE9F">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drawing>
                      <wp:inline distT="0" distB="0" distL="114300" distR="114300">
                        <wp:extent cx="1771015" cy="2688590"/>
                        <wp:effectExtent l="0" t="0" r="635" b="1651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40"/>
                                <a:stretch>
                                  <a:fillRect/>
                                </a:stretch>
                              </pic:blipFill>
                              <pic:spPr>
                                <a:xfrm>
                                  <a:off x="0" y="0"/>
                                  <a:ext cx="1771015" cy="2688590"/>
                                </a:xfrm>
                                <a:prstGeom prst="rect">
                                  <a:avLst/>
                                </a:prstGeom>
                                <a:noFill/>
                                <a:ln>
                                  <a:noFill/>
                                </a:ln>
                              </pic:spPr>
                            </pic:pic>
                          </a:graphicData>
                        </a:graphic>
                      </wp:inline>
                    </w:drawing>
                  </w:r>
                </w:p>
                <w:p w14:paraId="26459EEF">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color w:val="auto"/>
                      <w:sz w:val="18"/>
                      <w:szCs w:val="18"/>
                      <w:highlight w:val="none"/>
                    </w:rPr>
                    <w:t>竖版危险废物贮存、利用、处置设施标志样式示意图</w:t>
                  </w:r>
                </w:p>
              </w:tc>
            </w:tr>
          </w:tbl>
          <w:p w14:paraId="05739A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3、</w:t>
            </w:r>
            <w:r>
              <w:rPr>
                <w:rFonts w:hint="default" w:ascii="Times New Roman" w:hAnsi="Times New Roman" w:cs="Times New Roman" w:eastAsiaTheme="minorEastAsia"/>
                <w:color w:val="auto"/>
                <w:sz w:val="21"/>
                <w:szCs w:val="21"/>
                <w:highlight w:val="none"/>
              </w:rPr>
              <w:t>环境监测计划</w:t>
            </w:r>
          </w:p>
          <w:p w14:paraId="549CDA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环境监控是对建设项目运行期的环境影响及环境保护措施进行监督和检查，并提出缓解环境恶化的对策与建议。</w:t>
            </w:r>
          </w:p>
          <w:p w14:paraId="03442D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（1）</w:t>
            </w:r>
            <w:r>
              <w:rPr>
                <w:rFonts w:hint="default" w:ascii="Times New Roman" w:hAnsi="Times New Roman" w:cs="Times New Roman" w:eastAsiaTheme="minorEastAsia"/>
                <w:color w:val="auto"/>
                <w:sz w:val="21"/>
                <w:szCs w:val="21"/>
                <w:highlight w:val="none"/>
              </w:rPr>
              <w:t>竣工验收监测</w:t>
            </w:r>
          </w:p>
          <w:p w14:paraId="785CE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本项目在取得环评批复、建设完工后，应及时取得环境监测机构对建设项目环保“三同时”设施监测数据，并自行组织竣工验收。建设项目竣工环境保护验收范围包括：</w:t>
            </w:r>
            <w:r>
              <w:rPr>
                <w:rFonts w:hint="eastAsia" w:ascii="Times New Roman" w:hAnsi="Times New Roman" w:cs="Times New Roman" w:eastAsiaTheme="minorEastAsia"/>
                <w:color w:val="auto"/>
                <w:sz w:val="21"/>
                <w:szCs w:val="21"/>
                <w:highlight w:val="none"/>
              </w:rPr>
              <w:t>①</w:t>
            </w:r>
            <w:r>
              <w:rPr>
                <w:rFonts w:hint="default" w:ascii="Times New Roman" w:hAnsi="Times New Roman" w:cs="Times New Roman" w:eastAsiaTheme="minorEastAsia"/>
                <w:color w:val="auto"/>
                <w:sz w:val="21"/>
                <w:szCs w:val="21"/>
                <w:highlight w:val="none"/>
              </w:rPr>
              <w:t>与建设项目有关的各项环境保护设施；</w:t>
            </w:r>
            <w:r>
              <w:rPr>
                <w:rFonts w:hint="eastAsia" w:ascii="Times New Roman" w:hAnsi="Times New Roman" w:cs="Times New Roman" w:eastAsiaTheme="minorEastAsia"/>
                <w:color w:val="auto"/>
                <w:sz w:val="21"/>
                <w:szCs w:val="21"/>
                <w:highlight w:val="none"/>
              </w:rPr>
              <w:t>②</w:t>
            </w:r>
            <w:r>
              <w:rPr>
                <w:rFonts w:hint="default" w:ascii="Times New Roman" w:hAnsi="Times New Roman" w:cs="Times New Roman" w:eastAsiaTheme="minorEastAsia"/>
                <w:color w:val="auto"/>
                <w:sz w:val="21"/>
                <w:szCs w:val="21"/>
                <w:highlight w:val="none"/>
              </w:rPr>
              <w:t>环境影响报告表和有关项目设计文件规定应采取的其他各项环境保护措施。</w:t>
            </w:r>
          </w:p>
          <w:p w14:paraId="54854B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（2）</w:t>
            </w:r>
            <w:r>
              <w:rPr>
                <w:rFonts w:hint="default" w:ascii="Times New Roman" w:hAnsi="Times New Roman" w:cs="Times New Roman" w:eastAsiaTheme="minorEastAsia"/>
                <w:color w:val="auto"/>
                <w:sz w:val="21"/>
                <w:szCs w:val="21"/>
                <w:highlight w:val="none"/>
              </w:rPr>
              <w:t>环境监测计划</w:t>
            </w:r>
          </w:p>
          <w:p w14:paraId="451F71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 xml:space="preserve">根据导则及《排污单位自行监测技术指南总则》  </w:t>
            </w:r>
            <w:r>
              <w:rPr>
                <w:rFonts w:hint="eastAsia"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rPr>
              <w:t>HJ819-2017</w:t>
            </w:r>
            <w:r>
              <w:rPr>
                <w:rFonts w:hint="eastAsia"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rPr>
              <w:t xml:space="preserve">《排污单位自行监测技术指南 </w:t>
            </w:r>
            <w:r>
              <w:rPr>
                <w:rFonts w:hint="eastAsia" w:ascii="Times New Roman" w:hAnsi="Times New Roman" w:cs="Times New Roman" w:eastAsiaTheme="minorEastAsia"/>
                <w:color w:val="auto"/>
                <w:sz w:val="21"/>
                <w:szCs w:val="21"/>
                <w:highlight w:val="none"/>
              </w:rPr>
              <w:t>储油库、加油站</w:t>
            </w:r>
            <w:r>
              <w:rPr>
                <w:rFonts w:hint="default" w:ascii="Times New Roman" w:hAnsi="Times New Roman" w:cs="Times New Roman" w:eastAsiaTheme="minorEastAsia"/>
                <w:color w:val="auto"/>
                <w:sz w:val="21"/>
                <w:szCs w:val="21"/>
                <w:highlight w:val="none"/>
              </w:rPr>
              <w:t>》</w:t>
            </w:r>
            <w:r>
              <w:rPr>
                <w:rFonts w:hint="eastAsia" w:ascii="Times New Roman" w:hAnsi="Times New Roman" w:cs="Times New Roman" w:eastAsiaTheme="minorEastAsia"/>
                <w:color w:val="auto"/>
                <w:sz w:val="21"/>
                <w:szCs w:val="21"/>
                <w:highlight w:val="none"/>
              </w:rPr>
              <w:t>（</w:t>
            </w:r>
            <w:r>
              <w:rPr>
                <w:rFonts w:hint="default" w:ascii="Times New Roman" w:hAnsi="Times New Roman" w:cs="Times New Roman" w:eastAsiaTheme="minorEastAsia"/>
                <w:color w:val="auto"/>
                <w:sz w:val="21"/>
                <w:szCs w:val="21"/>
                <w:highlight w:val="none"/>
              </w:rPr>
              <w:t>HJ</w:t>
            </w:r>
            <w:r>
              <w:rPr>
                <w:rFonts w:hint="eastAsia" w:ascii="Times New Roman" w:hAnsi="Times New Roman" w:cs="Times New Roman" w:eastAsiaTheme="minorEastAsia"/>
                <w:color w:val="auto"/>
                <w:sz w:val="21"/>
                <w:szCs w:val="21"/>
                <w:highlight w:val="none"/>
              </w:rPr>
              <w:t>1249</w:t>
            </w:r>
            <w:r>
              <w:rPr>
                <w:rFonts w:hint="default" w:ascii="Times New Roman" w:hAnsi="Times New Roman" w:cs="Times New Roman" w:eastAsiaTheme="minorEastAsia"/>
                <w:color w:val="auto"/>
                <w:sz w:val="21"/>
                <w:szCs w:val="21"/>
                <w:highlight w:val="none"/>
              </w:rPr>
              <w:t>-20</w:t>
            </w:r>
            <w:r>
              <w:rPr>
                <w:rFonts w:hint="eastAsia" w:ascii="Times New Roman" w:hAnsi="Times New Roman" w:cs="Times New Roman" w:eastAsiaTheme="minorEastAsia"/>
                <w:color w:val="auto"/>
                <w:sz w:val="21"/>
                <w:szCs w:val="21"/>
                <w:highlight w:val="none"/>
              </w:rPr>
              <w:t>22）</w:t>
            </w:r>
            <w:r>
              <w:rPr>
                <w:rFonts w:hint="default" w:ascii="Times New Roman" w:hAnsi="Times New Roman" w:cs="Times New Roman" w:eastAsiaTheme="minorEastAsia"/>
                <w:color w:val="auto"/>
                <w:sz w:val="21"/>
                <w:szCs w:val="21"/>
                <w:highlight w:val="none"/>
              </w:rPr>
              <w:t>要求，排污单位应查清所有污染源，确定主要污染源及主要监测指标，制定监测方案。本环评对该项目实行环境监测计划的建议如下：</w:t>
            </w:r>
          </w:p>
          <w:p w14:paraId="53A48941">
            <w:pPr>
              <w:keepNext w:val="0"/>
              <w:keepLines w:val="0"/>
              <w:suppressLineNumbers w:val="0"/>
              <w:spacing w:before="0" w:beforeAutospacing="0" w:after="0" w:afterAutospacing="0" w:line="360" w:lineRule="auto"/>
              <w:ind w:left="0" w:right="0" w:firstLine="402" w:firstLineChars="200"/>
              <w:jc w:val="center"/>
              <w:rPr>
                <w:rFonts w:hint="default" w:ascii="Times New Roman" w:hAnsi="Times New Roman" w:eastAsia="黑体" w:cs="Times New Roman"/>
                <w:b/>
                <w:bCs/>
                <w:color w:val="auto"/>
                <w:kern w:val="0"/>
                <w:sz w:val="20"/>
                <w:szCs w:val="20"/>
                <w:highlight w:val="none"/>
                <w:lang w:val="en-US" w:eastAsia="zh-CN" w:bidi="ar-SA"/>
              </w:rPr>
            </w:pPr>
            <w:r>
              <w:rPr>
                <w:rFonts w:hint="default" w:ascii="Times New Roman" w:hAnsi="Times New Roman" w:eastAsia="黑体" w:cs="Times New Roman"/>
                <w:b/>
                <w:bCs/>
                <w:color w:val="auto"/>
                <w:kern w:val="0"/>
                <w:sz w:val="20"/>
                <w:szCs w:val="20"/>
                <w:highlight w:val="none"/>
                <w:lang w:val="en-US" w:eastAsia="zh-CN" w:bidi="ar-SA"/>
              </w:rPr>
              <w:t>表5-</w:t>
            </w:r>
            <w:r>
              <w:rPr>
                <w:rFonts w:hint="eastAsia" w:ascii="Times New Roman" w:hAnsi="Times New Roman" w:eastAsia="黑体" w:cs="Times New Roman"/>
                <w:b/>
                <w:bCs/>
                <w:color w:val="auto"/>
                <w:kern w:val="0"/>
                <w:sz w:val="20"/>
                <w:szCs w:val="20"/>
                <w:highlight w:val="none"/>
                <w:lang w:val="en-US" w:eastAsia="zh-CN" w:bidi="ar-SA"/>
              </w:rPr>
              <w:t>2</w:t>
            </w:r>
            <w:r>
              <w:rPr>
                <w:rFonts w:hint="default" w:ascii="Times New Roman" w:hAnsi="Times New Roman" w:eastAsia="黑体" w:cs="Times New Roman"/>
                <w:b/>
                <w:bCs/>
                <w:color w:val="auto"/>
                <w:kern w:val="0"/>
                <w:sz w:val="20"/>
                <w:szCs w:val="20"/>
                <w:highlight w:val="none"/>
                <w:lang w:val="en-US" w:eastAsia="zh-CN" w:bidi="ar-SA"/>
              </w:rPr>
              <w:t xml:space="preserve"> 环境监测计划一览表。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879"/>
              <w:gridCol w:w="1961"/>
              <w:gridCol w:w="1760"/>
              <w:gridCol w:w="1050"/>
              <w:gridCol w:w="2187"/>
            </w:tblGrid>
            <w:tr w14:paraId="4809E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 w:type="pct"/>
                  <w:tcBorders>
                    <w:tl2br w:val="nil"/>
                    <w:tr2bl w:val="nil"/>
                  </w:tcBorders>
                  <w:noWrap w:val="0"/>
                  <w:vAlign w:val="center"/>
                </w:tcPr>
                <w:p w14:paraId="3D7F9C34">
                  <w:pPr>
                    <w:keepNext w:val="0"/>
                    <w:keepLines w:val="0"/>
                    <w:suppressLineNumbers w:val="0"/>
                    <w:bidi w:val="0"/>
                    <w:spacing w:before="0" w:beforeAutospacing="0" w:after="0" w:afterAutospacing="0" w:line="240" w:lineRule="auto"/>
                    <w:ind w:left="0" w:right="0"/>
                    <w:jc w:val="center"/>
                    <w:rPr>
                      <w:rFonts w:hint="eastAsia"/>
                      <w:b/>
                      <w:bCs/>
                      <w:color w:val="auto"/>
                      <w:sz w:val="18"/>
                      <w:szCs w:val="18"/>
                      <w:highlight w:val="none"/>
                    </w:rPr>
                  </w:pPr>
                  <w:r>
                    <w:rPr>
                      <w:rFonts w:hint="eastAsia"/>
                      <w:b/>
                      <w:bCs/>
                      <w:color w:val="auto"/>
                      <w:sz w:val="18"/>
                      <w:szCs w:val="18"/>
                      <w:highlight w:val="none"/>
                    </w:rPr>
                    <w:t>类别</w:t>
                  </w:r>
                </w:p>
              </w:tc>
              <w:tc>
                <w:tcPr>
                  <w:tcW w:w="521" w:type="pct"/>
                  <w:tcBorders>
                    <w:tl2br w:val="nil"/>
                    <w:tr2bl w:val="nil"/>
                  </w:tcBorders>
                  <w:noWrap w:val="0"/>
                  <w:vAlign w:val="center"/>
                </w:tcPr>
                <w:p w14:paraId="1E4A347E">
                  <w:pPr>
                    <w:keepNext w:val="0"/>
                    <w:keepLines w:val="0"/>
                    <w:suppressLineNumbers w:val="0"/>
                    <w:bidi w:val="0"/>
                    <w:spacing w:before="0" w:beforeAutospacing="0" w:after="0" w:afterAutospacing="0" w:line="240" w:lineRule="auto"/>
                    <w:ind w:left="0" w:right="0"/>
                    <w:jc w:val="center"/>
                    <w:rPr>
                      <w:rFonts w:hint="eastAsia"/>
                      <w:b/>
                      <w:bCs/>
                      <w:color w:val="auto"/>
                      <w:sz w:val="18"/>
                      <w:szCs w:val="18"/>
                      <w:highlight w:val="none"/>
                    </w:rPr>
                  </w:pPr>
                  <w:r>
                    <w:rPr>
                      <w:rFonts w:hint="eastAsia"/>
                      <w:b/>
                      <w:bCs/>
                      <w:color w:val="auto"/>
                      <w:sz w:val="18"/>
                      <w:szCs w:val="18"/>
                      <w:highlight w:val="none"/>
                    </w:rPr>
                    <w:t>污染源</w:t>
                  </w:r>
                </w:p>
              </w:tc>
              <w:tc>
                <w:tcPr>
                  <w:tcW w:w="1162" w:type="pct"/>
                  <w:tcBorders>
                    <w:tl2br w:val="nil"/>
                    <w:tr2bl w:val="nil"/>
                  </w:tcBorders>
                  <w:noWrap w:val="0"/>
                  <w:vAlign w:val="center"/>
                </w:tcPr>
                <w:p w14:paraId="46D73BC8">
                  <w:pPr>
                    <w:keepNext w:val="0"/>
                    <w:keepLines w:val="0"/>
                    <w:suppressLineNumbers w:val="0"/>
                    <w:bidi w:val="0"/>
                    <w:spacing w:before="0" w:beforeAutospacing="0" w:after="0" w:afterAutospacing="0" w:line="240" w:lineRule="auto"/>
                    <w:ind w:left="0" w:right="0"/>
                    <w:jc w:val="center"/>
                    <w:rPr>
                      <w:rFonts w:hint="eastAsia"/>
                      <w:b/>
                      <w:bCs/>
                      <w:color w:val="auto"/>
                      <w:sz w:val="18"/>
                      <w:szCs w:val="18"/>
                      <w:highlight w:val="none"/>
                    </w:rPr>
                  </w:pPr>
                  <w:r>
                    <w:rPr>
                      <w:rFonts w:hint="eastAsia"/>
                      <w:b/>
                      <w:bCs/>
                      <w:color w:val="auto"/>
                      <w:sz w:val="18"/>
                      <w:szCs w:val="18"/>
                      <w:highlight w:val="none"/>
                    </w:rPr>
                    <w:t>监测位置</w:t>
                  </w:r>
                </w:p>
              </w:tc>
              <w:tc>
                <w:tcPr>
                  <w:tcW w:w="1043" w:type="pct"/>
                  <w:tcBorders>
                    <w:tl2br w:val="nil"/>
                    <w:tr2bl w:val="nil"/>
                  </w:tcBorders>
                  <w:noWrap w:val="0"/>
                  <w:vAlign w:val="center"/>
                </w:tcPr>
                <w:p w14:paraId="02E049FA">
                  <w:pPr>
                    <w:keepNext w:val="0"/>
                    <w:keepLines w:val="0"/>
                    <w:suppressLineNumbers w:val="0"/>
                    <w:bidi w:val="0"/>
                    <w:spacing w:before="0" w:beforeAutospacing="0" w:after="0" w:afterAutospacing="0" w:line="240" w:lineRule="auto"/>
                    <w:ind w:left="0" w:right="0"/>
                    <w:jc w:val="center"/>
                    <w:rPr>
                      <w:rFonts w:hint="eastAsia"/>
                      <w:b/>
                      <w:bCs/>
                      <w:color w:val="auto"/>
                      <w:sz w:val="18"/>
                      <w:szCs w:val="18"/>
                      <w:highlight w:val="none"/>
                    </w:rPr>
                  </w:pPr>
                  <w:r>
                    <w:rPr>
                      <w:rFonts w:hint="eastAsia"/>
                      <w:b/>
                      <w:bCs/>
                      <w:color w:val="auto"/>
                      <w:sz w:val="18"/>
                      <w:szCs w:val="18"/>
                      <w:highlight w:val="none"/>
                    </w:rPr>
                    <w:t>监测因子</w:t>
                  </w:r>
                </w:p>
              </w:tc>
              <w:tc>
                <w:tcPr>
                  <w:tcW w:w="622" w:type="pct"/>
                  <w:tcBorders>
                    <w:tl2br w:val="nil"/>
                    <w:tr2bl w:val="nil"/>
                  </w:tcBorders>
                  <w:noWrap w:val="0"/>
                  <w:vAlign w:val="center"/>
                </w:tcPr>
                <w:p w14:paraId="451993D9">
                  <w:pPr>
                    <w:keepNext w:val="0"/>
                    <w:keepLines w:val="0"/>
                    <w:suppressLineNumbers w:val="0"/>
                    <w:bidi w:val="0"/>
                    <w:spacing w:before="0" w:beforeAutospacing="0" w:after="0" w:afterAutospacing="0" w:line="240" w:lineRule="auto"/>
                    <w:ind w:left="0" w:right="0"/>
                    <w:jc w:val="center"/>
                    <w:rPr>
                      <w:rFonts w:hint="eastAsia"/>
                      <w:b/>
                      <w:bCs/>
                      <w:color w:val="auto"/>
                      <w:sz w:val="18"/>
                      <w:szCs w:val="18"/>
                      <w:highlight w:val="none"/>
                    </w:rPr>
                  </w:pPr>
                  <w:r>
                    <w:rPr>
                      <w:rFonts w:hint="eastAsia"/>
                      <w:b/>
                      <w:bCs/>
                      <w:color w:val="auto"/>
                      <w:sz w:val="18"/>
                      <w:szCs w:val="18"/>
                      <w:highlight w:val="none"/>
                    </w:rPr>
                    <w:t>监测频率</w:t>
                  </w:r>
                </w:p>
              </w:tc>
              <w:tc>
                <w:tcPr>
                  <w:tcW w:w="1296" w:type="pct"/>
                  <w:tcBorders>
                    <w:tl2br w:val="nil"/>
                    <w:tr2bl w:val="nil"/>
                  </w:tcBorders>
                  <w:noWrap w:val="0"/>
                  <w:vAlign w:val="center"/>
                </w:tcPr>
                <w:p w14:paraId="3CD4B623">
                  <w:pPr>
                    <w:keepNext w:val="0"/>
                    <w:keepLines w:val="0"/>
                    <w:suppressLineNumbers w:val="0"/>
                    <w:bidi w:val="0"/>
                    <w:spacing w:before="0" w:beforeAutospacing="0" w:after="0" w:afterAutospacing="0" w:line="240" w:lineRule="auto"/>
                    <w:ind w:left="0" w:right="0"/>
                    <w:jc w:val="center"/>
                    <w:rPr>
                      <w:rFonts w:hint="eastAsia"/>
                      <w:b/>
                      <w:bCs/>
                      <w:color w:val="auto"/>
                      <w:sz w:val="18"/>
                      <w:szCs w:val="18"/>
                      <w:highlight w:val="none"/>
                    </w:rPr>
                  </w:pPr>
                  <w:r>
                    <w:rPr>
                      <w:rFonts w:hint="eastAsia"/>
                      <w:b/>
                      <w:bCs/>
                      <w:color w:val="auto"/>
                      <w:sz w:val="18"/>
                      <w:szCs w:val="18"/>
                      <w:highlight w:val="none"/>
                    </w:rPr>
                    <w:t>执行标准</w:t>
                  </w:r>
                </w:p>
              </w:tc>
            </w:tr>
            <w:tr w14:paraId="4C377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 w:type="pct"/>
                  <w:vMerge w:val="restart"/>
                  <w:tcBorders>
                    <w:tl2br w:val="nil"/>
                    <w:tr2bl w:val="nil"/>
                  </w:tcBorders>
                  <w:noWrap w:val="0"/>
                  <w:vAlign w:val="center"/>
                </w:tcPr>
                <w:p w14:paraId="3CD4D926">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废气</w:t>
                  </w:r>
                </w:p>
              </w:tc>
              <w:tc>
                <w:tcPr>
                  <w:tcW w:w="521" w:type="pct"/>
                  <w:vMerge w:val="restart"/>
                  <w:tcBorders>
                    <w:tl2br w:val="nil"/>
                    <w:tr2bl w:val="nil"/>
                  </w:tcBorders>
                  <w:noWrap w:val="0"/>
                  <w:vAlign w:val="center"/>
                </w:tcPr>
                <w:p w14:paraId="5DE358C4">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卸油、储油、加油</w:t>
                  </w:r>
                </w:p>
              </w:tc>
              <w:tc>
                <w:tcPr>
                  <w:tcW w:w="1162" w:type="pct"/>
                  <w:tcBorders>
                    <w:tl2br w:val="nil"/>
                    <w:tr2bl w:val="nil"/>
                  </w:tcBorders>
                  <w:noWrap w:val="0"/>
                  <w:vAlign w:val="center"/>
                </w:tcPr>
                <w:p w14:paraId="5560A1BC">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加油站场界</w:t>
                  </w:r>
                </w:p>
              </w:tc>
              <w:tc>
                <w:tcPr>
                  <w:tcW w:w="1043" w:type="pct"/>
                  <w:tcBorders>
                    <w:tl2br w:val="nil"/>
                    <w:tr2bl w:val="nil"/>
                  </w:tcBorders>
                  <w:noWrap w:val="0"/>
                  <w:vAlign w:val="center"/>
                </w:tcPr>
                <w:p w14:paraId="08B6A19F">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非甲烷总烃</w:t>
                  </w:r>
                </w:p>
              </w:tc>
              <w:tc>
                <w:tcPr>
                  <w:tcW w:w="622" w:type="pct"/>
                  <w:tcBorders>
                    <w:tl2br w:val="nil"/>
                    <w:tr2bl w:val="nil"/>
                  </w:tcBorders>
                  <w:noWrap w:val="0"/>
                  <w:vAlign w:val="center"/>
                </w:tcPr>
                <w:p w14:paraId="25445CBC">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default"/>
                      <w:color w:val="auto"/>
                      <w:sz w:val="18"/>
                      <w:szCs w:val="18"/>
                      <w:highlight w:val="none"/>
                    </w:rPr>
                    <w:t>1次/</w:t>
                  </w:r>
                  <w:r>
                    <w:rPr>
                      <w:rFonts w:hint="eastAsia"/>
                      <w:color w:val="auto"/>
                      <w:sz w:val="18"/>
                      <w:szCs w:val="18"/>
                      <w:highlight w:val="none"/>
                    </w:rPr>
                    <w:t>年</w:t>
                  </w:r>
                </w:p>
              </w:tc>
              <w:tc>
                <w:tcPr>
                  <w:tcW w:w="1296" w:type="pct"/>
                  <w:vMerge w:val="restart"/>
                  <w:tcBorders>
                    <w:tl2br w:val="nil"/>
                    <w:tr2bl w:val="nil"/>
                  </w:tcBorders>
                  <w:noWrap w:val="0"/>
                  <w:vAlign w:val="center"/>
                </w:tcPr>
                <w:p w14:paraId="7E60CE61">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default"/>
                      <w:color w:val="auto"/>
                      <w:sz w:val="18"/>
                      <w:szCs w:val="18"/>
                      <w:highlight w:val="none"/>
                    </w:rPr>
                    <w:t xml:space="preserve">《四川省加油站大气污染物排放标准》 </w:t>
                  </w:r>
                  <w:r>
                    <w:rPr>
                      <w:rFonts w:hint="eastAsia"/>
                      <w:color w:val="auto"/>
                      <w:sz w:val="18"/>
                      <w:szCs w:val="18"/>
                      <w:highlight w:val="none"/>
                    </w:rPr>
                    <w:t>（</w:t>
                  </w:r>
                  <w:r>
                    <w:rPr>
                      <w:rFonts w:hint="default"/>
                      <w:color w:val="auto"/>
                      <w:sz w:val="18"/>
                      <w:szCs w:val="18"/>
                      <w:highlight w:val="none"/>
                    </w:rPr>
                    <w:t>DB51/2865 -2021</w:t>
                  </w:r>
                  <w:r>
                    <w:rPr>
                      <w:rFonts w:hint="eastAsia"/>
                      <w:color w:val="auto"/>
                      <w:sz w:val="18"/>
                      <w:szCs w:val="18"/>
                      <w:highlight w:val="none"/>
                    </w:rPr>
                    <w:t>）</w:t>
                  </w:r>
                </w:p>
              </w:tc>
            </w:tr>
            <w:tr w14:paraId="19DA2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 w:type="pct"/>
                  <w:vMerge w:val="continue"/>
                  <w:tcBorders>
                    <w:tl2br w:val="nil"/>
                    <w:tr2bl w:val="nil"/>
                  </w:tcBorders>
                  <w:noWrap w:val="0"/>
                  <w:vAlign w:val="center"/>
                </w:tcPr>
                <w:p w14:paraId="4AC1E95C">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p>
              </w:tc>
              <w:tc>
                <w:tcPr>
                  <w:tcW w:w="521" w:type="pct"/>
                  <w:vMerge w:val="continue"/>
                  <w:tcBorders>
                    <w:tl2br w:val="nil"/>
                    <w:tr2bl w:val="nil"/>
                  </w:tcBorders>
                  <w:noWrap w:val="0"/>
                  <w:vAlign w:val="center"/>
                </w:tcPr>
                <w:p w14:paraId="5E19C882">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p>
              </w:tc>
              <w:tc>
                <w:tcPr>
                  <w:tcW w:w="1162" w:type="pct"/>
                  <w:tcBorders>
                    <w:tl2br w:val="nil"/>
                    <w:tr2bl w:val="nil"/>
                  </w:tcBorders>
                  <w:noWrap w:val="0"/>
                  <w:vAlign w:val="center"/>
                </w:tcPr>
                <w:p w14:paraId="5A2B2FE7">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default"/>
                      <w:color w:val="auto"/>
                      <w:sz w:val="18"/>
                      <w:szCs w:val="18"/>
                      <w:highlight w:val="none"/>
                    </w:rPr>
                    <w:t>油气处理装置</w:t>
                  </w:r>
                  <w:r>
                    <w:rPr>
                      <w:rFonts w:hint="eastAsia"/>
                      <w:color w:val="auto"/>
                      <w:sz w:val="18"/>
                      <w:szCs w:val="18"/>
                      <w:highlight w:val="none"/>
                    </w:rPr>
                    <w:t>排气筒</w:t>
                  </w:r>
                </w:p>
              </w:tc>
              <w:tc>
                <w:tcPr>
                  <w:tcW w:w="1043" w:type="pct"/>
                  <w:tcBorders>
                    <w:tl2br w:val="nil"/>
                    <w:tr2bl w:val="nil"/>
                  </w:tcBorders>
                  <w:noWrap w:val="0"/>
                  <w:vAlign w:val="center"/>
                </w:tcPr>
                <w:p w14:paraId="2617E975">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非甲烷总烃</w:t>
                  </w:r>
                </w:p>
              </w:tc>
              <w:tc>
                <w:tcPr>
                  <w:tcW w:w="622" w:type="pct"/>
                  <w:tcBorders>
                    <w:tl2br w:val="nil"/>
                    <w:tr2bl w:val="nil"/>
                  </w:tcBorders>
                  <w:noWrap w:val="0"/>
                  <w:vAlign w:val="center"/>
                </w:tcPr>
                <w:p w14:paraId="1ABFDFBC">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default"/>
                      <w:color w:val="auto"/>
                      <w:sz w:val="18"/>
                      <w:szCs w:val="18"/>
                      <w:highlight w:val="none"/>
                    </w:rPr>
                    <w:t>1次/</w:t>
                  </w:r>
                  <w:r>
                    <w:rPr>
                      <w:rFonts w:hint="eastAsia"/>
                      <w:color w:val="auto"/>
                      <w:sz w:val="18"/>
                      <w:szCs w:val="18"/>
                      <w:highlight w:val="none"/>
                    </w:rPr>
                    <w:t>年</w:t>
                  </w:r>
                </w:p>
              </w:tc>
              <w:tc>
                <w:tcPr>
                  <w:tcW w:w="1296" w:type="pct"/>
                  <w:vMerge w:val="continue"/>
                  <w:tcBorders>
                    <w:tl2br w:val="nil"/>
                    <w:tr2bl w:val="nil"/>
                  </w:tcBorders>
                  <w:noWrap w:val="0"/>
                  <w:vAlign w:val="center"/>
                </w:tcPr>
                <w:p w14:paraId="20703048">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p>
              </w:tc>
            </w:tr>
            <w:tr w14:paraId="3C261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 w:type="pct"/>
                  <w:vMerge w:val="continue"/>
                  <w:tcBorders>
                    <w:tl2br w:val="nil"/>
                    <w:tr2bl w:val="nil"/>
                  </w:tcBorders>
                  <w:noWrap w:val="0"/>
                  <w:vAlign w:val="center"/>
                </w:tcPr>
                <w:p w14:paraId="2120B165">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p>
              </w:tc>
              <w:tc>
                <w:tcPr>
                  <w:tcW w:w="521" w:type="pct"/>
                  <w:vMerge w:val="continue"/>
                  <w:tcBorders>
                    <w:tl2br w:val="nil"/>
                    <w:tr2bl w:val="nil"/>
                  </w:tcBorders>
                  <w:noWrap w:val="0"/>
                  <w:vAlign w:val="center"/>
                </w:tcPr>
                <w:p w14:paraId="0625F50E">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p>
              </w:tc>
              <w:tc>
                <w:tcPr>
                  <w:tcW w:w="1162" w:type="pct"/>
                  <w:tcBorders>
                    <w:tl2br w:val="nil"/>
                    <w:tr2bl w:val="nil"/>
                  </w:tcBorders>
                  <w:noWrap w:val="0"/>
                  <w:vAlign w:val="center"/>
                </w:tcPr>
                <w:p w14:paraId="16054236">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油气回收系统密闭点</w:t>
                  </w:r>
                </w:p>
              </w:tc>
              <w:tc>
                <w:tcPr>
                  <w:tcW w:w="1043" w:type="pct"/>
                  <w:tcBorders>
                    <w:tl2br w:val="nil"/>
                    <w:tr2bl w:val="nil"/>
                  </w:tcBorders>
                  <w:noWrap w:val="0"/>
                  <w:vAlign w:val="center"/>
                </w:tcPr>
                <w:p w14:paraId="50783C60">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lang w:eastAsia="zh-CN"/>
                    </w:rPr>
                    <w:t>泄漏检测值</w:t>
                  </w:r>
                </w:p>
              </w:tc>
              <w:tc>
                <w:tcPr>
                  <w:tcW w:w="622" w:type="pct"/>
                  <w:tcBorders>
                    <w:tl2br w:val="nil"/>
                    <w:tr2bl w:val="nil"/>
                  </w:tcBorders>
                  <w:noWrap w:val="0"/>
                  <w:vAlign w:val="center"/>
                </w:tcPr>
                <w:p w14:paraId="4F551645">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default"/>
                      <w:color w:val="auto"/>
                      <w:sz w:val="18"/>
                      <w:szCs w:val="18"/>
                      <w:highlight w:val="none"/>
                    </w:rPr>
                    <w:t>1次/</w:t>
                  </w:r>
                  <w:r>
                    <w:rPr>
                      <w:rFonts w:hint="eastAsia"/>
                      <w:color w:val="auto"/>
                      <w:sz w:val="18"/>
                      <w:szCs w:val="18"/>
                      <w:highlight w:val="none"/>
                    </w:rPr>
                    <w:t>年</w:t>
                  </w:r>
                </w:p>
              </w:tc>
              <w:tc>
                <w:tcPr>
                  <w:tcW w:w="1296" w:type="pct"/>
                  <w:vMerge w:val="continue"/>
                  <w:tcBorders>
                    <w:tl2br w:val="nil"/>
                    <w:tr2bl w:val="nil"/>
                  </w:tcBorders>
                  <w:noWrap w:val="0"/>
                  <w:vAlign w:val="center"/>
                </w:tcPr>
                <w:p w14:paraId="021D83C4">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p>
              </w:tc>
            </w:tr>
            <w:tr w14:paraId="51321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 w:type="pct"/>
                  <w:vMerge w:val="continue"/>
                  <w:tcBorders>
                    <w:tl2br w:val="nil"/>
                    <w:tr2bl w:val="nil"/>
                  </w:tcBorders>
                  <w:noWrap w:val="0"/>
                  <w:vAlign w:val="center"/>
                </w:tcPr>
                <w:p w14:paraId="163B9F98">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p>
              </w:tc>
              <w:tc>
                <w:tcPr>
                  <w:tcW w:w="521" w:type="pct"/>
                  <w:vMerge w:val="continue"/>
                  <w:tcBorders>
                    <w:tl2br w:val="nil"/>
                    <w:tr2bl w:val="nil"/>
                  </w:tcBorders>
                  <w:noWrap w:val="0"/>
                  <w:vAlign w:val="center"/>
                </w:tcPr>
                <w:p w14:paraId="1139BB5D">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p>
              </w:tc>
              <w:tc>
                <w:tcPr>
                  <w:tcW w:w="1162" w:type="pct"/>
                  <w:tcBorders>
                    <w:tl2br w:val="nil"/>
                    <w:tr2bl w:val="nil"/>
                  </w:tcBorders>
                  <w:noWrap w:val="0"/>
                  <w:vAlign w:val="center"/>
                </w:tcPr>
                <w:p w14:paraId="533535DC">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加油油气回收立管</w:t>
                  </w:r>
                </w:p>
              </w:tc>
              <w:tc>
                <w:tcPr>
                  <w:tcW w:w="1043" w:type="pct"/>
                  <w:tcBorders>
                    <w:tl2br w:val="nil"/>
                    <w:tr2bl w:val="nil"/>
                  </w:tcBorders>
                  <w:noWrap w:val="0"/>
                  <w:vAlign w:val="center"/>
                </w:tcPr>
                <w:p w14:paraId="49C11C84">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液阻、密闭性</w:t>
                  </w:r>
                </w:p>
              </w:tc>
              <w:tc>
                <w:tcPr>
                  <w:tcW w:w="622" w:type="pct"/>
                  <w:tcBorders>
                    <w:tl2br w:val="nil"/>
                    <w:tr2bl w:val="nil"/>
                  </w:tcBorders>
                  <w:noWrap w:val="0"/>
                  <w:vAlign w:val="center"/>
                </w:tcPr>
                <w:p w14:paraId="765C173B">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default"/>
                      <w:color w:val="auto"/>
                      <w:sz w:val="18"/>
                      <w:szCs w:val="18"/>
                      <w:highlight w:val="none"/>
                    </w:rPr>
                    <w:t>1次/</w:t>
                  </w:r>
                  <w:r>
                    <w:rPr>
                      <w:rFonts w:hint="eastAsia"/>
                      <w:color w:val="auto"/>
                      <w:sz w:val="18"/>
                      <w:szCs w:val="18"/>
                      <w:highlight w:val="none"/>
                    </w:rPr>
                    <w:t>年</w:t>
                  </w:r>
                </w:p>
              </w:tc>
              <w:tc>
                <w:tcPr>
                  <w:tcW w:w="1296" w:type="pct"/>
                  <w:vMerge w:val="continue"/>
                  <w:tcBorders>
                    <w:tl2br w:val="nil"/>
                    <w:tr2bl w:val="nil"/>
                  </w:tcBorders>
                  <w:noWrap w:val="0"/>
                  <w:vAlign w:val="center"/>
                </w:tcPr>
                <w:p w14:paraId="6D05F0A0">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p>
              </w:tc>
            </w:tr>
            <w:tr w14:paraId="1920E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 w:type="pct"/>
                  <w:vMerge w:val="continue"/>
                  <w:tcBorders>
                    <w:tl2br w:val="nil"/>
                    <w:tr2bl w:val="nil"/>
                  </w:tcBorders>
                  <w:noWrap w:val="0"/>
                  <w:vAlign w:val="center"/>
                </w:tcPr>
                <w:p w14:paraId="386B0824">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p>
              </w:tc>
              <w:tc>
                <w:tcPr>
                  <w:tcW w:w="521" w:type="pct"/>
                  <w:vMerge w:val="continue"/>
                  <w:tcBorders>
                    <w:tl2br w:val="nil"/>
                    <w:tr2bl w:val="nil"/>
                  </w:tcBorders>
                  <w:noWrap w:val="0"/>
                  <w:vAlign w:val="center"/>
                </w:tcPr>
                <w:p w14:paraId="1775C0ED">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p>
              </w:tc>
              <w:tc>
                <w:tcPr>
                  <w:tcW w:w="1162" w:type="pct"/>
                  <w:tcBorders>
                    <w:tl2br w:val="nil"/>
                    <w:tr2bl w:val="nil"/>
                  </w:tcBorders>
                  <w:noWrap w:val="0"/>
                  <w:vAlign w:val="center"/>
                </w:tcPr>
                <w:p w14:paraId="79BA484B">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加油枪喷管</w:t>
                  </w:r>
                </w:p>
              </w:tc>
              <w:tc>
                <w:tcPr>
                  <w:tcW w:w="1043" w:type="pct"/>
                  <w:tcBorders>
                    <w:tl2br w:val="nil"/>
                    <w:tr2bl w:val="nil"/>
                  </w:tcBorders>
                  <w:noWrap w:val="0"/>
                  <w:vAlign w:val="center"/>
                </w:tcPr>
                <w:p w14:paraId="0AB256FA">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气液比</w:t>
                  </w:r>
                </w:p>
              </w:tc>
              <w:tc>
                <w:tcPr>
                  <w:tcW w:w="622" w:type="pct"/>
                  <w:tcBorders>
                    <w:tl2br w:val="nil"/>
                    <w:tr2bl w:val="nil"/>
                  </w:tcBorders>
                  <w:noWrap w:val="0"/>
                  <w:vAlign w:val="center"/>
                </w:tcPr>
                <w:p w14:paraId="71433CE4">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default"/>
                      <w:color w:val="auto"/>
                      <w:sz w:val="18"/>
                      <w:szCs w:val="18"/>
                      <w:highlight w:val="none"/>
                    </w:rPr>
                    <w:t>1次/</w:t>
                  </w:r>
                  <w:r>
                    <w:rPr>
                      <w:rFonts w:hint="eastAsia"/>
                      <w:color w:val="auto"/>
                      <w:sz w:val="18"/>
                      <w:szCs w:val="18"/>
                      <w:highlight w:val="none"/>
                    </w:rPr>
                    <w:t>年</w:t>
                  </w:r>
                </w:p>
              </w:tc>
              <w:tc>
                <w:tcPr>
                  <w:tcW w:w="1296" w:type="pct"/>
                  <w:vMerge w:val="continue"/>
                  <w:tcBorders>
                    <w:tl2br w:val="nil"/>
                    <w:tr2bl w:val="nil"/>
                  </w:tcBorders>
                  <w:noWrap w:val="0"/>
                  <w:vAlign w:val="center"/>
                </w:tcPr>
                <w:p w14:paraId="6EC6CD5C">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p>
              </w:tc>
            </w:tr>
            <w:tr w14:paraId="27F03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 w:type="pct"/>
                  <w:tcBorders>
                    <w:tl2br w:val="nil"/>
                    <w:tr2bl w:val="nil"/>
                  </w:tcBorders>
                  <w:noWrap w:val="0"/>
                  <w:vAlign w:val="center"/>
                </w:tcPr>
                <w:p w14:paraId="4C56C1A7">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噪声</w:t>
                  </w:r>
                </w:p>
              </w:tc>
              <w:tc>
                <w:tcPr>
                  <w:tcW w:w="521" w:type="pct"/>
                  <w:tcBorders>
                    <w:tl2br w:val="nil"/>
                    <w:tr2bl w:val="nil"/>
                  </w:tcBorders>
                  <w:noWrap w:val="0"/>
                  <w:vAlign w:val="center"/>
                </w:tcPr>
                <w:p w14:paraId="30B4A691">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设备运行噪声</w:t>
                  </w:r>
                </w:p>
              </w:tc>
              <w:tc>
                <w:tcPr>
                  <w:tcW w:w="1162" w:type="pct"/>
                  <w:tcBorders>
                    <w:tl2br w:val="nil"/>
                    <w:tr2bl w:val="nil"/>
                  </w:tcBorders>
                  <w:noWrap w:val="0"/>
                  <w:vAlign w:val="center"/>
                </w:tcPr>
                <w:p w14:paraId="6DBA43C1">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场界外1m</w:t>
                  </w:r>
                </w:p>
              </w:tc>
              <w:tc>
                <w:tcPr>
                  <w:tcW w:w="1043" w:type="pct"/>
                  <w:tcBorders>
                    <w:tl2br w:val="nil"/>
                    <w:tr2bl w:val="nil"/>
                  </w:tcBorders>
                  <w:noWrap w:val="0"/>
                  <w:vAlign w:val="center"/>
                </w:tcPr>
                <w:p w14:paraId="1235613B">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default"/>
                      <w:color w:val="auto"/>
                      <w:sz w:val="18"/>
                      <w:szCs w:val="18"/>
                      <w:highlight w:val="none"/>
                    </w:rPr>
                    <w:t>等效连续</w:t>
                  </w:r>
                  <w:r>
                    <w:rPr>
                      <w:rFonts w:hint="eastAsia"/>
                      <w:color w:val="auto"/>
                      <w:sz w:val="18"/>
                      <w:szCs w:val="18"/>
                      <w:highlight w:val="none"/>
                    </w:rPr>
                    <w:t>A</w:t>
                  </w:r>
                  <w:r>
                    <w:rPr>
                      <w:rFonts w:hint="default"/>
                      <w:color w:val="auto"/>
                      <w:sz w:val="18"/>
                      <w:szCs w:val="18"/>
                      <w:highlight w:val="none"/>
                    </w:rPr>
                    <w:t>声级</w:t>
                  </w:r>
                </w:p>
              </w:tc>
              <w:tc>
                <w:tcPr>
                  <w:tcW w:w="622" w:type="pct"/>
                  <w:tcBorders>
                    <w:tl2br w:val="nil"/>
                    <w:tr2bl w:val="nil"/>
                  </w:tcBorders>
                  <w:noWrap w:val="0"/>
                  <w:vAlign w:val="center"/>
                </w:tcPr>
                <w:p w14:paraId="1B64D24C">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1次/季</w:t>
                  </w:r>
                </w:p>
              </w:tc>
              <w:tc>
                <w:tcPr>
                  <w:tcW w:w="1296" w:type="pct"/>
                  <w:tcBorders>
                    <w:tl2br w:val="nil"/>
                    <w:tr2bl w:val="nil"/>
                  </w:tcBorders>
                  <w:noWrap w:val="0"/>
                  <w:vAlign w:val="center"/>
                </w:tcPr>
                <w:p w14:paraId="1E42537F">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default"/>
                      <w:color w:val="auto"/>
                      <w:sz w:val="18"/>
                      <w:szCs w:val="18"/>
                      <w:highlight w:val="none"/>
                    </w:rPr>
                    <w:t>《工业企业厂界环境噪声排放标准》</w:t>
                  </w:r>
                  <w:r>
                    <w:rPr>
                      <w:rFonts w:hint="eastAsia"/>
                      <w:color w:val="auto"/>
                      <w:sz w:val="18"/>
                      <w:szCs w:val="18"/>
                      <w:highlight w:val="none"/>
                    </w:rPr>
                    <w:t>（</w:t>
                  </w:r>
                  <w:r>
                    <w:rPr>
                      <w:rFonts w:hint="default"/>
                      <w:color w:val="auto"/>
                      <w:sz w:val="18"/>
                      <w:szCs w:val="18"/>
                      <w:highlight w:val="none"/>
                    </w:rPr>
                    <w:t>GB12348-2008</w:t>
                  </w:r>
                  <w:r>
                    <w:rPr>
                      <w:rFonts w:hint="eastAsia"/>
                      <w:color w:val="auto"/>
                      <w:sz w:val="18"/>
                      <w:szCs w:val="18"/>
                      <w:highlight w:val="none"/>
                    </w:rPr>
                    <w:t>）</w:t>
                  </w:r>
                  <w:r>
                    <w:rPr>
                      <w:rFonts w:hint="default"/>
                      <w:color w:val="auto"/>
                      <w:sz w:val="18"/>
                      <w:szCs w:val="18"/>
                      <w:highlight w:val="none"/>
                    </w:rPr>
                    <w:t>2类标准</w:t>
                  </w:r>
                </w:p>
              </w:tc>
            </w:tr>
            <w:tr w14:paraId="5F057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4" w:type="pct"/>
                  <w:tcBorders>
                    <w:tl2br w:val="nil"/>
                    <w:tr2bl w:val="nil"/>
                  </w:tcBorders>
                  <w:noWrap w:val="0"/>
                  <w:vAlign w:val="center"/>
                </w:tcPr>
                <w:p w14:paraId="29475303">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地下水</w:t>
                  </w:r>
                </w:p>
              </w:tc>
              <w:tc>
                <w:tcPr>
                  <w:tcW w:w="521" w:type="pct"/>
                  <w:tcBorders>
                    <w:tl2br w:val="nil"/>
                    <w:tr2bl w:val="nil"/>
                  </w:tcBorders>
                  <w:noWrap w:val="0"/>
                  <w:vAlign w:val="center"/>
                </w:tcPr>
                <w:p w14:paraId="34B4417D">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w:t>
                  </w:r>
                </w:p>
              </w:tc>
              <w:tc>
                <w:tcPr>
                  <w:tcW w:w="1162" w:type="pct"/>
                  <w:tcBorders>
                    <w:tl2br w:val="nil"/>
                    <w:tr2bl w:val="nil"/>
                  </w:tcBorders>
                  <w:noWrap w:val="0"/>
                  <w:vAlign w:val="center"/>
                </w:tcPr>
                <w:p w14:paraId="63CE6560">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eastAsia"/>
                      <w:color w:val="auto"/>
                      <w:sz w:val="18"/>
                      <w:szCs w:val="18"/>
                      <w:highlight w:val="none"/>
                    </w:rPr>
                    <w:t>站址下游跟踪监测井</w:t>
                  </w:r>
                </w:p>
              </w:tc>
              <w:tc>
                <w:tcPr>
                  <w:tcW w:w="1043" w:type="pct"/>
                  <w:tcBorders>
                    <w:tl2br w:val="nil"/>
                    <w:tr2bl w:val="nil"/>
                  </w:tcBorders>
                  <w:noWrap w:val="0"/>
                  <w:vAlign w:val="center"/>
                </w:tcPr>
                <w:p w14:paraId="241001A6">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default"/>
                      <w:color w:val="auto"/>
                      <w:sz w:val="18"/>
                      <w:szCs w:val="18"/>
                      <w:highlight w:val="none"/>
                    </w:rPr>
                    <w:t>石油类、石油烃（C6~C9）、石油烃（C</w:t>
                  </w:r>
                  <w:r>
                    <w:rPr>
                      <w:rFonts w:hint="eastAsia"/>
                      <w:color w:val="auto"/>
                      <w:sz w:val="18"/>
                      <w:szCs w:val="18"/>
                      <w:highlight w:val="none"/>
                    </w:rPr>
                    <w:t>10</w:t>
                  </w:r>
                  <w:r>
                    <w:rPr>
                      <w:rFonts w:hint="default"/>
                      <w:color w:val="auto"/>
                      <w:sz w:val="18"/>
                      <w:szCs w:val="18"/>
                      <w:highlight w:val="none"/>
                    </w:rPr>
                    <w:t>~C</w:t>
                  </w:r>
                  <w:r>
                    <w:rPr>
                      <w:rFonts w:hint="eastAsia"/>
                      <w:color w:val="auto"/>
                      <w:sz w:val="18"/>
                      <w:szCs w:val="18"/>
                      <w:highlight w:val="none"/>
                    </w:rPr>
                    <w:t>40</w:t>
                  </w:r>
                  <w:r>
                    <w:rPr>
                      <w:rFonts w:hint="default"/>
                      <w:color w:val="auto"/>
                      <w:sz w:val="18"/>
                      <w:szCs w:val="18"/>
                      <w:highlight w:val="none"/>
                    </w:rPr>
                    <w:t>）、</w:t>
                  </w:r>
                  <w:r>
                    <w:rPr>
                      <w:rFonts w:hint="eastAsia"/>
                      <w:color w:val="auto"/>
                      <w:sz w:val="18"/>
                      <w:szCs w:val="18"/>
                      <w:highlight w:val="none"/>
                    </w:rPr>
                    <w:t>甲基叔丁基醚</w:t>
                  </w:r>
                </w:p>
              </w:tc>
              <w:tc>
                <w:tcPr>
                  <w:tcW w:w="622" w:type="pct"/>
                  <w:tcBorders>
                    <w:tl2br w:val="nil"/>
                    <w:tr2bl w:val="nil"/>
                  </w:tcBorders>
                  <w:noWrap w:val="0"/>
                  <w:vAlign w:val="center"/>
                </w:tcPr>
                <w:p w14:paraId="1AF78F30">
                  <w:pPr>
                    <w:keepNext w:val="0"/>
                    <w:keepLines w:val="0"/>
                    <w:suppressLineNumbers w:val="0"/>
                    <w:bidi w:val="0"/>
                    <w:spacing w:before="0" w:beforeAutospacing="0" w:after="0" w:afterAutospacing="0" w:line="240" w:lineRule="auto"/>
                    <w:ind w:left="0" w:right="0"/>
                    <w:jc w:val="center"/>
                    <w:rPr>
                      <w:rFonts w:hint="default"/>
                      <w:color w:val="auto"/>
                      <w:sz w:val="18"/>
                      <w:szCs w:val="18"/>
                      <w:highlight w:val="none"/>
                    </w:rPr>
                  </w:pPr>
                  <w:r>
                    <w:rPr>
                      <w:rFonts w:hint="default"/>
                      <w:color w:val="auto"/>
                      <w:sz w:val="18"/>
                      <w:szCs w:val="18"/>
                      <w:highlight w:val="none"/>
                    </w:rPr>
                    <w:t>1次/</w:t>
                  </w:r>
                  <w:r>
                    <w:rPr>
                      <w:rFonts w:hint="eastAsia"/>
                      <w:color w:val="auto"/>
                      <w:sz w:val="18"/>
                      <w:szCs w:val="18"/>
                      <w:highlight w:val="none"/>
                    </w:rPr>
                    <w:t>半</w:t>
                  </w:r>
                  <w:r>
                    <w:rPr>
                      <w:rFonts w:hint="default"/>
                      <w:color w:val="auto"/>
                      <w:sz w:val="18"/>
                      <w:szCs w:val="18"/>
                      <w:highlight w:val="none"/>
                    </w:rPr>
                    <w:t>年</w:t>
                  </w:r>
                </w:p>
              </w:tc>
              <w:tc>
                <w:tcPr>
                  <w:tcW w:w="1296" w:type="pct"/>
                  <w:tcBorders>
                    <w:tl2br w:val="nil"/>
                    <w:tr2bl w:val="nil"/>
                  </w:tcBorders>
                  <w:noWrap w:val="0"/>
                  <w:vAlign w:val="center"/>
                </w:tcPr>
                <w:p w14:paraId="2D39745D">
                  <w:pPr>
                    <w:keepNext w:val="0"/>
                    <w:keepLines w:val="0"/>
                    <w:suppressLineNumbers w:val="0"/>
                    <w:bidi w:val="0"/>
                    <w:spacing w:before="0" w:beforeAutospacing="0" w:after="0" w:afterAutospacing="0" w:line="240" w:lineRule="auto"/>
                    <w:ind w:left="0" w:right="0"/>
                    <w:jc w:val="center"/>
                    <w:rPr>
                      <w:rFonts w:hint="eastAsia"/>
                      <w:color w:val="auto"/>
                      <w:sz w:val="18"/>
                      <w:szCs w:val="18"/>
                      <w:highlight w:val="none"/>
                    </w:rPr>
                  </w:pPr>
                  <w:r>
                    <w:rPr>
                      <w:rFonts w:hint="default"/>
                      <w:color w:val="auto"/>
                      <w:sz w:val="18"/>
                      <w:szCs w:val="18"/>
                      <w:highlight w:val="none"/>
                    </w:rPr>
                    <w:t>《地下水质量标准》（GB/T14848-2017）中类标准</w:t>
                  </w:r>
                </w:p>
              </w:tc>
            </w:tr>
          </w:tbl>
          <w:p w14:paraId="71875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default" w:ascii="Times New Roman" w:hAnsi="Times New Roman" w:cs="Times New Roman" w:eastAsiaTheme="minorEastAsia"/>
                <w:color w:val="auto"/>
                <w:sz w:val="21"/>
                <w:szCs w:val="21"/>
                <w:highlight w:val="none"/>
              </w:rPr>
            </w:pPr>
          </w:p>
        </w:tc>
      </w:tr>
    </w:tbl>
    <w:p w14:paraId="292C0280">
      <w:pPr>
        <w:spacing w:line="360" w:lineRule="auto"/>
        <w:rPr>
          <w:rFonts w:hint="default" w:ascii="Times New Roman" w:hAnsi="Times New Roman" w:cs="Times New Roman"/>
          <w:b/>
          <w:color w:val="000000" w:themeColor="text1"/>
          <w:sz w:val="28"/>
          <w:szCs w:val="28"/>
          <w14:textFill>
            <w14:solidFill>
              <w14:schemeClr w14:val="tx1"/>
            </w14:solidFill>
          </w14:textFill>
        </w:rPr>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pPr>
    </w:p>
    <w:p w14:paraId="47C1A822">
      <w:pPr>
        <w:pStyle w:val="30"/>
        <w:jc w:val="center"/>
        <w:rPr>
          <w:rFonts w:hint="default" w:ascii="Times New Roman" w:hAnsi="Times New Roman" w:eastAsia="黑体" w:cs="Times New Roman"/>
          <w:b w:val="0"/>
          <w:color w:val="000000" w:themeColor="text1"/>
          <w:sz w:val="30"/>
          <w:szCs w:val="30"/>
          <w14:textFill>
            <w14:solidFill>
              <w14:schemeClr w14:val="tx1"/>
            </w14:solidFill>
          </w14:textFill>
        </w:rPr>
      </w:pPr>
      <w:r>
        <w:rPr>
          <w:rFonts w:hint="default" w:ascii="Times New Roman" w:hAnsi="Times New Roman" w:eastAsia="黑体" w:cs="Times New Roman"/>
          <w:b w:val="0"/>
          <w:color w:val="000000" w:themeColor="text1"/>
          <w:sz w:val="30"/>
          <w:szCs w:val="30"/>
          <w14:textFill>
            <w14:solidFill>
              <w14:schemeClr w14:val="tx1"/>
            </w14:solidFill>
          </w14:textFill>
        </w:rPr>
        <w:t>六、结论</w:t>
      </w:r>
    </w:p>
    <w:tbl>
      <w:tblPr>
        <w:tblStyle w:val="23"/>
        <w:tblW w:w="934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44"/>
      </w:tblGrid>
      <w:tr w14:paraId="4E8E47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44" w:type="dxa"/>
            <w:shd w:val="clear" w:color="auto" w:fill="auto"/>
          </w:tcPr>
          <w:p w14:paraId="6C1C3F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color w:val="000000" w:themeColor="text1"/>
                <w:sz w:val="24"/>
                <w:szCs w:val="36"/>
                <w14:textFill>
                  <w14:solidFill>
                    <w14:schemeClr w14:val="tx1"/>
                  </w14:solidFill>
                </w14:textFill>
              </w:rPr>
              <w:t>通川东岳收费站出口（北）加油加气站项目</w:t>
            </w:r>
            <w:r>
              <w:rPr>
                <w:rFonts w:hint="default" w:ascii="Times New Roman" w:hAnsi="Times New Roman" w:cs="Times New Roman"/>
                <w:color w:val="000000" w:themeColor="text1"/>
                <w:sz w:val="24"/>
                <w:szCs w:val="24"/>
                <w14:textFill>
                  <w14:solidFill>
                    <w14:schemeClr w14:val="tx1"/>
                  </w14:solidFill>
                </w14:textFill>
              </w:rPr>
              <w:t>符合国家和地方产业政策的要求，符合当地的环境功能区要求，项目选址及总平面布置合理，周围无明显的环境制约因素。项目建设与运营过程中，只要严格落实本环境影响报告表提出的各项环保措施，废气、废水及噪声能够实现达标排放或综合利用，固体废物处置去向明确，生态环境破坏能得到有效控制。项目建设对周围环境的影响很小，不会导致区域环境质量降低和改变区域的环境功能类别，项目的环境风险为</w:t>
            </w:r>
            <w:r>
              <w:rPr>
                <w:rFonts w:hint="eastAsia" w:cs="Times New Roman"/>
                <w:color w:val="000000" w:themeColor="text1"/>
                <w:sz w:val="24"/>
                <w:szCs w:val="24"/>
                <w:lang w:eastAsia="zh-CN"/>
                <w14:textFill>
                  <w14:solidFill>
                    <w14:schemeClr w14:val="tx1"/>
                  </w14:solidFill>
                </w14:textFill>
              </w:rPr>
              <w:t>可</w:t>
            </w:r>
            <w:r>
              <w:rPr>
                <w:rFonts w:hint="default" w:ascii="Times New Roman" w:hAnsi="Times New Roman" w:cs="Times New Roman"/>
                <w:color w:val="000000" w:themeColor="text1"/>
                <w:sz w:val="24"/>
                <w:szCs w:val="24"/>
                <w14:textFill>
                  <w14:solidFill>
                    <w14:schemeClr w14:val="tx1"/>
                  </w14:solidFill>
                </w14:textFill>
              </w:rPr>
              <w:t>接受程度。</w:t>
            </w:r>
          </w:p>
          <w:p w14:paraId="305658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因此，从环境保护角度分析，项目所选地址建设可行。 </w:t>
            </w:r>
          </w:p>
          <w:p w14:paraId="4FF5C883">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6528C240">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5EC4CC1B">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03D1E399">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1997C441">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0D49989C">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6DDB72D6">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572D9FA3">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0D364DA3">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3C1E6038">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59A0C542">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08B70145">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554B2610">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21B8F40E">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56B5A22F">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1F0B9E04">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60DFA0B1">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0F0AE932">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05055EB6">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5D78A7B8">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526611DD">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0EECC0CF">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01573F56">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0BEC49D3">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48BE27C0">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71A18D77">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p w14:paraId="73D20F1E">
            <w:pPr>
              <w:keepNext w:val="0"/>
              <w:keepLines w:val="0"/>
              <w:suppressLineNumbers w:val="0"/>
              <w:spacing w:before="0" w:beforeAutospacing="0" w:after="0" w:afterAutospacing="0" w:line="276" w:lineRule="auto"/>
              <w:ind w:left="0" w:right="0" w:firstLine="480" w:firstLineChars="200"/>
              <w:rPr>
                <w:rFonts w:hint="default" w:ascii="Times New Roman" w:hAnsi="Times New Roman" w:cs="Times New Roman"/>
                <w:color w:val="000000" w:themeColor="text1"/>
                <w:szCs w:val="21"/>
                <w14:textFill>
                  <w14:solidFill>
                    <w14:schemeClr w14:val="tx1"/>
                  </w14:solidFill>
                </w14:textFill>
              </w:rPr>
            </w:pPr>
          </w:p>
        </w:tc>
      </w:tr>
    </w:tbl>
    <w:p w14:paraId="081E1A60">
      <w:pPr>
        <w:rPr>
          <w:rFonts w:hint="default" w:ascii="Times New Roman" w:hAnsi="Times New Roman" w:cs="Times New Roman"/>
          <w:color w:val="auto"/>
          <w:szCs w:val="21"/>
        </w:rPr>
      </w:pPr>
    </w:p>
    <w:sectPr>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auto"/>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4F9E6">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9D994">
                          <w:pPr>
                            <w:pStyle w:val="1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1E9D994">
                    <w:pPr>
                      <w:pStyle w:val="1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0DC5">
    <w:pPr>
      <w:pStyle w:val="16"/>
      <w:jc w:val="center"/>
    </w:pPr>
    <w:r>
      <w:fldChar w:fldCharType="begin"/>
    </w:r>
    <w:r>
      <w:instrText xml:space="preserve">PAGE   \* MERGEFORMAT</w:instrText>
    </w:r>
    <w:r>
      <w:fldChar w:fldCharType="separate"/>
    </w:r>
    <w:r>
      <w:rPr>
        <w:lang w:val="zh-CN"/>
      </w:rPr>
      <w:t>20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E5C68">
    <w:pPr>
      <w:pStyle w:val="16"/>
      <w:jc w:val="center"/>
    </w:pPr>
    <w:r>
      <w:fldChar w:fldCharType="begin"/>
    </w:r>
    <w:r>
      <w:instrText xml:space="preserve">PAGE   \* MERGEFORMAT</w:instrText>
    </w:r>
    <w:r>
      <w:fldChar w:fldCharType="separate"/>
    </w:r>
    <w:r>
      <w:rPr>
        <w:lang w:val="zh-CN"/>
      </w:rPr>
      <w:t>20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E0ADC">
    <w:pPr>
      <w:pStyle w:val="16"/>
      <w:jc w:val="center"/>
    </w:pPr>
    <w:r>
      <w:fldChar w:fldCharType="begin"/>
    </w:r>
    <w:r>
      <w:instrText xml:space="preserve">PAGE   \* MERGEFORMAT</w:instrText>
    </w:r>
    <w:r>
      <w:fldChar w:fldCharType="separate"/>
    </w:r>
    <w:r>
      <w:rPr>
        <w:lang w:val="zh-CN"/>
      </w:rPr>
      <w:t>20</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9C0928"/>
    <w:multiLevelType w:val="singleLevel"/>
    <w:tmpl w:val="B39C0928"/>
    <w:lvl w:ilvl="0" w:tentative="0">
      <w:start w:val="1"/>
      <w:numFmt w:val="decimal"/>
      <w:suff w:val="nothing"/>
      <w:lvlText w:val="%1、"/>
      <w:lvlJc w:val="left"/>
    </w:lvl>
  </w:abstractNum>
  <w:abstractNum w:abstractNumId="1">
    <w:nsid w:val="F4CCFF53"/>
    <w:multiLevelType w:val="singleLevel"/>
    <w:tmpl w:val="F4CCFF53"/>
    <w:lvl w:ilvl="0" w:tentative="0">
      <w:start w:val="7"/>
      <w:numFmt w:val="decimal"/>
      <w:suff w:val="nothing"/>
      <w:lvlText w:val="%1、"/>
      <w:lvlJc w:val="left"/>
    </w:lvl>
  </w:abstractNum>
  <w:abstractNum w:abstractNumId="2">
    <w:nsid w:val="3982624E"/>
    <w:multiLevelType w:val="multilevel"/>
    <w:tmpl w:val="3982624E"/>
    <w:lvl w:ilvl="0" w:tentative="0">
      <w:start w:val="1"/>
      <w:numFmt w:val="decimalEnclosedCircle"/>
      <w:lvlText w:val="%1"/>
      <w:lvlJc w:val="left"/>
      <w:pPr>
        <w:ind w:left="840" w:hanging="360"/>
      </w:pPr>
      <w:rPr>
        <w:rFonts w:hint="eastAsia"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xY2U1ZWQzN2EzOTk4NzRiOWRkNTI1ZmQ4ODI2ZjQifQ=="/>
  </w:docVars>
  <w:rsids>
    <w:rsidRoot w:val="00172A27"/>
    <w:rsid w:val="0014406D"/>
    <w:rsid w:val="00F436BB"/>
    <w:rsid w:val="01DE3F6F"/>
    <w:rsid w:val="02435559"/>
    <w:rsid w:val="02547464"/>
    <w:rsid w:val="02644B38"/>
    <w:rsid w:val="027372EF"/>
    <w:rsid w:val="02B006F9"/>
    <w:rsid w:val="02C40969"/>
    <w:rsid w:val="02F456F2"/>
    <w:rsid w:val="02FF592B"/>
    <w:rsid w:val="031E0FFD"/>
    <w:rsid w:val="035D3297"/>
    <w:rsid w:val="037E6D6A"/>
    <w:rsid w:val="03800D34"/>
    <w:rsid w:val="03EE0393"/>
    <w:rsid w:val="040F15DB"/>
    <w:rsid w:val="043D6C25"/>
    <w:rsid w:val="044C6E68"/>
    <w:rsid w:val="044D4363"/>
    <w:rsid w:val="04F60C6B"/>
    <w:rsid w:val="050E14B5"/>
    <w:rsid w:val="06E7718E"/>
    <w:rsid w:val="070D4F0F"/>
    <w:rsid w:val="072A483F"/>
    <w:rsid w:val="07A12501"/>
    <w:rsid w:val="088F5575"/>
    <w:rsid w:val="08AC3510"/>
    <w:rsid w:val="08C7736A"/>
    <w:rsid w:val="092C4C1D"/>
    <w:rsid w:val="0A3B0A3E"/>
    <w:rsid w:val="0A4027CB"/>
    <w:rsid w:val="0A703AF2"/>
    <w:rsid w:val="0AC2018B"/>
    <w:rsid w:val="0AC7614C"/>
    <w:rsid w:val="0AD3258E"/>
    <w:rsid w:val="0B185CF6"/>
    <w:rsid w:val="0B452C5D"/>
    <w:rsid w:val="0B5D647F"/>
    <w:rsid w:val="0B5E4908"/>
    <w:rsid w:val="0B6255F8"/>
    <w:rsid w:val="0B9E16A8"/>
    <w:rsid w:val="0BA666CE"/>
    <w:rsid w:val="0BE55542"/>
    <w:rsid w:val="0C0D0607"/>
    <w:rsid w:val="0C393712"/>
    <w:rsid w:val="0C851169"/>
    <w:rsid w:val="0D0D4147"/>
    <w:rsid w:val="0D412E21"/>
    <w:rsid w:val="0D69614D"/>
    <w:rsid w:val="0DA43871"/>
    <w:rsid w:val="0DD24334"/>
    <w:rsid w:val="0DDD10CB"/>
    <w:rsid w:val="0DE45DDD"/>
    <w:rsid w:val="0DF20A80"/>
    <w:rsid w:val="0E9E6512"/>
    <w:rsid w:val="0EA37884"/>
    <w:rsid w:val="0EA65BBF"/>
    <w:rsid w:val="0EA855A8"/>
    <w:rsid w:val="0EBE0000"/>
    <w:rsid w:val="0F2072BD"/>
    <w:rsid w:val="0F5B3A1F"/>
    <w:rsid w:val="0F6304A1"/>
    <w:rsid w:val="0F665DCD"/>
    <w:rsid w:val="0FA57517"/>
    <w:rsid w:val="0FDF70FD"/>
    <w:rsid w:val="0FE53BBD"/>
    <w:rsid w:val="104A5783"/>
    <w:rsid w:val="10690990"/>
    <w:rsid w:val="107E484D"/>
    <w:rsid w:val="108B6A22"/>
    <w:rsid w:val="109E6649"/>
    <w:rsid w:val="10A73DA4"/>
    <w:rsid w:val="10E95838"/>
    <w:rsid w:val="11E82072"/>
    <w:rsid w:val="121E313C"/>
    <w:rsid w:val="12F9379A"/>
    <w:rsid w:val="130848A2"/>
    <w:rsid w:val="1374305D"/>
    <w:rsid w:val="138A175B"/>
    <w:rsid w:val="13AC347F"/>
    <w:rsid w:val="13AC7923"/>
    <w:rsid w:val="13AE4342"/>
    <w:rsid w:val="13ED1174"/>
    <w:rsid w:val="14CE3768"/>
    <w:rsid w:val="155C40DE"/>
    <w:rsid w:val="15681628"/>
    <w:rsid w:val="16627DFF"/>
    <w:rsid w:val="16730284"/>
    <w:rsid w:val="16C616B8"/>
    <w:rsid w:val="16D36F75"/>
    <w:rsid w:val="16E871B4"/>
    <w:rsid w:val="17255A22"/>
    <w:rsid w:val="17986370"/>
    <w:rsid w:val="17A403CF"/>
    <w:rsid w:val="17C27F14"/>
    <w:rsid w:val="17E11EA2"/>
    <w:rsid w:val="17E611AB"/>
    <w:rsid w:val="1807574C"/>
    <w:rsid w:val="1820443C"/>
    <w:rsid w:val="18550589"/>
    <w:rsid w:val="19305DA0"/>
    <w:rsid w:val="197E3D04"/>
    <w:rsid w:val="19E84ECB"/>
    <w:rsid w:val="1A037B71"/>
    <w:rsid w:val="1A1520CF"/>
    <w:rsid w:val="1A2E0437"/>
    <w:rsid w:val="1A774906"/>
    <w:rsid w:val="1A854AFA"/>
    <w:rsid w:val="1B047CE0"/>
    <w:rsid w:val="1B0A448B"/>
    <w:rsid w:val="1B4E4681"/>
    <w:rsid w:val="1B605851"/>
    <w:rsid w:val="1B6F5D1E"/>
    <w:rsid w:val="1B813443"/>
    <w:rsid w:val="1BA05563"/>
    <w:rsid w:val="1C1F69A8"/>
    <w:rsid w:val="1C3F7586"/>
    <w:rsid w:val="1C9A5759"/>
    <w:rsid w:val="1CC826F3"/>
    <w:rsid w:val="1CD13D54"/>
    <w:rsid w:val="1D077978"/>
    <w:rsid w:val="1D2D45F5"/>
    <w:rsid w:val="1DC87107"/>
    <w:rsid w:val="1E285DF8"/>
    <w:rsid w:val="1E2A1B70"/>
    <w:rsid w:val="1E59622D"/>
    <w:rsid w:val="1E8B1767"/>
    <w:rsid w:val="1F18632C"/>
    <w:rsid w:val="1F777037"/>
    <w:rsid w:val="1FEA0F15"/>
    <w:rsid w:val="20C808D5"/>
    <w:rsid w:val="212E0A02"/>
    <w:rsid w:val="21531770"/>
    <w:rsid w:val="21BF0E96"/>
    <w:rsid w:val="22645D35"/>
    <w:rsid w:val="22963C78"/>
    <w:rsid w:val="22A6463F"/>
    <w:rsid w:val="231E1A99"/>
    <w:rsid w:val="236245E6"/>
    <w:rsid w:val="23843AD1"/>
    <w:rsid w:val="23887E46"/>
    <w:rsid w:val="23D762F6"/>
    <w:rsid w:val="23EF1892"/>
    <w:rsid w:val="245E4B4A"/>
    <w:rsid w:val="245F6A68"/>
    <w:rsid w:val="24732BEA"/>
    <w:rsid w:val="24AA25CD"/>
    <w:rsid w:val="24B30B11"/>
    <w:rsid w:val="24BE1264"/>
    <w:rsid w:val="25273966"/>
    <w:rsid w:val="25493709"/>
    <w:rsid w:val="254D2F81"/>
    <w:rsid w:val="256D7CB5"/>
    <w:rsid w:val="25B548A7"/>
    <w:rsid w:val="25B652FF"/>
    <w:rsid w:val="25E55E9A"/>
    <w:rsid w:val="25E65787"/>
    <w:rsid w:val="260D7AD3"/>
    <w:rsid w:val="261F3F85"/>
    <w:rsid w:val="26771D60"/>
    <w:rsid w:val="269A74DB"/>
    <w:rsid w:val="270D2FAF"/>
    <w:rsid w:val="27251F74"/>
    <w:rsid w:val="274A3283"/>
    <w:rsid w:val="27B73054"/>
    <w:rsid w:val="27D95202"/>
    <w:rsid w:val="28176767"/>
    <w:rsid w:val="2824273D"/>
    <w:rsid w:val="28743967"/>
    <w:rsid w:val="2880388B"/>
    <w:rsid w:val="294A30C6"/>
    <w:rsid w:val="295A5B55"/>
    <w:rsid w:val="29A547A1"/>
    <w:rsid w:val="29F27EBE"/>
    <w:rsid w:val="2A51078D"/>
    <w:rsid w:val="2A823907"/>
    <w:rsid w:val="2AA539F4"/>
    <w:rsid w:val="2B6A7F7E"/>
    <w:rsid w:val="2B841D92"/>
    <w:rsid w:val="2BDA749A"/>
    <w:rsid w:val="2C03752D"/>
    <w:rsid w:val="2C4D5CC2"/>
    <w:rsid w:val="2C7C3A09"/>
    <w:rsid w:val="2CBB146C"/>
    <w:rsid w:val="2CCB6C14"/>
    <w:rsid w:val="2D45501A"/>
    <w:rsid w:val="2D736F27"/>
    <w:rsid w:val="2D814A08"/>
    <w:rsid w:val="2D917830"/>
    <w:rsid w:val="2E6E327A"/>
    <w:rsid w:val="2E9C43C4"/>
    <w:rsid w:val="2EBA3214"/>
    <w:rsid w:val="2EC66DE9"/>
    <w:rsid w:val="2EE8585B"/>
    <w:rsid w:val="2F347CB6"/>
    <w:rsid w:val="2F670B4E"/>
    <w:rsid w:val="2FB50FD8"/>
    <w:rsid w:val="2FBA0A7A"/>
    <w:rsid w:val="2FD1415E"/>
    <w:rsid w:val="300B73FA"/>
    <w:rsid w:val="30542A7D"/>
    <w:rsid w:val="30705B08"/>
    <w:rsid w:val="30850E88"/>
    <w:rsid w:val="30920F7F"/>
    <w:rsid w:val="313D3B26"/>
    <w:rsid w:val="315634C5"/>
    <w:rsid w:val="31BF0633"/>
    <w:rsid w:val="31E170A0"/>
    <w:rsid w:val="32452FC5"/>
    <w:rsid w:val="32AB06D3"/>
    <w:rsid w:val="32FD5F91"/>
    <w:rsid w:val="33042257"/>
    <w:rsid w:val="331A07F7"/>
    <w:rsid w:val="33A70DF7"/>
    <w:rsid w:val="34327A1E"/>
    <w:rsid w:val="3453748C"/>
    <w:rsid w:val="34B306BA"/>
    <w:rsid w:val="35382ED6"/>
    <w:rsid w:val="35DE52C2"/>
    <w:rsid w:val="35F04F88"/>
    <w:rsid w:val="3655540E"/>
    <w:rsid w:val="366B28CE"/>
    <w:rsid w:val="36714388"/>
    <w:rsid w:val="36896D62"/>
    <w:rsid w:val="37642533"/>
    <w:rsid w:val="378D7F0C"/>
    <w:rsid w:val="37B9507B"/>
    <w:rsid w:val="38911689"/>
    <w:rsid w:val="38944468"/>
    <w:rsid w:val="38C42003"/>
    <w:rsid w:val="38E30E42"/>
    <w:rsid w:val="39317DFF"/>
    <w:rsid w:val="39506D84"/>
    <w:rsid w:val="396B0237"/>
    <w:rsid w:val="39921705"/>
    <w:rsid w:val="39A86313"/>
    <w:rsid w:val="39C52E28"/>
    <w:rsid w:val="39D85952"/>
    <w:rsid w:val="3A2A7109"/>
    <w:rsid w:val="3A5964B1"/>
    <w:rsid w:val="3A9B19D4"/>
    <w:rsid w:val="3AA864EE"/>
    <w:rsid w:val="3AC32CD9"/>
    <w:rsid w:val="3AE80632"/>
    <w:rsid w:val="3B0F1502"/>
    <w:rsid w:val="3B1727D0"/>
    <w:rsid w:val="3BCD0A3E"/>
    <w:rsid w:val="3C073099"/>
    <w:rsid w:val="3CED5882"/>
    <w:rsid w:val="3D2A758E"/>
    <w:rsid w:val="3DC36095"/>
    <w:rsid w:val="3DC42B5C"/>
    <w:rsid w:val="3DD4383A"/>
    <w:rsid w:val="3E2717D1"/>
    <w:rsid w:val="3E2938CD"/>
    <w:rsid w:val="3E712942"/>
    <w:rsid w:val="3E8412BC"/>
    <w:rsid w:val="3EAA48DB"/>
    <w:rsid w:val="3ED40561"/>
    <w:rsid w:val="3F0B75E9"/>
    <w:rsid w:val="3F864275"/>
    <w:rsid w:val="4081166C"/>
    <w:rsid w:val="408D0011"/>
    <w:rsid w:val="40B227E4"/>
    <w:rsid w:val="411360FD"/>
    <w:rsid w:val="41503887"/>
    <w:rsid w:val="41D408A5"/>
    <w:rsid w:val="426A100B"/>
    <w:rsid w:val="42825A84"/>
    <w:rsid w:val="428549E3"/>
    <w:rsid w:val="42982C9D"/>
    <w:rsid w:val="42E163F2"/>
    <w:rsid w:val="42FF487E"/>
    <w:rsid w:val="432426DE"/>
    <w:rsid w:val="436D455C"/>
    <w:rsid w:val="4370369D"/>
    <w:rsid w:val="44440323"/>
    <w:rsid w:val="44974A0B"/>
    <w:rsid w:val="44B427B2"/>
    <w:rsid w:val="44FD2C16"/>
    <w:rsid w:val="451E56DB"/>
    <w:rsid w:val="45202364"/>
    <w:rsid w:val="45273538"/>
    <w:rsid w:val="459E6D80"/>
    <w:rsid w:val="45A66CF2"/>
    <w:rsid w:val="45B46A6A"/>
    <w:rsid w:val="46513925"/>
    <w:rsid w:val="46701BA1"/>
    <w:rsid w:val="46AA7BFA"/>
    <w:rsid w:val="4707219F"/>
    <w:rsid w:val="47416214"/>
    <w:rsid w:val="475353E4"/>
    <w:rsid w:val="47A269B6"/>
    <w:rsid w:val="47A84EDF"/>
    <w:rsid w:val="47CD456B"/>
    <w:rsid w:val="47F8383C"/>
    <w:rsid w:val="47FF0D25"/>
    <w:rsid w:val="48512FCD"/>
    <w:rsid w:val="49210612"/>
    <w:rsid w:val="493F407B"/>
    <w:rsid w:val="495575B4"/>
    <w:rsid w:val="497D576E"/>
    <w:rsid w:val="49D847E0"/>
    <w:rsid w:val="4A0558C8"/>
    <w:rsid w:val="4A3F565C"/>
    <w:rsid w:val="4ADB2FBD"/>
    <w:rsid w:val="4BAA7254"/>
    <w:rsid w:val="4C016E4B"/>
    <w:rsid w:val="4C3B3017"/>
    <w:rsid w:val="4CB570C4"/>
    <w:rsid w:val="4CEE0CE9"/>
    <w:rsid w:val="4DC16B2E"/>
    <w:rsid w:val="4DE66FB2"/>
    <w:rsid w:val="4DF34862"/>
    <w:rsid w:val="4E3E43D8"/>
    <w:rsid w:val="4E6E3563"/>
    <w:rsid w:val="4F030E2E"/>
    <w:rsid w:val="4F097F41"/>
    <w:rsid w:val="4F151810"/>
    <w:rsid w:val="4F202944"/>
    <w:rsid w:val="4F413B9C"/>
    <w:rsid w:val="502F619C"/>
    <w:rsid w:val="50324731"/>
    <w:rsid w:val="50630D8A"/>
    <w:rsid w:val="50770396"/>
    <w:rsid w:val="50F63767"/>
    <w:rsid w:val="511161FF"/>
    <w:rsid w:val="512F0F13"/>
    <w:rsid w:val="516520F6"/>
    <w:rsid w:val="5195583B"/>
    <w:rsid w:val="51B5799B"/>
    <w:rsid w:val="5231744C"/>
    <w:rsid w:val="525B7D5B"/>
    <w:rsid w:val="528B7637"/>
    <w:rsid w:val="53230361"/>
    <w:rsid w:val="537E1621"/>
    <w:rsid w:val="53B87162"/>
    <w:rsid w:val="5416286E"/>
    <w:rsid w:val="54342CBF"/>
    <w:rsid w:val="5459653F"/>
    <w:rsid w:val="54905D84"/>
    <w:rsid w:val="54AF6350"/>
    <w:rsid w:val="54BF0531"/>
    <w:rsid w:val="54C03902"/>
    <w:rsid w:val="54FA3343"/>
    <w:rsid w:val="550F5041"/>
    <w:rsid w:val="554A42CB"/>
    <w:rsid w:val="555867ED"/>
    <w:rsid w:val="55B66E86"/>
    <w:rsid w:val="564E0DFA"/>
    <w:rsid w:val="566C5715"/>
    <w:rsid w:val="567E4EEE"/>
    <w:rsid w:val="56976096"/>
    <w:rsid w:val="56D227CA"/>
    <w:rsid w:val="57042ED4"/>
    <w:rsid w:val="57160908"/>
    <w:rsid w:val="57184C94"/>
    <w:rsid w:val="574049B3"/>
    <w:rsid w:val="574134AB"/>
    <w:rsid w:val="575E07F0"/>
    <w:rsid w:val="57813604"/>
    <w:rsid w:val="57821E3F"/>
    <w:rsid w:val="57925AB5"/>
    <w:rsid w:val="57D54A70"/>
    <w:rsid w:val="57DB161D"/>
    <w:rsid w:val="586D7DEA"/>
    <w:rsid w:val="58C47EF0"/>
    <w:rsid w:val="59547B16"/>
    <w:rsid w:val="59852CBB"/>
    <w:rsid w:val="599B2B89"/>
    <w:rsid w:val="5A0C3BBE"/>
    <w:rsid w:val="5AAC5C8E"/>
    <w:rsid w:val="5B144B5B"/>
    <w:rsid w:val="5B5F7C32"/>
    <w:rsid w:val="5B6036E7"/>
    <w:rsid w:val="5C4E13FB"/>
    <w:rsid w:val="5C6C5692"/>
    <w:rsid w:val="5CBC3B6A"/>
    <w:rsid w:val="5CBF734C"/>
    <w:rsid w:val="5CEE5E83"/>
    <w:rsid w:val="5DE471C4"/>
    <w:rsid w:val="5E4B7FB9"/>
    <w:rsid w:val="5E544422"/>
    <w:rsid w:val="5EA31D46"/>
    <w:rsid w:val="5ECD7C90"/>
    <w:rsid w:val="600B5D30"/>
    <w:rsid w:val="60225F2A"/>
    <w:rsid w:val="614442C4"/>
    <w:rsid w:val="61763F1D"/>
    <w:rsid w:val="617A5F38"/>
    <w:rsid w:val="617F70AA"/>
    <w:rsid w:val="61B37ABB"/>
    <w:rsid w:val="61C64CD9"/>
    <w:rsid w:val="6268663B"/>
    <w:rsid w:val="62720A8F"/>
    <w:rsid w:val="63C219F2"/>
    <w:rsid w:val="6406722D"/>
    <w:rsid w:val="64395D7D"/>
    <w:rsid w:val="64BF5374"/>
    <w:rsid w:val="650D1A02"/>
    <w:rsid w:val="653308D7"/>
    <w:rsid w:val="659A0561"/>
    <w:rsid w:val="65B6136D"/>
    <w:rsid w:val="65FF4C68"/>
    <w:rsid w:val="66077DB2"/>
    <w:rsid w:val="660A22D3"/>
    <w:rsid w:val="660B4B1B"/>
    <w:rsid w:val="66A4476B"/>
    <w:rsid w:val="67515045"/>
    <w:rsid w:val="676E469E"/>
    <w:rsid w:val="677F7E04"/>
    <w:rsid w:val="67CF7F03"/>
    <w:rsid w:val="68017EDD"/>
    <w:rsid w:val="684F11C7"/>
    <w:rsid w:val="688A41D5"/>
    <w:rsid w:val="68AB3179"/>
    <w:rsid w:val="68AE483F"/>
    <w:rsid w:val="68B8037E"/>
    <w:rsid w:val="68C0497F"/>
    <w:rsid w:val="68E40650"/>
    <w:rsid w:val="68F93BE6"/>
    <w:rsid w:val="69907DD3"/>
    <w:rsid w:val="699E4CE4"/>
    <w:rsid w:val="69BD345C"/>
    <w:rsid w:val="69E41F36"/>
    <w:rsid w:val="6ABA567A"/>
    <w:rsid w:val="6B0B2A54"/>
    <w:rsid w:val="6B7925B5"/>
    <w:rsid w:val="6BEF1E98"/>
    <w:rsid w:val="6C2B67AC"/>
    <w:rsid w:val="6C3762FF"/>
    <w:rsid w:val="6C4A4220"/>
    <w:rsid w:val="6C934726"/>
    <w:rsid w:val="6D8F68C7"/>
    <w:rsid w:val="6DE468C8"/>
    <w:rsid w:val="6E1D210B"/>
    <w:rsid w:val="6E343431"/>
    <w:rsid w:val="6E461CD3"/>
    <w:rsid w:val="6E473FE9"/>
    <w:rsid w:val="6E8B48F3"/>
    <w:rsid w:val="6E9A2040"/>
    <w:rsid w:val="6F203EDC"/>
    <w:rsid w:val="6F2853CE"/>
    <w:rsid w:val="6F4077D8"/>
    <w:rsid w:val="6F6D70DC"/>
    <w:rsid w:val="6F8A5598"/>
    <w:rsid w:val="704C1FEB"/>
    <w:rsid w:val="707E0986"/>
    <w:rsid w:val="710E5D1A"/>
    <w:rsid w:val="720A6FB7"/>
    <w:rsid w:val="72181581"/>
    <w:rsid w:val="724344FB"/>
    <w:rsid w:val="7266310B"/>
    <w:rsid w:val="726B724D"/>
    <w:rsid w:val="72F8221F"/>
    <w:rsid w:val="73614861"/>
    <w:rsid w:val="73843D0C"/>
    <w:rsid w:val="740E3DBF"/>
    <w:rsid w:val="74130DE4"/>
    <w:rsid w:val="743E2DF5"/>
    <w:rsid w:val="745365D3"/>
    <w:rsid w:val="746C14FE"/>
    <w:rsid w:val="74814704"/>
    <w:rsid w:val="74972E2D"/>
    <w:rsid w:val="74C62B00"/>
    <w:rsid w:val="74E74EC6"/>
    <w:rsid w:val="75111503"/>
    <w:rsid w:val="751335D0"/>
    <w:rsid w:val="75450B51"/>
    <w:rsid w:val="75660855"/>
    <w:rsid w:val="759C4DF7"/>
    <w:rsid w:val="75D90D1D"/>
    <w:rsid w:val="76A86DD3"/>
    <w:rsid w:val="770025E3"/>
    <w:rsid w:val="772067E2"/>
    <w:rsid w:val="78412EB3"/>
    <w:rsid w:val="787B336D"/>
    <w:rsid w:val="78A22303"/>
    <w:rsid w:val="78AE0A34"/>
    <w:rsid w:val="78D02FC1"/>
    <w:rsid w:val="78F65A4C"/>
    <w:rsid w:val="79332946"/>
    <w:rsid w:val="7979259D"/>
    <w:rsid w:val="7A8037FC"/>
    <w:rsid w:val="7A9719D9"/>
    <w:rsid w:val="7B000E04"/>
    <w:rsid w:val="7BE6063B"/>
    <w:rsid w:val="7C274816"/>
    <w:rsid w:val="7C2D5C29"/>
    <w:rsid w:val="7C895074"/>
    <w:rsid w:val="7C9474F6"/>
    <w:rsid w:val="7CDE1CF4"/>
    <w:rsid w:val="7CF5218B"/>
    <w:rsid w:val="7CF9412E"/>
    <w:rsid w:val="7D3B1113"/>
    <w:rsid w:val="7D3D6809"/>
    <w:rsid w:val="7D8B00AD"/>
    <w:rsid w:val="7DD345AE"/>
    <w:rsid w:val="7DD66704"/>
    <w:rsid w:val="7DE656E8"/>
    <w:rsid w:val="7E0936DD"/>
    <w:rsid w:val="7E5356EF"/>
    <w:rsid w:val="7E9F4711"/>
    <w:rsid w:val="7F2545E4"/>
    <w:rsid w:val="7F4935A9"/>
    <w:rsid w:val="7F62208D"/>
    <w:rsid w:val="7F7D48F9"/>
    <w:rsid w:val="7FBE3F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bidi w:val="0"/>
      <w:jc w:val="both"/>
    </w:pPr>
    <w:rPr>
      <w:rFonts w:ascii="Times New Roman" w:hAnsi="Times New Roman" w:eastAsia="宋体" w:cs="Times New Roman"/>
      <w:kern w:val="2"/>
      <w:sz w:val="24"/>
      <w:szCs w:val="21"/>
      <w:lang w:val="en-US" w:eastAsia="zh-CN" w:bidi="ar-SA"/>
    </w:rPr>
  </w:style>
  <w:style w:type="paragraph" w:styleId="2">
    <w:name w:val="heading 1"/>
    <w:basedOn w:val="1"/>
    <w:next w:val="3"/>
    <w:qFormat/>
    <w:uiPriority w:val="9"/>
    <w:pPr>
      <w:keepNext/>
      <w:keepLines/>
      <w:spacing w:before="340" w:after="330" w:line="578" w:lineRule="auto"/>
      <w:outlineLvl w:val="0"/>
    </w:pPr>
    <w:rPr>
      <w:b/>
      <w:bCs/>
      <w:kern w:val="44"/>
      <w:sz w:val="44"/>
      <w:szCs w:val="44"/>
    </w:rPr>
  </w:style>
  <w:style w:type="paragraph" w:styleId="4">
    <w:name w:val="heading 4"/>
    <w:basedOn w:val="1"/>
    <w:next w:val="1"/>
    <w:qFormat/>
    <w:uiPriority w:val="9"/>
    <w:pPr>
      <w:keepNext/>
      <w:keepLines/>
      <w:tabs>
        <w:tab w:val="left" w:pos="960"/>
        <w:tab w:val="left" w:pos="1124"/>
        <w:tab w:val="left" w:pos="2269"/>
      </w:tabs>
      <w:adjustRightInd w:val="0"/>
      <w:spacing w:before="60" w:after="60" w:line="360" w:lineRule="auto"/>
      <w:ind w:left="567" w:hanging="567"/>
      <w:jc w:val="left"/>
      <w:textAlignment w:val="baseline"/>
      <w:outlineLvl w:val="3"/>
    </w:pPr>
    <w:rPr>
      <w:rFonts w:eastAsia="黑体"/>
      <w:bCs/>
      <w:color w:val="0000FF"/>
      <w:kern w:val="0"/>
      <w:sz w:val="28"/>
      <w:szCs w:val="28"/>
    </w:rPr>
  </w:style>
  <w:style w:type="character" w:default="1" w:styleId="25">
    <w:name w:val="Default Paragraph Font"/>
    <w:semiHidden/>
    <w:qFormat/>
    <w:uiPriority w:val="0"/>
  </w:style>
  <w:style w:type="table" w:default="1" w:styleId="23">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customStyle="1" w:styleId="3">
    <w:name w:val="rpt_正文"/>
    <w:qFormat/>
    <w:uiPriority w:val="0"/>
    <w:pPr>
      <w:spacing w:line="400" w:lineRule="exact"/>
      <w:ind w:firstLine="480" w:firstLineChars="200"/>
    </w:pPr>
    <w:rPr>
      <w:rFonts w:ascii="Times New Roman" w:hAnsi="Times New Roman" w:eastAsia="宋体" w:cs="宋体"/>
      <w:kern w:val="2"/>
      <w:sz w:val="24"/>
      <w:lang w:val="en-US" w:eastAsia="zh-CN" w:bidi="ar-SA"/>
    </w:rPr>
  </w:style>
  <w:style w:type="paragraph" w:styleId="5">
    <w:name w:val="List 3"/>
    <w:basedOn w:val="1"/>
    <w:next w:val="1"/>
    <w:qFormat/>
    <w:uiPriority w:val="0"/>
    <w:pPr>
      <w:autoSpaceDE/>
      <w:autoSpaceDN/>
      <w:adjustRightInd w:val="0"/>
      <w:spacing w:line="240" w:lineRule="auto"/>
      <w:ind w:left="0" w:firstLine="0" w:firstLineChars="0"/>
      <w:jc w:val="center"/>
      <w:textAlignment w:val="baseline"/>
    </w:pPr>
    <w:rPr>
      <w:kern w:val="0"/>
      <w:sz w:val="21"/>
      <w:szCs w:val="21"/>
    </w:rPr>
  </w:style>
  <w:style w:type="paragraph" w:styleId="6">
    <w:name w:val="Normal Indent"/>
    <w:basedOn w:val="1"/>
    <w:qFormat/>
    <w:uiPriority w:val="0"/>
    <w:pPr>
      <w:spacing w:before="50" w:beforeLines="50" w:after="50" w:afterLines="50" w:line="360" w:lineRule="auto"/>
      <w:ind w:firstLine="480" w:firstLineChars="200"/>
    </w:pPr>
    <w:rPr>
      <w:rFonts w:ascii="Times New Roman" w:hAnsi="Times New Roman" w:eastAsia="宋体"/>
    </w:rPr>
  </w:style>
  <w:style w:type="paragraph" w:styleId="7">
    <w:name w:val="caption"/>
    <w:basedOn w:val="1"/>
    <w:next w:val="1"/>
    <w:qFormat/>
    <w:uiPriority w:val="0"/>
    <w:rPr>
      <w:rFonts w:ascii="Arial" w:hAnsi="Arial" w:eastAsia="黑体" w:cs="Arial"/>
      <w:sz w:val="20"/>
      <w:szCs w:val="20"/>
    </w:rPr>
  </w:style>
  <w:style w:type="paragraph" w:styleId="8">
    <w:name w:val="toa heading"/>
    <w:basedOn w:val="1"/>
    <w:next w:val="1"/>
    <w:qFormat/>
    <w:uiPriority w:val="0"/>
    <w:pPr>
      <w:spacing w:before="120"/>
    </w:pPr>
    <w:rPr>
      <w:rFonts w:ascii="Arial" w:hAnsi="Arial" w:cs="Arial"/>
    </w:rPr>
  </w:style>
  <w:style w:type="paragraph" w:styleId="9">
    <w:name w:val="annotation text"/>
    <w:basedOn w:val="1"/>
    <w:qFormat/>
    <w:uiPriority w:val="0"/>
    <w:pPr>
      <w:jc w:val="left"/>
    </w:pPr>
  </w:style>
  <w:style w:type="paragraph" w:styleId="10">
    <w:name w:val="Salutation"/>
    <w:basedOn w:val="1"/>
    <w:next w:val="1"/>
    <w:unhideWhenUsed/>
    <w:qFormat/>
    <w:uiPriority w:val="99"/>
  </w:style>
  <w:style w:type="paragraph" w:styleId="11">
    <w:name w:val="Body Text"/>
    <w:basedOn w:val="1"/>
    <w:next w:val="1"/>
    <w:qFormat/>
    <w:uiPriority w:val="0"/>
    <w:pPr>
      <w:spacing w:after="120"/>
    </w:pPr>
    <w:rPr>
      <w:rFonts w:ascii="Times New Roman" w:hAnsi="Times New Roman" w:eastAsia="宋体"/>
      <w:kern w:val="0"/>
      <w:sz w:val="24"/>
      <w:szCs w:val="24"/>
    </w:rPr>
  </w:style>
  <w:style w:type="paragraph" w:styleId="12">
    <w:name w:val="Body Text Indent"/>
    <w:basedOn w:val="1"/>
    <w:unhideWhenUsed/>
    <w:qFormat/>
    <w:uiPriority w:val="99"/>
    <w:pPr>
      <w:spacing w:after="120"/>
      <w:ind w:left="420" w:leftChars="200"/>
    </w:pPr>
  </w:style>
  <w:style w:type="paragraph" w:styleId="13">
    <w:name w:val="toc 3"/>
    <w:basedOn w:val="1"/>
    <w:next w:val="1"/>
    <w:qFormat/>
    <w:uiPriority w:val="0"/>
    <w:pPr>
      <w:spacing w:line="240" w:lineRule="auto"/>
      <w:ind w:left="420"/>
      <w:jc w:val="left"/>
    </w:pPr>
    <w:rPr>
      <w:rFonts w:ascii="Calibri" w:hAnsi="Calibri"/>
      <w:i/>
      <w:iCs/>
      <w:sz w:val="20"/>
      <w:szCs w:val="20"/>
    </w:rPr>
  </w:style>
  <w:style w:type="paragraph" w:styleId="14">
    <w:name w:val="Plain Text"/>
    <w:basedOn w:val="1"/>
    <w:qFormat/>
    <w:uiPriority w:val="0"/>
    <w:rPr>
      <w:rFonts w:ascii="宋体" w:hAnsi="Courier New"/>
      <w:kern w:val="0"/>
      <w:sz w:val="20"/>
      <w:szCs w:val="21"/>
    </w:rPr>
  </w:style>
  <w:style w:type="paragraph" w:styleId="15">
    <w:name w:val="Body Text Indent 2"/>
    <w:basedOn w:val="1"/>
    <w:qFormat/>
    <w:uiPriority w:val="99"/>
    <w:pPr>
      <w:spacing w:before="100" w:beforeAutospacing="1" w:after="120" w:line="480" w:lineRule="auto"/>
      <w:ind w:left="200" w:leftChars="200"/>
    </w:pPr>
    <w:rPr>
      <w:sz w:val="21"/>
      <w:szCs w:val="21"/>
    </w:rPr>
  </w:style>
  <w:style w:type="paragraph" w:styleId="16">
    <w:name w:val="footer"/>
    <w:basedOn w:val="1"/>
    <w:unhideWhenUsed/>
    <w:qFormat/>
    <w:uiPriority w:val="99"/>
    <w:pPr>
      <w:tabs>
        <w:tab w:val="center" w:pos="4153"/>
        <w:tab w:val="right" w:pos="8306"/>
      </w:tabs>
      <w:snapToGrid w:val="0"/>
      <w:jc w:val="left"/>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index heading"/>
    <w:basedOn w:val="1"/>
    <w:next w:val="19"/>
    <w:qFormat/>
    <w:uiPriority w:val="0"/>
    <w:rPr>
      <w:rFonts w:ascii="Arial" w:hAnsi="Arial" w:cs="Arial"/>
      <w:b/>
      <w:bCs/>
    </w:rPr>
  </w:style>
  <w:style w:type="paragraph" w:styleId="19">
    <w:name w:val="index 1"/>
    <w:basedOn w:val="1"/>
    <w:next w:val="1"/>
    <w:qFormat/>
    <w:uiPriority w:val="0"/>
    <w:pPr>
      <w:tabs>
        <w:tab w:val="left" w:pos="5580"/>
      </w:tabs>
      <w:spacing w:line="280" w:lineRule="exact"/>
    </w:pPr>
    <w:rPr>
      <w:rFonts w:ascii="宋体" w:hAnsi="宋体"/>
      <w:spacing w:val="10"/>
    </w:rPr>
  </w:style>
  <w:style w:type="paragraph" w:styleId="20">
    <w:name w:val="table of figures"/>
    <w:basedOn w:val="1"/>
    <w:next w:val="1"/>
    <w:unhideWhenUsed/>
    <w:qFormat/>
    <w:uiPriority w:val="99"/>
    <w:pPr>
      <w:ind w:left="200" w:leftChars="200" w:hanging="200" w:hangingChars="200"/>
    </w:p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Body Text First Indent 2"/>
    <w:basedOn w:val="12"/>
    <w:unhideWhenUsed/>
    <w:qFormat/>
    <w:uiPriority w:val="99"/>
    <w:pPr>
      <w:spacing w:line="360" w:lineRule="auto"/>
      <w:ind w:firstLine="420" w:firstLineChars="200"/>
    </w:pPr>
    <w:rPr>
      <w:sz w:val="24"/>
      <w:szCs w:val="24"/>
    </w:rPr>
  </w:style>
  <w:style w:type="table" w:styleId="24">
    <w:name w:val="Table Grid"/>
    <w:basedOn w:val="23"/>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qFormat/>
    <w:uiPriority w:val="0"/>
    <w:rPr>
      <w:color w:val="0000FF"/>
      <w:u w:val="single"/>
    </w:rPr>
  </w:style>
  <w:style w:type="character" w:styleId="27">
    <w:name w:val="annotation reference"/>
    <w:basedOn w:val="25"/>
    <w:qFormat/>
    <w:uiPriority w:val="0"/>
    <w:rPr>
      <w:sz w:val="21"/>
      <w:szCs w:val="21"/>
    </w:rPr>
  </w:style>
  <w:style w:type="paragraph" w:customStyle="1" w:styleId="28">
    <w:name w:val="正文4"/>
    <w:autoRedefine/>
    <w:qFormat/>
    <w:uiPriority w:val="0"/>
    <w:pPr>
      <w:spacing w:line="360" w:lineRule="auto"/>
      <w:ind w:firstLine="720" w:firstLineChars="200"/>
      <w:jc w:val="both"/>
    </w:pPr>
    <w:rPr>
      <w:rFonts w:ascii="Times New Roman" w:hAnsi="Times New Roman" w:eastAsia="宋体" w:cs="Times New Roman"/>
      <w:kern w:val="2"/>
      <w:sz w:val="21"/>
      <w:szCs w:val="21"/>
      <w:lang w:val="en-US" w:eastAsia="zh-CN" w:bidi="ar-SA"/>
    </w:rPr>
  </w:style>
  <w:style w:type="paragraph" w:customStyle="1" w:styleId="29">
    <w:name w:val="表格文字"/>
    <w:basedOn w:val="1"/>
    <w:next w:val="1"/>
    <w:qFormat/>
    <w:uiPriority w:val="99"/>
    <w:pPr>
      <w:jc w:val="center"/>
    </w:pPr>
    <w:rPr>
      <w:rFonts w:ascii="仿宋_GB2312" w:hAnsi="Arial Black" w:eastAsia="仿宋_GB2312"/>
      <w:kern w:val="44"/>
    </w:rPr>
  </w:style>
  <w:style w:type="paragraph" w:customStyle="1" w:styleId="30">
    <w:name w:val="章节目录"/>
    <w:basedOn w:val="1"/>
    <w:qFormat/>
    <w:uiPriority w:val="0"/>
    <w:pPr>
      <w:spacing w:line="360" w:lineRule="auto"/>
      <w:outlineLvl w:val="0"/>
    </w:pPr>
    <w:rPr>
      <w:b/>
      <w:sz w:val="28"/>
      <w:szCs w:val="28"/>
    </w:rPr>
  </w:style>
  <w:style w:type="paragraph" w:customStyle="1" w:styleId="31">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32">
    <w:name w:val="Table Grid_0"/>
    <w:basedOn w:val="23"/>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Default"/>
    <w:basedOn w:val="34"/>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纯文本1"/>
    <w:basedOn w:val="1"/>
    <w:autoRedefine/>
    <w:qFormat/>
    <w:uiPriority w:val="0"/>
    <w:rPr>
      <w:rFonts w:ascii="宋体" w:hAnsi="Courier New"/>
    </w:rPr>
  </w:style>
  <w:style w:type="paragraph" w:customStyle="1" w:styleId="35">
    <w:name w:val="样式1"/>
    <w:basedOn w:val="18"/>
    <w:next w:val="1"/>
    <w:qFormat/>
    <w:uiPriority w:val="0"/>
    <w:pPr>
      <w:autoSpaceDE w:val="0"/>
      <w:autoSpaceDN w:val="0"/>
      <w:adjustRightInd w:val="0"/>
      <w:spacing w:before="120" w:line="360" w:lineRule="auto"/>
      <w:ind w:firstLine="480"/>
    </w:pPr>
    <w:rPr>
      <w:rFonts w:eastAsia="黑体"/>
      <w:kern w:val="0"/>
      <w:sz w:val="24"/>
    </w:rPr>
  </w:style>
  <w:style w:type="paragraph" w:customStyle="1" w:styleId="36">
    <w:name w:val="表文"/>
    <w:basedOn w:val="1"/>
    <w:qFormat/>
    <w:uiPriority w:val="0"/>
    <w:pPr>
      <w:adjustRightInd w:val="0"/>
      <w:spacing w:before="120" w:after="120" w:line="200" w:lineRule="atLeast"/>
      <w:jc w:val="center"/>
      <w:textAlignment w:val="baseline"/>
    </w:pPr>
    <w:rPr>
      <w:rFonts w:ascii="宋体"/>
      <w:sz w:val="21"/>
      <w:szCs w:val="18"/>
    </w:rPr>
  </w:style>
  <w:style w:type="paragraph" w:customStyle="1" w:styleId="37">
    <w:name w:val="报告表格"/>
    <w:basedOn w:val="1"/>
    <w:next w:val="38"/>
    <w:qFormat/>
    <w:uiPriority w:val="0"/>
    <w:pPr>
      <w:autoSpaceDE w:val="0"/>
      <w:autoSpaceDN w:val="0"/>
      <w:adjustRightInd w:val="0"/>
      <w:spacing w:before="40" w:after="40"/>
      <w:jc w:val="center"/>
      <w:textAlignment w:val="bottom"/>
    </w:pPr>
    <w:rPr>
      <w:rFonts w:cs="Times New Roman"/>
      <w:kern w:val="0"/>
      <w:szCs w:val="20"/>
    </w:rPr>
  </w:style>
  <w:style w:type="paragraph" w:customStyle="1" w:styleId="38">
    <w:name w:val="报告书"/>
    <w:basedOn w:val="1"/>
    <w:qFormat/>
    <w:uiPriority w:val="0"/>
    <w:pPr>
      <w:autoSpaceDE w:val="0"/>
      <w:autoSpaceDN w:val="0"/>
      <w:adjustRightInd w:val="0"/>
      <w:spacing w:line="360" w:lineRule="auto"/>
      <w:ind w:firstLine="505"/>
      <w:jc w:val="left"/>
      <w:textAlignment w:val="bottom"/>
    </w:pPr>
    <w:rPr>
      <w:kern w:val="0"/>
      <w:sz w:val="24"/>
      <w:szCs w:val="20"/>
    </w:rPr>
  </w:style>
  <w:style w:type="paragraph" w:customStyle="1" w:styleId="39">
    <w:name w:val="Table Paragraph"/>
    <w:basedOn w:val="1"/>
    <w:qFormat/>
    <w:uiPriority w:val="0"/>
    <w:pPr>
      <w:jc w:val="left"/>
    </w:pPr>
    <w:rPr>
      <w:rFonts w:ascii="Calibri" w:hAnsi="Calibri"/>
      <w:kern w:val="0"/>
      <w:sz w:val="22"/>
      <w:szCs w:val="22"/>
      <w:lang w:eastAsia="en-US"/>
    </w:rPr>
  </w:style>
  <w:style w:type="paragraph" w:customStyle="1" w:styleId="40">
    <w:name w:val="rpt_表项"/>
    <w:basedOn w:val="1"/>
    <w:qFormat/>
    <w:uiPriority w:val="0"/>
    <w:pPr>
      <w:spacing w:before="60" w:after="60"/>
      <w:jc w:val="center"/>
    </w:pPr>
    <w:rPr>
      <w:rFonts w:cs="宋体"/>
      <w:sz w:val="22"/>
      <w:szCs w:val="20"/>
    </w:rPr>
  </w:style>
  <w:style w:type="paragraph" w:customStyle="1" w:styleId="41">
    <w:name w:val="无间隔1"/>
    <w:next w:val="1"/>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42">
    <w:name w:val="CM96"/>
    <w:basedOn w:val="33"/>
    <w:next w:val="33"/>
    <w:qFormat/>
    <w:uiPriority w:val="99"/>
    <w:pPr>
      <w:spacing w:line="468" w:lineRule="atLeast"/>
    </w:pPr>
    <w:rPr>
      <w:rFonts w:hAnsi="Calibri"/>
      <w:color w:val="auto"/>
    </w:rPr>
  </w:style>
  <w:style w:type="paragraph" w:customStyle="1" w:styleId="43">
    <w:name w:val="CM5"/>
    <w:basedOn w:val="33"/>
    <w:next w:val="33"/>
    <w:qFormat/>
    <w:uiPriority w:val="99"/>
    <w:pPr>
      <w:spacing w:line="468" w:lineRule="atLeast"/>
    </w:pPr>
    <w:rPr>
      <w:rFonts w:hAnsi="Calibri"/>
      <w:color w:val="auto"/>
    </w:rPr>
  </w:style>
  <w:style w:type="paragraph" w:customStyle="1" w:styleId="44">
    <w:name w:val="CM3"/>
    <w:basedOn w:val="1"/>
    <w:next w:val="1"/>
    <w:qFormat/>
    <w:uiPriority w:val="99"/>
    <w:pPr>
      <w:autoSpaceDE w:val="0"/>
      <w:autoSpaceDN w:val="0"/>
      <w:adjustRightInd w:val="0"/>
      <w:spacing w:line="468" w:lineRule="atLeast"/>
      <w:jc w:val="left"/>
    </w:pPr>
    <w:rPr>
      <w:rFonts w:ascii="宋体" w:hAnsi="Calibri"/>
      <w:kern w:val="0"/>
      <w:szCs w:val="24"/>
    </w:rPr>
  </w:style>
  <w:style w:type="paragraph" w:customStyle="1" w:styleId="45">
    <w:name w:val="表格内容"/>
    <w:basedOn w:val="1"/>
    <w:next w:val="2"/>
    <w:qFormat/>
    <w:uiPriority w:val="0"/>
    <w:pPr>
      <w:jc w:val="center"/>
    </w:pPr>
    <w:rPr>
      <w:rFonts w:eastAsia="Times New Roman" w:cs="Times New Roman"/>
      <w:kern w:val="0"/>
      <w:sz w:val="20"/>
      <w:szCs w:val="21"/>
    </w:rPr>
  </w:style>
  <w:style w:type="paragraph" w:customStyle="1" w:styleId="46">
    <w:name w:val="Table Text"/>
    <w:basedOn w:val="1"/>
    <w:semiHidden/>
    <w:qFormat/>
    <w:uiPriority w:val="0"/>
    <w:rPr>
      <w:rFonts w:ascii="宋体" w:hAnsi="宋体" w:eastAsia="宋体" w:cs="宋体"/>
      <w:sz w:val="22"/>
      <w:szCs w:val="22"/>
      <w:lang w:val="en-US" w:eastAsia="en-US" w:bidi="ar-SA"/>
    </w:rPr>
  </w:style>
  <w:style w:type="table" w:customStyle="1" w:styleId="47">
    <w:name w:val="Table Normal"/>
    <w:semiHidden/>
    <w:unhideWhenUsed/>
    <w:qFormat/>
    <w:uiPriority w:val="0"/>
    <w:tblPr>
      <w:tblCellMar>
        <w:top w:w="0" w:type="dxa"/>
        <w:left w:w="0" w:type="dxa"/>
        <w:bottom w:w="0" w:type="dxa"/>
        <w:right w:w="0" w:type="dxa"/>
      </w:tblCellMar>
    </w:tblPr>
  </w:style>
  <w:style w:type="paragraph" w:customStyle="1" w:styleId="48">
    <w:name w:val="1、L表内字"/>
    <w:basedOn w:val="1"/>
    <w:autoRedefine/>
    <w:qFormat/>
    <w:uiPriority w:val="0"/>
    <w:pPr>
      <w:adjustRightInd w:val="0"/>
      <w:snapToGrid w:val="0"/>
      <w:jc w:val="center"/>
    </w:pPr>
    <w:rPr>
      <w:color w:val="000000"/>
      <w:sz w:val="21"/>
    </w:rPr>
  </w:style>
  <w:style w:type="paragraph" w:customStyle="1" w:styleId="49">
    <w:name w:val="_Style 377"/>
    <w:basedOn w:val="1"/>
    <w:qFormat/>
    <w:uiPriority w:val="0"/>
    <w:pPr>
      <w:widowControl/>
    </w:pPr>
  </w:style>
  <w:style w:type="paragraph" w:customStyle="1" w:styleId="50">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51">
    <w:name w:val="y正文"/>
    <w:qFormat/>
    <w:uiPriority w:val="0"/>
    <w:pPr>
      <w:spacing w:line="360" w:lineRule="auto"/>
      <w:ind w:firstLine="480" w:firstLineChars="200"/>
      <w:jc w:val="both"/>
    </w:pPr>
    <w:rPr>
      <w:rFonts w:ascii="Times New Roman" w:hAnsi="Times New Roman" w:eastAsia="宋体" w:cs="Times New Roman"/>
      <w:kern w:val="2"/>
      <w:sz w:val="24"/>
      <w:lang w:val="en-US" w:eastAsia="zh-CN" w:bidi="ar-SA"/>
    </w:rPr>
  </w:style>
  <w:style w:type="paragraph" w:customStyle="1" w:styleId="52">
    <w:name w:val="报告"/>
    <w:basedOn w:val="1"/>
    <w:qFormat/>
    <w:uiPriority w:val="0"/>
    <w:pPr>
      <w:adjustRightInd w:val="0"/>
      <w:spacing w:line="360" w:lineRule="auto"/>
      <w:ind w:firstLine="505"/>
      <w:jc w:val="left"/>
      <w:textAlignment w:val="baseline"/>
    </w:pPr>
    <w:rPr>
      <w:kern w:val="0"/>
      <w:sz w:val="24"/>
      <w:szCs w:val="20"/>
    </w:rPr>
  </w:style>
  <w:style w:type="paragraph" w:customStyle="1" w:styleId="53">
    <w:name w:val="_Style 902"/>
    <w:basedOn w:val="12"/>
    <w:next w:val="22"/>
    <w:qFormat/>
    <w:uiPriority w:val="0"/>
    <w:pPr>
      <w:ind w:firstLine="420" w:firstLineChars="200"/>
    </w:pPr>
    <w:rPr>
      <w:kern w:val="2"/>
      <w:sz w:val="21"/>
      <w:szCs w:val="24"/>
    </w:rPr>
  </w:style>
  <w:style w:type="paragraph" w:customStyle="1" w:styleId="54">
    <w:name w:val="+正文"/>
    <w:basedOn w:val="1"/>
    <w:qFormat/>
    <w:uiPriority w:val="0"/>
    <w:pPr>
      <w:spacing w:line="360" w:lineRule="auto"/>
      <w:ind w:firstLine="200" w:firstLineChars="200"/>
    </w:pPr>
    <w:rPr>
      <w:kern w:val="0"/>
      <w:sz w:val="24"/>
      <w:szCs w:val="20"/>
    </w:rPr>
  </w:style>
  <w:style w:type="paragraph" w:customStyle="1" w:styleId="55">
    <w:name w:val="正文-龙池"/>
    <w:basedOn w:val="1"/>
    <w:qFormat/>
    <w:uiPriority w:val="0"/>
    <w:pPr>
      <w:autoSpaceDE w:val="0"/>
      <w:autoSpaceDN w:val="0"/>
      <w:adjustRightInd w:val="0"/>
      <w:spacing w:line="360" w:lineRule="auto"/>
      <w:ind w:firstLine="480" w:firstLineChars="200"/>
      <w:contextualSpacing/>
    </w:pPr>
    <w:rPr>
      <w:kern w:val="0"/>
      <w:sz w:val="24"/>
    </w:rPr>
  </w:style>
  <w:style w:type="paragraph" w:customStyle="1" w:styleId="56">
    <w:name w:val="真·正文"/>
    <w:basedOn w:val="1"/>
    <w:next w:val="1"/>
    <w:qFormat/>
    <w:uiPriority w:val="0"/>
    <w:pPr>
      <w:adjustRightInd w:val="0"/>
      <w:snapToGrid w:val="0"/>
      <w:spacing w:line="360" w:lineRule="auto"/>
      <w:ind w:firstLine="200" w:firstLineChars="200"/>
      <w:jc w:val="left"/>
    </w:pPr>
    <w:rPr>
      <w:sz w:val="24"/>
      <w:szCs w:val="21"/>
    </w:rPr>
  </w:style>
  <w:style w:type="paragraph" w:customStyle="1" w:styleId="57">
    <w:name w:val="正文（标准）"/>
    <w:basedOn w:val="1"/>
    <w:qFormat/>
    <w:uiPriority w:val="0"/>
    <w:pPr>
      <w:adjustRightInd w:val="0"/>
      <w:spacing w:line="360" w:lineRule="auto"/>
      <w:ind w:firstLine="200" w:firstLineChars="200"/>
    </w:pPr>
    <w:rPr>
      <w:sz w:val="24"/>
      <w:szCs w:val="30"/>
    </w:rPr>
  </w:style>
  <w:style w:type="paragraph" w:customStyle="1" w:styleId="58">
    <w:name w:val="表名"/>
    <w:basedOn w:val="1"/>
    <w:qFormat/>
    <w:uiPriority w:val="0"/>
    <w:pPr>
      <w:keepNext/>
      <w:overflowPunct w:val="0"/>
      <w:adjustRightInd w:val="0"/>
      <w:spacing w:before="240"/>
      <w:jc w:val="center"/>
      <w:textAlignment w:val="baseline"/>
    </w:pPr>
    <w:rPr>
      <w:rFonts w:ascii="黑体" w:eastAsia="黑体"/>
      <w:kern w:val="24"/>
      <w:sz w:val="20"/>
      <w:szCs w:val="20"/>
    </w:rPr>
  </w:style>
  <w:style w:type="character" w:customStyle="1" w:styleId="59">
    <w:name w:val="font31"/>
    <w:qFormat/>
    <w:uiPriority w:val="0"/>
    <w:rPr>
      <w:rFonts w:hint="eastAsia" w:ascii="宋体" w:hAnsi="宋体" w:eastAsia="宋体" w:cs="宋体"/>
      <w:color w:val="003366"/>
      <w:sz w:val="20"/>
      <w:szCs w:val="20"/>
      <w:u w:val="none"/>
    </w:rPr>
  </w:style>
  <w:style w:type="paragraph" w:customStyle="1" w:styleId="60">
    <w:name w:val="表格"/>
    <w:basedOn w:val="1"/>
    <w:next w:val="1"/>
    <w:qFormat/>
    <w:uiPriority w:val="0"/>
    <w:pPr>
      <w:adjustRightInd w:val="0"/>
      <w:snapToGrid w:val="0"/>
      <w:spacing w:beforeLines="10" w:afterLines="10" w:line="259" w:lineRule="auto"/>
      <w:jc w:val="center"/>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wmf"/><Relationship Id="rId27" Type="http://schemas.openxmlformats.org/officeDocument/2006/relationships/oleObject" Target="embeddings/oleObject5.bin"/><Relationship Id="rId26" Type="http://schemas.openxmlformats.org/officeDocument/2006/relationships/image" Target="media/image15.wmf"/><Relationship Id="rId25" Type="http://schemas.openxmlformats.org/officeDocument/2006/relationships/image" Target="media/image14.wmf"/><Relationship Id="rId24" Type="http://schemas.openxmlformats.org/officeDocument/2006/relationships/image" Target="media/image13.emf"/><Relationship Id="rId23" Type="http://schemas.openxmlformats.org/officeDocument/2006/relationships/oleObject" Target="embeddings/oleObject4.bin"/><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3.bin"/><Relationship Id="rId17" Type="http://schemas.openxmlformats.org/officeDocument/2006/relationships/image" Target="media/image8.emf"/><Relationship Id="rId16" Type="http://schemas.openxmlformats.org/officeDocument/2006/relationships/oleObject" Target="embeddings/oleObject2.bin"/><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131</Words>
  <Characters>157</Characters>
  <Lines>0</Lines>
  <Paragraphs>0</Paragraphs>
  <TotalTime>0</TotalTime>
  <ScaleCrop>false</ScaleCrop>
  <LinksUpToDate>false</LinksUpToDate>
  <CharactersWithSpaces>194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2023-08-22T07:41:00Z</dcterms:created>
  <dc:creator>Administrator</dc:creator>
  <cp:lastModifiedBy>idiot</cp:lastModifiedBy>
  <dcterms:modified xsi:type="dcterms:W3CDTF">2025-07-15T01:25:08Z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7343FAC68A5F4EB5A75409548A01916C_13</vt:lpwstr>
  </property>
  <property fmtid="{D5CDD505-2E9C-101B-9397-08002B2CF9AE}" pid="4" name="KSOTemplateDocerSaveRecord">
    <vt:lpwstr>eyJoZGlkIjoiMmUzY2E4Mzg5YmZjMzcxNGU1NzY5YmQ2NDA1YTE1MzIiLCJ1c2VySWQiOiIzODQ4MjU3MTkifQ==</vt:lpwstr>
  </property>
</Properties>
</file>